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2.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7.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8.xml" ContentType="application/vnd.openxmlformats-officedocument.drawingml.chartshapes+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drawings/drawing9.xml" ContentType="application/vnd.openxmlformats-officedocument.drawingml.chartshapes+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drawings/drawing10.xml" ContentType="application/vnd.openxmlformats-officedocument.drawingml.chartshapes+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drawings/drawing11.xml" ContentType="application/vnd.openxmlformats-officedocument.drawingml.chartshapes+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drawings/drawing12.xml" ContentType="application/vnd.openxmlformats-officedocument.drawingml.chartshapes+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drawings/drawing13.xml" ContentType="application/vnd.openxmlformats-officedocument.drawingml.chartshapes+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drawings/drawing14.xml" ContentType="application/vnd.openxmlformats-officedocument.drawingml.chartshapes+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drawings/drawing15.xml" ContentType="application/vnd.openxmlformats-officedocument.drawingml.chartshapes+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drawings/drawing16.xml" ContentType="application/vnd.openxmlformats-officedocument.drawingml.chartshapes+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drawings/drawing17.xml" ContentType="application/vnd.openxmlformats-officedocument.drawingml.chartshapes+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drawings/drawing18.xml" ContentType="application/vnd.openxmlformats-officedocument.drawingml.chartshapes+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drawings/drawing19.xml" ContentType="application/vnd.openxmlformats-officedocument.drawingml.chartshapes+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drawings/drawing20.xml" ContentType="application/vnd.openxmlformats-officedocument.drawingml.chartshapes+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charts/chart110.xml" ContentType="application/vnd.openxmlformats-officedocument.drawingml.chart+xml"/>
  <Override PartName="/word/charts/chart210.xml" ContentType="application/vnd.openxmlformats-officedocument.drawingml.chart+xml"/>
  <Override PartName="/word/charts/chart34.xml" ContentType="application/vnd.openxmlformats-officedocument.drawingml.chart+xml"/>
  <Override PartName="/word/charts/chart40.xml" ContentType="application/vnd.openxmlformats-officedocument.drawingml.chart+xml"/>
  <Override PartName="/word/charts/chart50.xml" ContentType="application/vnd.openxmlformats-officedocument.drawingml.chart+xml"/>
  <Override PartName="/word/charts/chart80.xml" ContentType="application/vnd.openxmlformats-officedocument.drawingml.chart+xml"/>
  <Override PartName="/word/charts/chart90.xml" ContentType="application/vnd.openxmlformats-officedocument.drawingml.chart+xml"/>
  <Override PartName="/word/charts/chart111.xml" ContentType="application/vnd.openxmlformats-officedocument.drawingml.chart+xml"/>
  <Override PartName="/word/charts/chart190.xml" ContentType="application/vnd.openxmlformats-officedocument.drawingml.chart+xml"/>
  <Override PartName="/word/charts/chart200.xml" ContentType="application/vnd.openxmlformats-officedocument.drawingml.chart+xml"/>
  <Override PartName="/word/charts/chart211.xml" ContentType="application/vnd.openxmlformats-officedocument.drawingml.chart+xml"/>
  <Override PartName="/word/charts/chart230.xml" ContentType="application/vnd.openxmlformats-officedocument.drawingml.chart+xml"/>
  <Override PartName="/word/charts/chart240.xml" ContentType="application/vnd.openxmlformats-officedocument.drawingml.chart+xml"/>
  <Override PartName="/word/charts/chart250.xml" ContentType="application/vnd.openxmlformats-officedocument.drawingml.chart+xml"/>
  <Override PartName="/word/charts/chart260.xml" ContentType="application/vnd.openxmlformats-officedocument.drawingml.chart+xml"/>
  <Override PartName="/word/charts/chart280.xml" ContentType="application/vnd.openxmlformats-officedocument.drawingml.chart+xml"/>
  <Override PartName="/word/charts/chart290.xml" ContentType="application/vnd.openxmlformats-officedocument.drawingml.chart+xml"/>
  <Override PartName="/word/charts/chart300.xml" ContentType="application/vnd.openxmlformats-officedocument.drawingml.chart+xml"/>
  <Override PartName="/word/charts/chart310.xml" ContentType="application/vnd.openxmlformats-officedocument.drawingml.chart+xml"/>
  <Override PartName="/word/charts/colors110.xml" ContentType="application/vnd.ms-office.chartcolorstyle+xml"/>
  <Override PartName="/word/charts/style110.xml" ContentType="application/vnd.ms-office.chartstyle+xml"/>
  <Override PartName="/word/charts/colors210.xml" ContentType="application/vnd.ms-office.chartcolorstyle+xml"/>
  <Override PartName="/word/charts/style210.xml" ContentType="application/vnd.ms-office.chartstyle+xml"/>
  <Override PartName="/word/charts/colors34.xml" ContentType="application/vnd.ms-office.chartcolorstyle+xml"/>
  <Override PartName="/word/charts/style34.xml" ContentType="application/vnd.ms-office.chartstyle+xml"/>
  <Override PartName="/word/charts/colors40.xml" ContentType="application/vnd.ms-office.chartcolorstyle+xml"/>
  <Override PartName="/word/charts/style40.xml" ContentType="application/vnd.ms-office.chartstyle+xml"/>
  <Override PartName="/word/drawings/drawing110.xml" ContentType="application/vnd.openxmlformats-officedocument.drawingml.chartshapes+xml"/>
  <Override PartName="/word/charts/colors50.xml" ContentType="application/vnd.ms-office.chartcolorstyle+xml"/>
  <Override PartName="/word/charts/style50.xml" ContentType="application/vnd.ms-office.chartstyle+xml"/>
  <Override PartName="/word/drawings/drawing21.xml" ContentType="application/vnd.openxmlformats-officedocument.drawingml.chartshapes+xml"/>
  <Override PartName="/word/charts/colors80.xml" ContentType="application/vnd.ms-office.chartcolorstyle+xml"/>
  <Override PartName="/word/charts/style80.xml" ContentType="application/vnd.ms-office.chartstyle+xml"/>
  <Override PartName="/word/drawings/drawing30.xml" ContentType="application/vnd.openxmlformats-officedocument.drawingml.chartshapes+xml"/>
  <Override PartName="/word/charts/colors90.xml" ContentType="application/vnd.ms-office.chartcolorstyle+xml"/>
  <Override PartName="/word/charts/style90.xml" ContentType="application/vnd.ms-office.chartstyle+xml"/>
  <Override PartName="/word/drawings/drawing40.xml" ContentType="application/vnd.openxmlformats-officedocument.drawingml.chartshapes+xml"/>
  <Override PartName="/word/charts/colors111.xml" ContentType="application/vnd.ms-office.chartcolorstyle+xml"/>
  <Override PartName="/word/charts/style111.xml" ContentType="application/vnd.ms-office.chartstyle+xml"/>
  <Override PartName="/word/drawings/drawing50.xml" ContentType="application/vnd.openxmlformats-officedocument.drawingml.chartshapes+xml"/>
  <Override PartName="/word/charts/colors190.xml" ContentType="application/vnd.ms-office.chartcolorstyle+xml"/>
  <Override PartName="/word/charts/style190.xml" ContentType="application/vnd.ms-office.chartstyle+xml"/>
  <Override PartName="/word/drawings/drawing111.xml" ContentType="application/vnd.openxmlformats-officedocument.drawingml.chartshapes+xml"/>
  <Override PartName="/word/charts/colors200.xml" ContentType="application/vnd.ms-office.chartcolorstyle+xml"/>
  <Override PartName="/word/charts/style200.xml" ContentType="application/vnd.ms-office.chartstyle+xml"/>
  <Override PartName="/word/drawings/drawing120.xml" ContentType="application/vnd.openxmlformats-officedocument.drawingml.chartshapes+xml"/>
  <Override PartName="/word/charts/colors211.xml" ContentType="application/vnd.ms-office.chartcolorstyle+xml"/>
  <Override PartName="/word/charts/style211.xml" ContentType="application/vnd.ms-office.chartstyle+xml"/>
  <Override PartName="/word/drawings/drawing130.xml" ContentType="application/vnd.openxmlformats-officedocument.drawingml.chartshapes+xml"/>
  <Override PartName="/word/charts/colors230.xml" ContentType="application/vnd.ms-office.chartcolorstyle+xml"/>
  <Override PartName="/word/charts/style230.xml" ContentType="application/vnd.ms-office.chartstyle+xml"/>
  <Override PartName="/word/drawings/drawing140.xml" ContentType="application/vnd.openxmlformats-officedocument.drawingml.chartshapes+xml"/>
  <Override PartName="/word/charts/colors240.xml" ContentType="application/vnd.ms-office.chartcolorstyle+xml"/>
  <Override PartName="/word/charts/style240.xml" ContentType="application/vnd.ms-office.chartstyle+xml"/>
  <Override PartName="/word/drawings/drawing150.xml" ContentType="application/vnd.openxmlformats-officedocument.drawingml.chartshapes+xml"/>
  <Override PartName="/word/theme/themeOverride10.xml" ContentType="application/vnd.openxmlformats-officedocument.themeOverride+xml"/>
  <Override PartName="/word/charts/colors250.xml" ContentType="application/vnd.ms-office.chartcolorstyle+xml"/>
  <Override PartName="/word/charts/style250.xml" ContentType="application/vnd.ms-office.chartstyle+xml"/>
  <Override PartName="/word/charts/colors260.xml" ContentType="application/vnd.ms-office.chartcolorstyle+xml"/>
  <Override PartName="/word/charts/style260.xml" ContentType="application/vnd.ms-office.chartstyle+xml"/>
  <Override PartName="/word/drawings/drawing160.xml" ContentType="application/vnd.openxmlformats-officedocument.drawingml.chartshapes+xml"/>
  <Override PartName="/word/charts/colors280.xml" ContentType="application/vnd.ms-office.chartcolorstyle+xml"/>
  <Override PartName="/word/charts/style280.xml" ContentType="application/vnd.ms-office.chartstyle+xml"/>
  <Override PartName="/word/drawings/drawing170.xml" ContentType="application/vnd.openxmlformats-officedocument.drawingml.chartshapes+xml"/>
  <Override PartName="/word/charts/colors290.xml" ContentType="application/vnd.ms-office.chartcolorstyle+xml"/>
  <Override PartName="/word/charts/style290.xml" ContentType="application/vnd.ms-office.chartstyle+xml"/>
  <Override PartName="/word/drawings/drawing180.xml" ContentType="application/vnd.openxmlformats-officedocument.drawingml.chartshapes+xml"/>
  <Override PartName="/word/charts/colors300.xml" ContentType="application/vnd.ms-office.chartcolorstyle+xml"/>
  <Override PartName="/word/charts/style300.xml" ContentType="application/vnd.ms-office.chartstyle+xml"/>
  <Override PartName="/word/drawings/drawing190.xml" ContentType="application/vnd.openxmlformats-officedocument.drawingml.chartshapes+xml"/>
  <Override PartName="/word/charts/colors310.xml" ContentType="application/vnd.ms-office.chartcolorstyle+xml"/>
  <Override PartName="/word/charts/style310.xml" ContentType="application/vnd.ms-office.chartstyle+xml"/>
  <Override PartName="/word/drawings/drawing200.xml" ContentType="application/vnd.openxmlformats-officedocument.drawingml.chartshap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64B7E" w14:textId="135CD0BD" w:rsidR="00D764A4" w:rsidRPr="007E7C5B" w:rsidRDefault="00442CEA" w:rsidP="00761F55">
      <w:pPr>
        <w:spacing w:after="0" w:line="240" w:lineRule="auto"/>
        <w:ind w:right="56"/>
        <w:jc w:val="both"/>
        <w:rPr>
          <w:rFonts w:ascii="Arial Narrow" w:eastAsia="Times New Roman" w:hAnsi="Arial Narrow" w:cs="Arial"/>
          <w:color w:val="000000"/>
          <w:sz w:val="24"/>
          <w:szCs w:val="24"/>
          <w:lang w:eastAsia="fr-FR"/>
        </w:rPr>
      </w:pPr>
      <w:r w:rsidRPr="007E7C5B">
        <w:rPr>
          <w:rFonts w:ascii="Arial Narrow" w:eastAsia="Times New Roman" w:hAnsi="Arial Narrow" w:cs="Arial"/>
          <w:noProof/>
          <w:color w:val="2B579A"/>
          <w:sz w:val="24"/>
          <w:szCs w:val="24"/>
          <w:shd w:val="clear" w:color="auto" w:fill="E6E6E6"/>
          <w:lang w:eastAsia="fr-FR"/>
        </w:rPr>
        <mc:AlternateContent>
          <mc:Choice Requires="wps">
            <w:drawing>
              <wp:anchor distT="0" distB="0" distL="114300" distR="114300" simplePos="0" relativeHeight="251658240" behindDoc="0" locked="0" layoutInCell="1" allowOverlap="1" wp14:anchorId="351C5818" wp14:editId="4B32A96C">
                <wp:simplePos x="0" y="0"/>
                <wp:positionH relativeFrom="margin">
                  <wp:posOffset>4505325</wp:posOffset>
                </wp:positionH>
                <wp:positionV relativeFrom="paragraph">
                  <wp:posOffset>-333375</wp:posOffset>
                </wp:positionV>
                <wp:extent cx="1295400" cy="1104900"/>
                <wp:effectExtent l="0" t="0" r="0" b="0"/>
                <wp:wrapNone/>
                <wp:docPr id="1650531526" name="Text Box 1650531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95400" cy="1104900"/>
                        </a:xfrm>
                        <a:prstGeom prst="rect">
                          <a:avLst/>
                        </a:prstGeom>
                        <a:solidFill>
                          <a:srgbClr val="FFFFFF"/>
                        </a:solidFill>
                        <a:ln>
                          <a:noFill/>
                        </a:ln>
                      </wps:spPr>
                      <wps:txbx>
                        <w:txbxContent>
                          <w:p w14:paraId="3818DC98" w14:textId="2A00D026" w:rsidR="009D16A0" w:rsidRPr="00B82295" w:rsidRDefault="00702D1E" w:rsidP="00D764A4">
                            <w:pPr>
                              <w:pStyle w:val="Sansinterligne"/>
                              <w:rPr>
                                <w:rFonts w:ascii="Monotype Corsiva" w:hAnsi="Monotype Corsiva"/>
                                <w:sz w:val="26"/>
                                <w:szCs w:val="26"/>
                              </w:rPr>
                            </w:pPr>
                            <w:r w:rsidRPr="00702D1E">
                              <w:rPr>
                                <w:rFonts w:ascii="Arial Narrow" w:hAnsi="Arial Narrow" w:cs="Arial"/>
                                <w:noProof/>
                                <w:color w:val="2B579A"/>
                                <w:shd w:val="clear" w:color="auto" w:fill="E6E6E6"/>
                              </w:rPr>
                              <w:drawing>
                                <wp:inline distT="0" distB="0" distL="0" distR="0" wp14:anchorId="78555981" wp14:editId="7AC44250">
                                  <wp:extent cx="838200" cy="741806"/>
                                  <wp:effectExtent l="0" t="0" r="0" b="1270"/>
                                  <wp:docPr id="12" name="Picture 2" descr="Armoiries de la Côte d&amp;#39;Ivoire — Wikipédia">
                                    <a:extLst xmlns:a="http://schemas.openxmlformats.org/drawingml/2006/main">
                                      <a:ext uri="{FF2B5EF4-FFF2-40B4-BE49-F238E27FC236}">
                                        <a16:creationId xmlns:a16="http://schemas.microsoft.com/office/drawing/2014/main" id="{79EDBD7D-36C3-415A-8EB6-A6DC6E4568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Armoiries de la Côte d&amp;#39;Ivoire — Wikipédia">
                                            <a:extLst>
                                              <a:ext uri="{FF2B5EF4-FFF2-40B4-BE49-F238E27FC236}">
                                                <a16:creationId xmlns:a16="http://schemas.microsoft.com/office/drawing/2014/main" id="{79EDBD7D-36C3-415A-8EB6-A6DC6E4568ED}"/>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4026" cy="773512"/>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351C5818" id="_x0000_t202" coordsize="21600,21600" o:spt="202" path="m,l,21600r21600,l21600,xe">
                <v:stroke joinstyle="miter"/>
                <v:path gradientshapeok="t" o:connecttype="rect"/>
              </v:shapetype>
              <v:shape id="Text Box 1650531526" o:spid="_x0000_s1026" type="#_x0000_t202" style="position:absolute;left:0;text-align:left;margin-left:354.75pt;margin-top:-26.25pt;width:102pt;height:8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" stroked="f">
                <v:textbox>
                  <w:txbxContent>
                    <w:p w14:paraId="3818DC98" w14:textId="2A00D026" w:rsidR="009D16A0" w:rsidRPr="00B82295" w:rsidRDefault="00702D1E" w:rsidP="00D764A4">
                      <w:pPr>
                        <w:pStyle w:val="Sansinterligne"/>
                        <w:rPr>
                          <w:rFonts w:ascii="Monotype Corsiva" w:hAnsi="Monotype Corsiva"/>
                          <w:sz w:val="26"/>
                          <w:szCs w:val="26"/>
                        </w:rPr>
                      </w:pPr>
                      <w:r w:rsidRPr="00702D1E">
                        <w:rPr>
                          <w:rFonts w:ascii="Arial Narrow" w:hAnsi="Arial Narrow" w:cs="Arial"/>
                          <w:color w:val="2B579A"/>
                          <w:shd w:val="clear" w:color="auto" w:fill="E6E6E6"/>
                        </w:rPr>
                        <w:drawing>
                          <wp:inline distT="0" distB="0" distL="0" distR="0" wp14:anchorId="78555981" wp14:editId="7AC44250">
                            <wp:extent cx="838200" cy="741806"/>
                            <wp:effectExtent l="0" t="0" r="0" b="1270"/>
                            <wp:docPr id="12" name="Picture 2" descr="Armoiries de la Côte d&amp;#39;Ivoire — Wikipédia">
                              <a:extLst xmlns:a="http://schemas.openxmlformats.org/drawingml/2006/main">
                                <a:ext uri="{FF2B5EF4-FFF2-40B4-BE49-F238E27FC236}">
                                  <a16:creationId xmlns:a16="http://schemas.microsoft.com/office/drawing/2014/main" id="{79EDBD7D-36C3-415A-8EB6-A6DC6E4568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Armoiries de la Côte d&amp;#39;Ivoire — Wikipédia">
                                      <a:extLst>
                                        <a:ext uri="{FF2B5EF4-FFF2-40B4-BE49-F238E27FC236}">
                                          <a16:creationId xmlns:a16="http://schemas.microsoft.com/office/drawing/2014/main" id="{79EDBD7D-36C3-415A-8EB6-A6DC6E4568ED}"/>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4026" cy="773512"/>
                                    </a:xfrm>
                                    <a:prstGeom prst="rect">
                                      <a:avLst/>
                                    </a:prstGeom>
                                    <a:noFill/>
                                  </pic:spPr>
                                </pic:pic>
                              </a:graphicData>
                            </a:graphic>
                          </wp:inline>
                        </w:drawing>
                      </w:r>
                    </w:p>
                  </w:txbxContent>
                </v:textbox>
                <w10:wrap anchorx="margin"/>
              </v:shape>
            </w:pict>
          </mc:Fallback>
        </mc:AlternateContent>
      </w:r>
      <w:r w:rsidR="00D764A4" w:rsidRPr="007E7C5B">
        <w:rPr>
          <w:rFonts w:ascii="Arial Narrow" w:eastAsia="Times New Roman" w:hAnsi="Arial Narrow" w:cs="Arial"/>
          <w:noProof/>
          <w:color w:val="2B579A"/>
          <w:sz w:val="24"/>
          <w:szCs w:val="24"/>
          <w:lang w:eastAsia="fr-FR"/>
        </w:rPr>
        <mc:AlternateContent>
          <mc:Choice Requires="wps">
            <w:drawing>
              <wp:anchor distT="0" distB="0" distL="114300" distR="114300" simplePos="0" relativeHeight="251658242" behindDoc="0" locked="0" layoutInCell="1" allowOverlap="1" wp14:anchorId="7F5BAC45" wp14:editId="2E5CD176">
                <wp:simplePos x="0" y="0"/>
                <wp:positionH relativeFrom="column">
                  <wp:posOffset>381000</wp:posOffset>
                </wp:positionH>
                <wp:positionV relativeFrom="paragraph">
                  <wp:posOffset>-292100</wp:posOffset>
                </wp:positionV>
                <wp:extent cx="1244600" cy="914400"/>
                <wp:effectExtent l="0" t="0" r="0" b="0"/>
                <wp:wrapNone/>
                <wp:docPr id="167917433" name="Text Box 1"/>
                <wp:cNvGraphicFramePr/>
                <a:graphic xmlns:a="http://schemas.openxmlformats.org/drawingml/2006/main">
                  <a:graphicData uri="http://schemas.microsoft.com/office/word/2010/wordprocessingShape">
                    <wps:wsp>
                      <wps:cNvSpPr txBox="1"/>
                      <wps:spPr>
                        <a:xfrm>
                          <a:off x="0" y="0"/>
                          <a:ext cx="1244600" cy="914400"/>
                        </a:xfrm>
                        <a:prstGeom prst="rect">
                          <a:avLst/>
                        </a:prstGeom>
                        <a:solidFill>
                          <a:schemeClr val="lt1"/>
                        </a:solidFill>
                        <a:ln w="6350">
                          <a:noFill/>
                        </a:ln>
                      </wps:spPr>
                      <wps:txbx>
                        <w:txbxContent>
                          <w:p w14:paraId="54FEC911" w14:textId="335F26BA" w:rsidR="009D16A0" w:rsidRPr="00B82295" w:rsidRDefault="009D16A0" w:rsidP="00D764A4">
                            <w:pPr>
                              <w:jc w:val="center"/>
                            </w:pPr>
                            <w:r w:rsidRPr="00B82295">
                              <w:rPr>
                                <w:noProof/>
                                <w:lang w:eastAsia="fr-FR"/>
                              </w:rPr>
                              <w:drawing>
                                <wp:inline distT="0" distB="0" distL="0" distR="0" wp14:anchorId="645D6FBB" wp14:editId="18C41366">
                                  <wp:extent cx="850900" cy="817371"/>
                                  <wp:effectExtent l="0" t="0" r="6350" b="1905"/>
                                  <wp:docPr id="1329034838" name="Image 8" descr="C:\Users\ACER\Deskto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C:\Users\ACER\Desktop\m.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3535" cy="8199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shape w14:anchorId="7F5BAC45" id="Text Box 1" o:spid="_x0000_s1027" type="#_x0000_t202" style="position:absolute;left:0;text-align:left;margin-left:30pt;margin-top:-23pt;width:98pt;height:1in;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" fillcolor="white [3201]" stroked="f" strokeweight=".5pt">
                <v:textbox>
                  <w:txbxContent>
                    <w:p w14:paraId="54FEC911" w14:textId="335F26BA" w:rsidR="009D16A0" w:rsidRPr="00B82295" w:rsidRDefault="009D16A0" w:rsidP="00D764A4">
                      <w:pPr>
                        <w:jc w:val="center"/>
                      </w:pPr>
                      <w:r w:rsidRPr="00B82295">
                        <w:rPr>
                          <w:noProof/>
                          <w:lang w:eastAsia="fr-FR"/>
                        </w:rPr>
                        <w:drawing>
                          <wp:inline distT="0" distB="0" distL="0" distR="0" wp14:anchorId="645D6FBB" wp14:editId="18C41366">
                            <wp:extent cx="850900" cy="817371"/>
                            <wp:effectExtent l="0" t="0" r="6350" b="1905"/>
                            <wp:docPr id="1329034838" name="Image 8" descr="C:\Users\ACER\Deskto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C:\Users\ACER\Desktop\m.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3535" cy="819902"/>
                                    </a:xfrm>
                                    <a:prstGeom prst="rect">
                                      <a:avLst/>
                                    </a:prstGeom>
                                    <a:noFill/>
                                    <a:ln>
                                      <a:noFill/>
                                    </a:ln>
                                  </pic:spPr>
                                </pic:pic>
                              </a:graphicData>
                            </a:graphic>
                          </wp:inline>
                        </w:drawing>
                      </w:r>
                    </w:p>
                  </w:txbxContent>
                </v:textbox>
              </v:shape>
            </w:pict>
          </mc:Fallback>
        </mc:AlternateContent>
      </w:r>
      <w:r w:rsidR="00D764A4" w:rsidRPr="007E7C5B">
        <w:rPr>
          <w:rFonts w:ascii="Arial Narrow" w:eastAsia="Times New Roman" w:hAnsi="Arial Narrow" w:cs="Arial"/>
          <w:color w:val="2B579A"/>
          <w:sz w:val="24"/>
          <w:szCs w:val="24"/>
          <w:shd w:val="clear" w:color="auto" w:fill="E6E6E6"/>
          <w:lang w:eastAsia="fr-FR"/>
        </w:rPr>
        <w:t xml:space="preserve"> </w:t>
      </w:r>
    </w:p>
    <w:p w14:paraId="08BAF55F" w14:textId="77777777" w:rsidR="00D764A4" w:rsidRPr="007E7C5B" w:rsidRDefault="00D764A4" w:rsidP="00761F55">
      <w:pPr>
        <w:spacing w:after="0" w:line="240" w:lineRule="auto"/>
        <w:ind w:right="56"/>
        <w:jc w:val="both"/>
        <w:rPr>
          <w:rFonts w:ascii="Arial Narrow" w:eastAsia="Times New Roman" w:hAnsi="Arial Narrow" w:cs="Arial"/>
          <w:color w:val="000000"/>
          <w:sz w:val="24"/>
          <w:szCs w:val="24"/>
          <w:lang w:eastAsia="fr-FR"/>
        </w:rPr>
      </w:pPr>
    </w:p>
    <w:p w14:paraId="0763F3C3" w14:textId="61AF8BFD" w:rsidR="00D764A4" w:rsidRPr="007E7C5B" w:rsidRDefault="00D764A4" w:rsidP="00761F55">
      <w:pPr>
        <w:spacing w:after="0" w:line="240" w:lineRule="auto"/>
        <w:jc w:val="both"/>
        <w:rPr>
          <w:rFonts w:ascii="Arial Narrow" w:eastAsia="Times New Roman" w:hAnsi="Arial Narrow" w:cs="Arial"/>
          <w:color w:val="000000"/>
          <w:sz w:val="24"/>
          <w:szCs w:val="24"/>
          <w:lang w:eastAsia="fr-FR"/>
        </w:rPr>
      </w:pPr>
    </w:p>
    <w:p w14:paraId="208B46CD" w14:textId="28DB9318" w:rsidR="00D764A4" w:rsidRPr="007E7C5B" w:rsidRDefault="00D764A4" w:rsidP="00761F55">
      <w:pPr>
        <w:spacing w:after="0" w:line="240" w:lineRule="auto"/>
        <w:jc w:val="both"/>
        <w:rPr>
          <w:rFonts w:ascii="Arial Narrow" w:eastAsia="Times New Roman" w:hAnsi="Arial Narrow" w:cs="Arial"/>
          <w:color w:val="000000"/>
          <w:sz w:val="24"/>
          <w:szCs w:val="24"/>
          <w:lang w:eastAsia="fr-FR"/>
        </w:rPr>
      </w:pPr>
      <w:r w:rsidRPr="007E7C5B">
        <w:rPr>
          <w:rFonts w:ascii="Arial Narrow" w:eastAsia="Times New Roman" w:hAnsi="Arial Narrow" w:cs="Arial"/>
          <w:noProof/>
          <w:color w:val="2B579A"/>
          <w:sz w:val="24"/>
          <w:szCs w:val="24"/>
          <w:shd w:val="clear" w:color="auto" w:fill="E6E6E6"/>
          <w:lang w:eastAsia="fr-FR"/>
        </w:rPr>
        <mc:AlternateContent>
          <mc:Choice Requires="wps">
            <w:drawing>
              <wp:anchor distT="0" distB="0" distL="114300" distR="114300" simplePos="0" relativeHeight="251658241" behindDoc="0" locked="0" layoutInCell="1" allowOverlap="1" wp14:anchorId="4ABE1A83" wp14:editId="40F9130E">
                <wp:simplePos x="0" y="0"/>
                <wp:positionH relativeFrom="page">
                  <wp:posOffset>304800</wp:posOffset>
                </wp:positionH>
                <wp:positionV relativeFrom="paragraph">
                  <wp:posOffset>103505</wp:posOffset>
                </wp:positionV>
                <wp:extent cx="3208655" cy="679450"/>
                <wp:effectExtent l="0" t="0" r="0" b="6350"/>
                <wp:wrapNone/>
                <wp:docPr id="955779802" name="Rectangle 9557798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208655" cy="679450"/>
                        </a:xfrm>
                        <a:prstGeom prst="rect">
                          <a:avLst/>
                        </a:prstGeom>
                        <a:solidFill>
                          <a:srgbClr val="FFFFFF"/>
                        </a:solidFill>
                        <a:ln>
                          <a:noFill/>
                        </a:ln>
                      </wps:spPr>
                      <wps:txbx>
                        <w:txbxContent>
                          <w:p w14:paraId="61960984" w14:textId="4603A6CB" w:rsidR="009D16A0" w:rsidRPr="002A5075" w:rsidRDefault="009D16A0" w:rsidP="00D764A4">
                            <w:pPr>
                              <w:tabs>
                                <w:tab w:val="left" w:pos="851"/>
                                <w:tab w:val="left" w:pos="1134"/>
                              </w:tabs>
                              <w:jc w:val="center"/>
                              <w:rPr>
                                <w:rFonts w:ascii="Monotype Corsiva" w:hAnsi="Monotype Corsiva"/>
                                <w:color w:val="000000"/>
                                <w:sz w:val="24"/>
                                <w:szCs w:val="24"/>
                              </w:rPr>
                            </w:pPr>
                            <w:r w:rsidRPr="002A5075">
                              <w:rPr>
                                <w:rFonts w:ascii="Monotype Corsiva" w:hAnsi="Monotype Corsiva"/>
                                <w:color w:val="000000"/>
                                <w:sz w:val="24"/>
                                <w:szCs w:val="24"/>
                              </w:rPr>
                              <w:t>Ministère de La Santé, de l’Hygiène Publique et de la Couverture Maladie Universelle</w:t>
                            </w:r>
                          </w:p>
                          <w:p w14:paraId="53F7EB5D" w14:textId="3E610B97" w:rsidR="009D16A0" w:rsidRPr="00B82295" w:rsidRDefault="009D16A0" w:rsidP="00D764A4">
                            <w:pPr>
                              <w:pStyle w:val="Sansinterligne"/>
                              <w:jc w:val="center"/>
                              <w:rPr>
                                <w:rFonts w:ascii="Cambria" w:hAnsi="Cambria"/>
                                <w:sz w:val="2"/>
                                <w:szCs w:val="14"/>
                              </w:rPr>
                            </w:pPr>
                            <w:r w:rsidRPr="00B82295">
                              <w:rPr>
                                <w:rFonts w:ascii="Cambria" w:hAnsi="Cambria"/>
                                <w:sz w:val="14"/>
                                <w:szCs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ect w14:anchorId="4ABE1A83" id="Rectangle 955779802" o:spid="_x0000_s1028" style="position:absolute;left:0;text-align:left;margin-left:24pt;margin-top:8.15pt;width:252.65pt;height:53.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" stroked="f">
                <o:lock v:ext="edit" aspectratio="t"/>
                <v:textbox>
                  <w:txbxContent>
                    <w:p w14:paraId="61960984" w14:textId="4603A6CB" w:rsidR="009D16A0" w:rsidRPr="002A5075" w:rsidRDefault="009D16A0" w:rsidP="00D764A4">
                      <w:pPr>
                        <w:tabs>
                          <w:tab w:val="left" w:pos="851"/>
                          <w:tab w:val="left" w:pos="1134"/>
                        </w:tabs>
                        <w:jc w:val="center"/>
                        <w:rPr>
                          <w:rFonts w:ascii="Monotype Corsiva" w:hAnsi="Monotype Corsiva"/>
                          <w:color w:val="000000"/>
                          <w:sz w:val="24"/>
                          <w:szCs w:val="24"/>
                        </w:rPr>
                      </w:pPr>
                      <w:r w:rsidRPr="002A5075">
                        <w:rPr>
                          <w:rFonts w:ascii="Monotype Corsiva" w:hAnsi="Monotype Corsiva"/>
                          <w:color w:val="000000"/>
                          <w:sz w:val="24"/>
                          <w:szCs w:val="24"/>
                        </w:rPr>
                        <w:t>Ministère de La Santé, de l’Hygiène Publique et de la Couverture Maladie Universelle</w:t>
                      </w:r>
                    </w:p>
                    <w:p w14:paraId="53F7EB5D" w14:textId="3E610B97" w:rsidR="009D16A0" w:rsidRPr="00B82295" w:rsidRDefault="009D16A0" w:rsidP="00D764A4">
                      <w:pPr>
                        <w:pStyle w:val="Sansinterligne"/>
                        <w:jc w:val="center"/>
                        <w:rPr>
                          <w:rFonts w:ascii="Cambria" w:hAnsi="Cambria"/>
                          <w:sz w:val="2"/>
                          <w:szCs w:val="14"/>
                        </w:rPr>
                      </w:pPr>
                      <w:r w:rsidRPr="00B82295">
                        <w:rPr>
                          <w:rFonts w:ascii="Cambria" w:hAnsi="Cambria"/>
                          <w:sz w:val="14"/>
                          <w:szCs w:val="14"/>
                        </w:rPr>
                        <w:t>--------------</w:t>
                      </w:r>
                    </w:p>
                  </w:txbxContent>
                </v:textbox>
                <w10:wrap anchorx="page"/>
              </v:rect>
            </w:pict>
          </mc:Fallback>
        </mc:AlternateContent>
      </w:r>
    </w:p>
    <w:p w14:paraId="1A27DA7A" w14:textId="77777777" w:rsidR="00D764A4" w:rsidRPr="007E7C5B" w:rsidRDefault="00D764A4" w:rsidP="00761F55">
      <w:pPr>
        <w:spacing w:after="0" w:line="240" w:lineRule="auto"/>
        <w:jc w:val="both"/>
        <w:rPr>
          <w:rFonts w:ascii="Arial Narrow" w:eastAsia="Times New Roman" w:hAnsi="Arial Narrow" w:cs="Arial"/>
          <w:color w:val="000000"/>
          <w:sz w:val="24"/>
          <w:szCs w:val="24"/>
          <w:lang w:eastAsia="fr-FR"/>
        </w:rPr>
      </w:pPr>
      <w:r w:rsidRPr="007E7C5B">
        <w:rPr>
          <w:rFonts w:ascii="Arial Narrow" w:eastAsia="Times New Roman" w:hAnsi="Arial Narrow" w:cs="Arial"/>
          <w:color w:val="000000"/>
          <w:sz w:val="24"/>
          <w:szCs w:val="24"/>
          <w:lang w:eastAsia="fr-FR"/>
        </w:rPr>
        <w:t xml:space="preserve"> </w:t>
      </w:r>
      <w:r w:rsidRPr="007E7C5B">
        <w:rPr>
          <w:rFonts w:ascii="Arial Narrow" w:eastAsia="Times New Roman" w:hAnsi="Arial Narrow" w:cs="Arial"/>
          <w:b/>
          <w:color w:val="000000"/>
          <w:sz w:val="24"/>
          <w:szCs w:val="24"/>
          <w:lang w:eastAsia="fr-FR"/>
        </w:rPr>
        <w:tab/>
      </w:r>
    </w:p>
    <w:p w14:paraId="05F5300C" w14:textId="001AF286" w:rsidR="00D764A4" w:rsidRPr="007E7C5B" w:rsidRDefault="00D764A4" w:rsidP="00761F55">
      <w:pPr>
        <w:spacing w:after="0" w:line="240" w:lineRule="auto"/>
        <w:jc w:val="both"/>
        <w:rPr>
          <w:rFonts w:ascii="Arial Narrow" w:eastAsia="Times New Roman" w:hAnsi="Arial Narrow" w:cs="Arial"/>
          <w:sz w:val="24"/>
          <w:szCs w:val="24"/>
          <w:lang w:eastAsia="fr-FR"/>
        </w:rPr>
      </w:pPr>
      <w:r w:rsidRPr="007E7C5B">
        <w:rPr>
          <w:rFonts w:ascii="Arial Narrow" w:eastAsia="Times New Roman" w:hAnsi="Arial Narrow" w:cs="Arial"/>
          <w:sz w:val="24"/>
          <w:szCs w:val="24"/>
          <w:lang w:eastAsia="fr-FR"/>
        </w:rPr>
        <w:t xml:space="preserve"> </w:t>
      </w:r>
    </w:p>
    <w:p w14:paraId="2A40F8E7" w14:textId="0E256E73" w:rsidR="00D764A4" w:rsidRPr="007E7C5B" w:rsidRDefault="00D764A4" w:rsidP="00761F55">
      <w:pPr>
        <w:spacing w:after="0" w:line="240" w:lineRule="auto"/>
        <w:jc w:val="both"/>
        <w:rPr>
          <w:rFonts w:ascii="Arial Narrow" w:eastAsia="Times New Roman" w:hAnsi="Arial Narrow" w:cs="Arial"/>
          <w:sz w:val="24"/>
          <w:szCs w:val="24"/>
          <w:lang w:eastAsia="fr-FR"/>
        </w:rPr>
      </w:pPr>
    </w:p>
    <w:p w14:paraId="199986C5" w14:textId="726AC1CA" w:rsidR="00D764A4" w:rsidRPr="007E7C5B" w:rsidRDefault="00D764A4" w:rsidP="00761F55">
      <w:pPr>
        <w:spacing w:after="0"/>
        <w:jc w:val="both"/>
        <w:rPr>
          <w:rFonts w:ascii="Arial Narrow" w:hAnsi="Arial Narrow" w:cs="Arial"/>
          <w:b/>
          <w:sz w:val="24"/>
          <w:szCs w:val="24"/>
        </w:rPr>
      </w:pPr>
    </w:p>
    <w:p w14:paraId="31D3E6AB" w14:textId="628D7AAB" w:rsidR="00D764A4" w:rsidRPr="007E7C5B" w:rsidRDefault="00D764A4" w:rsidP="00761F55">
      <w:pPr>
        <w:tabs>
          <w:tab w:val="left" w:pos="3764"/>
        </w:tabs>
        <w:spacing w:after="0"/>
        <w:jc w:val="both"/>
        <w:rPr>
          <w:rFonts w:ascii="Arial Narrow" w:hAnsi="Arial Narrow" w:cs="Arial"/>
          <w:b/>
          <w:sz w:val="24"/>
          <w:szCs w:val="24"/>
        </w:rPr>
      </w:pPr>
      <w:r w:rsidRPr="007E7C5B">
        <w:rPr>
          <w:rFonts w:ascii="Arial Narrow" w:hAnsi="Arial Narrow" w:cs="Arial"/>
          <w:b/>
          <w:noProof/>
          <w:sz w:val="24"/>
          <w:szCs w:val="24"/>
          <w:lang w:eastAsia="fr-FR"/>
        </w:rPr>
        <mc:AlternateContent>
          <mc:Choice Requires="wps">
            <w:drawing>
              <wp:anchor distT="0" distB="0" distL="114300" distR="114300" simplePos="0" relativeHeight="251658243" behindDoc="0" locked="0" layoutInCell="1" allowOverlap="1" wp14:anchorId="635A0D24" wp14:editId="39DC5962">
                <wp:simplePos x="0" y="0"/>
                <wp:positionH relativeFrom="margin">
                  <wp:posOffset>2254672</wp:posOffset>
                </wp:positionH>
                <wp:positionV relativeFrom="paragraph">
                  <wp:posOffset>76835</wp:posOffset>
                </wp:positionV>
                <wp:extent cx="1202254" cy="717550"/>
                <wp:effectExtent l="0" t="0" r="0" b="6350"/>
                <wp:wrapNone/>
                <wp:docPr id="192767483" name="Text Box 2"/>
                <wp:cNvGraphicFramePr/>
                <a:graphic xmlns:a="http://schemas.openxmlformats.org/drawingml/2006/main">
                  <a:graphicData uri="http://schemas.microsoft.com/office/word/2010/wordprocessingShape">
                    <wps:wsp>
                      <wps:cNvSpPr txBox="1"/>
                      <wps:spPr>
                        <a:xfrm>
                          <a:off x="0" y="0"/>
                          <a:ext cx="1202254" cy="717550"/>
                        </a:xfrm>
                        <a:prstGeom prst="rect">
                          <a:avLst/>
                        </a:prstGeom>
                        <a:solidFill>
                          <a:schemeClr val="lt1"/>
                        </a:solidFill>
                        <a:ln w="6350">
                          <a:noFill/>
                        </a:ln>
                      </wps:spPr>
                      <wps:txbx>
                        <w:txbxContent>
                          <w:p w14:paraId="237C44D0" w14:textId="022F9457" w:rsidR="009D16A0" w:rsidRPr="00B82295" w:rsidRDefault="009D16A0" w:rsidP="00D764A4">
                            <w:pPr>
                              <w:jc w:val="center"/>
                            </w:pPr>
                            <w:r w:rsidRPr="00B82295">
                              <w:rPr>
                                <w:rFonts w:ascii="Arial Narrow" w:hAnsi="Arial Narrow" w:cs="Tahoma"/>
                                <w:noProof/>
                                <w:sz w:val="24"/>
                                <w:szCs w:val="24"/>
                                <w:lang w:eastAsia="fr-FR"/>
                              </w:rPr>
                              <w:drawing>
                                <wp:inline distT="0" distB="0" distL="0" distR="0" wp14:anchorId="765A75D7" wp14:editId="0767A7B5">
                                  <wp:extent cx="879475" cy="583565"/>
                                  <wp:effectExtent l="0" t="0" r="0" b="6985"/>
                                  <wp:docPr id="520319017" name="Image 1"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A logo with a black background&#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9475" cy="5835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35A0D24" id="Text Box 2" o:spid="_x0000_s1029" type="#_x0000_t202" style="position:absolute;left:0;text-align:left;margin-left:177.55pt;margin-top:6.05pt;width:94.65pt;height:56.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" fillcolor="white [3201]" stroked="f" strokeweight=".5pt">
                <v:textbox>
                  <w:txbxContent>
                    <w:p w14:paraId="237C44D0" w14:textId="022F9457" w:rsidR="009D16A0" w:rsidRPr="00B82295" w:rsidRDefault="009D16A0" w:rsidP="00D764A4">
                      <w:pPr>
                        <w:jc w:val="center"/>
                      </w:pPr>
                      <w:r w:rsidRPr="00B82295">
                        <w:rPr>
                          <w:rFonts w:ascii="Arial Narrow" w:hAnsi="Arial Narrow" w:cs="Tahoma"/>
                          <w:noProof/>
                          <w:sz w:val="24"/>
                          <w:szCs w:val="24"/>
                          <w:lang w:eastAsia="fr-FR"/>
                        </w:rPr>
                        <w:drawing>
                          <wp:inline distT="0" distB="0" distL="0" distR="0" wp14:anchorId="765A75D7" wp14:editId="0767A7B5">
                            <wp:extent cx="879475" cy="583565"/>
                            <wp:effectExtent l="0" t="0" r="0" b="6985"/>
                            <wp:docPr id="520319017" name="Image 1"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A logo with a black backgroun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9475" cy="583565"/>
                                    </a:xfrm>
                                    <a:prstGeom prst="rect">
                                      <a:avLst/>
                                    </a:prstGeom>
                                    <a:noFill/>
                                    <a:ln>
                                      <a:noFill/>
                                    </a:ln>
                                  </pic:spPr>
                                </pic:pic>
                              </a:graphicData>
                            </a:graphic>
                          </wp:inline>
                        </w:drawing>
                      </w:r>
                    </w:p>
                  </w:txbxContent>
                </v:textbox>
                <w10:wrap anchorx="margin"/>
              </v:shape>
            </w:pict>
          </mc:Fallback>
        </mc:AlternateContent>
      </w:r>
      <w:r w:rsidRPr="007E7C5B">
        <w:rPr>
          <w:rFonts w:ascii="Arial Narrow" w:hAnsi="Arial Narrow" w:cs="Arial"/>
          <w:b/>
          <w:sz w:val="24"/>
          <w:szCs w:val="24"/>
        </w:rPr>
        <w:tab/>
      </w:r>
    </w:p>
    <w:p w14:paraId="29450351" w14:textId="13511CF2" w:rsidR="00D764A4" w:rsidRPr="007E7C5B" w:rsidRDefault="00D764A4" w:rsidP="00761F55">
      <w:pPr>
        <w:spacing w:after="0"/>
        <w:jc w:val="both"/>
        <w:rPr>
          <w:rFonts w:ascii="Arial Narrow" w:hAnsi="Arial Narrow" w:cs="Arial"/>
          <w:b/>
          <w:sz w:val="24"/>
          <w:szCs w:val="24"/>
        </w:rPr>
      </w:pPr>
    </w:p>
    <w:p w14:paraId="579D020E" w14:textId="1C51BF01" w:rsidR="00D764A4" w:rsidRPr="007E7C5B" w:rsidRDefault="00D764A4" w:rsidP="00761F55">
      <w:pPr>
        <w:spacing w:after="0"/>
        <w:jc w:val="both"/>
        <w:rPr>
          <w:rFonts w:ascii="Arial Narrow" w:hAnsi="Arial Narrow" w:cs="Arial"/>
          <w:b/>
          <w:sz w:val="24"/>
          <w:szCs w:val="24"/>
        </w:rPr>
      </w:pPr>
    </w:p>
    <w:p w14:paraId="3D64C5CD" w14:textId="4B0349E1" w:rsidR="00D764A4" w:rsidRPr="007E7C5B" w:rsidRDefault="00D764A4" w:rsidP="00761F55">
      <w:pPr>
        <w:spacing w:after="0"/>
        <w:jc w:val="both"/>
        <w:rPr>
          <w:rFonts w:ascii="Arial Narrow" w:hAnsi="Arial Narrow" w:cs="Arial"/>
          <w:b/>
          <w:sz w:val="24"/>
          <w:szCs w:val="24"/>
        </w:rPr>
      </w:pPr>
    </w:p>
    <w:p w14:paraId="5E0526D5" w14:textId="58362A2B" w:rsidR="00D764A4" w:rsidRPr="007E7C5B" w:rsidRDefault="00CB659E" w:rsidP="00761F55">
      <w:pPr>
        <w:spacing w:after="0"/>
        <w:jc w:val="both"/>
        <w:rPr>
          <w:rFonts w:ascii="Arial Narrow" w:hAnsi="Arial Narrow" w:cs="Arial"/>
          <w:b/>
          <w:sz w:val="24"/>
          <w:szCs w:val="24"/>
        </w:rPr>
      </w:pPr>
      <w:r w:rsidRPr="007E7C5B">
        <w:rPr>
          <w:rFonts w:ascii="Arial Narrow" w:eastAsia="Times New Roman" w:hAnsi="Arial Narrow" w:cs="Arial"/>
          <w:noProof/>
          <w:color w:val="2B579A"/>
          <w:sz w:val="24"/>
          <w:szCs w:val="24"/>
          <w:shd w:val="clear" w:color="auto" w:fill="E6E6E6"/>
          <w:lang w:eastAsia="fr-FR"/>
        </w:rPr>
        <mc:AlternateContent>
          <mc:Choice Requires="wps">
            <w:drawing>
              <wp:anchor distT="0" distB="0" distL="114300" distR="114300" simplePos="0" relativeHeight="251658244" behindDoc="0" locked="0" layoutInCell="1" allowOverlap="1" wp14:anchorId="4AFE03D3" wp14:editId="3CC07523">
                <wp:simplePos x="0" y="0"/>
                <wp:positionH relativeFrom="margin">
                  <wp:posOffset>1263650</wp:posOffset>
                </wp:positionH>
                <wp:positionV relativeFrom="paragraph">
                  <wp:posOffset>12555</wp:posOffset>
                </wp:positionV>
                <wp:extent cx="3028315" cy="431800"/>
                <wp:effectExtent l="0" t="0" r="0" b="6350"/>
                <wp:wrapNone/>
                <wp:docPr id="1911771197" name="Rectangle 19117711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028315" cy="431800"/>
                        </a:xfrm>
                        <a:prstGeom prst="rect">
                          <a:avLst/>
                        </a:prstGeom>
                        <a:noFill/>
                        <a:ln>
                          <a:noFill/>
                        </a:ln>
                      </wps:spPr>
                      <wps:txbx>
                        <w:txbxContent>
                          <w:p w14:paraId="49941657" w14:textId="77777777" w:rsidR="009D16A0" w:rsidRPr="002A5075" w:rsidRDefault="009D16A0" w:rsidP="008B605C">
                            <w:pPr>
                              <w:jc w:val="center"/>
                              <w:rPr>
                                <w:rFonts w:asciiTheme="majorHAnsi" w:hAnsiTheme="majorHAnsi" w:cstheme="majorHAnsi"/>
                                <w:b/>
                                <w:color w:val="000000"/>
                                <w:sz w:val="20"/>
                                <w:szCs w:val="20"/>
                              </w:rPr>
                            </w:pPr>
                            <w:r w:rsidRPr="002A5075">
                              <w:rPr>
                                <w:rFonts w:asciiTheme="majorHAnsi" w:hAnsiTheme="majorHAnsi" w:cstheme="majorHAnsi"/>
                                <w:b/>
                                <w:color w:val="000000"/>
                                <w:sz w:val="20"/>
                                <w:szCs w:val="20"/>
                              </w:rPr>
                              <w:t>DIRECTION DE LA PROSPECTIVE, DE LA PLANIFICATION ET DES STRATEGIES</w:t>
                            </w:r>
                          </w:p>
                          <w:p w14:paraId="2A6114A0" w14:textId="78AABFFC" w:rsidR="009D16A0" w:rsidRPr="002A5075" w:rsidRDefault="009D16A0" w:rsidP="008B605C">
                            <w:pPr>
                              <w:tabs>
                                <w:tab w:val="left" w:pos="851"/>
                                <w:tab w:val="left" w:pos="1134"/>
                              </w:tabs>
                              <w:jc w:val="center"/>
                              <w:rPr>
                                <w:rFonts w:asciiTheme="majorHAnsi" w:hAnsiTheme="majorHAnsi" w:cstheme="majorHAnsi"/>
                                <w:b/>
                                <w:color w:val="00000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ect w14:anchorId="4AFE03D3" id="Rectangle 1911771197" o:spid="_x0000_s1030" style="position:absolute;left:0;text-align:left;margin-left:99.5pt;margin-top:1pt;width:238.45pt;height:34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" filled="f" stroked="f">
                <o:lock v:ext="edit" aspectratio="t"/>
                <v:textbox>
                  <w:txbxContent>
                    <w:p w14:paraId="49941657" w14:textId="77777777" w:rsidR="009D16A0" w:rsidRPr="002A5075" w:rsidRDefault="009D16A0" w:rsidP="008B605C">
                      <w:pPr>
                        <w:jc w:val="center"/>
                        <w:rPr>
                          <w:rFonts w:asciiTheme="majorHAnsi" w:hAnsiTheme="majorHAnsi" w:cstheme="majorHAnsi"/>
                          <w:b/>
                          <w:color w:val="000000"/>
                          <w:sz w:val="20"/>
                          <w:szCs w:val="20"/>
                        </w:rPr>
                      </w:pPr>
                      <w:r w:rsidRPr="002A5075">
                        <w:rPr>
                          <w:rFonts w:asciiTheme="majorHAnsi" w:hAnsiTheme="majorHAnsi" w:cstheme="majorHAnsi"/>
                          <w:b/>
                          <w:color w:val="000000"/>
                          <w:sz w:val="20"/>
                          <w:szCs w:val="20"/>
                        </w:rPr>
                        <w:t>DIRECTION DE LA PROSPECTIVE, DE LA PLANIFICATION ET DES STRATEGIES</w:t>
                      </w:r>
                    </w:p>
                    <w:p w14:paraId="2A6114A0" w14:textId="78AABFFC" w:rsidR="009D16A0" w:rsidRPr="002A5075" w:rsidRDefault="009D16A0" w:rsidP="008B605C">
                      <w:pPr>
                        <w:tabs>
                          <w:tab w:val="left" w:pos="851"/>
                          <w:tab w:val="left" w:pos="1134"/>
                        </w:tabs>
                        <w:jc w:val="center"/>
                        <w:rPr>
                          <w:rFonts w:asciiTheme="majorHAnsi" w:hAnsiTheme="majorHAnsi" w:cstheme="majorHAnsi"/>
                          <w:b/>
                          <w:color w:val="000000"/>
                          <w:sz w:val="20"/>
                          <w:szCs w:val="20"/>
                        </w:rPr>
                      </w:pPr>
                    </w:p>
                  </w:txbxContent>
                </v:textbox>
                <w10:wrap anchorx="margin"/>
              </v:rect>
            </w:pict>
          </mc:Fallback>
        </mc:AlternateContent>
      </w:r>
    </w:p>
    <w:p w14:paraId="06AF9FA9" w14:textId="77777777" w:rsidR="00D764A4" w:rsidRPr="007E7C5B" w:rsidRDefault="00D764A4" w:rsidP="00761F55">
      <w:pPr>
        <w:spacing w:after="0"/>
        <w:jc w:val="both"/>
        <w:rPr>
          <w:rFonts w:ascii="Arial Narrow" w:hAnsi="Arial Narrow" w:cs="Arial"/>
          <w:b/>
          <w:sz w:val="24"/>
          <w:szCs w:val="24"/>
        </w:rPr>
      </w:pPr>
    </w:p>
    <w:p w14:paraId="1A8CC78D" w14:textId="77777777" w:rsidR="00D764A4" w:rsidRPr="007E7C5B" w:rsidRDefault="00D764A4" w:rsidP="00761F55">
      <w:pPr>
        <w:spacing w:after="0"/>
        <w:jc w:val="both"/>
        <w:rPr>
          <w:rFonts w:ascii="Arial Narrow" w:hAnsi="Arial Narrow" w:cs="Arial"/>
          <w:b/>
          <w:sz w:val="24"/>
          <w:szCs w:val="24"/>
        </w:rPr>
      </w:pPr>
    </w:p>
    <w:p w14:paraId="25D025B2" w14:textId="77777777" w:rsidR="00D764A4" w:rsidRPr="007E7C5B" w:rsidRDefault="00D764A4" w:rsidP="00761F55">
      <w:pPr>
        <w:spacing w:after="0"/>
        <w:jc w:val="both"/>
        <w:rPr>
          <w:rFonts w:ascii="Arial Narrow" w:hAnsi="Arial Narrow" w:cs="Arial"/>
          <w:b/>
          <w:sz w:val="24"/>
          <w:szCs w:val="24"/>
        </w:rPr>
      </w:pPr>
    </w:p>
    <w:p w14:paraId="53DEDDDB" w14:textId="77777777" w:rsidR="00A03E67" w:rsidRPr="007E7C5B" w:rsidRDefault="00A03E67" w:rsidP="00761F55">
      <w:pPr>
        <w:spacing w:after="0"/>
        <w:jc w:val="both"/>
        <w:rPr>
          <w:rFonts w:ascii="Arial Narrow" w:hAnsi="Arial Narrow" w:cs="Arial"/>
          <w:b/>
          <w:sz w:val="24"/>
          <w:szCs w:val="24"/>
        </w:rPr>
      </w:pPr>
    </w:p>
    <w:p w14:paraId="0AF15F6F" w14:textId="77777777" w:rsidR="00A03E67" w:rsidRPr="007E7C5B" w:rsidRDefault="00A03E67" w:rsidP="00761F55">
      <w:pPr>
        <w:spacing w:after="0"/>
        <w:jc w:val="both"/>
        <w:rPr>
          <w:rFonts w:ascii="Arial Narrow" w:hAnsi="Arial Narrow" w:cs="Arial"/>
          <w:b/>
          <w:sz w:val="24"/>
          <w:szCs w:val="24"/>
        </w:rPr>
      </w:pPr>
    </w:p>
    <w:p w14:paraId="7B0C82A9" w14:textId="77777777" w:rsidR="00A03E67" w:rsidRPr="007E7C5B" w:rsidRDefault="00A03E67" w:rsidP="00761F55">
      <w:pPr>
        <w:spacing w:after="0"/>
        <w:jc w:val="both"/>
        <w:rPr>
          <w:rFonts w:ascii="Arial Narrow" w:hAnsi="Arial Narrow" w:cs="Arial"/>
          <w:b/>
          <w:sz w:val="24"/>
          <w:szCs w:val="24"/>
        </w:rPr>
      </w:pPr>
    </w:p>
    <w:p w14:paraId="7BD55EDD" w14:textId="77777777" w:rsidR="00A03E67" w:rsidRPr="007E7C5B" w:rsidRDefault="00A03E67" w:rsidP="00761F55">
      <w:pPr>
        <w:spacing w:after="0"/>
        <w:jc w:val="both"/>
        <w:rPr>
          <w:rFonts w:ascii="Arial Narrow" w:hAnsi="Arial Narrow" w:cs="Arial"/>
          <w:b/>
          <w:sz w:val="24"/>
          <w:szCs w:val="24"/>
        </w:rPr>
      </w:pPr>
    </w:p>
    <w:p w14:paraId="374C950E" w14:textId="77777777" w:rsidR="00A03E67" w:rsidRPr="007E7C5B" w:rsidRDefault="00A03E67" w:rsidP="00761F55">
      <w:pPr>
        <w:spacing w:after="0"/>
        <w:jc w:val="both"/>
        <w:rPr>
          <w:rFonts w:ascii="Arial Narrow" w:hAnsi="Arial Narrow" w:cs="Arial"/>
          <w:b/>
          <w:sz w:val="24"/>
          <w:szCs w:val="24"/>
        </w:rPr>
      </w:pPr>
    </w:p>
    <w:p w14:paraId="3D42DD5B" w14:textId="7947A168" w:rsidR="00D764A4" w:rsidRPr="007E7C5B" w:rsidRDefault="00BA0C31" w:rsidP="00761F55">
      <w:pPr>
        <w:spacing w:after="0"/>
        <w:jc w:val="both"/>
        <w:rPr>
          <w:rFonts w:ascii="Arial Narrow" w:hAnsi="Arial Narrow" w:cs="Arial"/>
          <w:b/>
          <w:sz w:val="24"/>
          <w:szCs w:val="24"/>
        </w:rPr>
      </w:pPr>
      <w:r w:rsidRPr="00BA0C31">
        <w:rPr>
          <w:rFonts w:ascii="Arial Narrow" w:hAnsi="Arial Narrow" w:cs="Arial"/>
          <w:b/>
          <w:noProof/>
          <w:sz w:val="24"/>
          <w:szCs w:val="24"/>
        </w:rPr>
        <mc:AlternateContent>
          <mc:Choice Requires="wps">
            <w:drawing>
              <wp:anchor distT="45720" distB="45720" distL="114300" distR="114300" simplePos="0" relativeHeight="251658253" behindDoc="0" locked="0" layoutInCell="1" allowOverlap="1" wp14:anchorId="4A5EF45A" wp14:editId="1B0293FD">
                <wp:simplePos x="0" y="0"/>
                <wp:positionH relativeFrom="column">
                  <wp:posOffset>114300</wp:posOffset>
                </wp:positionH>
                <wp:positionV relativeFrom="page">
                  <wp:posOffset>5073650</wp:posOffset>
                </wp:positionV>
                <wp:extent cx="5537200" cy="1106805"/>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0" cy="1106805"/>
                        </a:xfrm>
                        <a:prstGeom prst="rect">
                          <a:avLst/>
                        </a:prstGeom>
                        <a:ln>
                          <a:noFill/>
                          <a:headEnd/>
                          <a:tailEnd/>
                        </a:ln>
                      </wps:spPr>
                      <wps:style>
                        <a:lnRef idx="2">
                          <a:schemeClr val="accent6">
                            <a:shade val="15000"/>
                          </a:schemeClr>
                        </a:lnRef>
                        <a:fillRef idx="1">
                          <a:schemeClr val="accent6"/>
                        </a:fillRef>
                        <a:effectRef idx="0">
                          <a:schemeClr val="accent6"/>
                        </a:effectRef>
                        <a:fontRef idx="minor">
                          <a:schemeClr val="lt1"/>
                        </a:fontRef>
                      </wps:style>
                      <wps:txbx>
                        <w:txbxContent>
                          <w:p w14:paraId="44171A22" w14:textId="16344BAE" w:rsidR="00BA0C31" w:rsidRPr="00BA0C31" w:rsidRDefault="00BA0C31" w:rsidP="00BA0C31">
                            <w:pPr>
                              <w:jc w:val="center"/>
                              <w:rPr>
                                <w:b/>
                                <w:bCs/>
                                <w:sz w:val="32"/>
                                <w:szCs w:val="32"/>
                              </w:rPr>
                            </w:pPr>
                            <w:r w:rsidRPr="00BA0C31">
                              <w:rPr>
                                <w:b/>
                                <w:bCs/>
                                <w:sz w:val="32"/>
                                <w:szCs w:val="32"/>
                              </w:rPr>
                              <w:t>PROJET DE RAPPORT</w:t>
                            </w:r>
                          </w:p>
                          <w:p w14:paraId="0FF2F882" w14:textId="60993994" w:rsidR="00BA0C31" w:rsidRPr="00BA0C31" w:rsidRDefault="00BA0C31" w:rsidP="00BA0C31">
                            <w:pPr>
                              <w:jc w:val="center"/>
                              <w:rPr>
                                <w:b/>
                                <w:bCs/>
                                <w:sz w:val="32"/>
                                <w:szCs w:val="32"/>
                              </w:rPr>
                            </w:pPr>
                            <w:r w:rsidRPr="00BA0C31">
                              <w:rPr>
                                <w:b/>
                                <w:bCs/>
                                <w:sz w:val="32"/>
                                <w:szCs w:val="32"/>
                              </w:rPr>
                              <w:t>REVUE DU PLAN NATIONAL DE DEVELOPPEMENT SANITAIRE 2021-2025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w:pict>
              <v:shape w14:anchorId="4A5EF45A" id="_x0000_s1031" type="#_x0000_t202" style="position:absolute;left:0;text-align:left;margin-left:9pt;margin-top:399.5pt;width:436pt;height:87.15pt;z-index:251658253;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" fillcolor="#70ad47 [3209]" stroked="f" strokeweight="1pt">
                <v:textbox style="mso-fit-shape-to-text:t">
                  <w:txbxContent>
                    <w:p w14:paraId="44171A22" w14:textId="16344BAE" w:rsidR="00BA0C31" w:rsidRPr="00BA0C31" w:rsidRDefault="00BA0C31" w:rsidP="00BA0C31">
                      <w:pPr>
                        <w:jc w:val="center"/>
                        <w:rPr>
                          <w:b/>
                          <w:bCs/>
                          <w:sz w:val="32"/>
                          <w:szCs w:val="32"/>
                        </w:rPr>
                      </w:pPr>
                      <w:r w:rsidRPr="00BA0C31">
                        <w:rPr>
                          <w:b/>
                          <w:bCs/>
                          <w:sz w:val="32"/>
                          <w:szCs w:val="32"/>
                        </w:rPr>
                        <w:t>PROJET DE RAPPORT</w:t>
                      </w:r>
                    </w:p>
                    <w:p w14:paraId="0FF2F882" w14:textId="60993994" w:rsidR="00BA0C31" w:rsidRPr="00BA0C31" w:rsidRDefault="00BA0C31" w:rsidP="00BA0C31">
                      <w:pPr>
                        <w:jc w:val="center"/>
                        <w:rPr>
                          <w:b/>
                          <w:bCs/>
                          <w:sz w:val="32"/>
                          <w:szCs w:val="32"/>
                        </w:rPr>
                      </w:pPr>
                      <w:r w:rsidRPr="00BA0C31">
                        <w:rPr>
                          <w:b/>
                          <w:bCs/>
                          <w:sz w:val="32"/>
                          <w:szCs w:val="32"/>
                        </w:rPr>
                        <w:t>REVUE DU PLAN NATIONAL DE DEVELOPPEMENT SANITAIRE 2021-2025</w:t>
                      </w:r>
                    </w:p>
                  </w:txbxContent>
                </v:textbox>
                <w10:wrap type="square" anchory="page"/>
              </v:shape>
            </w:pict>
          </mc:Fallback>
        </mc:AlternateContent>
      </w:r>
    </w:p>
    <w:p w14:paraId="4932AEAB" w14:textId="72FD44DC" w:rsidR="00D764A4" w:rsidRPr="007E7C5B" w:rsidRDefault="00D764A4" w:rsidP="00761F55">
      <w:pPr>
        <w:spacing w:after="0"/>
        <w:jc w:val="both"/>
        <w:rPr>
          <w:rFonts w:ascii="Arial Narrow" w:hAnsi="Arial Narrow" w:cs="Arial"/>
          <w:b/>
          <w:sz w:val="24"/>
          <w:szCs w:val="24"/>
        </w:rPr>
      </w:pPr>
    </w:p>
    <w:p w14:paraId="3A863875" w14:textId="304B1EF0" w:rsidR="00BA0C31" w:rsidRDefault="00BA0C31" w:rsidP="001D7649">
      <w:pPr>
        <w:spacing w:after="0"/>
        <w:jc w:val="center"/>
        <w:rPr>
          <w:rFonts w:ascii="Arial Narrow" w:hAnsi="Arial Narrow" w:cs="Arial"/>
          <w:b/>
          <w:sz w:val="24"/>
          <w:szCs w:val="24"/>
        </w:rPr>
      </w:pPr>
    </w:p>
    <w:p w14:paraId="4908038C" w14:textId="77777777" w:rsidR="00BA0C31" w:rsidRDefault="00BA0C31" w:rsidP="001D7649">
      <w:pPr>
        <w:spacing w:after="0"/>
        <w:jc w:val="center"/>
        <w:rPr>
          <w:rFonts w:ascii="Arial Narrow" w:hAnsi="Arial Narrow" w:cs="Arial"/>
          <w:b/>
          <w:sz w:val="24"/>
          <w:szCs w:val="24"/>
        </w:rPr>
      </w:pPr>
    </w:p>
    <w:p w14:paraId="7B931660" w14:textId="77777777" w:rsidR="00BA0C31" w:rsidRDefault="00BA0C31" w:rsidP="001D7649">
      <w:pPr>
        <w:spacing w:after="0"/>
        <w:jc w:val="center"/>
        <w:rPr>
          <w:rFonts w:ascii="Arial Narrow" w:hAnsi="Arial Narrow" w:cs="Arial"/>
          <w:b/>
          <w:sz w:val="24"/>
          <w:szCs w:val="24"/>
        </w:rPr>
      </w:pPr>
    </w:p>
    <w:p w14:paraId="0BFEF2FC" w14:textId="77777777" w:rsidR="00BA0C31" w:rsidRDefault="00BA0C31" w:rsidP="001D7649">
      <w:pPr>
        <w:spacing w:after="0"/>
        <w:jc w:val="center"/>
        <w:rPr>
          <w:rFonts w:ascii="Arial Narrow" w:hAnsi="Arial Narrow" w:cs="Arial"/>
          <w:b/>
          <w:sz w:val="24"/>
          <w:szCs w:val="24"/>
        </w:rPr>
      </w:pPr>
    </w:p>
    <w:p w14:paraId="09629D16" w14:textId="776EC25F" w:rsidR="00D764A4" w:rsidRPr="007E7C5B" w:rsidRDefault="00D764A4" w:rsidP="00761F55">
      <w:pPr>
        <w:spacing w:after="0"/>
        <w:jc w:val="both"/>
        <w:rPr>
          <w:rFonts w:ascii="Arial Narrow" w:hAnsi="Arial Narrow" w:cs="Arial"/>
          <w:b/>
          <w:sz w:val="24"/>
          <w:szCs w:val="24"/>
        </w:rPr>
      </w:pPr>
    </w:p>
    <w:p w14:paraId="746B04BE" w14:textId="77777777" w:rsidR="00D764A4" w:rsidRPr="007E7C5B" w:rsidRDefault="00D764A4" w:rsidP="00761F55">
      <w:pPr>
        <w:spacing w:after="0"/>
        <w:jc w:val="both"/>
        <w:rPr>
          <w:rFonts w:ascii="Arial Narrow" w:hAnsi="Arial Narrow" w:cs="Arial"/>
          <w:sz w:val="24"/>
          <w:szCs w:val="24"/>
        </w:rPr>
      </w:pPr>
    </w:p>
    <w:p w14:paraId="48A1EA9A" w14:textId="77777777" w:rsidR="00D764A4" w:rsidRPr="007E7C5B" w:rsidRDefault="00D764A4" w:rsidP="00761F55">
      <w:pPr>
        <w:spacing w:after="0"/>
        <w:jc w:val="both"/>
        <w:rPr>
          <w:rFonts w:ascii="Arial Narrow" w:hAnsi="Arial Narrow" w:cs="Arial"/>
          <w:sz w:val="24"/>
          <w:szCs w:val="24"/>
        </w:rPr>
      </w:pPr>
    </w:p>
    <w:p w14:paraId="06B20046" w14:textId="77777777" w:rsidR="00D764A4" w:rsidRPr="007E7C5B" w:rsidRDefault="00D764A4" w:rsidP="00761F55">
      <w:pPr>
        <w:spacing w:after="0"/>
        <w:jc w:val="both"/>
        <w:rPr>
          <w:rFonts w:ascii="Arial Narrow" w:hAnsi="Arial Narrow" w:cs="Arial"/>
          <w:sz w:val="24"/>
          <w:szCs w:val="24"/>
        </w:rPr>
      </w:pPr>
    </w:p>
    <w:p w14:paraId="75C1273D" w14:textId="77777777" w:rsidR="00D764A4" w:rsidRPr="007E7C5B" w:rsidRDefault="00D764A4" w:rsidP="00761F55">
      <w:pPr>
        <w:spacing w:after="0"/>
        <w:jc w:val="both"/>
        <w:rPr>
          <w:rFonts w:ascii="Arial Narrow" w:hAnsi="Arial Narrow" w:cs="Arial"/>
          <w:sz w:val="24"/>
          <w:szCs w:val="24"/>
        </w:rPr>
      </w:pPr>
    </w:p>
    <w:p w14:paraId="6E95350E" w14:textId="6EB788E6" w:rsidR="00D764A4" w:rsidRPr="007E7C5B" w:rsidRDefault="006749DB" w:rsidP="001D7649">
      <w:pPr>
        <w:jc w:val="center"/>
        <w:rPr>
          <w:rFonts w:ascii="Arial Narrow" w:hAnsi="Arial Narrow" w:cs="Arial"/>
          <w:b/>
          <w:sz w:val="24"/>
          <w:szCs w:val="24"/>
        </w:rPr>
      </w:pPr>
      <w:r>
        <w:rPr>
          <w:rFonts w:ascii="Arial Narrow" w:hAnsi="Arial Narrow" w:cs="Arial"/>
          <w:b/>
          <w:sz w:val="24"/>
          <w:szCs w:val="24"/>
        </w:rPr>
        <w:t>Novembre</w:t>
      </w:r>
      <w:r w:rsidR="002D0B7A" w:rsidRPr="007E7C5B">
        <w:rPr>
          <w:rFonts w:ascii="Arial Narrow" w:hAnsi="Arial Narrow" w:cs="Arial"/>
          <w:b/>
          <w:sz w:val="24"/>
          <w:szCs w:val="24"/>
        </w:rPr>
        <w:t xml:space="preserve"> </w:t>
      </w:r>
      <w:r w:rsidR="00D764A4" w:rsidRPr="007E7C5B">
        <w:rPr>
          <w:rFonts w:ascii="Arial Narrow" w:hAnsi="Arial Narrow" w:cs="Arial"/>
          <w:b/>
          <w:sz w:val="24"/>
          <w:szCs w:val="24"/>
        </w:rPr>
        <w:t>2024</w:t>
      </w:r>
    </w:p>
    <w:p w14:paraId="287DADD8" w14:textId="77777777" w:rsidR="00FD790F" w:rsidRPr="007E7C5B" w:rsidRDefault="00FD790F" w:rsidP="00761F55">
      <w:pPr>
        <w:jc w:val="both"/>
        <w:rPr>
          <w:rFonts w:ascii="Arial Narrow" w:hAnsi="Arial Narrow" w:cs="Arial"/>
          <w:b/>
          <w:sz w:val="24"/>
          <w:szCs w:val="24"/>
        </w:rPr>
      </w:pPr>
    </w:p>
    <w:p w14:paraId="2A9B12E5" w14:textId="77777777" w:rsidR="00D226A4" w:rsidRPr="007E7C5B" w:rsidRDefault="00D226A4" w:rsidP="00761F55">
      <w:pPr>
        <w:jc w:val="both"/>
        <w:rPr>
          <w:rFonts w:ascii="Arial Narrow" w:hAnsi="Arial Narrow" w:cs="Arial"/>
          <w:b/>
          <w:sz w:val="24"/>
          <w:szCs w:val="24"/>
        </w:rPr>
      </w:pPr>
    </w:p>
    <w:p w14:paraId="549BBF42" w14:textId="77777777" w:rsidR="00D226A4" w:rsidRPr="007E7C5B" w:rsidRDefault="00D226A4" w:rsidP="00761F55">
      <w:pPr>
        <w:jc w:val="both"/>
        <w:rPr>
          <w:rFonts w:ascii="Arial Narrow" w:hAnsi="Arial Narrow" w:cs="Arial"/>
          <w:b/>
          <w:sz w:val="24"/>
          <w:szCs w:val="24"/>
        </w:rPr>
      </w:pPr>
    </w:p>
    <w:p w14:paraId="1E2AE846" w14:textId="628E16B5" w:rsidR="00D226A4" w:rsidRPr="007E7C5B" w:rsidRDefault="00D226A4" w:rsidP="00D226A4">
      <w:pPr>
        <w:jc w:val="center"/>
        <w:rPr>
          <w:rFonts w:ascii="Arial Narrow" w:hAnsi="Arial Narrow" w:cs="Arial"/>
          <w:b/>
          <w:sz w:val="24"/>
          <w:szCs w:val="24"/>
        </w:rPr>
        <w:sectPr w:rsidR="00D226A4" w:rsidRPr="007E7C5B" w:rsidSect="00192456">
          <w:headerReference w:type="even" r:id="rId17"/>
          <w:headerReference w:type="default" r:id="rId18"/>
          <w:footerReference w:type="default" r:id="rId19"/>
          <w:headerReference w:type="first" r:id="rId20"/>
          <w:pgSz w:w="11906" w:h="16838"/>
          <w:pgMar w:top="1440" w:right="1440" w:bottom="1440" w:left="1440" w:header="708" w:footer="708" w:gutter="0"/>
          <w:cols w:space="708"/>
          <w:titlePg/>
          <w:docGrid w:linePitch="360"/>
        </w:sectPr>
      </w:pPr>
    </w:p>
    <w:p w14:paraId="7CC9B1B6" w14:textId="3CED2AFD" w:rsidR="00973AD3" w:rsidRPr="007E7C5B" w:rsidRDefault="00984B04" w:rsidP="00761F55">
      <w:pPr>
        <w:jc w:val="both"/>
        <w:rPr>
          <w:rFonts w:ascii="Arial Narrow" w:hAnsi="Arial Narrow" w:cs="Arial"/>
          <w:b/>
          <w:sz w:val="24"/>
          <w:szCs w:val="24"/>
        </w:rPr>
      </w:pPr>
      <w:r w:rsidRPr="007E7C5B">
        <w:rPr>
          <w:rFonts w:ascii="Arial Narrow" w:hAnsi="Arial Narrow" w:cs="Arial"/>
          <w:b/>
          <w:sz w:val="24"/>
          <w:szCs w:val="24"/>
        </w:rPr>
        <w:lastRenderedPageBreak/>
        <w:t>SOMMAIRE</w:t>
      </w:r>
    </w:p>
    <w:sdt>
      <w:sdtPr>
        <w:rPr>
          <w:rFonts w:ascii="Arial Narrow" w:eastAsiaTheme="minorEastAsia" w:hAnsi="Arial Narrow" w:cs="Arial"/>
          <w:color w:val="auto"/>
          <w:kern w:val="2"/>
          <w:sz w:val="24"/>
          <w:szCs w:val="24"/>
          <w:lang w:val="fr-FR"/>
          <w14:ligatures w14:val="standardContextual"/>
        </w:rPr>
        <w:id w:val="-1109969436"/>
        <w:docPartObj>
          <w:docPartGallery w:val="Table of Contents"/>
          <w:docPartUnique/>
        </w:docPartObj>
      </w:sdtPr>
      <w:sdtEndPr>
        <w:rPr>
          <w:b/>
          <w:bCs/>
        </w:rPr>
      </w:sdtEndPr>
      <w:sdtContent>
        <w:p w14:paraId="4EBFB7AA" w14:textId="7196FCFB" w:rsidR="00625237" w:rsidRPr="007E7C5B" w:rsidRDefault="00625237" w:rsidP="00761F55">
          <w:pPr>
            <w:pStyle w:val="En-ttedetabledesmatires"/>
            <w:jc w:val="both"/>
            <w:rPr>
              <w:rFonts w:ascii="Arial Narrow" w:eastAsiaTheme="minorHAnsi" w:hAnsi="Arial Narrow" w:cs="Arial"/>
              <w:b/>
              <w:color w:val="auto"/>
              <w:kern w:val="2"/>
              <w:sz w:val="24"/>
              <w:szCs w:val="24"/>
              <w:lang w:val="fr-FR"/>
              <w14:ligatures w14:val="standardContextual"/>
            </w:rPr>
          </w:pPr>
        </w:p>
        <w:p w14:paraId="3A3AB43B" w14:textId="78AB0BAA" w:rsidR="00014DE9" w:rsidRDefault="00625237">
          <w:pPr>
            <w:pStyle w:val="TM1"/>
            <w:tabs>
              <w:tab w:val="right" w:leader="dot" w:pos="9016"/>
            </w:tabs>
            <w:rPr>
              <w:rFonts w:eastAsiaTheme="minorEastAsia"/>
              <w:noProof/>
              <w:sz w:val="24"/>
              <w:szCs w:val="24"/>
              <w:lang w:val="fr-CI" w:eastAsia="fr-CI"/>
            </w:rPr>
          </w:pPr>
          <w:r w:rsidRPr="007E7C5B">
            <w:rPr>
              <w:rFonts w:ascii="Arial Narrow" w:hAnsi="Arial Narrow" w:cs="Arial"/>
              <w:sz w:val="24"/>
              <w:szCs w:val="24"/>
            </w:rPr>
            <w:fldChar w:fldCharType="begin"/>
          </w:r>
          <w:r w:rsidRPr="007E7C5B">
            <w:rPr>
              <w:rFonts w:ascii="Arial Narrow" w:hAnsi="Arial Narrow" w:cs="Arial"/>
              <w:sz w:val="24"/>
              <w:szCs w:val="24"/>
            </w:rPr>
            <w:instrText xml:space="preserve"> TOC \o "1-3" \h \z \u </w:instrText>
          </w:r>
          <w:r w:rsidRPr="007E7C5B">
            <w:rPr>
              <w:rFonts w:ascii="Arial Narrow" w:hAnsi="Arial Narrow" w:cs="Arial"/>
              <w:sz w:val="24"/>
              <w:szCs w:val="24"/>
            </w:rPr>
            <w:fldChar w:fldCharType="separate"/>
          </w:r>
          <w:hyperlink w:anchor="_Toc190677456" w:history="1">
            <w:r w:rsidR="00014DE9" w:rsidRPr="00802B9E">
              <w:rPr>
                <w:rStyle w:val="Lienhypertexte"/>
                <w:rFonts w:ascii="Arial Narrow" w:hAnsi="Arial Narrow" w:cs="Arial"/>
                <w:b/>
                <w:noProof/>
              </w:rPr>
              <w:t>Note importante</w:t>
            </w:r>
            <w:r w:rsidR="00014DE9">
              <w:rPr>
                <w:noProof/>
                <w:webHidden/>
              </w:rPr>
              <w:tab/>
            </w:r>
            <w:r w:rsidR="00014DE9">
              <w:rPr>
                <w:noProof/>
                <w:webHidden/>
              </w:rPr>
              <w:fldChar w:fldCharType="begin"/>
            </w:r>
            <w:r w:rsidR="00014DE9">
              <w:rPr>
                <w:noProof/>
                <w:webHidden/>
              </w:rPr>
              <w:instrText xml:space="preserve"> PAGEREF _Toc190677456 \h </w:instrText>
            </w:r>
            <w:r w:rsidR="00014DE9">
              <w:rPr>
                <w:noProof/>
                <w:webHidden/>
              </w:rPr>
            </w:r>
            <w:r w:rsidR="00014DE9">
              <w:rPr>
                <w:noProof/>
                <w:webHidden/>
              </w:rPr>
              <w:fldChar w:fldCharType="separate"/>
            </w:r>
            <w:r w:rsidR="00014DE9">
              <w:rPr>
                <w:noProof/>
                <w:webHidden/>
              </w:rPr>
              <w:t>iii</w:t>
            </w:r>
            <w:r w:rsidR="00014DE9">
              <w:rPr>
                <w:noProof/>
                <w:webHidden/>
              </w:rPr>
              <w:fldChar w:fldCharType="end"/>
            </w:r>
          </w:hyperlink>
        </w:p>
        <w:p w14:paraId="79211A97" w14:textId="296838B1" w:rsidR="00014DE9" w:rsidRDefault="003238C4">
          <w:pPr>
            <w:pStyle w:val="TM1"/>
            <w:tabs>
              <w:tab w:val="right" w:leader="dot" w:pos="9016"/>
            </w:tabs>
            <w:rPr>
              <w:rFonts w:eastAsiaTheme="minorEastAsia"/>
              <w:noProof/>
              <w:sz w:val="24"/>
              <w:szCs w:val="24"/>
              <w:lang w:val="fr-CI" w:eastAsia="fr-CI"/>
            </w:rPr>
          </w:pPr>
          <w:hyperlink w:anchor="_Toc190677457" w:history="1">
            <w:r w:rsidR="00014DE9" w:rsidRPr="00802B9E">
              <w:rPr>
                <w:rStyle w:val="Lienhypertexte"/>
                <w:rFonts w:ascii="Arial Narrow" w:hAnsi="Arial Narrow" w:cs="Arial"/>
                <w:b/>
                <w:noProof/>
              </w:rPr>
              <w:t>Liste des tableaux</w:t>
            </w:r>
            <w:r w:rsidR="00014DE9">
              <w:rPr>
                <w:noProof/>
                <w:webHidden/>
              </w:rPr>
              <w:tab/>
            </w:r>
            <w:r w:rsidR="00014DE9">
              <w:rPr>
                <w:noProof/>
                <w:webHidden/>
              </w:rPr>
              <w:fldChar w:fldCharType="begin"/>
            </w:r>
            <w:r w:rsidR="00014DE9">
              <w:rPr>
                <w:noProof/>
                <w:webHidden/>
              </w:rPr>
              <w:instrText xml:space="preserve"> PAGEREF _Toc190677457 \h </w:instrText>
            </w:r>
            <w:r w:rsidR="00014DE9">
              <w:rPr>
                <w:noProof/>
                <w:webHidden/>
              </w:rPr>
            </w:r>
            <w:r w:rsidR="00014DE9">
              <w:rPr>
                <w:noProof/>
                <w:webHidden/>
              </w:rPr>
              <w:fldChar w:fldCharType="separate"/>
            </w:r>
            <w:r w:rsidR="00014DE9">
              <w:rPr>
                <w:noProof/>
                <w:webHidden/>
              </w:rPr>
              <w:t>iv</w:t>
            </w:r>
            <w:r w:rsidR="00014DE9">
              <w:rPr>
                <w:noProof/>
                <w:webHidden/>
              </w:rPr>
              <w:fldChar w:fldCharType="end"/>
            </w:r>
          </w:hyperlink>
        </w:p>
        <w:p w14:paraId="060606EC" w14:textId="1BCCF8B9" w:rsidR="00014DE9" w:rsidRDefault="003238C4">
          <w:pPr>
            <w:pStyle w:val="TM1"/>
            <w:tabs>
              <w:tab w:val="right" w:leader="dot" w:pos="9016"/>
            </w:tabs>
            <w:rPr>
              <w:rFonts w:eastAsiaTheme="minorEastAsia"/>
              <w:noProof/>
              <w:sz w:val="24"/>
              <w:szCs w:val="24"/>
              <w:lang w:val="fr-CI" w:eastAsia="fr-CI"/>
            </w:rPr>
          </w:pPr>
          <w:hyperlink w:anchor="_Toc190677458" w:history="1">
            <w:r w:rsidR="00014DE9" w:rsidRPr="00802B9E">
              <w:rPr>
                <w:rStyle w:val="Lienhypertexte"/>
                <w:rFonts w:ascii="Arial Narrow" w:hAnsi="Arial Narrow" w:cs="Arial"/>
                <w:b/>
                <w:noProof/>
              </w:rPr>
              <w:t>Liste des graphiques</w:t>
            </w:r>
            <w:r w:rsidR="00014DE9">
              <w:rPr>
                <w:noProof/>
                <w:webHidden/>
              </w:rPr>
              <w:tab/>
            </w:r>
            <w:r w:rsidR="00014DE9">
              <w:rPr>
                <w:noProof/>
                <w:webHidden/>
              </w:rPr>
              <w:fldChar w:fldCharType="begin"/>
            </w:r>
            <w:r w:rsidR="00014DE9">
              <w:rPr>
                <w:noProof/>
                <w:webHidden/>
              </w:rPr>
              <w:instrText xml:space="preserve"> PAGEREF _Toc190677458 \h </w:instrText>
            </w:r>
            <w:r w:rsidR="00014DE9">
              <w:rPr>
                <w:noProof/>
                <w:webHidden/>
              </w:rPr>
            </w:r>
            <w:r w:rsidR="00014DE9">
              <w:rPr>
                <w:noProof/>
                <w:webHidden/>
              </w:rPr>
              <w:fldChar w:fldCharType="separate"/>
            </w:r>
            <w:r w:rsidR="00014DE9">
              <w:rPr>
                <w:noProof/>
                <w:webHidden/>
              </w:rPr>
              <w:t>v</w:t>
            </w:r>
            <w:r w:rsidR="00014DE9">
              <w:rPr>
                <w:noProof/>
                <w:webHidden/>
              </w:rPr>
              <w:fldChar w:fldCharType="end"/>
            </w:r>
          </w:hyperlink>
        </w:p>
        <w:p w14:paraId="30444D26" w14:textId="57F54233" w:rsidR="00014DE9" w:rsidRDefault="003238C4">
          <w:pPr>
            <w:pStyle w:val="TM1"/>
            <w:tabs>
              <w:tab w:val="right" w:leader="dot" w:pos="9016"/>
            </w:tabs>
            <w:rPr>
              <w:rFonts w:eastAsiaTheme="minorEastAsia"/>
              <w:noProof/>
              <w:sz w:val="24"/>
              <w:szCs w:val="24"/>
              <w:lang w:val="fr-CI" w:eastAsia="fr-CI"/>
            </w:rPr>
          </w:pPr>
          <w:hyperlink w:anchor="_Toc190677459" w:history="1">
            <w:r w:rsidR="00014DE9" w:rsidRPr="00802B9E">
              <w:rPr>
                <w:rStyle w:val="Lienhypertexte"/>
                <w:rFonts w:ascii="Arial Narrow" w:hAnsi="Arial Narrow" w:cs="Arial"/>
                <w:b/>
                <w:noProof/>
              </w:rPr>
              <w:t>Liste des figures</w:t>
            </w:r>
            <w:r w:rsidR="00014DE9">
              <w:rPr>
                <w:noProof/>
                <w:webHidden/>
              </w:rPr>
              <w:tab/>
            </w:r>
            <w:r w:rsidR="00014DE9">
              <w:rPr>
                <w:noProof/>
                <w:webHidden/>
              </w:rPr>
              <w:fldChar w:fldCharType="begin"/>
            </w:r>
            <w:r w:rsidR="00014DE9">
              <w:rPr>
                <w:noProof/>
                <w:webHidden/>
              </w:rPr>
              <w:instrText xml:space="preserve"> PAGEREF _Toc190677459 \h </w:instrText>
            </w:r>
            <w:r w:rsidR="00014DE9">
              <w:rPr>
                <w:noProof/>
                <w:webHidden/>
              </w:rPr>
            </w:r>
            <w:r w:rsidR="00014DE9">
              <w:rPr>
                <w:noProof/>
                <w:webHidden/>
              </w:rPr>
              <w:fldChar w:fldCharType="separate"/>
            </w:r>
            <w:r w:rsidR="00014DE9">
              <w:rPr>
                <w:noProof/>
                <w:webHidden/>
              </w:rPr>
              <w:t>v</w:t>
            </w:r>
            <w:r w:rsidR="00014DE9">
              <w:rPr>
                <w:noProof/>
                <w:webHidden/>
              </w:rPr>
              <w:fldChar w:fldCharType="end"/>
            </w:r>
          </w:hyperlink>
        </w:p>
        <w:p w14:paraId="4750743C" w14:textId="11370067" w:rsidR="00014DE9" w:rsidRDefault="003238C4">
          <w:pPr>
            <w:pStyle w:val="TM1"/>
            <w:tabs>
              <w:tab w:val="right" w:leader="dot" w:pos="9016"/>
            </w:tabs>
            <w:rPr>
              <w:rFonts w:eastAsiaTheme="minorEastAsia"/>
              <w:noProof/>
              <w:sz w:val="24"/>
              <w:szCs w:val="24"/>
              <w:lang w:val="fr-CI" w:eastAsia="fr-CI"/>
            </w:rPr>
          </w:pPr>
          <w:hyperlink w:anchor="_Toc190677460" w:history="1">
            <w:r w:rsidR="00014DE9" w:rsidRPr="00802B9E">
              <w:rPr>
                <w:rStyle w:val="Lienhypertexte"/>
                <w:rFonts w:ascii="Arial Narrow" w:hAnsi="Arial Narrow" w:cs="Arial"/>
                <w:b/>
                <w:noProof/>
              </w:rPr>
              <w:t>Sigles et abréviations</w:t>
            </w:r>
            <w:r w:rsidR="00014DE9">
              <w:rPr>
                <w:noProof/>
                <w:webHidden/>
              </w:rPr>
              <w:tab/>
            </w:r>
            <w:r w:rsidR="00014DE9">
              <w:rPr>
                <w:noProof/>
                <w:webHidden/>
              </w:rPr>
              <w:fldChar w:fldCharType="begin"/>
            </w:r>
            <w:r w:rsidR="00014DE9">
              <w:rPr>
                <w:noProof/>
                <w:webHidden/>
              </w:rPr>
              <w:instrText xml:space="preserve"> PAGEREF _Toc190677460 \h </w:instrText>
            </w:r>
            <w:r w:rsidR="00014DE9">
              <w:rPr>
                <w:noProof/>
                <w:webHidden/>
              </w:rPr>
            </w:r>
            <w:r w:rsidR="00014DE9">
              <w:rPr>
                <w:noProof/>
                <w:webHidden/>
              </w:rPr>
              <w:fldChar w:fldCharType="separate"/>
            </w:r>
            <w:r w:rsidR="00014DE9">
              <w:rPr>
                <w:noProof/>
                <w:webHidden/>
              </w:rPr>
              <w:t>vii</w:t>
            </w:r>
            <w:r w:rsidR="00014DE9">
              <w:rPr>
                <w:noProof/>
                <w:webHidden/>
              </w:rPr>
              <w:fldChar w:fldCharType="end"/>
            </w:r>
          </w:hyperlink>
        </w:p>
        <w:p w14:paraId="7487FBEF" w14:textId="730E001B" w:rsidR="00014DE9" w:rsidRDefault="003238C4">
          <w:pPr>
            <w:pStyle w:val="TM1"/>
            <w:tabs>
              <w:tab w:val="right" w:leader="dot" w:pos="9016"/>
            </w:tabs>
            <w:rPr>
              <w:rFonts w:eastAsiaTheme="minorEastAsia"/>
              <w:noProof/>
              <w:sz w:val="24"/>
              <w:szCs w:val="24"/>
              <w:lang w:val="fr-CI" w:eastAsia="fr-CI"/>
            </w:rPr>
          </w:pPr>
          <w:hyperlink w:anchor="_Toc190677461" w:history="1">
            <w:r w:rsidR="00014DE9" w:rsidRPr="00802B9E">
              <w:rPr>
                <w:rStyle w:val="Lienhypertexte"/>
                <w:rFonts w:ascii="Arial Narrow" w:hAnsi="Arial Narrow" w:cs="Arial"/>
                <w:b/>
                <w:noProof/>
              </w:rPr>
              <w:t>Mot de Monsieur le Ministre</w:t>
            </w:r>
            <w:r w:rsidR="00014DE9">
              <w:rPr>
                <w:noProof/>
                <w:webHidden/>
              </w:rPr>
              <w:tab/>
            </w:r>
            <w:r w:rsidR="00014DE9">
              <w:rPr>
                <w:noProof/>
                <w:webHidden/>
              </w:rPr>
              <w:fldChar w:fldCharType="begin"/>
            </w:r>
            <w:r w:rsidR="00014DE9">
              <w:rPr>
                <w:noProof/>
                <w:webHidden/>
              </w:rPr>
              <w:instrText xml:space="preserve"> PAGEREF _Toc190677461 \h </w:instrText>
            </w:r>
            <w:r w:rsidR="00014DE9">
              <w:rPr>
                <w:noProof/>
                <w:webHidden/>
              </w:rPr>
            </w:r>
            <w:r w:rsidR="00014DE9">
              <w:rPr>
                <w:noProof/>
                <w:webHidden/>
              </w:rPr>
              <w:fldChar w:fldCharType="separate"/>
            </w:r>
            <w:r w:rsidR="00014DE9">
              <w:rPr>
                <w:noProof/>
                <w:webHidden/>
              </w:rPr>
              <w:t>9</w:t>
            </w:r>
            <w:r w:rsidR="00014DE9">
              <w:rPr>
                <w:noProof/>
                <w:webHidden/>
              </w:rPr>
              <w:fldChar w:fldCharType="end"/>
            </w:r>
          </w:hyperlink>
        </w:p>
        <w:p w14:paraId="1FD8ED5F" w14:textId="2DB28B3C" w:rsidR="00014DE9" w:rsidRDefault="003238C4">
          <w:pPr>
            <w:pStyle w:val="TM1"/>
            <w:tabs>
              <w:tab w:val="right" w:leader="dot" w:pos="9016"/>
            </w:tabs>
            <w:rPr>
              <w:rFonts w:eastAsiaTheme="minorEastAsia"/>
              <w:noProof/>
              <w:sz w:val="24"/>
              <w:szCs w:val="24"/>
              <w:lang w:val="fr-CI" w:eastAsia="fr-CI"/>
            </w:rPr>
          </w:pPr>
          <w:hyperlink w:anchor="_Toc190677462" w:history="1">
            <w:r w:rsidR="00014DE9" w:rsidRPr="00802B9E">
              <w:rPr>
                <w:rStyle w:val="Lienhypertexte"/>
                <w:rFonts w:ascii="Arial Narrow" w:hAnsi="Arial Narrow" w:cs="Arial"/>
                <w:b/>
                <w:noProof/>
              </w:rPr>
              <w:t>Résumé exécutif</w:t>
            </w:r>
            <w:r w:rsidR="00014DE9">
              <w:rPr>
                <w:noProof/>
                <w:webHidden/>
              </w:rPr>
              <w:tab/>
            </w:r>
            <w:r w:rsidR="00014DE9">
              <w:rPr>
                <w:noProof/>
                <w:webHidden/>
              </w:rPr>
              <w:fldChar w:fldCharType="begin"/>
            </w:r>
            <w:r w:rsidR="00014DE9">
              <w:rPr>
                <w:noProof/>
                <w:webHidden/>
              </w:rPr>
              <w:instrText xml:space="preserve"> PAGEREF _Toc190677462 \h </w:instrText>
            </w:r>
            <w:r w:rsidR="00014DE9">
              <w:rPr>
                <w:noProof/>
                <w:webHidden/>
              </w:rPr>
            </w:r>
            <w:r w:rsidR="00014DE9">
              <w:rPr>
                <w:noProof/>
                <w:webHidden/>
              </w:rPr>
              <w:fldChar w:fldCharType="separate"/>
            </w:r>
            <w:r w:rsidR="00014DE9">
              <w:rPr>
                <w:noProof/>
                <w:webHidden/>
              </w:rPr>
              <w:t>10</w:t>
            </w:r>
            <w:r w:rsidR="00014DE9">
              <w:rPr>
                <w:noProof/>
                <w:webHidden/>
              </w:rPr>
              <w:fldChar w:fldCharType="end"/>
            </w:r>
          </w:hyperlink>
        </w:p>
        <w:p w14:paraId="60171E91" w14:textId="65FAA9F2" w:rsidR="00014DE9" w:rsidRDefault="003238C4">
          <w:pPr>
            <w:pStyle w:val="TM1"/>
            <w:tabs>
              <w:tab w:val="right" w:leader="dot" w:pos="9016"/>
            </w:tabs>
            <w:rPr>
              <w:rFonts w:eastAsiaTheme="minorEastAsia"/>
              <w:noProof/>
              <w:sz w:val="24"/>
              <w:szCs w:val="24"/>
              <w:lang w:val="fr-CI" w:eastAsia="fr-CI"/>
            </w:rPr>
          </w:pPr>
          <w:hyperlink w:anchor="_Toc190677463" w:history="1">
            <w:r w:rsidR="00014DE9" w:rsidRPr="00802B9E">
              <w:rPr>
                <w:rStyle w:val="Lienhypertexte"/>
                <w:rFonts w:ascii="Arial Narrow" w:hAnsi="Arial Narrow" w:cs="Arial"/>
                <w:b/>
                <w:noProof/>
              </w:rPr>
              <w:t>Introduction</w:t>
            </w:r>
            <w:r w:rsidR="00014DE9">
              <w:rPr>
                <w:noProof/>
                <w:webHidden/>
              </w:rPr>
              <w:tab/>
            </w:r>
            <w:r w:rsidR="00014DE9">
              <w:rPr>
                <w:noProof/>
                <w:webHidden/>
              </w:rPr>
              <w:fldChar w:fldCharType="begin"/>
            </w:r>
            <w:r w:rsidR="00014DE9">
              <w:rPr>
                <w:noProof/>
                <w:webHidden/>
              </w:rPr>
              <w:instrText xml:space="preserve"> PAGEREF _Toc190677463 \h </w:instrText>
            </w:r>
            <w:r w:rsidR="00014DE9">
              <w:rPr>
                <w:noProof/>
                <w:webHidden/>
              </w:rPr>
            </w:r>
            <w:r w:rsidR="00014DE9">
              <w:rPr>
                <w:noProof/>
                <w:webHidden/>
              </w:rPr>
              <w:fldChar w:fldCharType="separate"/>
            </w:r>
            <w:r w:rsidR="00014DE9">
              <w:rPr>
                <w:noProof/>
                <w:webHidden/>
              </w:rPr>
              <w:t>15</w:t>
            </w:r>
            <w:r w:rsidR="00014DE9">
              <w:rPr>
                <w:noProof/>
                <w:webHidden/>
              </w:rPr>
              <w:fldChar w:fldCharType="end"/>
            </w:r>
          </w:hyperlink>
        </w:p>
        <w:p w14:paraId="71FC7E55" w14:textId="4B4F3EED" w:rsidR="00014DE9" w:rsidRDefault="003238C4">
          <w:pPr>
            <w:pStyle w:val="TM1"/>
            <w:tabs>
              <w:tab w:val="right" w:leader="dot" w:pos="9016"/>
            </w:tabs>
            <w:rPr>
              <w:rFonts w:eastAsiaTheme="minorEastAsia"/>
              <w:noProof/>
              <w:sz w:val="24"/>
              <w:szCs w:val="24"/>
              <w:lang w:val="fr-CI" w:eastAsia="fr-CI"/>
            </w:rPr>
          </w:pPr>
          <w:hyperlink w:anchor="_Toc190677464" w:history="1">
            <w:r w:rsidR="00014DE9" w:rsidRPr="00802B9E">
              <w:rPr>
                <w:rStyle w:val="Lienhypertexte"/>
                <w:rFonts w:ascii="Arial Narrow" w:hAnsi="Arial Narrow" w:cs="Arial"/>
                <w:b/>
                <w:noProof/>
              </w:rPr>
              <w:t>Section I : cadre de la revue et limites</w:t>
            </w:r>
            <w:r w:rsidR="00014DE9">
              <w:rPr>
                <w:noProof/>
                <w:webHidden/>
              </w:rPr>
              <w:tab/>
            </w:r>
            <w:r w:rsidR="00014DE9">
              <w:rPr>
                <w:noProof/>
                <w:webHidden/>
              </w:rPr>
              <w:fldChar w:fldCharType="begin"/>
            </w:r>
            <w:r w:rsidR="00014DE9">
              <w:rPr>
                <w:noProof/>
                <w:webHidden/>
              </w:rPr>
              <w:instrText xml:space="preserve"> PAGEREF _Toc190677464 \h </w:instrText>
            </w:r>
            <w:r w:rsidR="00014DE9">
              <w:rPr>
                <w:noProof/>
                <w:webHidden/>
              </w:rPr>
            </w:r>
            <w:r w:rsidR="00014DE9">
              <w:rPr>
                <w:noProof/>
                <w:webHidden/>
              </w:rPr>
              <w:fldChar w:fldCharType="separate"/>
            </w:r>
            <w:r w:rsidR="00014DE9">
              <w:rPr>
                <w:noProof/>
                <w:webHidden/>
              </w:rPr>
              <w:t>15</w:t>
            </w:r>
            <w:r w:rsidR="00014DE9">
              <w:rPr>
                <w:noProof/>
                <w:webHidden/>
              </w:rPr>
              <w:fldChar w:fldCharType="end"/>
            </w:r>
          </w:hyperlink>
        </w:p>
        <w:p w14:paraId="7E878507" w14:textId="04D6A913" w:rsidR="00014DE9" w:rsidRDefault="003238C4">
          <w:pPr>
            <w:pStyle w:val="TM2"/>
            <w:tabs>
              <w:tab w:val="right" w:leader="dot" w:pos="9016"/>
            </w:tabs>
            <w:rPr>
              <w:rFonts w:eastAsiaTheme="minorEastAsia"/>
              <w:noProof/>
              <w:sz w:val="24"/>
              <w:szCs w:val="24"/>
              <w:lang w:val="fr-CI" w:eastAsia="fr-CI"/>
            </w:rPr>
          </w:pPr>
          <w:hyperlink w:anchor="_Toc190677465" w:history="1">
            <w:r w:rsidR="00014DE9" w:rsidRPr="00802B9E">
              <w:rPr>
                <w:rStyle w:val="Lienhypertexte"/>
                <w:rFonts w:ascii="Arial Narrow" w:eastAsia="Calibri" w:hAnsi="Arial Narrow" w:cs="Arial"/>
                <w:noProof/>
              </w:rPr>
              <w:t>I.1 Approche méthodologique</w:t>
            </w:r>
            <w:r w:rsidR="00014DE9">
              <w:rPr>
                <w:noProof/>
                <w:webHidden/>
              </w:rPr>
              <w:tab/>
            </w:r>
            <w:r w:rsidR="00014DE9">
              <w:rPr>
                <w:noProof/>
                <w:webHidden/>
              </w:rPr>
              <w:fldChar w:fldCharType="begin"/>
            </w:r>
            <w:r w:rsidR="00014DE9">
              <w:rPr>
                <w:noProof/>
                <w:webHidden/>
              </w:rPr>
              <w:instrText xml:space="preserve"> PAGEREF _Toc190677465 \h </w:instrText>
            </w:r>
            <w:r w:rsidR="00014DE9">
              <w:rPr>
                <w:noProof/>
                <w:webHidden/>
              </w:rPr>
            </w:r>
            <w:r w:rsidR="00014DE9">
              <w:rPr>
                <w:noProof/>
                <w:webHidden/>
              </w:rPr>
              <w:fldChar w:fldCharType="separate"/>
            </w:r>
            <w:r w:rsidR="00014DE9">
              <w:rPr>
                <w:noProof/>
                <w:webHidden/>
              </w:rPr>
              <w:t>15</w:t>
            </w:r>
            <w:r w:rsidR="00014DE9">
              <w:rPr>
                <w:noProof/>
                <w:webHidden/>
              </w:rPr>
              <w:fldChar w:fldCharType="end"/>
            </w:r>
          </w:hyperlink>
        </w:p>
        <w:p w14:paraId="30074B04" w14:textId="73EFFD0A" w:rsidR="00014DE9" w:rsidRDefault="003238C4">
          <w:pPr>
            <w:pStyle w:val="TM2"/>
            <w:tabs>
              <w:tab w:val="right" w:leader="dot" w:pos="9016"/>
            </w:tabs>
            <w:rPr>
              <w:rFonts w:eastAsiaTheme="minorEastAsia"/>
              <w:noProof/>
              <w:sz w:val="24"/>
              <w:szCs w:val="24"/>
              <w:lang w:val="fr-CI" w:eastAsia="fr-CI"/>
            </w:rPr>
          </w:pPr>
          <w:hyperlink w:anchor="_Toc190677466" w:history="1">
            <w:r w:rsidR="00014DE9" w:rsidRPr="00802B9E">
              <w:rPr>
                <w:rStyle w:val="Lienhypertexte"/>
                <w:rFonts w:ascii="Arial Narrow" w:eastAsia="Calibri" w:hAnsi="Arial Narrow" w:cs="Arial"/>
                <w:noProof/>
              </w:rPr>
              <w:t>I.2 Limites</w:t>
            </w:r>
            <w:r w:rsidR="00014DE9">
              <w:rPr>
                <w:noProof/>
                <w:webHidden/>
              </w:rPr>
              <w:tab/>
            </w:r>
            <w:r w:rsidR="00014DE9">
              <w:rPr>
                <w:noProof/>
                <w:webHidden/>
              </w:rPr>
              <w:fldChar w:fldCharType="begin"/>
            </w:r>
            <w:r w:rsidR="00014DE9">
              <w:rPr>
                <w:noProof/>
                <w:webHidden/>
              </w:rPr>
              <w:instrText xml:space="preserve"> PAGEREF _Toc190677466 \h </w:instrText>
            </w:r>
            <w:r w:rsidR="00014DE9">
              <w:rPr>
                <w:noProof/>
                <w:webHidden/>
              </w:rPr>
            </w:r>
            <w:r w:rsidR="00014DE9">
              <w:rPr>
                <w:noProof/>
                <w:webHidden/>
              </w:rPr>
              <w:fldChar w:fldCharType="separate"/>
            </w:r>
            <w:r w:rsidR="00014DE9">
              <w:rPr>
                <w:noProof/>
                <w:webHidden/>
              </w:rPr>
              <w:t>18</w:t>
            </w:r>
            <w:r w:rsidR="00014DE9">
              <w:rPr>
                <w:noProof/>
                <w:webHidden/>
              </w:rPr>
              <w:fldChar w:fldCharType="end"/>
            </w:r>
          </w:hyperlink>
        </w:p>
        <w:p w14:paraId="22D59A78" w14:textId="4EF5B3CC" w:rsidR="00014DE9" w:rsidRDefault="003238C4">
          <w:pPr>
            <w:pStyle w:val="TM1"/>
            <w:tabs>
              <w:tab w:val="right" w:leader="dot" w:pos="9016"/>
            </w:tabs>
            <w:rPr>
              <w:rFonts w:eastAsiaTheme="minorEastAsia"/>
              <w:noProof/>
              <w:sz w:val="24"/>
              <w:szCs w:val="24"/>
              <w:lang w:val="fr-CI" w:eastAsia="fr-CI"/>
            </w:rPr>
          </w:pPr>
          <w:hyperlink w:anchor="_Toc190677467" w:history="1">
            <w:r w:rsidR="00014DE9" w:rsidRPr="00802B9E">
              <w:rPr>
                <w:rStyle w:val="Lienhypertexte"/>
                <w:rFonts w:ascii="Arial Narrow" w:hAnsi="Arial Narrow" w:cs="Arial"/>
                <w:b/>
                <w:noProof/>
              </w:rPr>
              <w:t>Section II : Contexte global de mise en œuvre du PNDS 2021-2025</w:t>
            </w:r>
            <w:r w:rsidR="00014DE9">
              <w:rPr>
                <w:noProof/>
                <w:webHidden/>
              </w:rPr>
              <w:tab/>
            </w:r>
            <w:r w:rsidR="00014DE9">
              <w:rPr>
                <w:noProof/>
                <w:webHidden/>
              </w:rPr>
              <w:fldChar w:fldCharType="begin"/>
            </w:r>
            <w:r w:rsidR="00014DE9">
              <w:rPr>
                <w:noProof/>
                <w:webHidden/>
              </w:rPr>
              <w:instrText xml:space="preserve"> PAGEREF _Toc190677467 \h </w:instrText>
            </w:r>
            <w:r w:rsidR="00014DE9">
              <w:rPr>
                <w:noProof/>
                <w:webHidden/>
              </w:rPr>
            </w:r>
            <w:r w:rsidR="00014DE9">
              <w:rPr>
                <w:noProof/>
                <w:webHidden/>
              </w:rPr>
              <w:fldChar w:fldCharType="separate"/>
            </w:r>
            <w:r w:rsidR="00014DE9">
              <w:rPr>
                <w:noProof/>
                <w:webHidden/>
              </w:rPr>
              <w:t>18</w:t>
            </w:r>
            <w:r w:rsidR="00014DE9">
              <w:rPr>
                <w:noProof/>
                <w:webHidden/>
              </w:rPr>
              <w:fldChar w:fldCharType="end"/>
            </w:r>
          </w:hyperlink>
        </w:p>
        <w:p w14:paraId="7793A20A" w14:textId="0E5DFCCC" w:rsidR="00014DE9" w:rsidRDefault="003238C4">
          <w:pPr>
            <w:pStyle w:val="TM2"/>
            <w:tabs>
              <w:tab w:val="right" w:leader="dot" w:pos="9016"/>
            </w:tabs>
            <w:rPr>
              <w:rFonts w:eastAsiaTheme="minorEastAsia"/>
              <w:noProof/>
              <w:sz w:val="24"/>
              <w:szCs w:val="24"/>
              <w:lang w:val="fr-CI" w:eastAsia="fr-CI"/>
            </w:rPr>
          </w:pPr>
          <w:hyperlink w:anchor="_Toc190677468" w:history="1">
            <w:r w:rsidR="00014DE9" w:rsidRPr="00802B9E">
              <w:rPr>
                <w:rStyle w:val="Lienhypertexte"/>
                <w:rFonts w:ascii="Arial Narrow" w:eastAsia="Calibri" w:hAnsi="Arial Narrow" w:cs="Arial"/>
                <w:noProof/>
              </w:rPr>
              <w:t>II.1. Contexte économique et social de la Côte d’Ivoire</w:t>
            </w:r>
            <w:r w:rsidR="00014DE9">
              <w:rPr>
                <w:noProof/>
                <w:webHidden/>
              </w:rPr>
              <w:tab/>
            </w:r>
            <w:r w:rsidR="00014DE9">
              <w:rPr>
                <w:noProof/>
                <w:webHidden/>
              </w:rPr>
              <w:fldChar w:fldCharType="begin"/>
            </w:r>
            <w:r w:rsidR="00014DE9">
              <w:rPr>
                <w:noProof/>
                <w:webHidden/>
              </w:rPr>
              <w:instrText xml:space="preserve"> PAGEREF _Toc190677468 \h </w:instrText>
            </w:r>
            <w:r w:rsidR="00014DE9">
              <w:rPr>
                <w:noProof/>
                <w:webHidden/>
              </w:rPr>
            </w:r>
            <w:r w:rsidR="00014DE9">
              <w:rPr>
                <w:noProof/>
                <w:webHidden/>
              </w:rPr>
              <w:fldChar w:fldCharType="separate"/>
            </w:r>
            <w:r w:rsidR="00014DE9">
              <w:rPr>
                <w:noProof/>
                <w:webHidden/>
              </w:rPr>
              <w:t>18</w:t>
            </w:r>
            <w:r w:rsidR="00014DE9">
              <w:rPr>
                <w:noProof/>
                <w:webHidden/>
              </w:rPr>
              <w:fldChar w:fldCharType="end"/>
            </w:r>
          </w:hyperlink>
        </w:p>
        <w:p w14:paraId="75BC5F87" w14:textId="2D30A53C" w:rsidR="00014DE9" w:rsidRDefault="003238C4">
          <w:pPr>
            <w:pStyle w:val="TM2"/>
            <w:tabs>
              <w:tab w:val="right" w:leader="dot" w:pos="9016"/>
            </w:tabs>
            <w:rPr>
              <w:rFonts w:eastAsiaTheme="minorEastAsia"/>
              <w:noProof/>
              <w:sz w:val="24"/>
              <w:szCs w:val="24"/>
              <w:lang w:val="fr-CI" w:eastAsia="fr-CI"/>
            </w:rPr>
          </w:pPr>
          <w:hyperlink w:anchor="_Toc190677469" w:history="1">
            <w:r w:rsidR="00014DE9" w:rsidRPr="00802B9E">
              <w:rPr>
                <w:rStyle w:val="Lienhypertexte"/>
                <w:rFonts w:ascii="Arial Narrow" w:eastAsia="Calibri" w:hAnsi="Arial Narrow" w:cs="Arial"/>
                <w:noProof/>
              </w:rPr>
              <w:t>II.2. Contexte sanitaire en Côte d’Ivoire</w:t>
            </w:r>
            <w:r w:rsidR="00014DE9">
              <w:rPr>
                <w:noProof/>
                <w:webHidden/>
              </w:rPr>
              <w:tab/>
            </w:r>
            <w:r w:rsidR="00014DE9">
              <w:rPr>
                <w:noProof/>
                <w:webHidden/>
              </w:rPr>
              <w:fldChar w:fldCharType="begin"/>
            </w:r>
            <w:r w:rsidR="00014DE9">
              <w:rPr>
                <w:noProof/>
                <w:webHidden/>
              </w:rPr>
              <w:instrText xml:space="preserve"> PAGEREF _Toc190677469 \h </w:instrText>
            </w:r>
            <w:r w:rsidR="00014DE9">
              <w:rPr>
                <w:noProof/>
                <w:webHidden/>
              </w:rPr>
            </w:r>
            <w:r w:rsidR="00014DE9">
              <w:rPr>
                <w:noProof/>
                <w:webHidden/>
              </w:rPr>
              <w:fldChar w:fldCharType="separate"/>
            </w:r>
            <w:r w:rsidR="00014DE9">
              <w:rPr>
                <w:noProof/>
                <w:webHidden/>
              </w:rPr>
              <w:t>19</w:t>
            </w:r>
            <w:r w:rsidR="00014DE9">
              <w:rPr>
                <w:noProof/>
                <w:webHidden/>
              </w:rPr>
              <w:fldChar w:fldCharType="end"/>
            </w:r>
          </w:hyperlink>
        </w:p>
        <w:p w14:paraId="56A9AEA9" w14:textId="574AB8B1" w:rsidR="00014DE9" w:rsidRDefault="003238C4">
          <w:pPr>
            <w:pStyle w:val="TM2"/>
            <w:tabs>
              <w:tab w:val="right" w:leader="dot" w:pos="9016"/>
            </w:tabs>
            <w:rPr>
              <w:rFonts w:eastAsiaTheme="minorEastAsia"/>
              <w:noProof/>
              <w:sz w:val="24"/>
              <w:szCs w:val="24"/>
              <w:lang w:val="fr-CI" w:eastAsia="fr-CI"/>
            </w:rPr>
          </w:pPr>
          <w:hyperlink w:anchor="_Toc190677470" w:history="1">
            <w:r w:rsidR="00014DE9" w:rsidRPr="00802B9E">
              <w:rPr>
                <w:rStyle w:val="Lienhypertexte"/>
                <w:rFonts w:ascii="Arial Narrow" w:eastAsia="Calibri" w:hAnsi="Arial Narrow" w:cs="Arial"/>
                <w:noProof/>
              </w:rPr>
              <w:t>II.3. Agendas globaux en matière de santé</w:t>
            </w:r>
            <w:r w:rsidR="00014DE9">
              <w:rPr>
                <w:noProof/>
                <w:webHidden/>
              </w:rPr>
              <w:tab/>
            </w:r>
            <w:r w:rsidR="00014DE9">
              <w:rPr>
                <w:noProof/>
                <w:webHidden/>
              </w:rPr>
              <w:fldChar w:fldCharType="begin"/>
            </w:r>
            <w:r w:rsidR="00014DE9">
              <w:rPr>
                <w:noProof/>
                <w:webHidden/>
              </w:rPr>
              <w:instrText xml:space="preserve"> PAGEREF _Toc190677470 \h </w:instrText>
            </w:r>
            <w:r w:rsidR="00014DE9">
              <w:rPr>
                <w:noProof/>
                <w:webHidden/>
              </w:rPr>
            </w:r>
            <w:r w:rsidR="00014DE9">
              <w:rPr>
                <w:noProof/>
                <w:webHidden/>
              </w:rPr>
              <w:fldChar w:fldCharType="separate"/>
            </w:r>
            <w:r w:rsidR="00014DE9">
              <w:rPr>
                <w:noProof/>
                <w:webHidden/>
              </w:rPr>
              <w:t>21</w:t>
            </w:r>
            <w:r w:rsidR="00014DE9">
              <w:rPr>
                <w:noProof/>
                <w:webHidden/>
              </w:rPr>
              <w:fldChar w:fldCharType="end"/>
            </w:r>
          </w:hyperlink>
        </w:p>
        <w:p w14:paraId="469E6388" w14:textId="0A062852" w:rsidR="00014DE9" w:rsidRDefault="003238C4">
          <w:pPr>
            <w:pStyle w:val="TM2"/>
            <w:tabs>
              <w:tab w:val="right" w:leader="dot" w:pos="9016"/>
            </w:tabs>
            <w:rPr>
              <w:rFonts w:eastAsiaTheme="minorEastAsia"/>
              <w:noProof/>
              <w:sz w:val="24"/>
              <w:szCs w:val="24"/>
              <w:lang w:val="fr-CI" w:eastAsia="fr-CI"/>
            </w:rPr>
          </w:pPr>
          <w:hyperlink w:anchor="_Toc190677471" w:history="1">
            <w:r w:rsidR="00014DE9" w:rsidRPr="00802B9E">
              <w:rPr>
                <w:rStyle w:val="Lienhypertexte"/>
                <w:rFonts w:ascii="Arial Narrow" w:eastAsia="Calibri" w:hAnsi="Arial Narrow" w:cs="Arial"/>
                <w:noProof/>
              </w:rPr>
              <w:t>II.4. Engagements du Gouvernement Ivoirien à travers le PNDS 2021-2025</w:t>
            </w:r>
            <w:r w:rsidR="00014DE9">
              <w:rPr>
                <w:noProof/>
                <w:webHidden/>
              </w:rPr>
              <w:tab/>
            </w:r>
            <w:r w:rsidR="00014DE9">
              <w:rPr>
                <w:noProof/>
                <w:webHidden/>
              </w:rPr>
              <w:fldChar w:fldCharType="begin"/>
            </w:r>
            <w:r w:rsidR="00014DE9">
              <w:rPr>
                <w:noProof/>
                <w:webHidden/>
              </w:rPr>
              <w:instrText xml:space="preserve"> PAGEREF _Toc190677471 \h </w:instrText>
            </w:r>
            <w:r w:rsidR="00014DE9">
              <w:rPr>
                <w:noProof/>
                <w:webHidden/>
              </w:rPr>
            </w:r>
            <w:r w:rsidR="00014DE9">
              <w:rPr>
                <w:noProof/>
                <w:webHidden/>
              </w:rPr>
              <w:fldChar w:fldCharType="separate"/>
            </w:r>
            <w:r w:rsidR="00014DE9">
              <w:rPr>
                <w:noProof/>
                <w:webHidden/>
              </w:rPr>
              <w:t>22</w:t>
            </w:r>
            <w:r w:rsidR="00014DE9">
              <w:rPr>
                <w:noProof/>
                <w:webHidden/>
              </w:rPr>
              <w:fldChar w:fldCharType="end"/>
            </w:r>
          </w:hyperlink>
        </w:p>
        <w:p w14:paraId="455D45F4" w14:textId="3B3A3E12" w:rsidR="00014DE9" w:rsidRDefault="003238C4">
          <w:pPr>
            <w:pStyle w:val="TM1"/>
            <w:tabs>
              <w:tab w:val="right" w:leader="dot" w:pos="9016"/>
            </w:tabs>
            <w:rPr>
              <w:rFonts w:eastAsiaTheme="minorEastAsia"/>
              <w:noProof/>
              <w:sz w:val="24"/>
              <w:szCs w:val="24"/>
              <w:lang w:val="fr-CI" w:eastAsia="fr-CI"/>
            </w:rPr>
          </w:pPr>
          <w:hyperlink w:anchor="_Toc190677472" w:history="1">
            <w:r w:rsidR="00014DE9" w:rsidRPr="00802B9E">
              <w:rPr>
                <w:rStyle w:val="Lienhypertexte"/>
                <w:rFonts w:ascii="Arial Narrow" w:hAnsi="Arial Narrow" w:cs="Arial"/>
                <w:b/>
                <w:noProof/>
              </w:rPr>
              <w:t>Section III : Principaux résultats de la revue du PNDS 2021-2025</w:t>
            </w:r>
            <w:r w:rsidR="00014DE9">
              <w:rPr>
                <w:noProof/>
                <w:webHidden/>
              </w:rPr>
              <w:tab/>
            </w:r>
            <w:r w:rsidR="00014DE9">
              <w:rPr>
                <w:noProof/>
                <w:webHidden/>
              </w:rPr>
              <w:fldChar w:fldCharType="begin"/>
            </w:r>
            <w:r w:rsidR="00014DE9">
              <w:rPr>
                <w:noProof/>
                <w:webHidden/>
              </w:rPr>
              <w:instrText xml:space="preserve"> PAGEREF _Toc190677472 \h </w:instrText>
            </w:r>
            <w:r w:rsidR="00014DE9">
              <w:rPr>
                <w:noProof/>
                <w:webHidden/>
              </w:rPr>
            </w:r>
            <w:r w:rsidR="00014DE9">
              <w:rPr>
                <w:noProof/>
                <w:webHidden/>
              </w:rPr>
              <w:fldChar w:fldCharType="separate"/>
            </w:r>
            <w:r w:rsidR="00014DE9">
              <w:rPr>
                <w:noProof/>
                <w:webHidden/>
              </w:rPr>
              <w:t>23</w:t>
            </w:r>
            <w:r w:rsidR="00014DE9">
              <w:rPr>
                <w:noProof/>
                <w:webHidden/>
              </w:rPr>
              <w:fldChar w:fldCharType="end"/>
            </w:r>
          </w:hyperlink>
        </w:p>
        <w:p w14:paraId="26516A8C" w14:textId="5419510D" w:rsidR="00014DE9" w:rsidRDefault="003238C4">
          <w:pPr>
            <w:pStyle w:val="TM2"/>
            <w:tabs>
              <w:tab w:val="right" w:leader="dot" w:pos="9016"/>
            </w:tabs>
            <w:rPr>
              <w:rFonts w:eastAsiaTheme="minorEastAsia"/>
              <w:noProof/>
              <w:sz w:val="24"/>
              <w:szCs w:val="24"/>
              <w:lang w:val="fr-CI" w:eastAsia="fr-CI"/>
            </w:rPr>
          </w:pPr>
          <w:hyperlink w:anchor="_Toc190677473" w:history="1">
            <w:r w:rsidR="00014DE9" w:rsidRPr="00802B9E">
              <w:rPr>
                <w:rStyle w:val="Lienhypertexte"/>
                <w:rFonts w:ascii="Arial Narrow" w:hAnsi="Arial Narrow" w:cs="Arial"/>
                <w:noProof/>
              </w:rPr>
              <w:t>III.1. Perception du PNDS 2021-2025 par les différents niveaux de la pyramide sanitaire</w:t>
            </w:r>
            <w:r w:rsidR="00014DE9">
              <w:rPr>
                <w:noProof/>
                <w:webHidden/>
              </w:rPr>
              <w:tab/>
            </w:r>
            <w:r w:rsidR="00014DE9">
              <w:rPr>
                <w:noProof/>
                <w:webHidden/>
              </w:rPr>
              <w:fldChar w:fldCharType="begin"/>
            </w:r>
            <w:r w:rsidR="00014DE9">
              <w:rPr>
                <w:noProof/>
                <w:webHidden/>
              </w:rPr>
              <w:instrText xml:space="preserve"> PAGEREF _Toc190677473 \h </w:instrText>
            </w:r>
            <w:r w:rsidR="00014DE9">
              <w:rPr>
                <w:noProof/>
                <w:webHidden/>
              </w:rPr>
            </w:r>
            <w:r w:rsidR="00014DE9">
              <w:rPr>
                <w:noProof/>
                <w:webHidden/>
              </w:rPr>
              <w:fldChar w:fldCharType="separate"/>
            </w:r>
            <w:r w:rsidR="00014DE9">
              <w:rPr>
                <w:noProof/>
                <w:webHidden/>
              </w:rPr>
              <w:t>23</w:t>
            </w:r>
            <w:r w:rsidR="00014DE9">
              <w:rPr>
                <w:noProof/>
                <w:webHidden/>
              </w:rPr>
              <w:fldChar w:fldCharType="end"/>
            </w:r>
          </w:hyperlink>
        </w:p>
        <w:p w14:paraId="1C714C96" w14:textId="3F265B2D" w:rsidR="00014DE9" w:rsidRDefault="003238C4">
          <w:pPr>
            <w:pStyle w:val="TM3"/>
            <w:tabs>
              <w:tab w:val="right" w:leader="dot" w:pos="9016"/>
            </w:tabs>
            <w:rPr>
              <w:rFonts w:eastAsiaTheme="minorEastAsia"/>
              <w:noProof/>
              <w:sz w:val="24"/>
              <w:szCs w:val="24"/>
              <w:lang w:val="fr-CI" w:eastAsia="fr-CI"/>
            </w:rPr>
          </w:pPr>
          <w:hyperlink w:anchor="_Toc190677474" w:history="1">
            <w:r w:rsidR="00014DE9" w:rsidRPr="00802B9E">
              <w:rPr>
                <w:rStyle w:val="Lienhypertexte"/>
                <w:rFonts w:ascii="Arial Narrow" w:hAnsi="Arial Narrow" w:cs="Arial"/>
                <w:b/>
                <w:bCs/>
                <w:noProof/>
              </w:rPr>
              <w:t>Perception du PNDS par les structures du MSHPCMU (directions générales, directions centrales, programmes de santé, EPHN, directions régionales et directions départementales)</w:t>
            </w:r>
            <w:r w:rsidR="00014DE9">
              <w:rPr>
                <w:noProof/>
                <w:webHidden/>
              </w:rPr>
              <w:tab/>
            </w:r>
            <w:r w:rsidR="00014DE9">
              <w:rPr>
                <w:noProof/>
                <w:webHidden/>
              </w:rPr>
              <w:fldChar w:fldCharType="begin"/>
            </w:r>
            <w:r w:rsidR="00014DE9">
              <w:rPr>
                <w:noProof/>
                <w:webHidden/>
              </w:rPr>
              <w:instrText xml:space="preserve"> PAGEREF _Toc190677474 \h </w:instrText>
            </w:r>
            <w:r w:rsidR="00014DE9">
              <w:rPr>
                <w:noProof/>
                <w:webHidden/>
              </w:rPr>
            </w:r>
            <w:r w:rsidR="00014DE9">
              <w:rPr>
                <w:noProof/>
                <w:webHidden/>
              </w:rPr>
              <w:fldChar w:fldCharType="separate"/>
            </w:r>
            <w:r w:rsidR="00014DE9">
              <w:rPr>
                <w:noProof/>
                <w:webHidden/>
              </w:rPr>
              <w:t>24</w:t>
            </w:r>
            <w:r w:rsidR="00014DE9">
              <w:rPr>
                <w:noProof/>
                <w:webHidden/>
              </w:rPr>
              <w:fldChar w:fldCharType="end"/>
            </w:r>
          </w:hyperlink>
        </w:p>
        <w:p w14:paraId="4193D429" w14:textId="19A1F711" w:rsidR="00014DE9" w:rsidRDefault="003238C4">
          <w:pPr>
            <w:pStyle w:val="TM3"/>
            <w:tabs>
              <w:tab w:val="right" w:leader="dot" w:pos="9016"/>
            </w:tabs>
            <w:rPr>
              <w:rFonts w:eastAsiaTheme="minorEastAsia"/>
              <w:noProof/>
              <w:sz w:val="24"/>
              <w:szCs w:val="24"/>
              <w:lang w:val="fr-CI" w:eastAsia="fr-CI"/>
            </w:rPr>
          </w:pPr>
          <w:hyperlink w:anchor="_Toc190677475" w:history="1">
            <w:r w:rsidR="00014DE9" w:rsidRPr="00802B9E">
              <w:rPr>
                <w:rStyle w:val="Lienhypertexte"/>
                <w:rFonts w:ascii="Arial Narrow" w:hAnsi="Arial Narrow" w:cs="Arial"/>
                <w:b/>
                <w:bCs/>
                <w:noProof/>
              </w:rPr>
              <w:t>Perception du PNDS par les Partenaires (PTF, société civile, secteur privé)</w:t>
            </w:r>
            <w:r w:rsidR="00014DE9">
              <w:rPr>
                <w:noProof/>
                <w:webHidden/>
              </w:rPr>
              <w:tab/>
            </w:r>
            <w:r w:rsidR="00014DE9">
              <w:rPr>
                <w:noProof/>
                <w:webHidden/>
              </w:rPr>
              <w:fldChar w:fldCharType="begin"/>
            </w:r>
            <w:r w:rsidR="00014DE9">
              <w:rPr>
                <w:noProof/>
                <w:webHidden/>
              </w:rPr>
              <w:instrText xml:space="preserve"> PAGEREF _Toc190677475 \h </w:instrText>
            </w:r>
            <w:r w:rsidR="00014DE9">
              <w:rPr>
                <w:noProof/>
                <w:webHidden/>
              </w:rPr>
            </w:r>
            <w:r w:rsidR="00014DE9">
              <w:rPr>
                <w:noProof/>
                <w:webHidden/>
              </w:rPr>
              <w:fldChar w:fldCharType="separate"/>
            </w:r>
            <w:r w:rsidR="00014DE9">
              <w:rPr>
                <w:noProof/>
                <w:webHidden/>
              </w:rPr>
              <w:t>25</w:t>
            </w:r>
            <w:r w:rsidR="00014DE9">
              <w:rPr>
                <w:noProof/>
                <w:webHidden/>
              </w:rPr>
              <w:fldChar w:fldCharType="end"/>
            </w:r>
          </w:hyperlink>
        </w:p>
        <w:p w14:paraId="5F3EEF2D" w14:textId="34EB1389" w:rsidR="00014DE9" w:rsidRDefault="003238C4">
          <w:pPr>
            <w:pStyle w:val="TM2"/>
            <w:tabs>
              <w:tab w:val="right" w:leader="dot" w:pos="9016"/>
            </w:tabs>
            <w:rPr>
              <w:rFonts w:eastAsiaTheme="minorEastAsia"/>
              <w:noProof/>
              <w:sz w:val="24"/>
              <w:szCs w:val="24"/>
              <w:lang w:val="fr-CI" w:eastAsia="fr-CI"/>
            </w:rPr>
          </w:pPr>
          <w:hyperlink w:anchor="_Toc190677476" w:history="1">
            <w:r w:rsidR="00014DE9" w:rsidRPr="00802B9E">
              <w:rPr>
                <w:rStyle w:val="Lienhypertexte"/>
                <w:rFonts w:ascii="Arial Narrow" w:hAnsi="Arial Narrow" w:cs="Arial"/>
                <w:noProof/>
              </w:rPr>
              <w:t>III.2. Analyse des progrès du PNDS 2021-2025</w:t>
            </w:r>
            <w:r w:rsidR="00014DE9">
              <w:rPr>
                <w:noProof/>
                <w:webHidden/>
              </w:rPr>
              <w:tab/>
            </w:r>
            <w:r w:rsidR="00014DE9">
              <w:rPr>
                <w:noProof/>
                <w:webHidden/>
              </w:rPr>
              <w:fldChar w:fldCharType="begin"/>
            </w:r>
            <w:r w:rsidR="00014DE9">
              <w:rPr>
                <w:noProof/>
                <w:webHidden/>
              </w:rPr>
              <w:instrText xml:space="preserve"> PAGEREF _Toc190677476 \h </w:instrText>
            </w:r>
            <w:r w:rsidR="00014DE9">
              <w:rPr>
                <w:noProof/>
                <w:webHidden/>
              </w:rPr>
            </w:r>
            <w:r w:rsidR="00014DE9">
              <w:rPr>
                <w:noProof/>
                <w:webHidden/>
              </w:rPr>
              <w:fldChar w:fldCharType="separate"/>
            </w:r>
            <w:r w:rsidR="00014DE9">
              <w:rPr>
                <w:noProof/>
                <w:webHidden/>
              </w:rPr>
              <w:t>26</w:t>
            </w:r>
            <w:r w:rsidR="00014DE9">
              <w:rPr>
                <w:noProof/>
                <w:webHidden/>
              </w:rPr>
              <w:fldChar w:fldCharType="end"/>
            </w:r>
          </w:hyperlink>
        </w:p>
        <w:p w14:paraId="0C6A79BA" w14:textId="215AE669" w:rsidR="00014DE9" w:rsidRDefault="003238C4">
          <w:pPr>
            <w:pStyle w:val="TM3"/>
            <w:tabs>
              <w:tab w:val="right" w:leader="dot" w:pos="9016"/>
            </w:tabs>
            <w:rPr>
              <w:rFonts w:eastAsiaTheme="minorEastAsia"/>
              <w:noProof/>
              <w:sz w:val="24"/>
              <w:szCs w:val="24"/>
              <w:lang w:val="fr-CI" w:eastAsia="fr-CI"/>
            </w:rPr>
          </w:pPr>
          <w:hyperlink w:anchor="_Toc190677477" w:history="1">
            <w:r w:rsidR="00014DE9" w:rsidRPr="00802B9E">
              <w:rPr>
                <w:rStyle w:val="Lienhypertexte"/>
                <w:rFonts w:ascii="Arial Narrow" w:hAnsi="Arial Narrow" w:cs="Arial"/>
                <w:noProof/>
              </w:rPr>
              <w:t>Progrès réalisés dans la mise en œuvre de l’ODD 3</w:t>
            </w:r>
            <w:r w:rsidR="00014DE9">
              <w:rPr>
                <w:noProof/>
                <w:webHidden/>
              </w:rPr>
              <w:tab/>
            </w:r>
            <w:r w:rsidR="00014DE9">
              <w:rPr>
                <w:noProof/>
                <w:webHidden/>
              </w:rPr>
              <w:fldChar w:fldCharType="begin"/>
            </w:r>
            <w:r w:rsidR="00014DE9">
              <w:rPr>
                <w:noProof/>
                <w:webHidden/>
              </w:rPr>
              <w:instrText xml:space="preserve"> PAGEREF _Toc190677477 \h </w:instrText>
            </w:r>
            <w:r w:rsidR="00014DE9">
              <w:rPr>
                <w:noProof/>
                <w:webHidden/>
              </w:rPr>
            </w:r>
            <w:r w:rsidR="00014DE9">
              <w:rPr>
                <w:noProof/>
                <w:webHidden/>
              </w:rPr>
              <w:fldChar w:fldCharType="separate"/>
            </w:r>
            <w:r w:rsidR="00014DE9">
              <w:rPr>
                <w:noProof/>
                <w:webHidden/>
              </w:rPr>
              <w:t>26</w:t>
            </w:r>
            <w:r w:rsidR="00014DE9">
              <w:rPr>
                <w:noProof/>
                <w:webHidden/>
              </w:rPr>
              <w:fldChar w:fldCharType="end"/>
            </w:r>
          </w:hyperlink>
        </w:p>
        <w:p w14:paraId="6BCC8905" w14:textId="1F27CBE7" w:rsidR="00014DE9" w:rsidRDefault="003238C4">
          <w:pPr>
            <w:pStyle w:val="TM3"/>
            <w:tabs>
              <w:tab w:val="right" w:leader="dot" w:pos="9016"/>
            </w:tabs>
            <w:rPr>
              <w:rFonts w:eastAsiaTheme="minorEastAsia"/>
              <w:noProof/>
              <w:sz w:val="24"/>
              <w:szCs w:val="24"/>
              <w:lang w:val="fr-CI" w:eastAsia="fr-CI"/>
            </w:rPr>
          </w:pPr>
          <w:hyperlink w:anchor="_Toc190677478" w:history="1">
            <w:r w:rsidR="00014DE9" w:rsidRPr="00802B9E">
              <w:rPr>
                <w:rStyle w:val="Lienhypertexte"/>
                <w:rFonts w:ascii="Arial Narrow" w:hAnsi="Arial Narrow" w:cs="Arial"/>
                <w:noProof/>
              </w:rPr>
              <w:t>Principales réalisations du PNDS 2021-2025 par axe stratégique</w:t>
            </w:r>
            <w:r w:rsidR="00014DE9">
              <w:rPr>
                <w:noProof/>
                <w:webHidden/>
              </w:rPr>
              <w:tab/>
            </w:r>
            <w:r w:rsidR="00014DE9">
              <w:rPr>
                <w:noProof/>
                <w:webHidden/>
              </w:rPr>
              <w:fldChar w:fldCharType="begin"/>
            </w:r>
            <w:r w:rsidR="00014DE9">
              <w:rPr>
                <w:noProof/>
                <w:webHidden/>
              </w:rPr>
              <w:instrText xml:space="preserve"> PAGEREF _Toc190677478 \h </w:instrText>
            </w:r>
            <w:r w:rsidR="00014DE9">
              <w:rPr>
                <w:noProof/>
                <w:webHidden/>
              </w:rPr>
            </w:r>
            <w:r w:rsidR="00014DE9">
              <w:rPr>
                <w:noProof/>
                <w:webHidden/>
              </w:rPr>
              <w:fldChar w:fldCharType="separate"/>
            </w:r>
            <w:r w:rsidR="00014DE9">
              <w:rPr>
                <w:noProof/>
                <w:webHidden/>
              </w:rPr>
              <w:t>27</w:t>
            </w:r>
            <w:r w:rsidR="00014DE9">
              <w:rPr>
                <w:noProof/>
                <w:webHidden/>
              </w:rPr>
              <w:fldChar w:fldCharType="end"/>
            </w:r>
          </w:hyperlink>
        </w:p>
        <w:p w14:paraId="20B1645A" w14:textId="087D4B14" w:rsidR="00014DE9" w:rsidRDefault="003238C4">
          <w:pPr>
            <w:pStyle w:val="TM2"/>
            <w:tabs>
              <w:tab w:val="right" w:leader="dot" w:pos="9016"/>
            </w:tabs>
            <w:rPr>
              <w:rFonts w:eastAsiaTheme="minorEastAsia"/>
              <w:noProof/>
              <w:sz w:val="24"/>
              <w:szCs w:val="24"/>
              <w:lang w:val="fr-CI" w:eastAsia="fr-CI"/>
            </w:rPr>
          </w:pPr>
          <w:hyperlink w:anchor="_Toc190677479" w:history="1">
            <w:r w:rsidR="00014DE9" w:rsidRPr="00802B9E">
              <w:rPr>
                <w:rStyle w:val="Lienhypertexte"/>
                <w:rFonts w:ascii="Arial Narrow" w:hAnsi="Arial Narrow" w:cs="Arial"/>
                <w:noProof/>
              </w:rPr>
              <w:t>II.3. Mise en œuvre des réformes clés du secteur de la Santé</w:t>
            </w:r>
            <w:r w:rsidR="00014DE9">
              <w:rPr>
                <w:noProof/>
                <w:webHidden/>
              </w:rPr>
              <w:tab/>
            </w:r>
            <w:r w:rsidR="00014DE9">
              <w:rPr>
                <w:noProof/>
                <w:webHidden/>
              </w:rPr>
              <w:fldChar w:fldCharType="begin"/>
            </w:r>
            <w:r w:rsidR="00014DE9">
              <w:rPr>
                <w:noProof/>
                <w:webHidden/>
              </w:rPr>
              <w:instrText xml:space="preserve"> PAGEREF _Toc190677479 \h </w:instrText>
            </w:r>
            <w:r w:rsidR="00014DE9">
              <w:rPr>
                <w:noProof/>
                <w:webHidden/>
              </w:rPr>
            </w:r>
            <w:r w:rsidR="00014DE9">
              <w:rPr>
                <w:noProof/>
                <w:webHidden/>
              </w:rPr>
              <w:fldChar w:fldCharType="separate"/>
            </w:r>
            <w:r w:rsidR="00014DE9">
              <w:rPr>
                <w:noProof/>
                <w:webHidden/>
              </w:rPr>
              <w:t>78</w:t>
            </w:r>
            <w:r w:rsidR="00014DE9">
              <w:rPr>
                <w:noProof/>
                <w:webHidden/>
              </w:rPr>
              <w:fldChar w:fldCharType="end"/>
            </w:r>
          </w:hyperlink>
        </w:p>
        <w:p w14:paraId="50639AF3" w14:textId="45127977" w:rsidR="00014DE9" w:rsidRDefault="003238C4">
          <w:pPr>
            <w:pStyle w:val="TM3"/>
            <w:tabs>
              <w:tab w:val="right" w:leader="dot" w:pos="9016"/>
            </w:tabs>
            <w:rPr>
              <w:rFonts w:eastAsiaTheme="minorEastAsia"/>
              <w:noProof/>
              <w:sz w:val="24"/>
              <w:szCs w:val="24"/>
              <w:lang w:val="fr-CI" w:eastAsia="fr-CI"/>
            </w:rPr>
          </w:pPr>
          <w:hyperlink w:anchor="_Toc190677480" w:history="1">
            <w:r w:rsidR="00014DE9" w:rsidRPr="00802B9E">
              <w:rPr>
                <w:rStyle w:val="Lienhypertexte"/>
                <w:rFonts w:ascii="Arial Narrow" w:hAnsi="Arial Narrow" w:cs="Arial"/>
                <w:noProof/>
              </w:rPr>
              <w:t>L’achat stratégique en santé incluant le financement basé sur la performance (FBP)</w:t>
            </w:r>
            <w:r w:rsidR="00014DE9">
              <w:rPr>
                <w:noProof/>
                <w:webHidden/>
              </w:rPr>
              <w:tab/>
            </w:r>
            <w:r w:rsidR="00014DE9">
              <w:rPr>
                <w:noProof/>
                <w:webHidden/>
              </w:rPr>
              <w:fldChar w:fldCharType="begin"/>
            </w:r>
            <w:r w:rsidR="00014DE9">
              <w:rPr>
                <w:noProof/>
                <w:webHidden/>
              </w:rPr>
              <w:instrText xml:space="preserve"> PAGEREF _Toc190677480 \h </w:instrText>
            </w:r>
            <w:r w:rsidR="00014DE9">
              <w:rPr>
                <w:noProof/>
                <w:webHidden/>
              </w:rPr>
            </w:r>
            <w:r w:rsidR="00014DE9">
              <w:rPr>
                <w:noProof/>
                <w:webHidden/>
              </w:rPr>
              <w:fldChar w:fldCharType="separate"/>
            </w:r>
            <w:r w:rsidR="00014DE9">
              <w:rPr>
                <w:noProof/>
                <w:webHidden/>
              </w:rPr>
              <w:t>78</w:t>
            </w:r>
            <w:r w:rsidR="00014DE9">
              <w:rPr>
                <w:noProof/>
                <w:webHidden/>
              </w:rPr>
              <w:fldChar w:fldCharType="end"/>
            </w:r>
          </w:hyperlink>
        </w:p>
        <w:p w14:paraId="183C3658" w14:textId="3FCFFE10" w:rsidR="00014DE9" w:rsidRDefault="003238C4">
          <w:pPr>
            <w:pStyle w:val="TM3"/>
            <w:tabs>
              <w:tab w:val="right" w:leader="dot" w:pos="9016"/>
            </w:tabs>
            <w:rPr>
              <w:rFonts w:eastAsiaTheme="minorEastAsia"/>
              <w:noProof/>
              <w:sz w:val="24"/>
              <w:szCs w:val="24"/>
              <w:lang w:val="fr-CI" w:eastAsia="fr-CI"/>
            </w:rPr>
          </w:pPr>
          <w:hyperlink w:anchor="_Toc190677481" w:history="1">
            <w:r w:rsidR="00014DE9" w:rsidRPr="00802B9E">
              <w:rPr>
                <w:rStyle w:val="Lienhypertexte"/>
                <w:rFonts w:ascii="Arial Narrow" w:hAnsi="Arial Narrow" w:cs="Arial"/>
                <w:noProof/>
              </w:rPr>
              <w:t>La Couverture Maladie Universelle (CMU)</w:t>
            </w:r>
            <w:r w:rsidR="00014DE9">
              <w:rPr>
                <w:noProof/>
                <w:webHidden/>
              </w:rPr>
              <w:tab/>
            </w:r>
            <w:r w:rsidR="00014DE9">
              <w:rPr>
                <w:noProof/>
                <w:webHidden/>
              </w:rPr>
              <w:fldChar w:fldCharType="begin"/>
            </w:r>
            <w:r w:rsidR="00014DE9">
              <w:rPr>
                <w:noProof/>
                <w:webHidden/>
              </w:rPr>
              <w:instrText xml:space="preserve"> PAGEREF _Toc190677481 \h </w:instrText>
            </w:r>
            <w:r w:rsidR="00014DE9">
              <w:rPr>
                <w:noProof/>
                <w:webHidden/>
              </w:rPr>
            </w:r>
            <w:r w:rsidR="00014DE9">
              <w:rPr>
                <w:noProof/>
                <w:webHidden/>
              </w:rPr>
              <w:fldChar w:fldCharType="separate"/>
            </w:r>
            <w:r w:rsidR="00014DE9">
              <w:rPr>
                <w:noProof/>
                <w:webHidden/>
              </w:rPr>
              <w:t>79</w:t>
            </w:r>
            <w:r w:rsidR="00014DE9">
              <w:rPr>
                <w:noProof/>
                <w:webHidden/>
              </w:rPr>
              <w:fldChar w:fldCharType="end"/>
            </w:r>
          </w:hyperlink>
        </w:p>
        <w:p w14:paraId="58FD8E2E" w14:textId="744193B0" w:rsidR="00014DE9" w:rsidRDefault="003238C4">
          <w:pPr>
            <w:pStyle w:val="TM3"/>
            <w:tabs>
              <w:tab w:val="right" w:leader="dot" w:pos="9016"/>
            </w:tabs>
            <w:rPr>
              <w:rFonts w:eastAsiaTheme="minorEastAsia"/>
              <w:noProof/>
              <w:sz w:val="24"/>
              <w:szCs w:val="24"/>
              <w:lang w:val="fr-CI" w:eastAsia="fr-CI"/>
            </w:rPr>
          </w:pPr>
          <w:hyperlink w:anchor="_Toc190677482" w:history="1">
            <w:r w:rsidR="00014DE9" w:rsidRPr="00802B9E">
              <w:rPr>
                <w:rStyle w:val="Lienhypertexte"/>
                <w:rFonts w:ascii="Arial Narrow" w:hAnsi="Arial Narrow" w:cs="Arial"/>
                <w:noProof/>
              </w:rPr>
              <w:t>La réforme sur l’intégration et le développement du secteur privé</w:t>
            </w:r>
            <w:r w:rsidR="00014DE9">
              <w:rPr>
                <w:noProof/>
                <w:webHidden/>
              </w:rPr>
              <w:tab/>
            </w:r>
            <w:r w:rsidR="00014DE9">
              <w:rPr>
                <w:noProof/>
                <w:webHidden/>
              </w:rPr>
              <w:fldChar w:fldCharType="begin"/>
            </w:r>
            <w:r w:rsidR="00014DE9">
              <w:rPr>
                <w:noProof/>
                <w:webHidden/>
              </w:rPr>
              <w:instrText xml:space="preserve"> PAGEREF _Toc190677482 \h </w:instrText>
            </w:r>
            <w:r w:rsidR="00014DE9">
              <w:rPr>
                <w:noProof/>
                <w:webHidden/>
              </w:rPr>
            </w:r>
            <w:r w:rsidR="00014DE9">
              <w:rPr>
                <w:noProof/>
                <w:webHidden/>
              </w:rPr>
              <w:fldChar w:fldCharType="separate"/>
            </w:r>
            <w:r w:rsidR="00014DE9">
              <w:rPr>
                <w:noProof/>
                <w:webHidden/>
              </w:rPr>
              <w:t>81</w:t>
            </w:r>
            <w:r w:rsidR="00014DE9">
              <w:rPr>
                <w:noProof/>
                <w:webHidden/>
              </w:rPr>
              <w:fldChar w:fldCharType="end"/>
            </w:r>
          </w:hyperlink>
        </w:p>
        <w:p w14:paraId="12446E1B" w14:textId="018DC979" w:rsidR="00014DE9" w:rsidRDefault="003238C4">
          <w:pPr>
            <w:pStyle w:val="TM3"/>
            <w:tabs>
              <w:tab w:val="right" w:leader="dot" w:pos="9016"/>
            </w:tabs>
            <w:rPr>
              <w:rFonts w:eastAsiaTheme="minorEastAsia"/>
              <w:noProof/>
              <w:sz w:val="24"/>
              <w:szCs w:val="24"/>
              <w:lang w:val="fr-CI" w:eastAsia="fr-CI"/>
            </w:rPr>
          </w:pPr>
          <w:hyperlink w:anchor="_Toc190677483" w:history="1">
            <w:r w:rsidR="00014DE9" w:rsidRPr="00802B9E">
              <w:rPr>
                <w:rStyle w:val="Lienhypertexte"/>
                <w:rFonts w:ascii="Arial Narrow" w:hAnsi="Arial Narrow" w:cs="Arial"/>
                <w:noProof/>
              </w:rPr>
              <w:t>La réforme hospitalière</w:t>
            </w:r>
            <w:r w:rsidR="00014DE9">
              <w:rPr>
                <w:noProof/>
                <w:webHidden/>
              </w:rPr>
              <w:tab/>
            </w:r>
            <w:r w:rsidR="00014DE9">
              <w:rPr>
                <w:noProof/>
                <w:webHidden/>
              </w:rPr>
              <w:fldChar w:fldCharType="begin"/>
            </w:r>
            <w:r w:rsidR="00014DE9">
              <w:rPr>
                <w:noProof/>
                <w:webHidden/>
              </w:rPr>
              <w:instrText xml:space="preserve"> PAGEREF _Toc190677483 \h </w:instrText>
            </w:r>
            <w:r w:rsidR="00014DE9">
              <w:rPr>
                <w:noProof/>
                <w:webHidden/>
              </w:rPr>
            </w:r>
            <w:r w:rsidR="00014DE9">
              <w:rPr>
                <w:noProof/>
                <w:webHidden/>
              </w:rPr>
              <w:fldChar w:fldCharType="separate"/>
            </w:r>
            <w:r w:rsidR="00014DE9">
              <w:rPr>
                <w:noProof/>
                <w:webHidden/>
              </w:rPr>
              <w:t>82</w:t>
            </w:r>
            <w:r w:rsidR="00014DE9">
              <w:rPr>
                <w:noProof/>
                <w:webHidden/>
              </w:rPr>
              <w:fldChar w:fldCharType="end"/>
            </w:r>
          </w:hyperlink>
        </w:p>
        <w:p w14:paraId="6640AACB" w14:textId="651EAACB" w:rsidR="00014DE9" w:rsidRDefault="003238C4">
          <w:pPr>
            <w:pStyle w:val="TM3"/>
            <w:tabs>
              <w:tab w:val="right" w:leader="dot" w:pos="9016"/>
            </w:tabs>
            <w:rPr>
              <w:rFonts w:eastAsiaTheme="minorEastAsia"/>
              <w:noProof/>
              <w:sz w:val="24"/>
              <w:szCs w:val="24"/>
              <w:lang w:val="fr-CI" w:eastAsia="fr-CI"/>
            </w:rPr>
          </w:pPr>
          <w:hyperlink w:anchor="_Toc190677484" w:history="1">
            <w:r w:rsidR="00014DE9" w:rsidRPr="00802B9E">
              <w:rPr>
                <w:rStyle w:val="Lienhypertexte"/>
                <w:rFonts w:ascii="Arial Narrow" w:hAnsi="Arial Narrow" w:cs="Arial"/>
                <w:noProof/>
              </w:rPr>
              <w:t>La réforme sur les Pôles Régionaux d’Excellence de Santé (PRES)</w:t>
            </w:r>
            <w:r w:rsidR="00014DE9">
              <w:rPr>
                <w:noProof/>
                <w:webHidden/>
              </w:rPr>
              <w:tab/>
            </w:r>
            <w:r w:rsidR="00014DE9">
              <w:rPr>
                <w:noProof/>
                <w:webHidden/>
              </w:rPr>
              <w:fldChar w:fldCharType="begin"/>
            </w:r>
            <w:r w:rsidR="00014DE9">
              <w:rPr>
                <w:noProof/>
                <w:webHidden/>
              </w:rPr>
              <w:instrText xml:space="preserve"> PAGEREF _Toc190677484 \h </w:instrText>
            </w:r>
            <w:r w:rsidR="00014DE9">
              <w:rPr>
                <w:noProof/>
                <w:webHidden/>
              </w:rPr>
            </w:r>
            <w:r w:rsidR="00014DE9">
              <w:rPr>
                <w:noProof/>
                <w:webHidden/>
              </w:rPr>
              <w:fldChar w:fldCharType="separate"/>
            </w:r>
            <w:r w:rsidR="00014DE9">
              <w:rPr>
                <w:noProof/>
                <w:webHidden/>
              </w:rPr>
              <w:t>83</w:t>
            </w:r>
            <w:r w:rsidR="00014DE9">
              <w:rPr>
                <w:noProof/>
                <w:webHidden/>
              </w:rPr>
              <w:fldChar w:fldCharType="end"/>
            </w:r>
          </w:hyperlink>
        </w:p>
        <w:p w14:paraId="59E5154C" w14:textId="6C5E4FE0" w:rsidR="00014DE9" w:rsidRDefault="003238C4">
          <w:pPr>
            <w:pStyle w:val="TM3"/>
            <w:tabs>
              <w:tab w:val="right" w:leader="dot" w:pos="9016"/>
            </w:tabs>
            <w:rPr>
              <w:rFonts w:eastAsiaTheme="minorEastAsia"/>
              <w:noProof/>
              <w:sz w:val="24"/>
              <w:szCs w:val="24"/>
              <w:lang w:val="fr-CI" w:eastAsia="fr-CI"/>
            </w:rPr>
          </w:pPr>
          <w:hyperlink w:anchor="_Toc190677485" w:history="1">
            <w:r w:rsidR="00014DE9" w:rsidRPr="00802B9E">
              <w:rPr>
                <w:rStyle w:val="Lienhypertexte"/>
                <w:rFonts w:ascii="Arial Narrow" w:hAnsi="Arial Narrow"/>
                <w:noProof/>
              </w:rPr>
              <w:t>La réforme sur la digitalisation</w:t>
            </w:r>
            <w:r w:rsidR="00014DE9">
              <w:rPr>
                <w:noProof/>
                <w:webHidden/>
              </w:rPr>
              <w:tab/>
            </w:r>
            <w:r w:rsidR="00014DE9">
              <w:rPr>
                <w:noProof/>
                <w:webHidden/>
              </w:rPr>
              <w:fldChar w:fldCharType="begin"/>
            </w:r>
            <w:r w:rsidR="00014DE9">
              <w:rPr>
                <w:noProof/>
                <w:webHidden/>
              </w:rPr>
              <w:instrText xml:space="preserve"> PAGEREF _Toc190677485 \h </w:instrText>
            </w:r>
            <w:r w:rsidR="00014DE9">
              <w:rPr>
                <w:noProof/>
                <w:webHidden/>
              </w:rPr>
            </w:r>
            <w:r w:rsidR="00014DE9">
              <w:rPr>
                <w:noProof/>
                <w:webHidden/>
              </w:rPr>
              <w:fldChar w:fldCharType="separate"/>
            </w:r>
            <w:r w:rsidR="00014DE9">
              <w:rPr>
                <w:noProof/>
                <w:webHidden/>
              </w:rPr>
              <w:t>84</w:t>
            </w:r>
            <w:r w:rsidR="00014DE9">
              <w:rPr>
                <w:noProof/>
                <w:webHidden/>
              </w:rPr>
              <w:fldChar w:fldCharType="end"/>
            </w:r>
          </w:hyperlink>
        </w:p>
        <w:p w14:paraId="446EDF7F" w14:textId="1F1444ED" w:rsidR="00014DE9" w:rsidRDefault="003238C4">
          <w:pPr>
            <w:pStyle w:val="TM1"/>
            <w:tabs>
              <w:tab w:val="right" w:leader="dot" w:pos="9016"/>
            </w:tabs>
            <w:rPr>
              <w:rFonts w:eastAsiaTheme="minorEastAsia"/>
              <w:noProof/>
              <w:sz w:val="24"/>
              <w:szCs w:val="24"/>
              <w:lang w:val="fr-CI" w:eastAsia="fr-CI"/>
            </w:rPr>
          </w:pPr>
          <w:hyperlink w:anchor="_Toc190677486" w:history="1">
            <w:r w:rsidR="00014DE9" w:rsidRPr="00802B9E">
              <w:rPr>
                <w:rStyle w:val="Lienhypertexte"/>
                <w:rFonts w:ascii="Arial Narrow" w:hAnsi="Arial Narrow" w:cs="Arial"/>
                <w:b/>
                <w:noProof/>
              </w:rPr>
              <w:t>Section IV : Difficultés, défis, perspectives et recommandations</w:t>
            </w:r>
            <w:r w:rsidR="00014DE9">
              <w:rPr>
                <w:noProof/>
                <w:webHidden/>
              </w:rPr>
              <w:tab/>
            </w:r>
            <w:r w:rsidR="00014DE9">
              <w:rPr>
                <w:noProof/>
                <w:webHidden/>
              </w:rPr>
              <w:fldChar w:fldCharType="begin"/>
            </w:r>
            <w:r w:rsidR="00014DE9">
              <w:rPr>
                <w:noProof/>
                <w:webHidden/>
              </w:rPr>
              <w:instrText xml:space="preserve"> PAGEREF _Toc190677486 \h </w:instrText>
            </w:r>
            <w:r w:rsidR="00014DE9">
              <w:rPr>
                <w:noProof/>
                <w:webHidden/>
              </w:rPr>
            </w:r>
            <w:r w:rsidR="00014DE9">
              <w:rPr>
                <w:noProof/>
                <w:webHidden/>
              </w:rPr>
              <w:fldChar w:fldCharType="separate"/>
            </w:r>
            <w:r w:rsidR="00014DE9">
              <w:rPr>
                <w:noProof/>
                <w:webHidden/>
              </w:rPr>
              <w:t>85</w:t>
            </w:r>
            <w:r w:rsidR="00014DE9">
              <w:rPr>
                <w:noProof/>
                <w:webHidden/>
              </w:rPr>
              <w:fldChar w:fldCharType="end"/>
            </w:r>
          </w:hyperlink>
        </w:p>
        <w:p w14:paraId="6C80F1A3" w14:textId="01C1195B" w:rsidR="00014DE9" w:rsidRDefault="003238C4">
          <w:pPr>
            <w:pStyle w:val="TM2"/>
            <w:tabs>
              <w:tab w:val="right" w:leader="dot" w:pos="9016"/>
            </w:tabs>
            <w:rPr>
              <w:rFonts w:eastAsiaTheme="minorEastAsia"/>
              <w:noProof/>
              <w:sz w:val="24"/>
              <w:szCs w:val="24"/>
              <w:lang w:val="fr-CI" w:eastAsia="fr-CI"/>
            </w:rPr>
          </w:pPr>
          <w:hyperlink w:anchor="_Toc190677487" w:history="1">
            <w:r w:rsidR="00014DE9" w:rsidRPr="00802B9E">
              <w:rPr>
                <w:rStyle w:val="Lienhypertexte"/>
                <w:rFonts w:ascii="Arial Narrow" w:hAnsi="Arial Narrow" w:cs="Arial"/>
                <w:noProof/>
              </w:rPr>
              <w:t>III.1. Difficultés des acteurs du système de santé</w:t>
            </w:r>
            <w:r w:rsidR="00014DE9">
              <w:rPr>
                <w:noProof/>
                <w:webHidden/>
              </w:rPr>
              <w:tab/>
            </w:r>
            <w:r w:rsidR="00014DE9">
              <w:rPr>
                <w:noProof/>
                <w:webHidden/>
              </w:rPr>
              <w:fldChar w:fldCharType="begin"/>
            </w:r>
            <w:r w:rsidR="00014DE9">
              <w:rPr>
                <w:noProof/>
                <w:webHidden/>
              </w:rPr>
              <w:instrText xml:space="preserve"> PAGEREF _Toc190677487 \h </w:instrText>
            </w:r>
            <w:r w:rsidR="00014DE9">
              <w:rPr>
                <w:noProof/>
                <w:webHidden/>
              </w:rPr>
            </w:r>
            <w:r w:rsidR="00014DE9">
              <w:rPr>
                <w:noProof/>
                <w:webHidden/>
              </w:rPr>
              <w:fldChar w:fldCharType="separate"/>
            </w:r>
            <w:r w:rsidR="00014DE9">
              <w:rPr>
                <w:noProof/>
                <w:webHidden/>
              </w:rPr>
              <w:t>85</w:t>
            </w:r>
            <w:r w:rsidR="00014DE9">
              <w:rPr>
                <w:noProof/>
                <w:webHidden/>
              </w:rPr>
              <w:fldChar w:fldCharType="end"/>
            </w:r>
          </w:hyperlink>
        </w:p>
        <w:p w14:paraId="29C2E6A3" w14:textId="68000D9E" w:rsidR="00014DE9" w:rsidRDefault="003238C4">
          <w:pPr>
            <w:pStyle w:val="TM3"/>
            <w:tabs>
              <w:tab w:val="right" w:leader="dot" w:pos="9016"/>
            </w:tabs>
            <w:rPr>
              <w:rFonts w:eastAsiaTheme="minorEastAsia"/>
              <w:noProof/>
              <w:sz w:val="24"/>
              <w:szCs w:val="24"/>
              <w:lang w:val="fr-CI" w:eastAsia="fr-CI"/>
            </w:rPr>
          </w:pPr>
          <w:hyperlink w:anchor="_Toc190677488" w:history="1">
            <w:r w:rsidR="00014DE9" w:rsidRPr="00802B9E">
              <w:rPr>
                <w:rStyle w:val="Lienhypertexte"/>
                <w:rFonts w:ascii="Arial Narrow" w:hAnsi="Arial Narrow" w:cs="Arial"/>
                <w:b/>
                <w:noProof/>
              </w:rPr>
              <w:t>Difficultés à la mise en œuvre du PNDS au niveau central</w:t>
            </w:r>
            <w:r w:rsidR="00014DE9">
              <w:rPr>
                <w:noProof/>
                <w:webHidden/>
              </w:rPr>
              <w:tab/>
            </w:r>
            <w:r w:rsidR="00014DE9">
              <w:rPr>
                <w:noProof/>
                <w:webHidden/>
              </w:rPr>
              <w:fldChar w:fldCharType="begin"/>
            </w:r>
            <w:r w:rsidR="00014DE9">
              <w:rPr>
                <w:noProof/>
                <w:webHidden/>
              </w:rPr>
              <w:instrText xml:space="preserve"> PAGEREF _Toc190677488 \h </w:instrText>
            </w:r>
            <w:r w:rsidR="00014DE9">
              <w:rPr>
                <w:noProof/>
                <w:webHidden/>
              </w:rPr>
            </w:r>
            <w:r w:rsidR="00014DE9">
              <w:rPr>
                <w:noProof/>
                <w:webHidden/>
              </w:rPr>
              <w:fldChar w:fldCharType="separate"/>
            </w:r>
            <w:r w:rsidR="00014DE9">
              <w:rPr>
                <w:noProof/>
                <w:webHidden/>
              </w:rPr>
              <w:t>85</w:t>
            </w:r>
            <w:r w:rsidR="00014DE9">
              <w:rPr>
                <w:noProof/>
                <w:webHidden/>
              </w:rPr>
              <w:fldChar w:fldCharType="end"/>
            </w:r>
          </w:hyperlink>
        </w:p>
        <w:p w14:paraId="3516CEC3" w14:textId="59D82AE8" w:rsidR="00014DE9" w:rsidRDefault="003238C4">
          <w:pPr>
            <w:pStyle w:val="TM3"/>
            <w:tabs>
              <w:tab w:val="right" w:leader="dot" w:pos="9016"/>
            </w:tabs>
            <w:rPr>
              <w:rFonts w:eastAsiaTheme="minorEastAsia"/>
              <w:noProof/>
              <w:sz w:val="24"/>
              <w:szCs w:val="24"/>
              <w:lang w:val="fr-CI" w:eastAsia="fr-CI"/>
            </w:rPr>
          </w:pPr>
          <w:hyperlink w:anchor="_Toc190677489" w:history="1">
            <w:r w:rsidR="00014DE9" w:rsidRPr="00802B9E">
              <w:rPr>
                <w:rStyle w:val="Lienhypertexte"/>
                <w:rFonts w:ascii="Arial Narrow" w:hAnsi="Arial Narrow" w:cs="Arial"/>
                <w:b/>
                <w:noProof/>
              </w:rPr>
              <w:t>Difficultés dans la mise en œuvre du PNDS au niveau déconcentré</w:t>
            </w:r>
            <w:r w:rsidR="00014DE9">
              <w:rPr>
                <w:noProof/>
                <w:webHidden/>
              </w:rPr>
              <w:tab/>
            </w:r>
            <w:r w:rsidR="00014DE9">
              <w:rPr>
                <w:noProof/>
                <w:webHidden/>
              </w:rPr>
              <w:fldChar w:fldCharType="begin"/>
            </w:r>
            <w:r w:rsidR="00014DE9">
              <w:rPr>
                <w:noProof/>
                <w:webHidden/>
              </w:rPr>
              <w:instrText xml:space="preserve"> PAGEREF _Toc190677489 \h </w:instrText>
            </w:r>
            <w:r w:rsidR="00014DE9">
              <w:rPr>
                <w:noProof/>
                <w:webHidden/>
              </w:rPr>
            </w:r>
            <w:r w:rsidR="00014DE9">
              <w:rPr>
                <w:noProof/>
                <w:webHidden/>
              </w:rPr>
              <w:fldChar w:fldCharType="separate"/>
            </w:r>
            <w:r w:rsidR="00014DE9">
              <w:rPr>
                <w:noProof/>
                <w:webHidden/>
              </w:rPr>
              <w:t>87</w:t>
            </w:r>
            <w:r w:rsidR="00014DE9">
              <w:rPr>
                <w:noProof/>
                <w:webHidden/>
              </w:rPr>
              <w:fldChar w:fldCharType="end"/>
            </w:r>
          </w:hyperlink>
        </w:p>
        <w:p w14:paraId="4706D69F" w14:textId="0A1BACCE" w:rsidR="00014DE9" w:rsidRDefault="003238C4">
          <w:pPr>
            <w:pStyle w:val="TM3"/>
            <w:tabs>
              <w:tab w:val="right" w:leader="dot" w:pos="9016"/>
            </w:tabs>
            <w:rPr>
              <w:rFonts w:eastAsiaTheme="minorEastAsia"/>
              <w:noProof/>
              <w:sz w:val="24"/>
              <w:szCs w:val="24"/>
              <w:lang w:val="fr-CI" w:eastAsia="fr-CI"/>
            </w:rPr>
          </w:pPr>
          <w:hyperlink w:anchor="_Toc190677490" w:history="1">
            <w:r w:rsidR="00014DE9" w:rsidRPr="00802B9E">
              <w:rPr>
                <w:rStyle w:val="Lienhypertexte"/>
                <w:rFonts w:ascii="Arial Narrow" w:hAnsi="Arial Narrow" w:cs="Arial"/>
                <w:b/>
                <w:noProof/>
              </w:rPr>
              <w:t>Difficultés de financement du PNDS, de l’engagement et de l’exécution des financements selon les PTF</w:t>
            </w:r>
            <w:r w:rsidR="00014DE9">
              <w:rPr>
                <w:noProof/>
                <w:webHidden/>
              </w:rPr>
              <w:tab/>
            </w:r>
            <w:r w:rsidR="00014DE9">
              <w:rPr>
                <w:noProof/>
                <w:webHidden/>
              </w:rPr>
              <w:fldChar w:fldCharType="begin"/>
            </w:r>
            <w:r w:rsidR="00014DE9">
              <w:rPr>
                <w:noProof/>
                <w:webHidden/>
              </w:rPr>
              <w:instrText xml:space="preserve"> PAGEREF _Toc190677490 \h </w:instrText>
            </w:r>
            <w:r w:rsidR="00014DE9">
              <w:rPr>
                <w:noProof/>
                <w:webHidden/>
              </w:rPr>
            </w:r>
            <w:r w:rsidR="00014DE9">
              <w:rPr>
                <w:noProof/>
                <w:webHidden/>
              </w:rPr>
              <w:fldChar w:fldCharType="separate"/>
            </w:r>
            <w:r w:rsidR="00014DE9">
              <w:rPr>
                <w:noProof/>
                <w:webHidden/>
              </w:rPr>
              <w:t>87</w:t>
            </w:r>
            <w:r w:rsidR="00014DE9">
              <w:rPr>
                <w:noProof/>
                <w:webHidden/>
              </w:rPr>
              <w:fldChar w:fldCharType="end"/>
            </w:r>
          </w:hyperlink>
        </w:p>
        <w:p w14:paraId="6C646C0C" w14:textId="2652838A" w:rsidR="00014DE9" w:rsidRDefault="003238C4">
          <w:pPr>
            <w:pStyle w:val="TM2"/>
            <w:tabs>
              <w:tab w:val="right" w:leader="dot" w:pos="9016"/>
            </w:tabs>
            <w:rPr>
              <w:rFonts w:eastAsiaTheme="minorEastAsia"/>
              <w:noProof/>
              <w:sz w:val="24"/>
              <w:szCs w:val="24"/>
              <w:lang w:val="fr-CI" w:eastAsia="fr-CI"/>
            </w:rPr>
          </w:pPr>
          <w:hyperlink w:anchor="_Toc190677491" w:history="1">
            <w:r w:rsidR="00014DE9" w:rsidRPr="00802B9E">
              <w:rPr>
                <w:rStyle w:val="Lienhypertexte"/>
                <w:rFonts w:ascii="Arial Narrow" w:hAnsi="Arial Narrow" w:cs="Arial"/>
                <w:noProof/>
              </w:rPr>
              <w:t>III.2. Défis et perspectives du système de santé</w:t>
            </w:r>
            <w:r w:rsidR="00014DE9">
              <w:rPr>
                <w:noProof/>
                <w:webHidden/>
              </w:rPr>
              <w:tab/>
            </w:r>
            <w:r w:rsidR="00014DE9">
              <w:rPr>
                <w:noProof/>
                <w:webHidden/>
              </w:rPr>
              <w:fldChar w:fldCharType="begin"/>
            </w:r>
            <w:r w:rsidR="00014DE9">
              <w:rPr>
                <w:noProof/>
                <w:webHidden/>
              </w:rPr>
              <w:instrText xml:space="preserve"> PAGEREF _Toc190677491 \h </w:instrText>
            </w:r>
            <w:r w:rsidR="00014DE9">
              <w:rPr>
                <w:noProof/>
                <w:webHidden/>
              </w:rPr>
            </w:r>
            <w:r w:rsidR="00014DE9">
              <w:rPr>
                <w:noProof/>
                <w:webHidden/>
              </w:rPr>
              <w:fldChar w:fldCharType="separate"/>
            </w:r>
            <w:r w:rsidR="00014DE9">
              <w:rPr>
                <w:noProof/>
                <w:webHidden/>
              </w:rPr>
              <w:t>88</w:t>
            </w:r>
            <w:r w:rsidR="00014DE9">
              <w:rPr>
                <w:noProof/>
                <w:webHidden/>
              </w:rPr>
              <w:fldChar w:fldCharType="end"/>
            </w:r>
          </w:hyperlink>
        </w:p>
        <w:p w14:paraId="639203D7" w14:textId="0D48578A" w:rsidR="00014DE9" w:rsidRDefault="003238C4">
          <w:pPr>
            <w:pStyle w:val="TM3"/>
            <w:tabs>
              <w:tab w:val="right" w:leader="dot" w:pos="9016"/>
            </w:tabs>
            <w:rPr>
              <w:rFonts w:eastAsiaTheme="minorEastAsia"/>
              <w:noProof/>
              <w:sz w:val="24"/>
              <w:szCs w:val="24"/>
              <w:lang w:val="fr-CI" w:eastAsia="fr-CI"/>
            </w:rPr>
          </w:pPr>
          <w:hyperlink w:anchor="_Toc190677492" w:history="1">
            <w:r w:rsidR="00014DE9" w:rsidRPr="00802B9E">
              <w:rPr>
                <w:rStyle w:val="Lienhypertexte"/>
                <w:rFonts w:ascii="Arial Narrow" w:hAnsi="Arial Narrow" w:cs="Arial"/>
                <w:b/>
                <w:noProof/>
              </w:rPr>
              <w:t>Défis du système de santé</w:t>
            </w:r>
            <w:r w:rsidR="00014DE9">
              <w:rPr>
                <w:noProof/>
                <w:webHidden/>
              </w:rPr>
              <w:tab/>
            </w:r>
            <w:r w:rsidR="00014DE9">
              <w:rPr>
                <w:noProof/>
                <w:webHidden/>
              </w:rPr>
              <w:fldChar w:fldCharType="begin"/>
            </w:r>
            <w:r w:rsidR="00014DE9">
              <w:rPr>
                <w:noProof/>
                <w:webHidden/>
              </w:rPr>
              <w:instrText xml:space="preserve"> PAGEREF _Toc190677492 \h </w:instrText>
            </w:r>
            <w:r w:rsidR="00014DE9">
              <w:rPr>
                <w:noProof/>
                <w:webHidden/>
              </w:rPr>
            </w:r>
            <w:r w:rsidR="00014DE9">
              <w:rPr>
                <w:noProof/>
                <w:webHidden/>
              </w:rPr>
              <w:fldChar w:fldCharType="separate"/>
            </w:r>
            <w:r w:rsidR="00014DE9">
              <w:rPr>
                <w:noProof/>
                <w:webHidden/>
              </w:rPr>
              <w:t>88</w:t>
            </w:r>
            <w:r w:rsidR="00014DE9">
              <w:rPr>
                <w:noProof/>
                <w:webHidden/>
              </w:rPr>
              <w:fldChar w:fldCharType="end"/>
            </w:r>
          </w:hyperlink>
        </w:p>
        <w:p w14:paraId="73AA3621" w14:textId="6395472D" w:rsidR="00014DE9" w:rsidRDefault="003238C4">
          <w:pPr>
            <w:pStyle w:val="TM3"/>
            <w:tabs>
              <w:tab w:val="right" w:leader="dot" w:pos="9016"/>
            </w:tabs>
            <w:rPr>
              <w:rFonts w:eastAsiaTheme="minorEastAsia"/>
              <w:noProof/>
              <w:sz w:val="24"/>
              <w:szCs w:val="24"/>
              <w:lang w:val="fr-CI" w:eastAsia="fr-CI"/>
            </w:rPr>
          </w:pPr>
          <w:hyperlink w:anchor="_Toc190677493" w:history="1">
            <w:r w:rsidR="00014DE9" w:rsidRPr="00802B9E">
              <w:rPr>
                <w:rStyle w:val="Lienhypertexte"/>
                <w:rFonts w:ascii="Arial Narrow" w:hAnsi="Arial Narrow" w:cs="Arial"/>
                <w:b/>
                <w:noProof/>
              </w:rPr>
              <w:t>Perspectives pour 2025</w:t>
            </w:r>
            <w:r w:rsidR="00014DE9">
              <w:rPr>
                <w:noProof/>
                <w:webHidden/>
              </w:rPr>
              <w:tab/>
            </w:r>
            <w:r w:rsidR="00014DE9">
              <w:rPr>
                <w:noProof/>
                <w:webHidden/>
              </w:rPr>
              <w:fldChar w:fldCharType="begin"/>
            </w:r>
            <w:r w:rsidR="00014DE9">
              <w:rPr>
                <w:noProof/>
                <w:webHidden/>
              </w:rPr>
              <w:instrText xml:space="preserve"> PAGEREF _Toc190677493 \h </w:instrText>
            </w:r>
            <w:r w:rsidR="00014DE9">
              <w:rPr>
                <w:noProof/>
                <w:webHidden/>
              </w:rPr>
            </w:r>
            <w:r w:rsidR="00014DE9">
              <w:rPr>
                <w:noProof/>
                <w:webHidden/>
              </w:rPr>
              <w:fldChar w:fldCharType="separate"/>
            </w:r>
            <w:r w:rsidR="00014DE9">
              <w:rPr>
                <w:noProof/>
                <w:webHidden/>
              </w:rPr>
              <w:t>89</w:t>
            </w:r>
            <w:r w:rsidR="00014DE9">
              <w:rPr>
                <w:noProof/>
                <w:webHidden/>
              </w:rPr>
              <w:fldChar w:fldCharType="end"/>
            </w:r>
          </w:hyperlink>
        </w:p>
        <w:p w14:paraId="63EB86D3" w14:textId="13D90FA8" w:rsidR="00014DE9" w:rsidRDefault="003238C4">
          <w:pPr>
            <w:pStyle w:val="TM2"/>
            <w:tabs>
              <w:tab w:val="right" w:leader="dot" w:pos="9016"/>
            </w:tabs>
            <w:rPr>
              <w:rFonts w:eastAsiaTheme="minorEastAsia"/>
              <w:noProof/>
              <w:sz w:val="24"/>
              <w:szCs w:val="24"/>
              <w:lang w:val="fr-CI" w:eastAsia="fr-CI"/>
            </w:rPr>
          </w:pPr>
          <w:hyperlink w:anchor="_Toc190677494" w:history="1">
            <w:r w:rsidR="00014DE9" w:rsidRPr="00802B9E">
              <w:rPr>
                <w:rStyle w:val="Lienhypertexte"/>
                <w:rFonts w:ascii="Arial Narrow" w:hAnsi="Arial Narrow" w:cs="Arial"/>
                <w:noProof/>
              </w:rPr>
              <w:t>III.3. Recommandations pour l’amélioration de la conception, le suivi et la mise en œuvre du PNDS</w:t>
            </w:r>
            <w:r w:rsidR="00014DE9">
              <w:rPr>
                <w:noProof/>
                <w:webHidden/>
              </w:rPr>
              <w:tab/>
            </w:r>
            <w:r w:rsidR="00014DE9">
              <w:rPr>
                <w:noProof/>
                <w:webHidden/>
              </w:rPr>
              <w:fldChar w:fldCharType="begin"/>
            </w:r>
            <w:r w:rsidR="00014DE9">
              <w:rPr>
                <w:noProof/>
                <w:webHidden/>
              </w:rPr>
              <w:instrText xml:space="preserve"> PAGEREF _Toc190677494 \h </w:instrText>
            </w:r>
            <w:r w:rsidR="00014DE9">
              <w:rPr>
                <w:noProof/>
                <w:webHidden/>
              </w:rPr>
            </w:r>
            <w:r w:rsidR="00014DE9">
              <w:rPr>
                <w:noProof/>
                <w:webHidden/>
              </w:rPr>
              <w:fldChar w:fldCharType="separate"/>
            </w:r>
            <w:r w:rsidR="00014DE9">
              <w:rPr>
                <w:noProof/>
                <w:webHidden/>
              </w:rPr>
              <w:t>91</w:t>
            </w:r>
            <w:r w:rsidR="00014DE9">
              <w:rPr>
                <w:noProof/>
                <w:webHidden/>
              </w:rPr>
              <w:fldChar w:fldCharType="end"/>
            </w:r>
          </w:hyperlink>
        </w:p>
        <w:p w14:paraId="5DA029C9" w14:textId="019C6CD2" w:rsidR="00014DE9" w:rsidRDefault="003238C4">
          <w:pPr>
            <w:pStyle w:val="TM1"/>
            <w:tabs>
              <w:tab w:val="right" w:leader="dot" w:pos="9016"/>
            </w:tabs>
            <w:rPr>
              <w:rFonts w:eastAsiaTheme="minorEastAsia"/>
              <w:noProof/>
              <w:sz w:val="24"/>
              <w:szCs w:val="24"/>
              <w:lang w:val="fr-CI" w:eastAsia="fr-CI"/>
            </w:rPr>
          </w:pPr>
          <w:hyperlink w:anchor="_Toc190677495" w:history="1">
            <w:r w:rsidR="00014DE9" w:rsidRPr="00802B9E">
              <w:rPr>
                <w:rStyle w:val="Lienhypertexte"/>
                <w:rFonts w:ascii="Arial Narrow" w:hAnsi="Arial Narrow" w:cs="Arial"/>
                <w:b/>
                <w:noProof/>
              </w:rPr>
              <w:t>Annexes</w:t>
            </w:r>
            <w:r w:rsidR="00014DE9">
              <w:rPr>
                <w:noProof/>
                <w:webHidden/>
              </w:rPr>
              <w:tab/>
            </w:r>
            <w:r w:rsidR="00014DE9">
              <w:rPr>
                <w:noProof/>
                <w:webHidden/>
              </w:rPr>
              <w:fldChar w:fldCharType="begin"/>
            </w:r>
            <w:r w:rsidR="00014DE9">
              <w:rPr>
                <w:noProof/>
                <w:webHidden/>
              </w:rPr>
              <w:instrText xml:space="preserve"> PAGEREF _Toc190677495 \h </w:instrText>
            </w:r>
            <w:r w:rsidR="00014DE9">
              <w:rPr>
                <w:noProof/>
                <w:webHidden/>
              </w:rPr>
            </w:r>
            <w:r w:rsidR="00014DE9">
              <w:rPr>
                <w:noProof/>
                <w:webHidden/>
              </w:rPr>
              <w:fldChar w:fldCharType="separate"/>
            </w:r>
            <w:r w:rsidR="00014DE9">
              <w:rPr>
                <w:noProof/>
                <w:webHidden/>
              </w:rPr>
              <w:t>94</w:t>
            </w:r>
            <w:r w:rsidR="00014DE9">
              <w:rPr>
                <w:noProof/>
                <w:webHidden/>
              </w:rPr>
              <w:fldChar w:fldCharType="end"/>
            </w:r>
          </w:hyperlink>
        </w:p>
        <w:p w14:paraId="646FFBC1" w14:textId="3313F879" w:rsidR="00014DE9" w:rsidRDefault="003238C4">
          <w:pPr>
            <w:pStyle w:val="TM2"/>
            <w:tabs>
              <w:tab w:val="right" w:leader="dot" w:pos="9016"/>
            </w:tabs>
            <w:rPr>
              <w:rFonts w:eastAsiaTheme="minorEastAsia"/>
              <w:noProof/>
              <w:sz w:val="24"/>
              <w:szCs w:val="24"/>
              <w:lang w:val="fr-CI" w:eastAsia="fr-CI"/>
            </w:rPr>
          </w:pPr>
          <w:hyperlink w:anchor="_Toc190677496" w:history="1">
            <w:r w:rsidR="00014DE9" w:rsidRPr="00802B9E">
              <w:rPr>
                <w:rStyle w:val="Lienhypertexte"/>
                <w:rFonts w:ascii="Arial Narrow" w:hAnsi="Arial Narrow"/>
                <w:noProof/>
              </w:rPr>
              <w:t xml:space="preserve">Annexe 1 : </w:t>
            </w:r>
            <w:r w:rsidR="00014DE9" w:rsidRPr="00802B9E">
              <w:rPr>
                <w:rStyle w:val="Lienhypertexte"/>
                <w:rFonts w:ascii="Arial Narrow" w:hAnsi="Arial Narrow" w:cstheme="minorHAnsi"/>
                <w:noProof/>
              </w:rPr>
              <w:t>Cas-pratiques : comment résoudre les problèmes de santé persistant ?</w:t>
            </w:r>
            <w:r w:rsidR="00014DE9">
              <w:rPr>
                <w:noProof/>
                <w:webHidden/>
              </w:rPr>
              <w:tab/>
            </w:r>
            <w:r w:rsidR="00014DE9">
              <w:rPr>
                <w:noProof/>
                <w:webHidden/>
              </w:rPr>
              <w:fldChar w:fldCharType="begin"/>
            </w:r>
            <w:r w:rsidR="00014DE9">
              <w:rPr>
                <w:noProof/>
                <w:webHidden/>
              </w:rPr>
              <w:instrText xml:space="preserve"> PAGEREF _Toc190677496 \h </w:instrText>
            </w:r>
            <w:r w:rsidR="00014DE9">
              <w:rPr>
                <w:noProof/>
                <w:webHidden/>
              </w:rPr>
            </w:r>
            <w:r w:rsidR="00014DE9">
              <w:rPr>
                <w:noProof/>
                <w:webHidden/>
              </w:rPr>
              <w:fldChar w:fldCharType="separate"/>
            </w:r>
            <w:r w:rsidR="00014DE9">
              <w:rPr>
                <w:noProof/>
                <w:webHidden/>
              </w:rPr>
              <w:t>94</w:t>
            </w:r>
            <w:r w:rsidR="00014DE9">
              <w:rPr>
                <w:noProof/>
                <w:webHidden/>
              </w:rPr>
              <w:fldChar w:fldCharType="end"/>
            </w:r>
          </w:hyperlink>
        </w:p>
        <w:p w14:paraId="3719FEFE" w14:textId="06F0E4F4" w:rsidR="00014DE9" w:rsidRDefault="003238C4">
          <w:pPr>
            <w:pStyle w:val="TM2"/>
            <w:tabs>
              <w:tab w:val="right" w:leader="dot" w:pos="9016"/>
            </w:tabs>
            <w:rPr>
              <w:rFonts w:eastAsiaTheme="minorEastAsia"/>
              <w:noProof/>
              <w:sz w:val="24"/>
              <w:szCs w:val="24"/>
              <w:lang w:val="fr-CI" w:eastAsia="fr-CI"/>
            </w:rPr>
          </w:pPr>
          <w:hyperlink w:anchor="_Toc190677497" w:history="1">
            <w:r w:rsidR="00014DE9" w:rsidRPr="00802B9E">
              <w:rPr>
                <w:rStyle w:val="Lienhypertexte"/>
                <w:rFonts w:ascii="Arial Narrow" w:hAnsi="Arial Narrow"/>
                <w:noProof/>
              </w:rPr>
              <w:t xml:space="preserve">Annexe 2 : </w:t>
            </w:r>
            <w:r w:rsidR="00014DE9" w:rsidRPr="00802B9E">
              <w:rPr>
                <w:rStyle w:val="Lienhypertexte"/>
                <w:rFonts w:ascii="Arial Narrow" w:hAnsi="Arial Narrow" w:cstheme="minorHAnsi"/>
                <w:noProof/>
              </w:rPr>
              <w:t>Outils méthodologiques pour la revue du PNDS 2021-2025</w:t>
            </w:r>
            <w:r w:rsidR="00014DE9">
              <w:rPr>
                <w:noProof/>
                <w:webHidden/>
              </w:rPr>
              <w:tab/>
            </w:r>
            <w:r w:rsidR="00014DE9">
              <w:rPr>
                <w:noProof/>
                <w:webHidden/>
              </w:rPr>
              <w:fldChar w:fldCharType="begin"/>
            </w:r>
            <w:r w:rsidR="00014DE9">
              <w:rPr>
                <w:noProof/>
                <w:webHidden/>
              </w:rPr>
              <w:instrText xml:space="preserve"> PAGEREF _Toc190677497 \h </w:instrText>
            </w:r>
            <w:r w:rsidR="00014DE9">
              <w:rPr>
                <w:noProof/>
                <w:webHidden/>
              </w:rPr>
            </w:r>
            <w:r w:rsidR="00014DE9">
              <w:rPr>
                <w:noProof/>
                <w:webHidden/>
              </w:rPr>
              <w:fldChar w:fldCharType="separate"/>
            </w:r>
            <w:r w:rsidR="00014DE9">
              <w:rPr>
                <w:noProof/>
                <w:webHidden/>
              </w:rPr>
              <w:t>110</w:t>
            </w:r>
            <w:r w:rsidR="00014DE9">
              <w:rPr>
                <w:noProof/>
                <w:webHidden/>
              </w:rPr>
              <w:fldChar w:fldCharType="end"/>
            </w:r>
          </w:hyperlink>
        </w:p>
        <w:p w14:paraId="7B5834FB" w14:textId="4833ABCB" w:rsidR="00014DE9" w:rsidRDefault="003238C4">
          <w:pPr>
            <w:pStyle w:val="TM2"/>
            <w:tabs>
              <w:tab w:val="right" w:leader="dot" w:pos="9016"/>
            </w:tabs>
            <w:rPr>
              <w:rFonts w:eastAsiaTheme="minorEastAsia"/>
              <w:noProof/>
              <w:sz w:val="24"/>
              <w:szCs w:val="24"/>
              <w:lang w:val="fr-CI" w:eastAsia="fr-CI"/>
            </w:rPr>
          </w:pPr>
          <w:hyperlink w:anchor="_Toc190677498" w:history="1">
            <w:r w:rsidR="00014DE9" w:rsidRPr="00802B9E">
              <w:rPr>
                <w:rStyle w:val="Lienhypertexte"/>
                <w:rFonts w:ascii="Arial Narrow" w:hAnsi="Arial Narrow"/>
                <w:noProof/>
              </w:rPr>
              <w:t xml:space="preserve">Annexe 3 : </w:t>
            </w:r>
            <w:r w:rsidR="00014DE9" w:rsidRPr="00802B9E">
              <w:rPr>
                <w:rStyle w:val="Lienhypertexte"/>
                <w:rFonts w:ascii="Arial Narrow" w:hAnsi="Arial Narrow" w:cstheme="minorHAnsi"/>
                <w:noProof/>
              </w:rPr>
              <w:t>Participation au processus de revue du PNDS 2021-2025</w:t>
            </w:r>
            <w:r w:rsidR="00014DE9">
              <w:rPr>
                <w:noProof/>
                <w:webHidden/>
              </w:rPr>
              <w:tab/>
            </w:r>
            <w:r w:rsidR="00014DE9">
              <w:rPr>
                <w:noProof/>
                <w:webHidden/>
              </w:rPr>
              <w:fldChar w:fldCharType="begin"/>
            </w:r>
            <w:r w:rsidR="00014DE9">
              <w:rPr>
                <w:noProof/>
                <w:webHidden/>
              </w:rPr>
              <w:instrText xml:space="preserve"> PAGEREF _Toc190677498 \h </w:instrText>
            </w:r>
            <w:r w:rsidR="00014DE9">
              <w:rPr>
                <w:noProof/>
                <w:webHidden/>
              </w:rPr>
            </w:r>
            <w:r w:rsidR="00014DE9">
              <w:rPr>
                <w:noProof/>
                <w:webHidden/>
              </w:rPr>
              <w:fldChar w:fldCharType="separate"/>
            </w:r>
            <w:r w:rsidR="00014DE9">
              <w:rPr>
                <w:noProof/>
                <w:webHidden/>
              </w:rPr>
              <w:t>110</w:t>
            </w:r>
            <w:r w:rsidR="00014DE9">
              <w:rPr>
                <w:noProof/>
                <w:webHidden/>
              </w:rPr>
              <w:fldChar w:fldCharType="end"/>
            </w:r>
          </w:hyperlink>
        </w:p>
        <w:p w14:paraId="01F571CE" w14:textId="607BAE7C" w:rsidR="00014DE9" w:rsidRDefault="003238C4">
          <w:pPr>
            <w:pStyle w:val="TM2"/>
            <w:tabs>
              <w:tab w:val="right" w:leader="dot" w:pos="9016"/>
            </w:tabs>
            <w:rPr>
              <w:rFonts w:eastAsiaTheme="minorEastAsia"/>
              <w:noProof/>
              <w:sz w:val="24"/>
              <w:szCs w:val="24"/>
              <w:lang w:val="fr-CI" w:eastAsia="fr-CI"/>
            </w:rPr>
          </w:pPr>
          <w:hyperlink w:anchor="_Toc190677499" w:history="1">
            <w:r w:rsidR="00014DE9" w:rsidRPr="00802B9E">
              <w:rPr>
                <w:rStyle w:val="Lienhypertexte"/>
                <w:rFonts w:ascii="Arial Narrow" w:hAnsi="Arial Narrow"/>
                <w:noProof/>
              </w:rPr>
              <w:t xml:space="preserve">Annexe 4 : </w:t>
            </w:r>
            <w:r w:rsidR="00014DE9" w:rsidRPr="00802B9E">
              <w:rPr>
                <w:rStyle w:val="Lienhypertexte"/>
                <w:rFonts w:ascii="Arial Narrow" w:hAnsi="Arial Narrow" w:cstheme="minorHAnsi"/>
                <w:noProof/>
              </w:rPr>
              <w:t>Evolution des indicateurs du PNDS 2021-2025, au titre de la période 2021-2023</w:t>
            </w:r>
            <w:r w:rsidR="00014DE9">
              <w:rPr>
                <w:noProof/>
                <w:webHidden/>
              </w:rPr>
              <w:tab/>
            </w:r>
            <w:r w:rsidR="00014DE9">
              <w:rPr>
                <w:noProof/>
                <w:webHidden/>
              </w:rPr>
              <w:fldChar w:fldCharType="begin"/>
            </w:r>
            <w:r w:rsidR="00014DE9">
              <w:rPr>
                <w:noProof/>
                <w:webHidden/>
              </w:rPr>
              <w:instrText xml:space="preserve"> PAGEREF _Toc190677499 \h </w:instrText>
            </w:r>
            <w:r w:rsidR="00014DE9">
              <w:rPr>
                <w:noProof/>
                <w:webHidden/>
              </w:rPr>
            </w:r>
            <w:r w:rsidR="00014DE9">
              <w:rPr>
                <w:noProof/>
                <w:webHidden/>
              </w:rPr>
              <w:fldChar w:fldCharType="separate"/>
            </w:r>
            <w:r w:rsidR="00014DE9">
              <w:rPr>
                <w:noProof/>
                <w:webHidden/>
              </w:rPr>
              <w:t>110</w:t>
            </w:r>
            <w:r w:rsidR="00014DE9">
              <w:rPr>
                <w:noProof/>
                <w:webHidden/>
              </w:rPr>
              <w:fldChar w:fldCharType="end"/>
            </w:r>
          </w:hyperlink>
        </w:p>
        <w:p w14:paraId="2BF5E2D4" w14:textId="6550FE34" w:rsidR="00625237" w:rsidRPr="007E7C5B" w:rsidRDefault="00625237" w:rsidP="00761F55">
          <w:pPr>
            <w:jc w:val="both"/>
            <w:rPr>
              <w:rFonts w:ascii="Arial Narrow" w:hAnsi="Arial Narrow" w:cs="Arial"/>
              <w:sz w:val="24"/>
              <w:szCs w:val="24"/>
            </w:rPr>
          </w:pPr>
          <w:r w:rsidRPr="007E7C5B">
            <w:rPr>
              <w:rFonts w:ascii="Arial Narrow" w:hAnsi="Arial Narrow" w:cs="Arial"/>
              <w:b/>
              <w:sz w:val="24"/>
              <w:szCs w:val="24"/>
            </w:rPr>
            <w:fldChar w:fldCharType="end"/>
          </w:r>
        </w:p>
      </w:sdtContent>
    </w:sdt>
    <w:p w14:paraId="65061B94" w14:textId="3BD6833A" w:rsidR="00F23507" w:rsidRPr="007E7C5B" w:rsidRDefault="00F23507" w:rsidP="00761F55">
      <w:pPr>
        <w:jc w:val="both"/>
        <w:rPr>
          <w:rFonts w:ascii="Arial Narrow" w:hAnsi="Arial Narrow" w:cs="Arial"/>
          <w:b/>
          <w:sz w:val="24"/>
          <w:szCs w:val="24"/>
        </w:rPr>
      </w:pPr>
    </w:p>
    <w:p w14:paraId="6EA49093" w14:textId="77777777" w:rsidR="00DE3603" w:rsidRPr="007E7C5B" w:rsidRDefault="00DE3603" w:rsidP="00761F55">
      <w:pPr>
        <w:jc w:val="both"/>
        <w:rPr>
          <w:rFonts w:ascii="Arial Narrow" w:hAnsi="Arial Narrow" w:cs="Arial"/>
          <w:b/>
          <w:sz w:val="24"/>
          <w:szCs w:val="24"/>
        </w:rPr>
      </w:pPr>
      <w:r w:rsidRPr="007E7C5B">
        <w:rPr>
          <w:rFonts w:ascii="Arial Narrow" w:hAnsi="Arial Narrow" w:cs="Arial"/>
          <w:b/>
          <w:sz w:val="24"/>
          <w:szCs w:val="24"/>
        </w:rPr>
        <w:br w:type="page"/>
      </w:r>
    </w:p>
    <w:p w14:paraId="734236F5" w14:textId="2CDE44D2" w:rsidR="00DE3603" w:rsidRPr="007E7C5B" w:rsidRDefault="00FA1970" w:rsidP="00761F55">
      <w:pPr>
        <w:pStyle w:val="Titre1"/>
        <w:jc w:val="both"/>
        <w:rPr>
          <w:rFonts w:ascii="Arial Narrow" w:hAnsi="Arial Narrow" w:cs="Arial"/>
          <w:b/>
          <w:color w:val="auto"/>
          <w:sz w:val="24"/>
          <w:szCs w:val="24"/>
        </w:rPr>
      </w:pPr>
      <w:bookmarkStart w:id="0" w:name="_Toc190677456"/>
      <w:r w:rsidRPr="007E7C5B">
        <w:rPr>
          <w:rFonts w:ascii="Arial Narrow" w:hAnsi="Arial Narrow" w:cs="Arial"/>
          <w:b/>
          <w:color w:val="auto"/>
          <w:sz w:val="24"/>
          <w:szCs w:val="24"/>
        </w:rPr>
        <w:lastRenderedPageBreak/>
        <w:t>Note importante</w:t>
      </w:r>
      <w:bookmarkEnd w:id="0"/>
    </w:p>
    <w:p w14:paraId="4E434F23" w14:textId="64AF30BB" w:rsidR="00DE3603" w:rsidRPr="007E7C5B" w:rsidRDefault="00A24D33" w:rsidP="00761F55">
      <w:pPr>
        <w:jc w:val="both"/>
        <w:rPr>
          <w:rFonts w:ascii="Arial Narrow" w:hAnsi="Arial Narrow" w:cs="Arial"/>
          <w:sz w:val="24"/>
          <w:szCs w:val="24"/>
        </w:rPr>
      </w:pPr>
      <w:r w:rsidRPr="007E7C5B">
        <w:rPr>
          <w:rFonts w:ascii="Arial Narrow" w:hAnsi="Arial Narrow" w:cs="Arial"/>
          <w:i/>
          <w:sz w:val="24"/>
          <w:szCs w:val="24"/>
        </w:rPr>
        <w:t>TBI ne fournit pas de conseils juridiques, comptables ou fiscaux. Il appartient au Client d'obtenir un avis indépendant sur ces questions. En outre, TBI ne s'engag</w:t>
      </w:r>
      <w:r w:rsidR="00A54F10" w:rsidRPr="007E7C5B">
        <w:rPr>
          <w:rFonts w:ascii="Arial Narrow" w:hAnsi="Arial Narrow" w:cs="Arial"/>
          <w:i/>
          <w:sz w:val="24"/>
          <w:szCs w:val="24"/>
        </w:rPr>
        <w:t>e pas</w:t>
      </w:r>
      <w:r w:rsidRPr="007E7C5B">
        <w:rPr>
          <w:rFonts w:ascii="Arial Narrow" w:hAnsi="Arial Narrow" w:cs="Arial"/>
          <w:i/>
          <w:sz w:val="24"/>
          <w:szCs w:val="24"/>
        </w:rPr>
        <w:t xml:space="preserve"> à mettre à jour ces documents après la date du présent document, même si ces informations peuvent devenir obsolètes ou inexactes.</w:t>
      </w:r>
    </w:p>
    <w:p w14:paraId="073FCE8E" w14:textId="53D3EA06" w:rsidR="00DE3603" w:rsidRPr="007E7C5B" w:rsidRDefault="00A141AD" w:rsidP="00761F55">
      <w:pPr>
        <w:jc w:val="both"/>
        <w:rPr>
          <w:rFonts w:ascii="Arial Narrow" w:hAnsi="Arial Narrow" w:cs="Arial"/>
          <w:sz w:val="24"/>
          <w:szCs w:val="24"/>
        </w:rPr>
      </w:pPr>
      <w:r w:rsidRPr="007E7C5B">
        <w:rPr>
          <w:rFonts w:ascii="Arial Narrow" w:hAnsi="Arial Narrow" w:cs="Arial"/>
          <w:i/>
          <w:sz w:val="24"/>
          <w:szCs w:val="24"/>
        </w:rPr>
        <w:t>Le contenu de ce document est conçu uniquement pour les objectifs limités décrits dans l'introduction. Le document est strictement confidentiel. Il ne peut être copié ou remis à aucune personne ou entité autre que le Client ("Tiers"). Par conséquent, il est déraisonnable pour un tiers de se fonder sur ces documents à quelque fin que ce soit.</w:t>
      </w:r>
      <w:r w:rsidR="00DE3603" w:rsidRPr="007E7C5B">
        <w:rPr>
          <w:rFonts w:ascii="Arial Narrow" w:hAnsi="Arial Narrow" w:cs="Arial"/>
          <w:i/>
          <w:sz w:val="24"/>
          <w:szCs w:val="24"/>
        </w:rPr>
        <w:t xml:space="preserve"> </w:t>
      </w:r>
    </w:p>
    <w:p w14:paraId="7C7497D3" w14:textId="77777777" w:rsidR="00630131" w:rsidRPr="007E7C5B" w:rsidRDefault="00630131" w:rsidP="00761F55">
      <w:pPr>
        <w:jc w:val="both"/>
        <w:rPr>
          <w:rFonts w:ascii="Arial Narrow" w:hAnsi="Arial Narrow" w:cs="Arial"/>
          <w:i/>
          <w:sz w:val="24"/>
          <w:szCs w:val="24"/>
        </w:rPr>
      </w:pPr>
      <w:r w:rsidRPr="007E7C5B">
        <w:rPr>
          <w:rFonts w:ascii="Arial Narrow" w:hAnsi="Arial Narrow" w:cs="Arial"/>
          <w:i/>
          <w:sz w:val="24"/>
          <w:szCs w:val="24"/>
        </w:rPr>
        <w:t>Dans toute la mesure permise par la loi (et sauf accord contraire dans un écrit signé par TBI), TBI n'a aucune responsabilité à l'égard d'un tiers, et tout tiers renonce par la présente à tout droit et à toute réclamation qu'il pourrait avoir à tout moment à l'encontre de TBI concernant les services, cette présentation ou d'autres documents, y compris l'exactitude ou l'exhaustivité de ces derniers.</w:t>
      </w:r>
    </w:p>
    <w:p w14:paraId="0025C0FF" w14:textId="59A376F7" w:rsidR="00DE3603" w:rsidRPr="007E7C5B" w:rsidRDefault="00203B0D" w:rsidP="00761F55">
      <w:pPr>
        <w:jc w:val="both"/>
        <w:rPr>
          <w:rFonts w:ascii="Arial Narrow" w:hAnsi="Arial Narrow" w:cs="Arial"/>
          <w:sz w:val="24"/>
          <w:szCs w:val="24"/>
        </w:rPr>
      </w:pPr>
      <w:r w:rsidRPr="007E7C5B">
        <w:rPr>
          <w:rFonts w:ascii="Arial Narrow" w:hAnsi="Arial Narrow" w:cs="Arial"/>
          <w:i/>
          <w:sz w:val="24"/>
          <w:szCs w:val="24"/>
        </w:rPr>
        <w:t>Ce document n'est pas destiné à : (i) constituer un conseil financier, ni s'y substituer ; ni (ii) être considéré comme une approbation ou une recommandation formelle d'une ligne de conduite particulière. Il vous est donc conseillé de procéder à votre propre évaluation quant à la ligne de conduite à adopter, en utilisant ce document comme guide.</w:t>
      </w:r>
      <w:r w:rsidR="00DE3603" w:rsidRPr="007E7C5B">
        <w:rPr>
          <w:rFonts w:ascii="Arial Narrow" w:hAnsi="Arial Narrow" w:cs="Arial"/>
          <w:i/>
          <w:sz w:val="24"/>
          <w:szCs w:val="24"/>
        </w:rPr>
        <w:t xml:space="preserve"> </w:t>
      </w:r>
    </w:p>
    <w:p w14:paraId="283389D6" w14:textId="5F23774C" w:rsidR="00F23507" w:rsidRPr="007E7C5B" w:rsidRDefault="00F23507" w:rsidP="00761F55">
      <w:pPr>
        <w:jc w:val="both"/>
        <w:rPr>
          <w:rFonts w:ascii="Arial Narrow" w:hAnsi="Arial Narrow" w:cs="Arial"/>
          <w:b/>
          <w:sz w:val="24"/>
          <w:szCs w:val="24"/>
        </w:rPr>
      </w:pPr>
      <w:r w:rsidRPr="007E7C5B">
        <w:rPr>
          <w:rFonts w:ascii="Arial Narrow" w:hAnsi="Arial Narrow" w:cs="Arial"/>
          <w:b/>
          <w:sz w:val="24"/>
          <w:szCs w:val="24"/>
        </w:rPr>
        <w:br w:type="page"/>
      </w:r>
    </w:p>
    <w:p w14:paraId="10E1A1F1" w14:textId="77777777" w:rsidR="00391272" w:rsidRPr="007E7C5B" w:rsidRDefault="0059666A" w:rsidP="00761F55">
      <w:pPr>
        <w:pStyle w:val="Titre1"/>
        <w:jc w:val="both"/>
        <w:rPr>
          <w:rFonts w:ascii="Arial Narrow" w:hAnsi="Arial Narrow" w:cs="Arial"/>
          <w:b/>
          <w:color w:val="auto"/>
          <w:sz w:val="24"/>
          <w:szCs w:val="24"/>
        </w:rPr>
      </w:pPr>
      <w:bookmarkStart w:id="1" w:name="_Toc178699532"/>
      <w:bookmarkStart w:id="2" w:name="_Toc190677457"/>
      <w:r w:rsidRPr="007E7C5B">
        <w:rPr>
          <w:rFonts w:ascii="Arial Narrow" w:hAnsi="Arial Narrow" w:cs="Arial"/>
          <w:b/>
          <w:color w:val="auto"/>
          <w:sz w:val="24"/>
          <w:szCs w:val="24"/>
        </w:rPr>
        <w:lastRenderedPageBreak/>
        <w:t>Liste des tableaux</w:t>
      </w:r>
      <w:bookmarkEnd w:id="1"/>
      <w:bookmarkEnd w:id="2"/>
    </w:p>
    <w:p w14:paraId="16B805D2" w14:textId="4F00EFE2" w:rsidR="00437C3A" w:rsidRDefault="00A03757">
      <w:pPr>
        <w:pStyle w:val="Tabledesillustrations"/>
        <w:tabs>
          <w:tab w:val="right" w:leader="dot" w:pos="9016"/>
        </w:tabs>
        <w:rPr>
          <w:rFonts w:eastAsiaTheme="minorEastAsia"/>
          <w:noProof/>
          <w:sz w:val="24"/>
          <w:szCs w:val="24"/>
          <w:lang w:val="en-GB" w:eastAsia="en-GB"/>
        </w:rPr>
      </w:pPr>
      <w:r w:rsidRPr="007E7C5B">
        <w:rPr>
          <w:rFonts w:ascii="Arial Narrow" w:hAnsi="Arial Narrow" w:cs="Arial"/>
          <w:b/>
          <w:sz w:val="24"/>
          <w:szCs w:val="24"/>
        </w:rPr>
        <w:fldChar w:fldCharType="begin"/>
      </w:r>
      <w:r w:rsidRPr="007E7C5B">
        <w:rPr>
          <w:rFonts w:ascii="Arial Narrow" w:hAnsi="Arial Narrow" w:cs="Arial"/>
          <w:b/>
          <w:sz w:val="24"/>
          <w:szCs w:val="24"/>
        </w:rPr>
        <w:instrText xml:space="preserve"> TOC \h \z \c "Tableau" </w:instrText>
      </w:r>
      <w:r w:rsidRPr="007E7C5B">
        <w:rPr>
          <w:rFonts w:ascii="Arial Narrow" w:hAnsi="Arial Narrow" w:cs="Arial"/>
          <w:b/>
          <w:sz w:val="24"/>
          <w:szCs w:val="24"/>
        </w:rPr>
        <w:fldChar w:fldCharType="separate"/>
      </w:r>
      <w:hyperlink w:anchor="_Toc183688749" w:history="1">
        <w:r w:rsidR="00437C3A" w:rsidRPr="00BA79E6">
          <w:rPr>
            <w:rStyle w:val="Lienhypertexte"/>
            <w:noProof/>
          </w:rPr>
          <w:t>Tableau 1 : Evolution des indicateurs ODD sur la période 2021-2023</w:t>
        </w:r>
        <w:r w:rsidR="00437C3A">
          <w:rPr>
            <w:noProof/>
            <w:webHidden/>
          </w:rPr>
          <w:tab/>
        </w:r>
        <w:r w:rsidR="00437C3A">
          <w:rPr>
            <w:noProof/>
            <w:webHidden/>
          </w:rPr>
          <w:fldChar w:fldCharType="begin"/>
        </w:r>
        <w:r w:rsidR="00437C3A">
          <w:rPr>
            <w:noProof/>
            <w:webHidden/>
          </w:rPr>
          <w:instrText xml:space="preserve"> PAGEREF _Toc183688749 \h </w:instrText>
        </w:r>
        <w:r w:rsidR="00437C3A">
          <w:rPr>
            <w:noProof/>
            <w:webHidden/>
          </w:rPr>
        </w:r>
        <w:r w:rsidR="00437C3A">
          <w:rPr>
            <w:noProof/>
            <w:webHidden/>
          </w:rPr>
          <w:fldChar w:fldCharType="separate"/>
        </w:r>
        <w:r w:rsidR="00437C3A">
          <w:rPr>
            <w:noProof/>
            <w:webHidden/>
          </w:rPr>
          <w:t>23</w:t>
        </w:r>
        <w:r w:rsidR="00437C3A">
          <w:rPr>
            <w:noProof/>
            <w:webHidden/>
          </w:rPr>
          <w:fldChar w:fldCharType="end"/>
        </w:r>
      </w:hyperlink>
    </w:p>
    <w:p w14:paraId="2CC4036F" w14:textId="695E0590" w:rsidR="00437C3A" w:rsidRDefault="003238C4">
      <w:pPr>
        <w:pStyle w:val="Tabledesillustrations"/>
        <w:tabs>
          <w:tab w:val="right" w:leader="dot" w:pos="9016"/>
        </w:tabs>
        <w:rPr>
          <w:rFonts w:eastAsiaTheme="minorEastAsia"/>
          <w:noProof/>
          <w:sz w:val="24"/>
          <w:szCs w:val="24"/>
          <w:lang w:val="en-GB" w:eastAsia="en-GB"/>
        </w:rPr>
      </w:pPr>
      <w:hyperlink w:anchor="_Toc183688750" w:history="1">
        <w:r w:rsidR="00437C3A" w:rsidRPr="00BA79E6">
          <w:rPr>
            <w:rStyle w:val="Lienhypertexte"/>
            <w:noProof/>
          </w:rPr>
          <w:t>Tableau 2 : Défis opérationnels liés à la mise en œuvre de la réforme sur l'achat stratégique en santé incluant le financement basé sur la performance</w:t>
        </w:r>
        <w:r w:rsidR="00437C3A">
          <w:rPr>
            <w:noProof/>
            <w:webHidden/>
          </w:rPr>
          <w:tab/>
        </w:r>
        <w:r w:rsidR="00437C3A">
          <w:rPr>
            <w:noProof/>
            <w:webHidden/>
          </w:rPr>
          <w:fldChar w:fldCharType="begin"/>
        </w:r>
        <w:r w:rsidR="00437C3A">
          <w:rPr>
            <w:noProof/>
            <w:webHidden/>
          </w:rPr>
          <w:instrText xml:space="preserve"> PAGEREF _Toc183688750 \h </w:instrText>
        </w:r>
        <w:r w:rsidR="00437C3A">
          <w:rPr>
            <w:noProof/>
            <w:webHidden/>
          </w:rPr>
        </w:r>
        <w:r w:rsidR="00437C3A">
          <w:rPr>
            <w:noProof/>
            <w:webHidden/>
          </w:rPr>
          <w:fldChar w:fldCharType="separate"/>
        </w:r>
        <w:r w:rsidR="00437C3A">
          <w:rPr>
            <w:noProof/>
            <w:webHidden/>
          </w:rPr>
          <w:t>71</w:t>
        </w:r>
        <w:r w:rsidR="00437C3A">
          <w:rPr>
            <w:noProof/>
            <w:webHidden/>
          </w:rPr>
          <w:fldChar w:fldCharType="end"/>
        </w:r>
      </w:hyperlink>
    </w:p>
    <w:p w14:paraId="76C4915D" w14:textId="0E8CA794" w:rsidR="00437C3A" w:rsidRDefault="003238C4">
      <w:pPr>
        <w:pStyle w:val="Tabledesillustrations"/>
        <w:tabs>
          <w:tab w:val="right" w:leader="dot" w:pos="9016"/>
        </w:tabs>
        <w:rPr>
          <w:rFonts w:eastAsiaTheme="minorEastAsia"/>
          <w:noProof/>
          <w:sz w:val="24"/>
          <w:szCs w:val="24"/>
          <w:lang w:val="en-GB" w:eastAsia="en-GB"/>
        </w:rPr>
      </w:pPr>
      <w:hyperlink w:anchor="_Toc183688751" w:history="1">
        <w:r w:rsidR="00437C3A" w:rsidRPr="00BA79E6">
          <w:rPr>
            <w:rStyle w:val="Lienhypertexte"/>
            <w:noProof/>
          </w:rPr>
          <w:t>Tableau 3 : Défis opérationnels liés à la mise en œuvre de la réforme sur la Couverture Maladie Universelle (CMU)</w:t>
        </w:r>
        <w:r w:rsidR="00437C3A">
          <w:rPr>
            <w:noProof/>
            <w:webHidden/>
          </w:rPr>
          <w:tab/>
        </w:r>
        <w:r w:rsidR="00437C3A">
          <w:rPr>
            <w:noProof/>
            <w:webHidden/>
          </w:rPr>
          <w:fldChar w:fldCharType="begin"/>
        </w:r>
        <w:r w:rsidR="00437C3A">
          <w:rPr>
            <w:noProof/>
            <w:webHidden/>
          </w:rPr>
          <w:instrText xml:space="preserve"> PAGEREF _Toc183688751 \h </w:instrText>
        </w:r>
        <w:r w:rsidR="00437C3A">
          <w:rPr>
            <w:noProof/>
            <w:webHidden/>
          </w:rPr>
        </w:r>
        <w:r w:rsidR="00437C3A">
          <w:rPr>
            <w:noProof/>
            <w:webHidden/>
          </w:rPr>
          <w:fldChar w:fldCharType="separate"/>
        </w:r>
        <w:r w:rsidR="00437C3A">
          <w:rPr>
            <w:noProof/>
            <w:webHidden/>
          </w:rPr>
          <w:t>73</w:t>
        </w:r>
        <w:r w:rsidR="00437C3A">
          <w:rPr>
            <w:noProof/>
            <w:webHidden/>
          </w:rPr>
          <w:fldChar w:fldCharType="end"/>
        </w:r>
      </w:hyperlink>
    </w:p>
    <w:p w14:paraId="6E098708" w14:textId="07ED3EB6" w:rsidR="00437C3A" w:rsidRDefault="003238C4">
      <w:pPr>
        <w:pStyle w:val="Tabledesillustrations"/>
        <w:tabs>
          <w:tab w:val="right" w:leader="dot" w:pos="9016"/>
        </w:tabs>
        <w:rPr>
          <w:rFonts w:eastAsiaTheme="minorEastAsia"/>
          <w:noProof/>
          <w:sz w:val="24"/>
          <w:szCs w:val="24"/>
          <w:lang w:val="en-GB" w:eastAsia="en-GB"/>
        </w:rPr>
      </w:pPr>
      <w:hyperlink w:anchor="_Toc183688752" w:history="1">
        <w:r w:rsidR="00437C3A" w:rsidRPr="00BA79E6">
          <w:rPr>
            <w:rStyle w:val="Lienhypertexte"/>
            <w:noProof/>
          </w:rPr>
          <w:t>Tableau 4 : Défis opérationnels liés à l'opérationnalisation de la réforme sur l’intégration et le développement du secteur privé</w:t>
        </w:r>
        <w:r w:rsidR="00437C3A">
          <w:rPr>
            <w:noProof/>
            <w:webHidden/>
          </w:rPr>
          <w:tab/>
        </w:r>
        <w:r w:rsidR="00437C3A">
          <w:rPr>
            <w:noProof/>
            <w:webHidden/>
          </w:rPr>
          <w:fldChar w:fldCharType="begin"/>
        </w:r>
        <w:r w:rsidR="00437C3A">
          <w:rPr>
            <w:noProof/>
            <w:webHidden/>
          </w:rPr>
          <w:instrText xml:space="preserve"> PAGEREF _Toc183688752 \h </w:instrText>
        </w:r>
        <w:r w:rsidR="00437C3A">
          <w:rPr>
            <w:noProof/>
            <w:webHidden/>
          </w:rPr>
        </w:r>
        <w:r w:rsidR="00437C3A">
          <w:rPr>
            <w:noProof/>
            <w:webHidden/>
          </w:rPr>
          <w:fldChar w:fldCharType="separate"/>
        </w:r>
        <w:r w:rsidR="00437C3A">
          <w:rPr>
            <w:noProof/>
            <w:webHidden/>
          </w:rPr>
          <w:t>74</w:t>
        </w:r>
        <w:r w:rsidR="00437C3A">
          <w:rPr>
            <w:noProof/>
            <w:webHidden/>
          </w:rPr>
          <w:fldChar w:fldCharType="end"/>
        </w:r>
      </w:hyperlink>
    </w:p>
    <w:p w14:paraId="7E8E2D9F" w14:textId="7C2813D5" w:rsidR="00437C3A" w:rsidRDefault="003238C4">
      <w:pPr>
        <w:pStyle w:val="Tabledesillustrations"/>
        <w:tabs>
          <w:tab w:val="right" w:leader="dot" w:pos="9016"/>
        </w:tabs>
        <w:rPr>
          <w:rFonts w:eastAsiaTheme="minorEastAsia"/>
          <w:noProof/>
          <w:sz w:val="24"/>
          <w:szCs w:val="24"/>
          <w:lang w:val="en-GB" w:eastAsia="en-GB"/>
        </w:rPr>
      </w:pPr>
      <w:hyperlink w:anchor="_Toc183688753" w:history="1">
        <w:r w:rsidR="00437C3A" w:rsidRPr="00BA79E6">
          <w:rPr>
            <w:rStyle w:val="Lienhypertexte"/>
            <w:noProof/>
          </w:rPr>
          <w:t>Tableau 5 : Défis opérationnels liés à l'opérationnalisation de la réforme hospitalière</w:t>
        </w:r>
        <w:r w:rsidR="00437C3A">
          <w:rPr>
            <w:noProof/>
            <w:webHidden/>
          </w:rPr>
          <w:tab/>
        </w:r>
        <w:r w:rsidR="00437C3A">
          <w:rPr>
            <w:noProof/>
            <w:webHidden/>
          </w:rPr>
          <w:fldChar w:fldCharType="begin"/>
        </w:r>
        <w:r w:rsidR="00437C3A">
          <w:rPr>
            <w:noProof/>
            <w:webHidden/>
          </w:rPr>
          <w:instrText xml:space="preserve"> PAGEREF _Toc183688753 \h </w:instrText>
        </w:r>
        <w:r w:rsidR="00437C3A">
          <w:rPr>
            <w:noProof/>
            <w:webHidden/>
          </w:rPr>
        </w:r>
        <w:r w:rsidR="00437C3A">
          <w:rPr>
            <w:noProof/>
            <w:webHidden/>
          </w:rPr>
          <w:fldChar w:fldCharType="separate"/>
        </w:r>
        <w:r w:rsidR="00437C3A">
          <w:rPr>
            <w:noProof/>
            <w:webHidden/>
          </w:rPr>
          <w:t>75</w:t>
        </w:r>
        <w:r w:rsidR="00437C3A">
          <w:rPr>
            <w:noProof/>
            <w:webHidden/>
          </w:rPr>
          <w:fldChar w:fldCharType="end"/>
        </w:r>
      </w:hyperlink>
    </w:p>
    <w:p w14:paraId="2F79265F" w14:textId="5BCCFAF1" w:rsidR="00437C3A" w:rsidRDefault="003238C4">
      <w:pPr>
        <w:pStyle w:val="Tabledesillustrations"/>
        <w:tabs>
          <w:tab w:val="right" w:leader="dot" w:pos="9016"/>
        </w:tabs>
        <w:rPr>
          <w:rFonts w:eastAsiaTheme="minorEastAsia"/>
          <w:noProof/>
          <w:sz w:val="24"/>
          <w:szCs w:val="24"/>
          <w:lang w:val="en-GB" w:eastAsia="en-GB"/>
        </w:rPr>
      </w:pPr>
      <w:hyperlink w:anchor="_Toc183688754" w:history="1">
        <w:r w:rsidR="00437C3A" w:rsidRPr="00BA79E6">
          <w:rPr>
            <w:rStyle w:val="Lienhypertexte"/>
            <w:noProof/>
          </w:rPr>
          <w:t>Tableau 6 : Défis opérationnels liés à l'opérationnalisation de la réforme sur les Pôles Régionaux d’Excellence en Santé (PRES)</w:t>
        </w:r>
        <w:r w:rsidR="00437C3A">
          <w:rPr>
            <w:noProof/>
            <w:webHidden/>
          </w:rPr>
          <w:tab/>
        </w:r>
        <w:r w:rsidR="00437C3A">
          <w:rPr>
            <w:noProof/>
            <w:webHidden/>
          </w:rPr>
          <w:fldChar w:fldCharType="begin"/>
        </w:r>
        <w:r w:rsidR="00437C3A">
          <w:rPr>
            <w:noProof/>
            <w:webHidden/>
          </w:rPr>
          <w:instrText xml:space="preserve"> PAGEREF _Toc183688754 \h </w:instrText>
        </w:r>
        <w:r w:rsidR="00437C3A">
          <w:rPr>
            <w:noProof/>
            <w:webHidden/>
          </w:rPr>
        </w:r>
        <w:r w:rsidR="00437C3A">
          <w:rPr>
            <w:noProof/>
            <w:webHidden/>
          </w:rPr>
          <w:fldChar w:fldCharType="separate"/>
        </w:r>
        <w:r w:rsidR="00437C3A">
          <w:rPr>
            <w:noProof/>
            <w:webHidden/>
          </w:rPr>
          <w:t>76</w:t>
        </w:r>
        <w:r w:rsidR="00437C3A">
          <w:rPr>
            <w:noProof/>
            <w:webHidden/>
          </w:rPr>
          <w:fldChar w:fldCharType="end"/>
        </w:r>
      </w:hyperlink>
    </w:p>
    <w:p w14:paraId="55C1DCDB" w14:textId="591DD1BF" w:rsidR="00437C3A" w:rsidRDefault="003238C4">
      <w:pPr>
        <w:pStyle w:val="Tabledesillustrations"/>
        <w:tabs>
          <w:tab w:val="right" w:leader="dot" w:pos="9016"/>
        </w:tabs>
        <w:rPr>
          <w:rFonts w:eastAsiaTheme="minorEastAsia"/>
          <w:noProof/>
          <w:sz w:val="24"/>
          <w:szCs w:val="24"/>
          <w:lang w:val="en-GB" w:eastAsia="en-GB"/>
        </w:rPr>
      </w:pPr>
      <w:hyperlink w:anchor="_Toc183688755" w:history="1">
        <w:r w:rsidR="00437C3A" w:rsidRPr="00BA79E6">
          <w:rPr>
            <w:rStyle w:val="Lienhypertexte"/>
            <w:noProof/>
          </w:rPr>
          <w:t>Tableau 7 : Recommandations pour la résolution des problèmes de santé relatifs à la santé de la mère et de l'enfant</w:t>
        </w:r>
        <w:r w:rsidR="00437C3A">
          <w:rPr>
            <w:noProof/>
            <w:webHidden/>
          </w:rPr>
          <w:tab/>
        </w:r>
        <w:r w:rsidR="00437C3A">
          <w:rPr>
            <w:noProof/>
            <w:webHidden/>
          </w:rPr>
          <w:fldChar w:fldCharType="begin"/>
        </w:r>
        <w:r w:rsidR="00437C3A">
          <w:rPr>
            <w:noProof/>
            <w:webHidden/>
          </w:rPr>
          <w:instrText xml:space="preserve"> PAGEREF _Toc183688755 \h </w:instrText>
        </w:r>
        <w:r w:rsidR="00437C3A">
          <w:rPr>
            <w:noProof/>
            <w:webHidden/>
          </w:rPr>
        </w:r>
        <w:r w:rsidR="00437C3A">
          <w:rPr>
            <w:noProof/>
            <w:webHidden/>
          </w:rPr>
          <w:fldChar w:fldCharType="separate"/>
        </w:r>
        <w:r w:rsidR="00437C3A">
          <w:rPr>
            <w:noProof/>
            <w:webHidden/>
          </w:rPr>
          <w:t>91</w:t>
        </w:r>
        <w:r w:rsidR="00437C3A">
          <w:rPr>
            <w:noProof/>
            <w:webHidden/>
          </w:rPr>
          <w:fldChar w:fldCharType="end"/>
        </w:r>
      </w:hyperlink>
    </w:p>
    <w:p w14:paraId="0942AF4E" w14:textId="3944C418" w:rsidR="00437C3A" w:rsidRDefault="003238C4">
      <w:pPr>
        <w:pStyle w:val="Tabledesillustrations"/>
        <w:tabs>
          <w:tab w:val="right" w:leader="dot" w:pos="9016"/>
        </w:tabs>
        <w:rPr>
          <w:rFonts w:eastAsiaTheme="minorEastAsia"/>
          <w:noProof/>
          <w:sz w:val="24"/>
          <w:szCs w:val="24"/>
          <w:lang w:val="en-GB" w:eastAsia="en-GB"/>
        </w:rPr>
      </w:pPr>
      <w:hyperlink w:anchor="_Toc183688756" w:history="1">
        <w:r w:rsidR="00437C3A" w:rsidRPr="00BA79E6">
          <w:rPr>
            <w:rStyle w:val="Lienhypertexte"/>
            <w:noProof/>
          </w:rPr>
          <w:t>Tableau 8 : Recommandations pour la résolution des problèmes de santé relatifs à l’accessibilité</w:t>
        </w:r>
        <w:r w:rsidR="00437C3A">
          <w:rPr>
            <w:noProof/>
            <w:webHidden/>
          </w:rPr>
          <w:tab/>
        </w:r>
        <w:r w:rsidR="00437C3A">
          <w:rPr>
            <w:noProof/>
            <w:webHidden/>
          </w:rPr>
          <w:fldChar w:fldCharType="begin"/>
        </w:r>
        <w:r w:rsidR="00437C3A">
          <w:rPr>
            <w:noProof/>
            <w:webHidden/>
          </w:rPr>
          <w:instrText xml:space="preserve"> PAGEREF _Toc183688756 \h </w:instrText>
        </w:r>
        <w:r w:rsidR="00437C3A">
          <w:rPr>
            <w:noProof/>
            <w:webHidden/>
          </w:rPr>
        </w:r>
        <w:r w:rsidR="00437C3A">
          <w:rPr>
            <w:noProof/>
            <w:webHidden/>
          </w:rPr>
          <w:fldChar w:fldCharType="separate"/>
        </w:r>
        <w:r w:rsidR="00437C3A">
          <w:rPr>
            <w:noProof/>
            <w:webHidden/>
          </w:rPr>
          <w:t>95</w:t>
        </w:r>
        <w:r w:rsidR="00437C3A">
          <w:rPr>
            <w:noProof/>
            <w:webHidden/>
          </w:rPr>
          <w:fldChar w:fldCharType="end"/>
        </w:r>
      </w:hyperlink>
    </w:p>
    <w:p w14:paraId="5E4BEC78" w14:textId="5962E178" w:rsidR="00437C3A" w:rsidRDefault="003238C4">
      <w:pPr>
        <w:pStyle w:val="Tabledesillustrations"/>
        <w:tabs>
          <w:tab w:val="right" w:leader="dot" w:pos="9016"/>
        </w:tabs>
        <w:rPr>
          <w:rFonts w:eastAsiaTheme="minorEastAsia"/>
          <w:noProof/>
          <w:sz w:val="24"/>
          <w:szCs w:val="24"/>
          <w:lang w:val="en-GB" w:eastAsia="en-GB"/>
        </w:rPr>
      </w:pPr>
      <w:hyperlink w:anchor="_Toc183688757" w:history="1">
        <w:r w:rsidR="00437C3A" w:rsidRPr="00BA79E6">
          <w:rPr>
            <w:rStyle w:val="Lienhypertexte"/>
            <w:noProof/>
          </w:rPr>
          <w:t>Tableau 9 : Recommandations pour la résolution des problèmes de santé relatifs aux maladies tropicales négligées et aux maladies transmissibles</w:t>
        </w:r>
        <w:r w:rsidR="00437C3A">
          <w:rPr>
            <w:noProof/>
            <w:webHidden/>
          </w:rPr>
          <w:tab/>
        </w:r>
        <w:r w:rsidR="00437C3A">
          <w:rPr>
            <w:noProof/>
            <w:webHidden/>
          </w:rPr>
          <w:fldChar w:fldCharType="begin"/>
        </w:r>
        <w:r w:rsidR="00437C3A">
          <w:rPr>
            <w:noProof/>
            <w:webHidden/>
          </w:rPr>
          <w:instrText xml:space="preserve"> PAGEREF _Toc183688757 \h </w:instrText>
        </w:r>
        <w:r w:rsidR="00437C3A">
          <w:rPr>
            <w:noProof/>
            <w:webHidden/>
          </w:rPr>
        </w:r>
        <w:r w:rsidR="00437C3A">
          <w:rPr>
            <w:noProof/>
            <w:webHidden/>
          </w:rPr>
          <w:fldChar w:fldCharType="separate"/>
        </w:r>
        <w:r w:rsidR="00437C3A">
          <w:rPr>
            <w:noProof/>
            <w:webHidden/>
          </w:rPr>
          <w:t>99</w:t>
        </w:r>
        <w:r w:rsidR="00437C3A">
          <w:rPr>
            <w:noProof/>
            <w:webHidden/>
          </w:rPr>
          <w:fldChar w:fldCharType="end"/>
        </w:r>
      </w:hyperlink>
    </w:p>
    <w:p w14:paraId="21BBAD15" w14:textId="45367C8A" w:rsidR="00437C3A" w:rsidRDefault="003238C4">
      <w:pPr>
        <w:pStyle w:val="Tabledesillustrations"/>
        <w:tabs>
          <w:tab w:val="right" w:leader="dot" w:pos="9016"/>
        </w:tabs>
        <w:rPr>
          <w:rFonts w:eastAsiaTheme="minorEastAsia"/>
          <w:noProof/>
          <w:sz w:val="24"/>
          <w:szCs w:val="24"/>
          <w:lang w:val="en-GB" w:eastAsia="en-GB"/>
        </w:rPr>
      </w:pPr>
      <w:hyperlink w:anchor="_Toc183688758" w:history="1">
        <w:r w:rsidR="00437C3A" w:rsidRPr="00BA79E6">
          <w:rPr>
            <w:rStyle w:val="Lienhypertexte"/>
            <w:noProof/>
          </w:rPr>
          <w:t>Tableau 10 : Recommandations pour la résolution des problèmes de santé relatifs aux maladies non-transmissibles</w:t>
        </w:r>
        <w:r w:rsidR="00437C3A">
          <w:rPr>
            <w:noProof/>
            <w:webHidden/>
          </w:rPr>
          <w:tab/>
        </w:r>
        <w:r w:rsidR="00437C3A">
          <w:rPr>
            <w:noProof/>
            <w:webHidden/>
          </w:rPr>
          <w:fldChar w:fldCharType="begin"/>
        </w:r>
        <w:r w:rsidR="00437C3A">
          <w:rPr>
            <w:noProof/>
            <w:webHidden/>
          </w:rPr>
          <w:instrText xml:space="preserve"> PAGEREF _Toc183688758 \h </w:instrText>
        </w:r>
        <w:r w:rsidR="00437C3A">
          <w:rPr>
            <w:noProof/>
            <w:webHidden/>
          </w:rPr>
        </w:r>
        <w:r w:rsidR="00437C3A">
          <w:rPr>
            <w:noProof/>
            <w:webHidden/>
          </w:rPr>
          <w:fldChar w:fldCharType="separate"/>
        </w:r>
        <w:r w:rsidR="00437C3A">
          <w:rPr>
            <w:noProof/>
            <w:webHidden/>
          </w:rPr>
          <w:t>102</w:t>
        </w:r>
        <w:r w:rsidR="00437C3A">
          <w:rPr>
            <w:noProof/>
            <w:webHidden/>
          </w:rPr>
          <w:fldChar w:fldCharType="end"/>
        </w:r>
      </w:hyperlink>
    </w:p>
    <w:p w14:paraId="2D44A631" w14:textId="37EBD147" w:rsidR="00E8091E" w:rsidRPr="007E7C5B" w:rsidRDefault="00A03757" w:rsidP="00761F55">
      <w:pPr>
        <w:jc w:val="both"/>
        <w:rPr>
          <w:rFonts w:ascii="Arial Narrow" w:hAnsi="Arial Narrow" w:cs="Arial"/>
          <w:b/>
          <w:sz w:val="24"/>
          <w:szCs w:val="24"/>
        </w:rPr>
      </w:pPr>
      <w:r w:rsidRPr="007E7C5B">
        <w:rPr>
          <w:rFonts w:ascii="Arial Narrow" w:hAnsi="Arial Narrow" w:cs="Arial"/>
          <w:b/>
          <w:sz w:val="24"/>
          <w:szCs w:val="24"/>
        </w:rPr>
        <w:fldChar w:fldCharType="end"/>
      </w:r>
      <w:r w:rsidR="00E8091E" w:rsidRPr="007E7C5B">
        <w:rPr>
          <w:rFonts w:ascii="Arial Narrow" w:hAnsi="Arial Narrow" w:cs="Arial"/>
          <w:b/>
          <w:sz w:val="24"/>
          <w:szCs w:val="24"/>
        </w:rPr>
        <w:br w:type="page"/>
      </w:r>
    </w:p>
    <w:p w14:paraId="7FE4B28F" w14:textId="77777777" w:rsidR="00FA3B17" w:rsidRPr="007E7C5B" w:rsidRDefault="00391272" w:rsidP="00761F55">
      <w:pPr>
        <w:pStyle w:val="Titre1"/>
        <w:jc w:val="both"/>
        <w:rPr>
          <w:rFonts w:ascii="Arial Narrow" w:hAnsi="Arial Narrow" w:cs="Arial"/>
          <w:b/>
          <w:color w:val="auto"/>
          <w:sz w:val="24"/>
          <w:szCs w:val="24"/>
        </w:rPr>
      </w:pPr>
      <w:bookmarkStart w:id="3" w:name="_Toc178699533"/>
      <w:bookmarkStart w:id="4" w:name="_Toc190677458"/>
      <w:r w:rsidRPr="007E7C5B">
        <w:rPr>
          <w:rFonts w:ascii="Arial Narrow" w:hAnsi="Arial Narrow" w:cs="Arial"/>
          <w:b/>
          <w:color w:val="auto"/>
          <w:sz w:val="24"/>
          <w:szCs w:val="24"/>
        </w:rPr>
        <w:lastRenderedPageBreak/>
        <w:t>Liste des graphiques</w:t>
      </w:r>
      <w:bookmarkEnd w:id="3"/>
      <w:bookmarkEnd w:id="4"/>
    </w:p>
    <w:p w14:paraId="0B5E1FD5" w14:textId="7E82E48E" w:rsidR="00DD2153" w:rsidRDefault="00D11EF0">
      <w:pPr>
        <w:pStyle w:val="Tabledesillustrations"/>
        <w:tabs>
          <w:tab w:val="right" w:leader="dot" w:pos="9016"/>
        </w:tabs>
        <w:rPr>
          <w:rFonts w:eastAsiaTheme="minorEastAsia"/>
          <w:noProof/>
          <w:sz w:val="24"/>
          <w:szCs w:val="24"/>
          <w:lang w:val="en-GB" w:eastAsia="en-GB"/>
        </w:rPr>
      </w:pPr>
      <w:r w:rsidRPr="007E7C5B">
        <w:rPr>
          <w:rFonts w:ascii="Arial Narrow" w:hAnsi="Arial Narrow" w:cs="Arial"/>
          <w:b/>
          <w:sz w:val="24"/>
          <w:szCs w:val="24"/>
        </w:rPr>
        <w:fldChar w:fldCharType="begin"/>
      </w:r>
      <w:r w:rsidRPr="007E7C5B">
        <w:rPr>
          <w:rFonts w:ascii="Arial Narrow" w:hAnsi="Arial Narrow" w:cs="Arial"/>
          <w:b/>
          <w:sz w:val="24"/>
          <w:szCs w:val="24"/>
        </w:rPr>
        <w:instrText xml:space="preserve"> TOC \h \z \c "Graphique" </w:instrText>
      </w:r>
      <w:r w:rsidRPr="007E7C5B">
        <w:rPr>
          <w:rFonts w:ascii="Arial Narrow" w:hAnsi="Arial Narrow" w:cs="Arial"/>
          <w:b/>
          <w:sz w:val="24"/>
          <w:szCs w:val="24"/>
        </w:rPr>
        <w:fldChar w:fldCharType="separate"/>
      </w:r>
      <w:hyperlink w:anchor="_Toc183688788" w:history="1">
        <w:r w:rsidR="00DD2153" w:rsidRPr="00C7029A">
          <w:rPr>
            <w:rStyle w:val="Lienhypertexte"/>
            <w:noProof/>
          </w:rPr>
          <w:t>Graphique 1 : Niveaux de satisfaction de l’élaboration du PNDS, de sa diffusion et son suivi par les structures techniques du niveau central du MSHPCMU</w:t>
        </w:r>
        <w:r w:rsidR="00DD2153">
          <w:rPr>
            <w:noProof/>
            <w:webHidden/>
          </w:rPr>
          <w:tab/>
        </w:r>
        <w:r w:rsidR="00DD2153">
          <w:rPr>
            <w:noProof/>
            <w:webHidden/>
          </w:rPr>
          <w:fldChar w:fldCharType="begin"/>
        </w:r>
        <w:r w:rsidR="00DD2153">
          <w:rPr>
            <w:noProof/>
            <w:webHidden/>
          </w:rPr>
          <w:instrText xml:space="preserve"> PAGEREF _Toc183688788 \h </w:instrText>
        </w:r>
        <w:r w:rsidR="00DD2153">
          <w:rPr>
            <w:noProof/>
            <w:webHidden/>
          </w:rPr>
        </w:r>
        <w:r w:rsidR="00DD2153">
          <w:rPr>
            <w:noProof/>
            <w:webHidden/>
          </w:rPr>
          <w:fldChar w:fldCharType="separate"/>
        </w:r>
        <w:r w:rsidR="00DD2153">
          <w:rPr>
            <w:noProof/>
            <w:webHidden/>
          </w:rPr>
          <w:t>21</w:t>
        </w:r>
        <w:r w:rsidR="00DD2153">
          <w:rPr>
            <w:noProof/>
            <w:webHidden/>
          </w:rPr>
          <w:fldChar w:fldCharType="end"/>
        </w:r>
      </w:hyperlink>
    </w:p>
    <w:p w14:paraId="34F7F364" w14:textId="0D7BAC87" w:rsidR="00DD2153" w:rsidRDefault="003238C4">
      <w:pPr>
        <w:pStyle w:val="Tabledesillustrations"/>
        <w:tabs>
          <w:tab w:val="right" w:leader="dot" w:pos="9016"/>
        </w:tabs>
        <w:rPr>
          <w:rFonts w:eastAsiaTheme="minorEastAsia"/>
          <w:noProof/>
          <w:sz w:val="24"/>
          <w:szCs w:val="24"/>
          <w:lang w:val="en-GB" w:eastAsia="en-GB"/>
        </w:rPr>
      </w:pPr>
      <w:hyperlink w:anchor="_Toc183688789" w:history="1">
        <w:r w:rsidR="00DD2153" w:rsidRPr="00C7029A">
          <w:rPr>
            <w:rStyle w:val="Lienhypertexte"/>
            <w:noProof/>
          </w:rPr>
          <w:t>Graphique 2 : Niveaux de satisfaction de l’élaboration du PNDS et de sa diffusion par le niveau déconcentré de la pyramide sanitaire</w:t>
        </w:r>
        <w:r w:rsidR="00DD2153">
          <w:rPr>
            <w:noProof/>
            <w:webHidden/>
          </w:rPr>
          <w:tab/>
        </w:r>
        <w:r w:rsidR="00DD2153">
          <w:rPr>
            <w:noProof/>
            <w:webHidden/>
          </w:rPr>
          <w:fldChar w:fldCharType="begin"/>
        </w:r>
        <w:r w:rsidR="00DD2153">
          <w:rPr>
            <w:noProof/>
            <w:webHidden/>
          </w:rPr>
          <w:instrText xml:space="preserve"> PAGEREF _Toc183688789 \h </w:instrText>
        </w:r>
        <w:r w:rsidR="00DD2153">
          <w:rPr>
            <w:noProof/>
            <w:webHidden/>
          </w:rPr>
        </w:r>
        <w:r w:rsidR="00DD2153">
          <w:rPr>
            <w:noProof/>
            <w:webHidden/>
          </w:rPr>
          <w:fldChar w:fldCharType="separate"/>
        </w:r>
        <w:r w:rsidR="00DD2153">
          <w:rPr>
            <w:noProof/>
            <w:webHidden/>
          </w:rPr>
          <w:t>22</w:t>
        </w:r>
        <w:r w:rsidR="00DD2153">
          <w:rPr>
            <w:noProof/>
            <w:webHidden/>
          </w:rPr>
          <w:fldChar w:fldCharType="end"/>
        </w:r>
      </w:hyperlink>
    </w:p>
    <w:p w14:paraId="274101F8" w14:textId="57EE2049" w:rsidR="00DD2153" w:rsidRDefault="003238C4">
      <w:pPr>
        <w:pStyle w:val="Tabledesillustrations"/>
        <w:tabs>
          <w:tab w:val="right" w:leader="dot" w:pos="9016"/>
        </w:tabs>
        <w:rPr>
          <w:rFonts w:eastAsiaTheme="minorEastAsia"/>
          <w:noProof/>
          <w:sz w:val="24"/>
          <w:szCs w:val="24"/>
          <w:lang w:val="en-GB" w:eastAsia="en-GB"/>
        </w:rPr>
      </w:pPr>
      <w:hyperlink w:anchor="_Toc183688790" w:history="1">
        <w:r w:rsidR="00DD2153" w:rsidRPr="00C7029A">
          <w:rPr>
            <w:rStyle w:val="Lienhypertexte"/>
            <w:noProof/>
          </w:rPr>
          <w:t>Graphique 3 : Niveaux de satisfaction de l’élaboration, de la diffusion et du suivi du PNDS 2021-2025 par les PTF de la Santé</w:t>
        </w:r>
        <w:r w:rsidR="00DD2153">
          <w:rPr>
            <w:noProof/>
            <w:webHidden/>
          </w:rPr>
          <w:tab/>
        </w:r>
        <w:r w:rsidR="00DD2153">
          <w:rPr>
            <w:noProof/>
            <w:webHidden/>
          </w:rPr>
          <w:fldChar w:fldCharType="begin"/>
        </w:r>
        <w:r w:rsidR="00DD2153">
          <w:rPr>
            <w:noProof/>
            <w:webHidden/>
          </w:rPr>
          <w:instrText xml:space="preserve"> PAGEREF _Toc183688790 \h </w:instrText>
        </w:r>
        <w:r w:rsidR="00DD2153">
          <w:rPr>
            <w:noProof/>
            <w:webHidden/>
          </w:rPr>
        </w:r>
        <w:r w:rsidR="00DD2153">
          <w:rPr>
            <w:noProof/>
            <w:webHidden/>
          </w:rPr>
          <w:fldChar w:fldCharType="separate"/>
        </w:r>
        <w:r w:rsidR="00DD2153">
          <w:rPr>
            <w:noProof/>
            <w:webHidden/>
          </w:rPr>
          <w:t>22</w:t>
        </w:r>
        <w:r w:rsidR="00DD2153">
          <w:rPr>
            <w:noProof/>
            <w:webHidden/>
          </w:rPr>
          <w:fldChar w:fldCharType="end"/>
        </w:r>
      </w:hyperlink>
    </w:p>
    <w:p w14:paraId="03F55B3E" w14:textId="44349DFD" w:rsidR="00DD2153" w:rsidRDefault="003238C4">
      <w:pPr>
        <w:pStyle w:val="Tabledesillustrations"/>
        <w:tabs>
          <w:tab w:val="right" w:leader="dot" w:pos="9016"/>
        </w:tabs>
        <w:rPr>
          <w:rFonts w:eastAsiaTheme="minorEastAsia"/>
          <w:noProof/>
          <w:sz w:val="24"/>
          <w:szCs w:val="24"/>
          <w:lang w:val="en-GB" w:eastAsia="en-GB"/>
        </w:rPr>
      </w:pPr>
      <w:hyperlink w:anchor="_Toc183688791" w:history="1">
        <w:r w:rsidR="00DD2153" w:rsidRPr="00C7029A">
          <w:rPr>
            <w:rStyle w:val="Lienhypertexte"/>
            <w:noProof/>
          </w:rPr>
          <w:t>Graphique 4 : Taux d'accroissement annuel du budget du Ministère en charge de la santé</w:t>
        </w:r>
        <w:r w:rsidR="00DD2153">
          <w:rPr>
            <w:noProof/>
            <w:webHidden/>
          </w:rPr>
          <w:tab/>
        </w:r>
        <w:r w:rsidR="00DD2153">
          <w:rPr>
            <w:noProof/>
            <w:webHidden/>
          </w:rPr>
          <w:fldChar w:fldCharType="begin"/>
        </w:r>
        <w:r w:rsidR="00DD2153">
          <w:rPr>
            <w:noProof/>
            <w:webHidden/>
          </w:rPr>
          <w:instrText xml:space="preserve"> PAGEREF _Toc183688791 \h </w:instrText>
        </w:r>
        <w:r w:rsidR="00DD2153">
          <w:rPr>
            <w:noProof/>
            <w:webHidden/>
          </w:rPr>
        </w:r>
        <w:r w:rsidR="00DD2153">
          <w:rPr>
            <w:noProof/>
            <w:webHidden/>
          </w:rPr>
          <w:fldChar w:fldCharType="separate"/>
        </w:r>
        <w:r w:rsidR="00DD2153">
          <w:rPr>
            <w:noProof/>
            <w:webHidden/>
          </w:rPr>
          <w:t>27</w:t>
        </w:r>
        <w:r w:rsidR="00DD2153">
          <w:rPr>
            <w:noProof/>
            <w:webHidden/>
          </w:rPr>
          <w:fldChar w:fldCharType="end"/>
        </w:r>
      </w:hyperlink>
    </w:p>
    <w:p w14:paraId="76BA0C52" w14:textId="71B658F2" w:rsidR="00DD2153" w:rsidRDefault="003238C4">
      <w:pPr>
        <w:pStyle w:val="Tabledesillustrations"/>
        <w:tabs>
          <w:tab w:val="right" w:leader="dot" w:pos="9016"/>
        </w:tabs>
        <w:rPr>
          <w:rFonts w:eastAsiaTheme="minorEastAsia"/>
          <w:noProof/>
          <w:sz w:val="24"/>
          <w:szCs w:val="24"/>
          <w:lang w:val="en-GB" w:eastAsia="en-GB"/>
        </w:rPr>
      </w:pPr>
      <w:hyperlink w:anchor="_Toc183688792" w:history="1">
        <w:r w:rsidR="00DD2153" w:rsidRPr="00C7029A">
          <w:rPr>
            <w:rStyle w:val="Lienhypertexte"/>
            <w:noProof/>
          </w:rPr>
          <w:t>Graphique 5 : Part du budget de l'Etat alloué au secteur de la santé</w:t>
        </w:r>
        <w:r w:rsidR="00DD2153">
          <w:rPr>
            <w:noProof/>
            <w:webHidden/>
          </w:rPr>
          <w:tab/>
        </w:r>
        <w:r w:rsidR="00DD2153">
          <w:rPr>
            <w:noProof/>
            <w:webHidden/>
          </w:rPr>
          <w:fldChar w:fldCharType="begin"/>
        </w:r>
        <w:r w:rsidR="00DD2153">
          <w:rPr>
            <w:noProof/>
            <w:webHidden/>
          </w:rPr>
          <w:instrText xml:space="preserve"> PAGEREF _Toc183688792 \h </w:instrText>
        </w:r>
        <w:r w:rsidR="00DD2153">
          <w:rPr>
            <w:noProof/>
            <w:webHidden/>
          </w:rPr>
        </w:r>
        <w:r w:rsidR="00DD2153">
          <w:rPr>
            <w:noProof/>
            <w:webHidden/>
          </w:rPr>
          <w:fldChar w:fldCharType="separate"/>
        </w:r>
        <w:r w:rsidR="00DD2153">
          <w:rPr>
            <w:noProof/>
            <w:webHidden/>
          </w:rPr>
          <w:t>27</w:t>
        </w:r>
        <w:r w:rsidR="00DD2153">
          <w:rPr>
            <w:noProof/>
            <w:webHidden/>
          </w:rPr>
          <w:fldChar w:fldCharType="end"/>
        </w:r>
      </w:hyperlink>
    </w:p>
    <w:p w14:paraId="5A77ABD6" w14:textId="268EDFF8" w:rsidR="00DD2153" w:rsidRDefault="003238C4">
      <w:pPr>
        <w:pStyle w:val="Tabledesillustrations"/>
        <w:tabs>
          <w:tab w:val="right" w:leader="dot" w:pos="9016"/>
        </w:tabs>
        <w:rPr>
          <w:rFonts w:eastAsiaTheme="minorEastAsia"/>
          <w:noProof/>
          <w:sz w:val="24"/>
          <w:szCs w:val="24"/>
          <w:lang w:val="en-GB" w:eastAsia="en-GB"/>
        </w:rPr>
      </w:pPr>
      <w:hyperlink w:anchor="_Toc183688793" w:history="1">
        <w:r w:rsidR="00DD2153" w:rsidRPr="00C7029A">
          <w:rPr>
            <w:rStyle w:val="Lienhypertexte"/>
            <w:noProof/>
          </w:rPr>
          <w:t>Graphique 6 : Score d’utilisation des données sanitaires</w:t>
        </w:r>
        <w:r w:rsidR="00DD2153">
          <w:rPr>
            <w:noProof/>
            <w:webHidden/>
          </w:rPr>
          <w:tab/>
        </w:r>
        <w:r w:rsidR="00DD2153">
          <w:rPr>
            <w:noProof/>
            <w:webHidden/>
          </w:rPr>
          <w:fldChar w:fldCharType="begin"/>
        </w:r>
        <w:r w:rsidR="00DD2153">
          <w:rPr>
            <w:noProof/>
            <w:webHidden/>
          </w:rPr>
          <w:instrText xml:space="preserve"> PAGEREF _Toc183688793 \h </w:instrText>
        </w:r>
        <w:r w:rsidR="00DD2153">
          <w:rPr>
            <w:noProof/>
            <w:webHidden/>
          </w:rPr>
        </w:r>
        <w:r w:rsidR="00DD2153">
          <w:rPr>
            <w:noProof/>
            <w:webHidden/>
          </w:rPr>
          <w:fldChar w:fldCharType="separate"/>
        </w:r>
        <w:r w:rsidR="00DD2153">
          <w:rPr>
            <w:noProof/>
            <w:webHidden/>
          </w:rPr>
          <w:t>28</w:t>
        </w:r>
        <w:r w:rsidR="00DD2153">
          <w:rPr>
            <w:noProof/>
            <w:webHidden/>
          </w:rPr>
          <w:fldChar w:fldCharType="end"/>
        </w:r>
      </w:hyperlink>
    </w:p>
    <w:p w14:paraId="3C0808EF" w14:textId="5F678C4A" w:rsidR="00DD2153" w:rsidRDefault="003238C4">
      <w:pPr>
        <w:pStyle w:val="Tabledesillustrations"/>
        <w:tabs>
          <w:tab w:val="right" w:leader="dot" w:pos="9016"/>
        </w:tabs>
        <w:rPr>
          <w:rFonts w:eastAsiaTheme="minorEastAsia"/>
          <w:noProof/>
          <w:sz w:val="24"/>
          <w:szCs w:val="24"/>
          <w:lang w:val="en-GB" w:eastAsia="en-GB"/>
        </w:rPr>
      </w:pPr>
      <w:hyperlink w:anchor="_Toc183688794" w:history="1">
        <w:r w:rsidR="00DD2153" w:rsidRPr="00C7029A">
          <w:rPr>
            <w:rStyle w:val="Lienhypertexte"/>
            <w:noProof/>
          </w:rPr>
          <w:t>Graphique 7 : Densité des prestataires de soins/habitants</w:t>
        </w:r>
        <w:r w:rsidR="00DD2153">
          <w:rPr>
            <w:noProof/>
            <w:webHidden/>
          </w:rPr>
          <w:tab/>
        </w:r>
        <w:r w:rsidR="00DD2153">
          <w:rPr>
            <w:noProof/>
            <w:webHidden/>
          </w:rPr>
          <w:fldChar w:fldCharType="begin"/>
        </w:r>
        <w:r w:rsidR="00DD2153">
          <w:rPr>
            <w:noProof/>
            <w:webHidden/>
          </w:rPr>
          <w:instrText xml:space="preserve"> PAGEREF _Toc183688794 \h </w:instrText>
        </w:r>
        <w:r w:rsidR="00DD2153">
          <w:rPr>
            <w:noProof/>
            <w:webHidden/>
          </w:rPr>
        </w:r>
        <w:r w:rsidR="00DD2153">
          <w:rPr>
            <w:noProof/>
            <w:webHidden/>
          </w:rPr>
          <w:fldChar w:fldCharType="separate"/>
        </w:r>
        <w:r w:rsidR="00DD2153">
          <w:rPr>
            <w:noProof/>
            <w:webHidden/>
          </w:rPr>
          <w:t>32</w:t>
        </w:r>
        <w:r w:rsidR="00DD2153">
          <w:rPr>
            <w:noProof/>
            <w:webHidden/>
          </w:rPr>
          <w:fldChar w:fldCharType="end"/>
        </w:r>
      </w:hyperlink>
    </w:p>
    <w:p w14:paraId="1B4B8AA6" w14:textId="5A570FEC" w:rsidR="00DD2153" w:rsidRDefault="003238C4">
      <w:pPr>
        <w:pStyle w:val="Tabledesillustrations"/>
        <w:tabs>
          <w:tab w:val="right" w:leader="dot" w:pos="9016"/>
        </w:tabs>
        <w:rPr>
          <w:rFonts w:eastAsiaTheme="minorEastAsia"/>
          <w:noProof/>
          <w:sz w:val="24"/>
          <w:szCs w:val="24"/>
          <w:lang w:val="en-GB" w:eastAsia="en-GB"/>
        </w:rPr>
      </w:pPr>
      <w:hyperlink w:anchor="_Toc183688795" w:history="1">
        <w:r w:rsidR="00DD2153" w:rsidRPr="00C7029A">
          <w:rPr>
            <w:rStyle w:val="Lienhypertexte"/>
            <w:noProof/>
          </w:rPr>
          <w:t>Graphique 8 : Proportion des établissements de santé accrédités</w:t>
        </w:r>
        <w:r w:rsidR="00DD2153">
          <w:rPr>
            <w:noProof/>
            <w:webHidden/>
          </w:rPr>
          <w:tab/>
        </w:r>
        <w:r w:rsidR="00DD2153">
          <w:rPr>
            <w:noProof/>
            <w:webHidden/>
          </w:rPr>
          <w:fldChar w:fldCharType="begin"/>
        </w:r>
        <w:r w:rsidR="00DD2153">
          <w:rPr>
            <w:noProof/>
            <w:webHidden/>
          </w:rPr>
          <w:instrText xml:space="preserve"> PAGEREF _Toc183688795 \h </w:instrText>
        </w:r>
        <w:r w:rsidR="00DD2153">
          <w:rPr>
            <w:noProof/>
            <w:webHidden/>
          </w:rPr>
        </w:r>
        <w:r w:rsidR="00DD2153">
          <w:rPr>
            <w:noProof/>
            <w:webHidden/>
          </w:rPr>
          <w:fldChar w:fldCharType="separate"/>
        </w:r>
        <w:r w:rsidR="00DD2153">
          <w:rPr>
            <w:noProof/>
            <w:webHidden/>
          </w:rPr>
          <w:t>35</w:t>
        </w:r>
        <w:r w:rsidR="00DD2153">
          <w:rPr>
            <w:noProof/>
            <w:webHidden/>
          </w:rPr>
          <w:fldChar w:fldCharType="end"/>
        </w:r>
      </w:hyperlink>
    </w:p>
    <w:p w14:paraId="3C12C345" w14:textId="5D888026" w:rsidR="00DD2153" w:rsidRDefault="003238C4">
      <w:pPr>
        <w:pStyle w:val="Tabledesillustrations"/>
        <w:tabs>
          <w:tab w:val="right" w:leader="dot" w:pos="9016"/>
        </w:tabs>
        <w:rPr>
          <w:rFonts w:eastAsiaTheme="minorEastAsia"/>
          <w:noProof/>
          <w:sz w:val="24"/>
          <w:szCs w:val="24"/>
          <w:lang w:val="en-GB" w:eastAsia="en-GB"/>
        </w:rPr>
      </w:pPr>
      <w:hyperlink w:anchor="_Toc183688796" w:history="1">
        <w:r w:rsidR="00DD2153" w:rsidRPr="00C7029A">
          <w:rPr>
            <w:rStyle w:val="Lienhypertexte"/>
            <w:noProof/>
          </w:rPr>
          <w:t>Graphique 9 : Taux de disponibilité des produits traceurs dans les établissements de premier contact</w:t>
        </w:r>
        <w:r w:rsidR="00DD2153">
          <w:rPr>
            <w:noProof/>
            <w:webHidden/>
          </w:rPr>
          <w:tab/>
        </w:r>
        <w:r w:rsidR="00DD2153">
          <w:rPr>
            <w:noProof/>
            <w:webHidden/>
          </w:rPr>
          <w:fldChar w:fldCharType="begin"/>
        </w:r>
        <w:r w:rsidR="00DD2153">
          <w:rPr>
            <w:noProof/>
            <w:webHidden/>
          </w:rPr>
          <w:instrText xml:space="preserve"> PAGEREF _Toc183688796 \h </w:instrText>
        </w:r>
        <w:r w:rsidR="00DD2153">
          <w:rPr>
            <w:noProof/>
            <w:webHidden/>
          </w:rPr>
        </w:r>
        <w:r w:rsidR="00DD2153">
          <w:rPr>
            <w:noProof/>
            <w:webHidden/>
          </w:rPr>
          <w:fldChar w:fldCharType="separate"/>
        </w:r>
        <w:r w:rsidR="00DD2153">
          <w:rPr>
            <w:noProof/>
            <w:webHidden/>
          </w:rPr>
          <w:t>36</w:t>
        </w:r>
        <w:r w:rsidR="00DD2153">
          <w:rPr>
            <w:noProof/>
            <w:webHidden/>
          </w:rPr>
          <w:fldChar w:fldCharType="end"/>
        </w:r>
      </w:hyperlink>
    </w:p>
    <w:p w14:paraId="36D9F40D" w14:textId="7C0EA7AB" w:rsidR="00DD2153" w:rsidRDefault="003238C4">
      <w:pPr>
        <w:pStyle w:val="Tabledesillustrations"/>
        <w:tabs>
          <w:tab w:val="right" w:leader="dot" w:pos="9016"/>
        </w:tabs>
        <w:rPr>
          <w:rFonts w:eastAsiaTheme="minorEastAsia"/>
          <w:noProof/>
          <w:sz w:val="24"/>
          <w:szCs w:val="24"/>
          <w:lang w:val="en-GB" w:eastAsia="en-GB"/>
        </w:rPr>
      </w:pPr>
      <w:hyperlink w:anchor="_Toc183688797" w:history="1">
        <w:r w:rsidR="00DD2153" w:rsidRPr="00C7029A">
          <w:rPr>
            <w:rStyle w:val="Lienhypertexte"/>
            <w:noProof/>
          </w:rPr>
          <w:t>Graphique 10 : Evolution des indicateurs liés à l'accessibilité des produits de santé de qualité et en quantité suffisante</w:t>
        </w:r>
        <w:r w:rsidR="00DD2153">
          <w:rPr>
            <w:noProof/>
            <w:webHidden/>
          </w:rPr>
          <w:tab/>
        </w:r>
        <w:r w:rsidR="00DD2153">
          <w:rPr>
            <w:noProof/>
            <w:webHidden/>
          </w:rPr>
          <w:fldChar w:fldCharType="begin"/>
        </w:r>
        <w:r w:rsidR="00DD2153">
          <w:rPr>
            <w:noProof/>
            <w:webHidden/>
          </w:rPr>
          <w:instrText xml:space="preserve"> PAGEREF _Toc183688797 \h </w:instrText>
        </w:r>
        <w:r w:rsidR="00DD2153">
          <w:rPr>
            <w:noProof/>
            <w:webHidden/>
          </w:rPr>
        </w:r>
        <w:r w:rsidR="00DD2153">
          <w:rPr>
            <w:noProof/>
            <w:webHidden/>
          </w:rPr>
          <w:fldChar w:fldCharType="separate"/>
        </w:r>
        <w:r w:rsidR="00DD2153">
          <w:rPr>
            <w:noProof/>
            <w:webHidden/>
          </w:rPr>
          <w:t>37</w:t>
        </w:r>
        <w:r w:rsidR="00DD2153">
          <w:rPr>
            <w:noProof/>
            <w:webHidden/>
          </w:rPr>
          <w:fldChar w:fldCharType="end"/>
        </w:r>
      </w:hyperlink>
    </w:p>
    <w:p w14:paraId="62746339" w14:textId="52625D40" w:rsidR="00DD2153" w:rsidRDefault="003238C4">
      <w:pPr>
        <w:pStyle w:val="Tabledesillustrations"/>
        <w:tabs>
          <w:tab w:val="right" w:leader="dot" w:pos="9016"/>
        </w:tabs>
        <w:rPr>
          <w:rFonts w:eastAsiaTheme="minorEastAsia"/>
          <w:noProof/>
          <w:sz w:val="24"/>
          <w:szCs w:val="24"/>
          <w:lang w:val="en-GB" w:eastAsia="en-GB"/>
        </w:rPr>
      </w:pPr>
      <w:hyperlink w:anchor="_Toc183688798" w:history="1">
        <w:r w:rsidR="00DD2153" w:rsidRPr="00C7029A">
          <w:rPr>
            <w:rStyle w:val="Lienhypertexte"/>
            <w:noProof/>
          </w:rPr>
          <w:t>Graphique 11 : Taux de satisfaction des commandes de produits sanguins</w:t>
        </w:r>
        <w:r w:rsidR="00DD2153">
          <w:rPr>
            <w:noProof/>
            <w:webHidden/>
          </w:rPr>
          <w:tab/>
        </w:r>
        <w:r w:rsidR="00DD2153">
          <w:rPr>
            <w:noProof/>
            <w:webHidden/>
          </w:rPr>
          <w:fldChar w:fldCharType="begin"/>
        </w:r>
        <w:r w:rsidR="00DD2153">
          <w:rPr>
            <w:noProof/>
            <w:webHidden/>
          </w:rPr>
          <w:instrText xml:space="preserve"> PAGEREF _Toc183688798 \h </w:instrText>
        </w:r>
        <w:r w:rsidR="00DD2153">
          <w:rPr>
            <w:noProof/>
            <w:webHidden/>
          </w:rPr>
        </w:r>
        <w:r w:rsidR="00DD2153">
          <w:rPr>
            <w:noProof/>
            <w:webHidden/>
          </w:rPr>
          <w:fldChar w:fldCharType="separate"/>
        </w:r>
        <w:r w:rsidR="00DD2153">
          <w:rPr>
            <w:noProof/>
            <w:webHidden/>
          </w:rPr>
          <w:t>38</w:t>
        </w:r>
        <w:r w:rsidR="00DD2153">
          <w:rPr>
            <w:noProof/>
            <w:webHidden/>
          </w:rPr>
          <w:fldChar w:fldCharType="end"/>
        </w:r>
      </w:hyperlink>
    </w:p>
    <w:p w14:paraId="260F6D02" w14:textId="482038E6" w:rsidR="00DD2153" w:rsidRDefault="003238C4">
      <w:pPr>
        <w:pStyle w:val="Tabledesillustrations"/>
        <w:tabs>
          <w:tab w:val="right" w:leader="dot" w:pos="9016"/>
        </w:tabs>
        <w:rPr>
          <w:rFonts w:eastAsiaTheme="minorEastAsia"/>
          <w:noProof/>
          <w:sz w:val="24"/>
          <w:szCs w:val="24"/>
          <w:lang w:val="en-GB" w:eastAsia="en-GB"/>
        </w:rPr>
      </w:pPr>
      <w:hyperlink w:anchor="_Toc183688799" w:history="1">
        <w:r w:rsidR="00DD2153" w:rsidRPr="00C7029A">
          <w:rPr>
            <w:rStyle w:val="Lienhypertexte"/>
            <w:noProof/>
          </w:rPr>
          <w:t>Graphique 12 : Evolution des indicateurs de la santé de la mère, du nouveau-né et de l'enfant</w:t>
        </w:r>
        <w:r w:rsidR="00DD2153">
          <w:rPr>
            <w:noProof/>
            <w:webHidden/>
          </w:rPr>
          <w:tab/>
        </w:r>
        <w:r w:rsidR="00DD2153">
          <w:rPr>
            <w:noProof/>
            <w:webHidden/>
          </w:rPr>
          <w:fldChar w:fldCharType="begin"/>
        </w:r>
        <w:r w:rsidR="00DD2153">
          <w:rPr>
            <w:noProof/>
            <w:webHidden/>
          </w:rPr>
          <w:instrText xml:space="preserve"> PAGEREF _Toc183688799 \h </w:instrText>
        </w:r>
        <w:r w:rsidR="00DD2153">
          <w:rPr>
            <w:noProof/>
            <w:webHidden/>
          </w:rPr>
        </w:r>
        <w:r w:rsidR="00DD2153">
          <w:rPr>
            <w:noProof/>
            <w:webHidden/>
          </w:rPr>
          <w:fldChar w:fldCharType="separate"/>
        </w:r>
        <w:r w:rsidR="00DD2153">
          <w:rPr>
            <w:noProof/>
            <w:webHidden/>
          </w:rPr>
          <w:t>41</w:t>
        </w:r>
        <w:r w:rsidR="00DD2153">
          <w:rPr>
            <w:noProof/>
            <w:webHidden/>
          </w:rPr>
          <w:fldChar w:fldCharType="end"/>
        </w:r>
      </w:hyperlink>
    </w:p>
    <w:p w14:paraId="38D59D66" w14:textId="26819BDD" w:rsidR="00DD2153" w:rsidRDefault="003238C4">
      <w:pPr>
        <w:pStyle w:val="Tabledesillustrations"/>
        <w:tabs>
          <w:tab w:val="right" w:leader="dot" w:pos="9016"/>
        </w:tabs>
        <w:rPr>
          <w:rFonts w:eastAsiaTheme="minorEastAsia"/>
          <w:noProof/>
          <w:sz w:val="24"/>
          <w:szCs w:val="24"/>
          <w:lang w:val="en-GB" w:eastAsia="en-GB"/>
        </w:rPr>
      </w:pPr>
      <w:hyperlink w:anchor="_Toc183688800" w:history="1">
        <w:r w:rsidR="00DD2153" w:rsidRPr="00C7029A">
          <w:rPr>
            <w:rStyle w:val="Lienhypertexte"/>
            <w:noProof/>
          </w:rPr>
          <w:t>Graphique 13 : Evolution des indicateurs de la santé des adolescents et des jeunes</w:t>
        </w:r>
        <w:r w:rsidR="00DD2153">
          <w:rPr>
            <w:noProof/>
            <w:webHidden/>
          </w:rPr>
          <w:tab/>
        </w:r>
        <w:r w:rsidR="00DD2153">
          <w:rPr>
            <w:noProof/>
            <w:webHidden/>
          </w:rPr>
          <w:fldChar w:fldCharType="begin"/>
        </w:r>
        <w:r w:rsidR="00DD2153">
          <w:rPr>
            <w:noProof/>
            <w:webHidden/>
          </w:rPr>
          <w:instrText xml:space="preserve"> PAGEREF _Toc183688800 \h </w:instrText>
        </w:r>
        <w:r w:rsidR="00DD2153">
          <w:rPr>
            <w:noProof/>
            <w:webHidden/>
          </w:rPr>
        </w:r>
        <w:r w:rsidR="00DD2153">
          <w:rPr>
            <w:noProof/>
            <w:webHidden/>
          </w:rPr>
          <w:fldChar w:fldCharType="separate"/>
        </w:r>
        <w:r w:rsidR="00DD2153">
          <w:rPr>
            <w:noProof/>
            <w:webHidden/>
          </w:rPr>
          <w:t>43</w:t>
        </w:r>
        <w:r w:rsidR="00DD2153">
          <w:rPr>
            <w:noProof/>
            <w:webHidden/>
          </w:rPr>
          <w:fldChar w:fldCharType="end"/>
        </w:r>
      </w:hyperlink>
    </w:p>
    <w:p w14:paraId="76042A51" w14:textId="5B765C5F" w:rsidR="00DD2153" w:rsidRDefault="003238C4">
      <w:pPr>
        <w:pStyle w:val="Tabledesillustrations"/>
        <w:tabs>
          <w:tab w:val="right" w:leader="dot" w:pos="9016"/>
        </w:tabs>
        <w:rPr>
          <w:rFonts w:eastAsiaTheme="minorEastAsia"/>
          <w:noProof/>
          <w:sz w:val="24"/>
          <w:szCs w:val="24"/>
          <w:lang w:val="en-GB" w:eastAsia="en-GB"/>
        </w:rPr>
      </w:pPr>
      <w:hyperlink w:anchor="_Toc183688801" w:history="1">
        <w:r w:rsidR="00DD2153" w:rsidRPr="00C7029A">
          <w:rPr>
            <w:rStyle w:val="Lienhypertexte"/>
            <w:noProof/>
          </w:rPr>
          <w:t>Graphique 14 : Evolution des indicateurs de couverture vaccinale</w:t>
        </w:r>
        <w:r w:rsidR="00DD2153">
          <w:rPr>
            <w:noProof/>
            <w:webHidden/>
          </w:rPr>
          <w:tab/>
        </w:r>
        <w:r w:rsidR="00DD2153">
          <w:rPr>
            <w:noProof/>
            <w:webHidden/>
          </w:rPr>
          <w:fldChar w:fldCharType="begin"/>
        </w:r>
        <w:r w:rsidR="00DD2153">
          <w:rPr>
            <w:noProof/>
            <w:webHidden/>
          </w:rPr>
          <w:instrText xml:space="preserve"> PAGEREF _Toc183688801 \h </w:instrText>
        </w:r>
        <w:r w:rsidR="00DD2153">
          <w:rPr>
            <w:noProof/>
            <w:webHidden/>
          </w:rPr>
        </w:r>
        <w:r w:rsidR="00DD2153">
          <w:rPr>
            <w:noProof/>
            <w:webHidden/>
          </w:rPr>
          <w:fldChar w:fldCharType="separate"/>
        </w:r>
        <w:r w:rsidR="00DD2153">
          <w:rPr>
            <w:noProof/>
            <w:webHidden/>
          </w:rPr>
          <w:t>44</w:t>
        </w:r>
        <w:r w:rsidR="00DD2153">
          <w:rPr>
            <w:noProof/>
            <w:webHidden/>
          </w:rPr>
          <w:fldChar w:fldCharType="end"/>
        </w:r>
      </w:hyperlink>
    </w:p>
    <w:p w14:paraId="18D86495" w14:textId="48B3D775" w:rsidR="00DD2153" w:rsidRDefault="003238C4">
      <w:pPr>
        <w:pStyle w:val="Tabledesillustrations"/>
        <w:tabs>
          <w:tab w:val="right" w:leader="dot" w:pos="9016"/>
        </w:tabs>
        <w:rPr>
          <w:rFonts w:eastAsiaTheme="minorEastAsia"/>
          <w:noProof/>
          <w:sz w:val="24"/>
          <w:szCs w:val="24"/>
          <w:lang w:val="en-GB" w:eastAsia="en-GB"/>
        </w:rPr>
      </w:pPr>
      <w:hyperlink w:anchor="_Toc183688802" w:history="1">
        <w:r w:rsidR="00DD2153" w:rsidRPr="00C7029A">
          <w:rPr>
            <w:rStyle w:val="Lienhypertexte"/>
            <w:noProof/>
          </w:rPr>
          <w:t>Graphique 15 : Couverture en MILDA de routine</w:t>
        </w:r>
        <w:r w:rsidR="00DD2153">
          <w:rPr>
            <w:noProof/>
            <w:webHidden/>
          </w:rPr>
          <w:tab/>
        </w:r>
        <w:r w:rsidR="00DD2153">
          <w:rPr>
            <w:noProof/>
            <w:webHidden/>
          </w:rPr>
          <w:fldChar w:fldCharType="begin"/>
        </w:r>
        <w:r w:rsidR="00DD2153">
          <w:rPr>
            <w:noProof/>
            <w:webHidden/>
          </w:rPr>
          <w:instrText xml:space="preserve"> PAGEREF _Toc183688802 \h </w:instrText>
        </w:r>
        <w:r w:rsidR="00DD2153">
          <w:rPr>
            <w:noProof/>
            <w:webHidden/>
          </w:rPr>
        </w:r>
        <w:r w:rsidR="00DD2153">
          <w:rPr>
            <w:noProof/>
            <w:webHidden/>
          </w:rPr>
          <w:fldChar w:fldCharType="separate"/>
        </w:r>
        <w:r w:rsidR="00DD2153">
          <w:rPr>
            <w:noProof/>
            <w:webHidden/>
          </w:rPr>
          <w:t>46</w:t>
        </w:r>
        <w:r w:rsidR="00DD2153">
          <w:rPr>
            <w:noProof/>
            <w:webHidden/>
          </w:rPr>
          <w:fldChar w:fldCharType="end"/>
        </w:r>
      </w:hyperlink>
    </w:p>
    <w:p w14:paraId="4097650C" w14:textId="1E26F974" w:rsidR="00DD2153" w:rsidRDefault="003238C4">
      <w:pPr>
        <w:pStyle w:val="Tabledesillustrations"/>
        <w:tabs>
          <w:tab w:val="right" w:leader="dot" w:pos="9016"/>
        </w:tabs>
        <w:rPr>
          <w:rFonts w:eastAsiaTheme="minorEastAsia"/>
          <w:noProof/>
          <w:sz w:val="24"/>
          <w:szCs w:val="24"/>
          <w:lang w:val="en-GB" w:eastAsia="en-GB"/>
        </w:rPr>
      </w:pPr>
      <w:hyperlink w:anchor="_Toc183688803" w:history="1">
        <w:r w:rsidR="00DD2153" w:rsidRPr="00C7029A">
          <w:rPr>
            <w:rStyle w:val="Lienhypertexte"/>
            <w:noProof/>
          </w:rPr>
          <w:t>Graphique 16 : Incidence du paludisme chez les moins de 5 ans</w:t>
        </w:r>
        <w:r w:rsidR="00DD2153">
          <w:rPr>
            <w:noProof/>
            <w:webHidden/>
          </w:rPr>
          <w:tab/>
        </w:r>
        <w:r w:rsidR="00DD2153">
          <w:rPr>
            <w:noProof/>
            <w:webHidden/>
          </w:rPr>
          <w:fldChar w:fldCharType="begin"/>
        </w:r>
        <w:r w:rsidR="00DD2153">
          <w:rPr>
            <w:noProof/>
            <w:webHidden/>
          </w:rPr>
          <w:instrText xml:space="preserve"> PAGEREF _Toc183688803 \h </w:instrText>
        </w:r>
        <w:r w:rsidR="00DD2153">
          <w:rPr>
            <w:noProof/>
            <w:webHidden/>
          </w:rPr>
        </w:r>
        <w:r w:rsidR="00DD2153">
          <w:rPr>
            <w:noProof/>
            <w:webHidden/>
          </w:rPr>
          <w:fldChar w:fldCharType="separate"/>
        </w:r>
        <w:r w:rsidR="00DD2153">
          <w:rPr>
            <w:noProof/>
            <w:webHidden/>
          </w:rPr>
          <w:t>46</w:t>
        </w:r>
        <w:r w:rsidR="00DD2153">
          <w:rPr>
            <w:noProof/>
            <w:webHidden/>
          </w:rPr>
          <w:fldChar w:fldCharType="end"/>
        </w:r>
      </w:hyperlink>
    </w:p>
    <w:p w14:paraId="0B0C4AB0" w14:textId="4B64E84F" w:rsidR="00DD2153" w:rsidRDefault="003238C4">
      <w:pPr>
        <w:pStyle w:val="Tabledesillustrations"/>
        <w:tabs>
          <w:tab w:val="right" w:leader="dot" w:pos="9016"/>
        </w:tabs>
        <w:rPr>
          <w:rFonts w:eastAsiaTheme="minorEastAsia"/>
          <w:noProof/>
          <w:sz w:val="24"/>
          <w:szCs w:val="24"/>
          <w:lang w:val="en-GB" w:eastAsia="en-GB"/>
        </w:rPr>
      </w:pPr>
      <w:hyperlink w:anchor="_Toc183688804" w:history="1">
        <w:r w:rsidR="00DD2153" w:rsidRPr="00C7029A">
          <w:rPr>
            <w:rStyle w:val="Lienhypertexte"/>
            <w:noProof/>
          </w:rPr>
          <w:t>Graphique 17 : Incidence du paludisme dans la population générale</w:t>
        </w:r>
        <w:r w:rsidR="00DD2153">
          <w:rPr>
            <w:noProof/>
            <w:webHidden/>
          </w:rPr>
          <w:tab/>
        </w:r>
        <w:r w:rsidR="00DD2153">
          <w:rPr>
            <w:noProof/>
            <w:webHidden/>
          </w:rPr>
          <w:fldChar w:fldCharType="begin"/>
        </w:r>
        <w:r w:rsidR="00DD2153">
          <w:rPr>
            <w:noProof/>
            <w:webHidden/>
          </w:rPr>
          <w:instrText xml:space="preserve"> PAGEREF _Toc183688804 \h </w:instrText>
        </w:r>
        <w:r w:rsidR="00DD2153">
          <w:rPr>
            <w:noProof/>
            <w:webHidden/>
          </w:rPr>
        </w:r>
        <w:r w:rsidR="00DD2153">
          <w:rPr>
            <w:noProof/>
            <w:webHidden/>
          </w:rPr>
          <w:fldChar w:fldCharType="separate"/>
        </w:r>
        <w:r w:rsidR="00DD2153">
          <w:rPr>
            <w:noProof/>
            <w:webHidden/>
          </w:rPr>
          <w:t>46</w:t>
        </w:r>
        <w:r w:rsidR="00DD2153">
          <w:rPr>
            <w:noProof/>
            <w:webHidden/>
          </w:rPr>
          <w:fldChar w:fldCharType="end"/>
        </w:r>
      </w:hyperlink>
    </w:p>
    <w:p w14:paraId="719A06CB" w14:textId="55500B22" w:rsidR="00DD2153" w:rsidRDefault="003238C4">
      <w:pPr>
        <w:pStyle w:val="Tabledesillustrations"/>
        <w:tabs>
          <w:tab w:val="right" w:leader="dot" w:pos="9016"/>
        </w:tabs>
        <w:rPr>
          <w:rFonts w:eastAsiaTheme="minorEastAsia"/>
          <w:noProof/>
          <w:sz w:val="24"/>
          <w:szCs w:val="24"/>
          <w:lang w:val="en-GB" w:eastAsia="en-GB"/>
        </w:rPr>
      </w:pPr>
      <w:hyperlink w:anchor="_Toc183688805" w:history="1">
        <w:r w:rsidR="00DD2153" w:rsidRPr="00C7029A">
          <w:rPr>
            <w:rStyle w:val="Lienhypertexte"/>
            <w:noProof/>
          </w:rPr>
          <w:t>Graphique 18 : Evolution des indicateurs du VIH</w:t>
        </w:r>
        <w:r w:rsidR="00DD2153">
          <w:rPr>
            <w:noProof/>
            <w:webHidden/>
          </w:rPr>
          <w:tab/>
        </w:r>
        <w:r w:rsidR="00DD2153">
          <w:rPr>
            <w:noProof/>
            <w:webHidden/>
          </w:rPr>
          <w:fldChar w:fldCharType="begin"/>
        </w:r>
        <w:r w:rsidR="00DD2153">
          <w:rPr>
            <w:noProof/>
            <w:webHidden/>
          </w:rPr>
          <w:instrText xml:space="preserve"> PAGEREF _Toc183688805 \h </w:instrText>
        </w:r>
        <w:r w:rsidR="00DD2153">
          <w:rPr>
            <w:noProof/>
            <w:webHidden/>
          </w:rPr>
        </w:r>
        <w:r w:rsidR="00DD2153">
          <w:rPr>
            <w:noProof/>
            <w:webHidden/>
          </w:rPr>
          <w:fldChar w:fldCharType="separate"/>
        </w:r>
        <w:r w:rsidR="00DD2153">
          <w:rPr>
            <w:noProof/>
            <w:webHidden/>
          </w:rPr>
          <w:t>48</w:t>
        </w:r>
        <w:r w:rsidR="00DD2153">
          <w:rPr>
            <w:noProof/>
            <w:webHidden/>
          </w:rPr>
          <w:fldChar w:fldCharType="end"/>
        </w:r>
      </w:hyperlink>
    </w:p>
    <w:p w14:paraId="3D03972D" w14:textId="4E760357" w:rsidR="00DD2153" w:rsidRDefault="003238C4">
      <w:pPr>
        <w:pStyle w:val="Tabledesillustrations"/>
        <w:tabs>
          <w:tab w:val="right" w:leader="dot" w:pos="9016"/>
        </w:tabs>
        <w:rPr>
          <w:rFonts w:eastAsiaTheme="minorEastAsia"/>
          <w:noProof/>
          <w:sz w:val="24"/>
          <w:szCs w:val="24"/>
          <w:lang w:val="en-GB" w:eastAsia="en-GB"/>
        </w:rPr>
      </w:pPr>
      <w:hyperlink w:anchor="_Toc183688806" w:history="1">
        <w:r w:rsidR="00DD2153" w:rsidRPr="00C7029A">
          <w:rPr>
            <w:rStyle w:val="Lienhypertexte"/>
            <w:noProof/>
          </w:rPr>
          <w:t>Graphique 19 : Taux de succès thérapeutique des nouveaux cas et rechutes de tuberculose toutes formes, confirmée bactériologiquement et diagnostiquée cliniquement : patients guéris et traitement terminé</w:t>
        </w:r>
        <w:r w:rsidR="00DD2153">
          <w:rPr>
            <w:noProof/>
            <w:webHidden/>
          </w:rPr>
          <w:tab/>
        </w:r>
        <w:r w:rsidR="00DD2153">
          <w:rPr>
            <w:noProof/>
            <w:webHidden/>
          </w:rPr>
          <w:fldChar w:fldCharType="begin"/>
        </w:r>
        <w:r w:rsidR="00DD2153">
          <w:rPr>
            <w:noProof/>
            <w:webHidden/>
          </w:rPr>
          <w:instrText xml:space="preserve"> PAGEREF _Toc183688806 \h </w:instrText>
        </w:r>
        <w:r w:rsidR="00DD2153">
          <w:rPr>
            <w:noProof/>
            <w:webHidden/>
          </w:rPr>
        </w:r>
        <w:r w:rsidR="00DD2153">
          <w:rPr>
            <w:noProof/>
            <w:webHidden/>
          </w:rPr>
          <w:fldChar w:fldCharType="separate"/>
        </w:r>
        <w:r w:rsidR="00DD2153">
          <w:rPr>
            <w:noProof/>
            <w:webHidden/>
          </w:rPr>
          <w:t>49</w:t>
        </w:r>
        <w:r w:rsidR="00DD2153">
          <w:rPr>
            <w:noProof/>
            <w:webHidden/>
          </w:rPr>
          <w:fldChar w:fldCharType="end"/>
        </w:r>
      </w:hyperlink>
    </w:p>
    <w:p w14:paraId="4DCB75E2" w14:textId="6DA60EC4" w:rsidR="00DD2153" w:rsidRDefault="003238C4">
      <w:pPr>
        <w:pStyle w:val="Tabledesillustrations"/>
        <w:tabs>
          <w:tab w:val="right" w:leader="dot" w:pos="9016"/>
        </w:tabs>
        <w:rPr>
          <w:rFonts w:eastAsiaTheme="minorEastAsia"/>
          <w:noProof/>
          <w:sz w:val="24"/>
          <w:szCs w:val="24"/>
          <w:lang w:val="en-GB" w:eastAsia="en-GB"/>
        </w:rPr>
      </w:pPr>
      <w:hyperlink w:anchor="_Toc183688807" w:history="1">
        <w:r w:rsidR="00DD2153" w:rsidRPr="00C7029A">
          <w:rPr>
            <w:rStyle w:val="Lienhypertexte"/>
            <w:noProof/>
          </w:rPr>
          <w:t>Graphique 20 : Taux de succès thérapeutique des cas de tuberculose résistante à la rifampicine (RR-TB) et/ou multirésistante (MDR-TB) confirmée en laboratoire</w:t>
        </w:r>
        <w:r w:rsidR="00DD2153">
          <w:rPr>
            <w:noProof/>
            <w:webHidden/>
          </w:rPr>
          <w:tab/>
        </w:r>
        <w:r w:rsidR="00DD2153">
          <w:rPr>
            <w:noProof/>
            <w:webHidden/>
          </w:rPr>
          <w:fldChar w:fldCharType="begin"/>
        </w:r>
        <w:r w:rsidR="00DD2153">
          <w:rPr>
            <w:noProof/>
            <w:webHidden/>
          </w:rPr>
          <w:instrText xml:space="preserve"> PAGEREF _Toc183688807 \h </w:instrText>
        </w:r>
        <w:r w:rsidR="00DD2153">
          <w:rPr>
            <w:noProof/>
            <w:webHidden/>
          </w:rPr>
        </w:r>
        <w:r w:rsidR="00DD2153">
          <w:rPr>
            <w:noProof/>
            <w:webHidden/>
          </w:rPr>
          <w:fldChar w:fldCharType="separate"/>
        </w:r>
        <w:r w:rsidR="00DD2153">
          <w:rPr>
            <w:noProof/>
            <w:webHidden/>
          </w:rPr>
          <w:t>49</w:t>
        </w:r>
        <w:r w:rsidR="00DD2153">
          <w:rPr>
            <w:noProof/>
            <w:webHidden/>
          </w:rPr>
          <w:fldChar w:fldCharType="end"/>
        </w:r>
      </w:hyperlink>
    </w:p>
    <w:p w14:paraId="11764575" w14:textId="3DDD944E" w:rsidR="00DD2153" w:rsidRDefault="003238C4">
      <w:pPr>
        <w:pStyle w:val="Tabledesillustrations"/>
        <w:tabs>
          <w:tab w:val="right" w:leader="dot" w:pos="9016"/>
        </w:tabs>
        <w:rPr>
          <w:rFonts w:eastAsiaTheme="minorEastAsia"/>
          <w:noProof/>
          <w:sz w:val="24"/>
          <w:szCs w:val="24"/>
          <w:lang w:val="en-GB" w:eastAsia="en-GB"/>
        </w:rPr>
      </w:pPr>
      <w:hyperlink w:anchor="_Toc183688808" w:history="1">
        <w:r w:rsidR="00DD2153" w:rsidRPr="00C7029A">
          <w:rPr>
            <w:rStyle w:val="Lienhypertexte"/>
            <w:noProof/>
          </w:rPr>
          <w:t xml:space="preserve">Graphique 21 : </w:t>
        </w:r>
        <w:r w:rsidR="00DD2153" w:rsidRPr="00C7029A">
          <w:rPr>
            <w:rStyle w:val="Lienhypertexte"/>
            <w:noProof/>
            <w:lang w:val="fr-CI"/>
          </w:rPr>
          <w:t>Evolution de l'incidence de la TB de 2019 à 2022</w:t>
        </w:r>
        <w:r w:rsidR="00DD2153">
          <w:rPr>
            <w:noProof/>
            <w:webHidden/>
          </w:rPr>
          <w:tab/>
        </w:r>
        <w:r w:rsidR="00DD2153">
          <w:rPr>
            <w:noProof/>
            <w:webHidden/>
          </w:rPr>
          <w:fldChar w:fldCharType="begin"/>
        </w:r>
        <w:r w:rsidR="00DD2153">
          <w:rPr>
            <w:noProof/>
            <w:webHidden/>
          </w:rPr>
          <w:instrText xml:space="preserve"> PAGEREF _Toc183688808 \h </w:instrText>
        </w:r>
        <w:r w:rsidR="00DD2153">
          <w:rPr>
            <w:noProof/>
            <w:webHidden/>
          </w:rPr>
        </w:r>
        <w:r w:rsidR="00DD2153">
          <w:rPr>
            <w:noProof/>
            <w:webHidden/>
          </w:rPr>
          <w:fldChar w:fldCharType="separate"/>
        </w:r>
        <w:r w:rsidR="00DD2153">
          <w:rPr>
            <w:noProof/>
            <w:webHidden/>
          </w:rPr>
          <w:t>50</w:t>
        </w:r>
        <w:r w:rsidR="00DD2153">
          <w:rPr>
            <w:noProof/>
            <w:webHidden/>
          </w:rPr>
          <w:fldChar w:fldCharType="end"/>
        </w:r>
      </w:hyperlink>
    </w:p>
    <w:p w14:paraId="015351A1" w14:textId="706C06D8" w:rsidR="00DD2153" w:rsidRDefault="003238C4">
      <w:pPr>
        <w:pStyle w:val="Tabledesillustrations"/>
        <w:tabs>
          <w:tab w:val="right" w:leader="dot" w:pos="9016"/>
        </w:tabs>
        <w:rPr>
          <w:rFonts w:eastAsiaTheme="minorEastAsia"/>
          <w:noProof/>
          <w:sz w:val="24"/>
          <w:szCs w:val="24"/>
          <w:lang w:val="en-GB" w:eastAsia="en-GB"/>
        </w:rPr>
      </w:pPr>
      <w:hyperlink w:anchor="_Toc183688809" w:history="1">
        <w:r w:rsidR="00DD2153" w:rsidRPr="00C7029A">
          <w:rPr>
            <w:rStyle w:val="Lienhypertexte"/>
            <w:noProof/>
          </w:rPr>
          <w:t>Graphique 22 : Prévalence du tabagisme chez les jeunes en milieu scolaire</w:t>
        </w:r>
        <w:r w:rsidR="00DD2153">
          <w:rPr>
            <w:noProof/>
            <w:webHidden/>
          </w:rPr>
          <w:tab/>
        </w:r>
        <w:r w:rsidR="00DD2153">
          <w:rPr>
            <w:noProof/>
            <w:webHidden/>
          </w:rPr>
          <w:fldChar w:fldCharType="begin"/>
        </w:r>
        <w:r w:rsidR="00DD2153">
          <w:rPr>
            <w:noProof/>
            <w:webHidden/>
          </w:rPr>
          <w:instrText xml:space="preserve"> PAGEREF _Toc183688809 \h </w:instrText>
        </w:r>
        <w:r w:rsidR="00DD2153">
          <w:rPr>
            <w:noProof/>
            <w:webHidden/>
          </w:rPr>
        </w:r>
        <w:r w:rsidR="00DD2153">
          <w:rPr>
            <w:noProof/>
            <w:webHidden/>
          </w:rPr>
          <w:fldChar w:fldCharType="separate"/>
        </w:r>
        <w:r w:rsidR="00DD2153">
          <w:rPr>
            <w:noProof/>
            <w:webHidden/>
          </w:rPr>
          <w:t>59</w:t>
        </w:r>
        <w:r w:rsidR="00DD2153">
          <w:rPr>
            <w:noProof/>
            <w:webHidden/>
          </w:rPr>
          <w:fldChar w:fldCharType="end"/>
        </w:r>
      </w:hyperlink>
    </w:p>
    <w:p w14:paraId="746F42D6" w14:textId="5A997BD5" w:rsidR="00DD2153" w:rsidRDefault="003238C4">
      <w:pPr>
        <w:pStyle w:val="Tabledesillustrations"/>
        <w:tabs>
          <w:tab w:val="right" w:leader="dot" w:pos="9016"/>
        </w:tabs>
        <w:rPr>
          <w:rFonts w:eastAsiaTheme="minorEastAsia"/>
          <w:noProof/>
          <w:sz w:val="24"/>
          <w:szCs w:val="24"/>
          <w:lang w:val="en-GB" w:eastAsia="en-GB"/>
        </w:rPr>
      </w:pPr>
      <w:hyperlink w:anchor="_Toc183688810" w:history="1">
        <w:r w:rsidR="00DD2153" w:rsidRPr="00C7029A">
          <w:rPr>
            <w:rStyle w:val="Lienhypertexte"/>
            <w:noProof/>
          </w:rPr>
          <w:t>Graphique 23: Evolution des indicateurs Prévention et contrôle des infections, accès aux services d’eau, d’hygiène et d’assainissement et gestion des déchets médicaux et pharmaceutiques</w:t>
        </w:r>
        <w:r w:rsidR="00DD2153">
          <w:rPr>
            <w:noProof/>
            <w:webHidden/>
          </w:rPr>
          <w:tab/>
        </w:r>
        <w:r w:rsidR="00DD2153">
          <w:rPr>
            <w:noProof/>
            <w:webHidden/>
          </w:rPr>
          <w:fldChar w:fldCharType="begin"/>
        </w:r>
        <w:r w:rsidR="00DD2153">
          <w:rPr>
            <w:noProof/>
            <w:webHidden/>
          </w:rPr>
          <w:instrText xml:space="preserve"> PAGEREF _Toc183688810 \h </w:instrText>
        </w:r>
        <w:r w:rsidR="00DD2153">
          <w:rPr>
            <w:noProof/>
            <w:webHidden/>
          </w:rPr>
        </w:r>
        <w:r w:rsidR="00DD2153">
          <w:rPr>
            <w:noProof/>
            <w:webHidden/>
          </w:rPr>
          <w:fldChar w:fldCharType="separate"/>
        </w:r>
        <w:r w:rsidR="00DD2153">
          <w:rPr>
            <w:noProof/>
            <w:webHidden/>
          </w:rPr>
          <w:t>60</w:t>
        </w:r>
        <w:r w:rsidR="00DD2153">
          <w:rPr>
            <w:noProof/>
            <w:webHidden/>
          </w:rPr>
          <w:fldChar w:fldCharType="end"/>
        </w:r>
      </w:hyperlink>
    </w:p>
    <w:p w14:paraId="6B63F22B" w14:textId="68FAE033" w:rsidR="00DD2153" w:rsidRDefault="003238C4">
      <w:pPr>
        <w:pStyle w:val="Tabledesillustrations"/>
        <w:tabs>
          <w:tab w:val="right" w:leader="dot" w:pos="9016"/>
        </w:tabs>
        <w:rPr>
          <w:rFonts w:eastAsiaTheme="minorEastAsia"/>
          <w:noProof/>
          <w:sz w:val="24"/>
          <w:szCs w:val="24"/>
          <w:lang w:val="en-GB" w:eastAsia="en-GB"/>
        </w:rPr>
      </w:pPr>
      <w:hyperlink w:anchor="_Toc183688811" w:history="1">
        <w:r w:rsidR="00DD2153" w:rsidRPr="00C7029A">
          <w:rPr>
            <w:rStyle w:val="Lienhypertexte"/>
            <w:noProof/>
          </w:rPr>
          <w:t>Graphique 24 : Proportion d'enfants de moins de 5 ans malnutris (MASsc, MASc) guéris</w:t>
        </w:r>
        <w:r w:rsidR="00DD2153">
          <w:rPr>
            <w:noProof/>
            <w:webHidden/>
          </w:rPr>
          <w:tab/>
        </w:r>
        <w:r w:rsidR="00DD2153">
          <w:rPr>
            <w:noProof/>
            <w:webHidden/>
          </w:rPr>
          <w:fldChar w:fldCharType="begin"/>
        </w:r>
        <w:r w:rsidR="00DD2153">
          <w:rPr>
            <w:noProof/>
            <w:webHidden/>
          </w:rPr>
          <w:instrText xml:space="preserve"> PAGEREF _Toc183688811 \h </w:instrText>
        </w:r>
        <w:r w:rsidR="00DD2153">
          <w:rPr>
            <w:noProof/>
            <w:webHidden/>
          </w:rPr>
        </w:r>
        <w:r w:rsidR="00DD2153">
          <w:rPr>
            <w:noProof/>
            <w:webHidden/>
          </w:rPr>
          <w:fldChar w:fldCharType="separate"/>
        </w:r>
        <w:r w:rsidR="00DD2153">
          <w:rPr>
            <w:noProof/>
            <w:webHidden/>
          </w:rPr>
          <w:t>64</w:t>
        </w:r>
        <w:r w:rsidR="00DD2153">
          <w:rPr>
            <w:noProof/>
            <w:webHidden/>
          </w:rPr>
          <w:fldChar w:fldCharType="end"/>
        </w:r>
      </w:hyperlink>
    </w:p>
    <w:p w14:paraId="744E4CAF" w14:textId="430DDE95" w:rsidR="00DD2153" w:rsidRDefault="003238C4">
      <w:pPr>
        <w:pStyle w:val="Tabledesillustrations"/>
        <w:tabs>
          <w:tab w:val="right" w:leader="dot" w:pos="9016"/>
        </w:tabs>
        <w:rPr>
          <w:rFonts w:eastAsiaTheme="minorEastAsia"/>
          <w:noProof/>
          <w:sz w:val="24"/>
          <w:szCs w:val="24"/>
          <w:lang w:val="en-GB" w:eastAsia="en-GB"/>
        </w:rPr>
      </w:pPr>
      <w:hyperlink w:anchor="_Toc183688812" w:history="1">
        <w:r w:rsidR="00DD2153" w:rsidRPr="00C7029A">
          <w:rPr>
            <w:rStyle w:val="Lienhypertexte"/>
            <w:noProof/>
          </w:rPr>
          <w:t>Graphique 25 : Pourcentage d'enfants de moins de 5 ans ayant bénéficié d'une évaluation nutritionnelle</w:t>
        </w:r>
        <w:r w:rsidR="00DD2153">
          <w:rPr>
            <w:noProof/>
            <w:webHidden/>
          </w:rPr>
          <w:tab/>
        </w:r>
        <w:r w:rsidR="00DD2153">
          <w:rPr>
            <w:noProof/>
            <w:webHidden/>
          </w:rPr>
          <w:fldChar w:fldCharType="begin"/>
        </w:r>
        <w:r w:rsidR="00DD2153">
          <w:rPr>
            <w:noProof/>
            <w:webHidden/>
          </w:rPr>
          <w:instrText xml:space="preserve"> PAGEREF _Toc183688812 \h </w:instrText>
        </w:r>
        <w:r w:rsidR="00DD2153">
          <w:rPr>
            <w:noProof/>
            <w:webHidden/>
          </w:rPr>
        </w:r>
        <w:r w:rsidR="00DD2153">
          <w:rPr>
            <w:noProof/>
            <w:webHidden/>
          </w:rPr>
          <w:fldChar w:fldCharType="separate"/>
        </w:r>
        <w:r w:rsidR="00DD2153">
          <w:rPr>
            <w:noProof/>
            <w:webHidden/>
          </w:rPr>
          <w:t>64</w:t>
        </w:r>
        <w:r w:rsidR="00DD2153">
          <w:rPr>
            <w:noProof/>
            <w:webHidden/>
          </w:rPr>
          <w:fldChar w:fldCharType="end"/>
        </w:r>
      </w:hyperlink>
    </w:p>
    <w:p w14:paraId="7AE0D985" w14:textId="67DBBFF4" w:rsidR="00DD2153" w:rsidRDefault="003238C4">
      <w:pPr>
        <w:pStyle w:val="Tabledesillustrations"/>
        <w:tabs>
          <w:tab w:val="right" w:leader="dot" w:pos="9016"/>
        </w:tabs>
        <w:rPr>
          <w:rFonts w:eastAsiaTheme="minorEastAsia"/>
          <w:noProof/>
          <w:sz w:val="24"/>
          <w:szCs w:val="24"/>
          <w:lang w:val="en-GB" w:eastAsia="en-GB"/>
        </w:rPr>
      </w:pPr>
      <w:hyperlink w:anchor="_Toc183688813" w:history="1">
        <w:r w:rsidR="00DD2153" w:rsidRPr="00C7029A">
          <w:rPr>
            <w:rStyle w:val="Lienhypertexte"/>
            <w:noProof/>
          </w:rPr>
          <w:t>Graphique 26 : Ratio ASC / populations</w:t>
        </w:r>
        <w:r w:rsidR="00DD2153">
          <w:rPr>
            <w:noProof/>
            <w:webHidden/>
          </w:rPr>
          <w:tab/>
        </w:r>
        <w:r w:rsidR="00DD2153">
          <w:rPr>
            <w:noProof/>
            <w:webHidden/>
          </w:rPr>
          <w:fldChar w:fldCharType="begin"/>
        </w:r>
        <w:r w:rsidR="00DD2153">
          <w:rPr>
            <w:noProof/>
            <w:webHidden/>
          </w:rPr>
          <w:instrText xml:space="preserve"> PAGEREF _Toc183688813 \h </w:instrText>
        </w:r>
        <w:r w:rsidR="00DD2153">
          <w:rPr>
            <w:noProof/>
            <w:webHidden/>
          </w:rPr>
        </w:r>
        <w:r w:rsidR="00DD2153">
          <w:rPr>
            <w:noProof/>
            <w:webHidden/>
          </w:rPr>
          <w:fldChar w:fldCharType="separate"/>
        </w:r>
        <w:r w:rsidR="00DD2153">
          <w:rPr>
            <w:noProof/>
            <w:webHidden/>
          </w:rPr>
          <w:t>68</w:t>
        </w:r>
        <w:r w:rsidR="00DD2153">
          <w:rPr>
            <w:noProof/>
            <w:webHidden/>
          </w:rPr>
          <w:fldChar w:fldCharType="end"/>
        </w:r>
      </w:hyperlink>
    </w:p>
    <w:p w14:paraId="1F05BE93" w14:textId="0788F75C" w:rsidR="00DD2153" w:rsidRDefault="003238C4">
      <w:pPr>
        <w:pStyle w:val="Tabledesillustrations"/>
        <w:tabs>
          <w:tab w:val="right" w:leader="dot" w:pos="9016"/>
        </w:tabs>
        <w:rPr>
          <w:rFonts w:eastAsiaTheme="minorEastAsia"/>
          <w:noProof/>
          <w:sz w:val="24"/>
          <w:szCs w:val="24"/>
          <w:lang w:val="en-GB" w:eastAsia="en-GB"/>
        </w:rPr>
      </w:pPr>
      <w:hyperlink w:anchor="_Toc183688814" w:history="1">
        <w:r w:rsidR="00DD2153" w:rsidRPr="00C7029A">
          <w:rPr>
            <w:rStyle w:val="Lienhypertexte"/>
            <w:noProof/>
          </w:rPr>
          <w:t>Graphique 27 : Couverture de la CMU dans les établissements sanitaires</w:t>
        </w:r>
        <w:r w:rsidR="00DD2153">
          <w:rPr>
            <w:noProof/>
            <w:webHidden/>
          </w:rPr>
          <w:tab/>
        </w:r>
        <w:r w:rsidR="00DD2153">
          <w:rPr>
            <w:noProof/>
            <w:webHidden/>
          </w:rPr>
          <w:fldChar w:fldCharType="begin"/>
        </w:r>
        <w:r w:rsidR="00DD2153">
          <w:rPr>
            <w:noProof/>
            <w:webHidden/>
          </w:rPr>
          <w:instrText xml:space="preserve"> PAGEREF _Toc183688814 \h </w:instrText>
        </w:r>
        <w:r w:rsidR="00DD2153">
          <w:rPr>
            <w:noProof/>
            <w:webHidden/>
          </w:rPr>
        </w:r>
        <w:r w:rsidR="00DD2153">
          <w:rPr>
            <w:noProof/>
            <w:webHidden/>
          </w:rPr>
          <w:fldChar w:fldCharType="separate"/>
        </w:r>
        <w:r w:rsidR="00DD2153">
          <w:rPr>
            <w:noProof/>
            <w:webHidden/>
          </w:rPr>
          <w:t>72</w:t>
        </w:r>
        <w:r w:rsidR="00DD2153">
          <w:rPr>
            <w:noProof/>
            <w:webHidden/>
          </w:rPr>
          <w:fldChar w:fldCharType="end"/>
        </w:r>
      </w:hyperlink>
    </w:p>
    <w:p w14:paraId="3A6CDF99" w14:textId="4004DDD4" w:rsidR="00DD2153" w:rsidRDefault="003238C4">
      <w:pPr>
        <w:pStyle w:val="Tabledesillustrations"/>
        <w:tabs>
          <w:tab w:val="right" w:leader="dot" w:pos="9016"/>
        </w:tabs>
        <w:rPr>
          <w:rFonts w:eastAsiaTheme="minorEastAsia"/>
          <w:noProof/>
          <w:sz w:val="24"/>
          <w:szCs w:val="24"/>
          <w:lang w:val="en-GB" w:eastAsia="en-GB"/>
        </w:rPr>
      </w:pPr>
      <w:hyperlink w:anchor="_Toc183688815" w:history="1">
        <w:r w:rsidR="00DD2153" w:rsidRPr="00C7029A">
          <w:rPr>
            <w:rStyle w:val="Lienhypertexte"/>
            <w:noProof/>
          </w:rPr>
          <w:t>Graphique 28 : Principales difficultés de mise en œuvre du PNDS 2021-2025 au niveau central</w:t>
        </w:r>
        <w:r w:rsidR="00DD2153">
          <w:rPr>
            <w:noProof/>
            <w:webHidden/>
          </w:rPr>
          <w:tab/>
        </w:r>
        <w:r w:rsidR="00DD2153">
          <w:rPr>
            <w:noProof/>
            <w:webHidden/>
          </w:rPr>
          <w:fldChar w:fldCharType="begin"/>
        </w:r>
        <w:r w:rsidR="00DD2153">
          <w:rPr>
            <w:noProof/>
            <w:webHidden/>
          </w:rPr>
          <w:instrText xml:space="preserve"> PAGEREF _Toc183688815 \h </w:instrText>
        </w:r>
        <w:r w:rsidR="00DD2153">
          <w:rPr>
            <w:noProof/>
            <w:webHidden/>
          </w:rPr>
        </w:r>
        <w:r w:rsidR="00DD2153">
          <w:rPr>
            <w:noProof/>
            <w:webHidden/>
          </w:rPr>
          <w:fldChar w:fldCharType="separate"/>
        </w:r>
        <w:r w:rsidR="00DD2153">
          <w:rPr>
            <w:noProof/>
            <w:webHidden/>
          </w:rPr>
          <w:t>78</w:t>
        </w:r>
        <w:r w:rsidR="00DD2153">
          <w:rPr>
            <w:noProof/>
            <w:webHidden/>
          </w:rPr>
          <w:fldChar w:fldCharType="end"/>
        </w:r>
      </w:hyperlink>
    </w:p>
    <w:p w14:paraId="7DCAD462" w14:textId="15AEB692" w:rsidR="00DD2153" w:rsidRDefault="003238C4">
      <w:pPr>
        <w:pStyle w:val="Tabledesillustrations"/>
        <w:tabs>
          <w:tab w:val="right" w:leader="dot" w:pos="9016"/>
        </w:tabs>
        <w:rPr>
          <w:rFonts w:eastAsiaTheme="minorEastAsia"/>
          <w:noProof/>
          <w:sz w:val="24"/>
          <w:szCs w:val="24"/>
          <w:lang w:val="en-GB" w:eastAsia="en-GB"/>
        </w:rPr>
      </w:pPr>
      <w:hyperlink w:anchor="_Toc183688816" w:history="1">
        <w:r w:rsidR="00DD2153" w:rsidRPr="00C7029A">
          <w:rPr>
            <w:rStyle w:val="Lienhypertexte"/>
            <w:noProof/>
          </w:rPr>
          <w:t>Graphique 29 : Difficultés de mise en œuvre du PNDS 2021-2025 au niveau déconcentré</w:t>
        </w:r>
        <w:r w:rsidR="00DD2153">
          <w:rPr>
            <w:noProof/>
            <w:webHidden/>
          </w:rPr>
          <w:tab/>
        </w:r>
        <w:r w:rsidR="00DD2153">
          <w:rPr>
            <w:noProof/>
            <w:webHidden/>
          </w:rPr>
          <w:fldChar w:fldCharType="begin"/>
        </w:r>
        <w:r w:rsidR="00DD2153">
          <w:rPr>
            <w:noProof/>
            <w:webHidden/>
          </w:rPr>
          <w:instrText xml:space="preserve"> PAGEREF _Toc183688816 \h </w:instrText>
        </w:r>
        <w:r w:rsidR="00DD2153">
          <w:rPr>
            <w:noProof/>
            <w:webHidden/>
          </w:rPr>
        </w:r>
        <w:r w:rsidR="00DD2153">
          <w:rPr>
            <w:noProof/>
            <w:webHidden/>
          </w:rPr>
          <w:fldChar w:fldCharType="separate"/>
        </w:r>
        <w:r w:rsidR="00DD2153">
          <w:rPr>
            <w:noProof/>
            <w:webHidden/>
          </w:rPr>
          <w:t>80</w:t>
        </w:r>
        <w:r w:rsidR="00DD2153">
          <w:rPr>
            <w:noProof/>
            <w:webHidden/>
          </w:rPr>
          <w:fldChar w:fldCharType="end"/>
        </w:r>
      </w:hyperlink>
    </w:p>
    <w:p w14:paraId="4DBEF0A4" w14:textId="6942B1B4" w:rsidR="00A8466C" w:rsidRPr="007E7C5B" w:rsidRDefault="00D11EF0" w:rsidP="00761F55">
      <w:pPr>
        <w:pStyle w:val="Titre1"/>
        <w:jc w:val="both"/>
        <w:rPr>
          <w:rFonts w:ascii="Arial Narrow" w:hAnsi="Arial Narrow" w:cs="Arial"/>
          <w:b/>
          <w:color w:val="auto"/>
          <w:sz w:val="24"/>
          <w:szCs w:val="24"/>
        </w:rPr>
      </w:pPr>
      <w:r w:rsidRPr="007E7C5B">
        <w:rPr>
          <w:rFonts w:ascii="Arial Narrow" w:hAnsi="Arial Narrow" w:cs="Arial"/>
          <w:b/>
          <w:sz w:val="24"/>
          <w:szCs w:val="24"/>
        </w:rPr>
        <w:fldChar w:fldCharType="end"/>
      </w:r>
      <w:bookmarkStart w:id="5" w:name="_Toc178699534"/>
      <w:bookmarkStart w:id="6" w:name="_Toc190677459"/>
      <w:r w:rsidR="00A8466C" w:rsidRPr="007E7C5B">
        <w:rPr>
          <w:rFonts w:ascii="Arial Narrow" w:hAnsi="Arial Narrow" w:cs="Arial"/>
          <w:b/>
          <w:color w:val="auto"/>
          <w:sz w:val="24"/>
          <w:szCs w:val="24"/>
        </w:rPr>
        <w:t>Liste des figu</w:t>
      </w:r>
      <w:r w:rsidR="00A723DF" w:rsidRPr="007E7C5B">
        <w:rPr>
          <w:rFonts w:ascii="Arial Narrow" w:hAnsi="Arial Narrow" w:cs="Arial"/>
          <w:b/>
          <w:color w:val="auto"/>
          <w:sz w:val="24"/>
          <w:szCs w:val="24"/>
        </w:rPr>
        <w:t>r</w:t>
      </w:r>
      <w:r w:rsidR="00A8466C" w:rsidRPr="007E7C5B">
        <w:rPr>
          <w:rFonts w:ascii="Arial Narrow" w:hAnsi="Arial Narrow" w:cs="Arial"/>
          <w:b/>
          <w:color w:val="auto"/>
          <w:sz w:val="24"/>
          <w:szCs w:val="24"/>
        </w:rPr>
        <w:t>es</w:t>
      </w:r>
      <w:bookmarkEnd w:id="5"/>
      <w:bookmarkEnd w:id="6"/>
    </w:p>
    <w:p w14:paraId="0CFAD7C9" w14:textId="7F1B18BE" w:rsidR="00140CCD" w:rsidRDefault="002257FD">
      <w:pPr>
        <w:pStyle w:val="Tabledesillustrations"/>
        <w:tabs>
          <w:tab w:val="right" w:leader="dot" w:pos="9016"/>
        </w:tabs>
        <w:rPr>
          <w:rFonts w:eastAsiaTheme="minorEastAsia"/>
          <w:noProof/>
          <w:sz w:val="24"/>
          <w:szCs w:val="24"/>
          <w:lang w:val="en-GB" w:eastAsia="en-GB"/>
        </w:rPr>
      </w:pPr>
      <w:r w:rsidRPr="007E7C5B">
        <w:rPr>
          <w:rFonts w:ascii="Arial Narrow" w:hAnsi="Arial Narrow" w:cs="Arial"/>
          <w:b/>
          <w:sz w:val="24"/>
          <w:szCs w:val="24"/>
        </w:rPr>
        <w:fldChar w:fldCharType="begin"/>
      </w:r>
      <w:r w:rsidRPr="007E7C5B">
        <w:rPr>
          <w:rFonts w:ascii="Arial Narrow" w:hAnsi="Arial Narrow" w:cs="Arial"/>
          <w:b/>
          <w:sz w:val="24"/>
          <w:szCs w:val="24"/>
        </w:rPr>
        <w:instrText xml:space="preserve"> TOC \h \z \c "Figure" </w:instrText>
      </w:r>
      <w:r w:rsidRPr="007E7C5B">
        <w:rPr>
          <w:rFonts w:ascii="Arial Narrow" w:hAnsi="Arial Narrow" w:cs="Arial"/>
          <w:b/>
          <w:sz w:val="24"/>
          <w:szCs w:val="24"/>
        </w:rPr>
        <w:fldChar w:fldCharType="separate"/>
      </w:r>
      <w:hyperlink w:anchor="_Toc183686783" w:history="1">
        <w:r w:rsidR="00140CCD" w:rsidRPr="00796B73">
          <w:rPr>
            <w:rStyle w:val="Lienhypertexte"/>
            <w:noProof/>
          </w:rPr>
          <w:t xml:space="preserve">Figure 1 : Phases de la </w:t>
        </w:r>
        <w:r w:rsidR="00B635D8">
          <w:rPr>
            <w:rStyle w:val="Lienhypertexte"/>
            <w:noProof/>
          </w:rPr>
          <w:t>revue</w:t>
        </w:r>
        <w:r w:rsidR="00140CCD" w:rsidRPr="00796B73">
          <w:rPr>
            <w:rStyle w:val="Lienhypertexte"/>
            <w:noProof/>
          </w:rPr>
          <w:t xml:space="preserve"> du PNDS 2021-2025</w:t>
        </w:r>
        <w:r w:rsidR="00140CCD">
          <w:rPr>
            <w:noProof/>
            <w:webHidden/>
          </w:rPr>
          <w:tab/>
        </w:r>
        <w:r w:rsidR="00140CCD">
          <w:rPr>
            <w:noProof/>
            <w:webHidden/>
          </w:rPr>
          <w:fldChar w:fldCharType="begin"/>
        </w:r>
        <w:r w:rsidR="00140CCD">
          <w:rPr>
            <w:noProof/>
            <w:webHidden/>
          </w:rPr>
          <w:instrText xml:space="preserve"> PAGEREF _Toc183686783 \h </w:instrText>
        </w:r>
        <w:r w:rsidR="00140CCD">
          <w:rPr>
            <w:noProof/>
            <w:webHidden/>
          </w:rPr>
        </w:r>
        <w:r w:rsidR="00140CCD">
          <w:rPr>
            <w:noProof/>
            <w:webHidden/>
          </w:rPr>
          <w:fldChar w:fldCharType="separate"/>
        </w:r>
        <w:r w:rsidR="00140CCD">
          <w:rPr>
            <w:noProof/>
            <w:webHidden/>
          </w:rPr>
          <w:t>12</w:t>
        </w:r>
        <w:r w:rsidR="00140CCD">
          <w:rPr>
            <w:noProof/>
            <w:webHidden/>
          </w:rPr>
          <w:fldChar w:fldCharType="end"/>
        </w:r>
      </w:hyperlink>
    </w:p>
    <w:p w14:paraId="0E34F43E" w14:textId="4D912FE0" w:rsidR="00140CCD" w:rsidRDefault="003238C4">
      <w:pPr>
        <w:pStyle w:val="Tabledesillustrations"/>
        <w:tabs>
          <w:tab w:val="right" w:leader="dot" w:pos="9016"/>
        </w:tabs>
        <w:rPr>
          <w:rFonts w:eastAsiaTheme="minorEastAsia"/>
          <w:noProof/>
          <w:sz w:val="24"/>
          <w:szCs w:val="24"/>
          <w:lang w:val="en-GB" w:eastAsia="en-GB"/>
        </w:rPr>
      </w:pPr>
      <w:hyperlink w:anchor="_Toc183686784" w:history="1">
        <w:r w:rsidR="00140CCD" w:rsidRPr="00796B73">
          <w:rPr>
            <w:rStyle w:val="Lienhypertexte"/>
            <w:noProof/>
          </w:rPr>
          <w:t xml:space="preserve">Figure 2 : Cadre d’analyse de la </w:t>
        </w:r>
        <w:r w:rsidR="00B635D8">
          <w:rPr>
            <w:rStyle w:val="Lienhypertexte"/>
            <w:noProof/>
          </w:rPr>
          <w:t>revue</w:t>
        </w:r>
        <w:r w:rsidR="00140CCD" w:rsidRPr="00796B73">
          <w:rPr>
            <w:rStyle w:val="Lienhypertexte"/>
            <w:noProof/>
          </w:rPr>
          <w:t xml:space="preserve"> du PNDS 2021-2025</w:t>
        </w:r>
        <w:r w:rsidR="00140CCD">
          <w:rPr>
            <w:noProof/>
            <w:webHidden/>
          </w:rPr>
          <w:tab/>
        </w:r>
        <w:r w:rsidR="00140CCD">
          <w:rPr>
            <w:noProof/>
            <w:webHidden/>
          </w:rPr>
          <w:fldChar w:fldCharType="begin"/>
        </w:r>
        <w:r w:rsidR="00140CCD">
          <w:rPr>
            <w:noProof/>
            <w:webHidden/>
          </w:rPr>
          <w:instrText xml:space="preserve"> PAGEREF _Toc183686784 \h </w:instrText>
        </w:r>
        <w:r w:rsidR="00140CCD">
          <w:rPr>
            <w:noProof/>
            <w:webHidden/>
          </w:rPr>
        </w:r>
        <w:r w:rsidR="00140CCD">
          <w:rPr>
            <w:noProof/>
            <w:webHidden/>
          </w:rPr>
          <w:fldChar w:fldCharType="separate"/>
        </w:r>
        <w:r w:rsidR="00140CCD">
          <w:rPr>
            <w:noProof/>
            <w:webHidden/>
          </w:rPr>
          <w:t>14</w:t>
        </w:r>
        <w:r w:rsidR="00140CCD">
          <w:rPr>
            <w:noProof/>
            <w:webHidden/>
          </w:rPr>
          <w:fldChar w:fldCharType="end"/>
        </w:r>
      </w:hyperlink>
    </w:p>
    <w:p w14:paraId="208AA72C" w14:textId="7CA5A731" w:rsidR="00140CCD" w:rsidRDefault="003238C4">
      <w:pPr>
        <w:pStyle w:val="Tabledesillustrations"/>
        <w:tabs>
          <w:tab w:val="right" w:leader="dot" w:pos="9016"/>
        </w:tabs>
        <w:rPr>
          <w:rFonts w:eastAsiaTheme="minorEastAsia"/>
          <w:noProof/>
          <w:sz w:val="24"/>
          <w:szCs w:val="24"/>
          <w:lang w:val="en-GB" w:eastAsia="en-GB"/>
        </w:rPr>
      </w:pPr>
      <w:hyperlink w:anchor="_Toc183686785" w:history="1">
        <w:r w:rsidR="00140CCD" w:rsidRPr="00796B73">
          <w:rPr>
            <w:rStyle w:val="Lienhypertexte"/>
            <w:noProof/>
          </w:rPr>
          <w:t>Figure 3 : Théorie de changement générale du PNDS 2021-2025</w:t>
        </w:r>
        <w:r w:rsidR="00140CCD">
          <w:rPr>
            <w:noProof/>
            <w:webHidden/>
          </w:rPr>
          <w:tab/>
        </w:r>
        <w:r w:rsidR="00140CCD">
          <w:rPr>
            <w:noProof/>
            <w:webHidden/>
          </w:rPr>
          <w:fldChar w:fldCharType="begin"/>
        </w:r>
        <w:r w:rsidR="00140CCD">
          <w:rPr>
            <w:noProof/>
            <w:webHidden/>
          </w:rPr>
          <w:instrText xml:space="preserve"> PAGEREF _Toc183686785 \h </w:instrText>
        </w:r>
        <w:r w:rsidR="00140CCD">
          <w:rPr>
            <w:noProof/>
            <w:webHidden/>
          </w:rPr>
        </w:r>
        <w:r w:rsidR="00140CCD">
          <w:rPr>
            <w:noProof/>
            <w:webHidden/>
          </w:rPr>
          <w:fldChar w:fldCharType="separate"/>
        </w:r>
        <w:r w:rsidR="00140CCD">
          <w:rPr>
            <w:noProof/>
            <w:webHidden/>
          </w:rPr>
          <w:t>19</w:t>
        </w:r>
        <w:r w:rsidR="00140CCD">
          <w:rPr>
            <w:noProof/>
            <w:webHidden/>
          </w:rPr>
          <w:fldChar w:fldCharType="end"/>
        </w:r>
      </w:hyperlink>
    </w:p>
    <w:p w14:paraId="023C02C1" w14:textId="1C2E06BA" w:rsidR="00140CCD" w:rsidRDefault="003238C4">
      <w:pPr>
        <w:pStyle w:val="Tabledesillustrations"/>
        <w:tabs>
          <w:tab w:val="right" w:leader="dot" w:pos="9016"/>
        </w:tabs>
        <w:rPr>
          <w:rFonts w:eastAsiaTheme="minorEastAsia"/>
          <w:noProof/>
          <w:sz w:val="24"/>
          <w:szCs w:val="24"/>
          <w:lang w:val="en-GB" w:eastAsia="en-GB"/>
        </w:rPr>
      </w:pPr>
      <w:hyperlink w:anchor="_Toc183686786" w:history="1">
        <w:r w:rsidR="00140CCD" w:rsidRPr="00796B73">
          <w:rPr>
            <w:rStyle w:val="Lienhypertexte"/>
            <w:noProof/>
          </w:rPr>
          <w:t>Figure 4 : Carte des Pôles Régionaux d'Excellence en Santé</w:t>
        </w:r>
        <w:r w:rsidR="00140CCD">
          <w:rPr>
            <w:noProof/>
            <w:webHidden/>
          </w:rPr>
          <w:tab/>
        </w:r>
        <w:r w:rsidR="00140CCD">
          <w:rPr>
            <w:noProof/>
            <w:webHidden/>
          </w:rPr>
          <w:fldChar w:fldCharType="begin"/>
        </w:r>
        <w:r w:rsidR="00140CCD">
          <w:rPr>
            <w:noProof/>
            <w:webHidden/>
          </w:rPr>
          <w:instrText xml:space="preserve"> PAGEREF _Toc183686786 \h </w:instrText>
        </w:r>
        <w:r w:rsidR="00140CCD">
          <w:rPr>
            <w:noProof/>
            <w:webHidden/>
          </w:rPr>
        </w:r>
        <w:r w:rsidR="00140CCD">
          <w:rPr>
            <w:noProof/>
            <w:webHidden/>
          </w:rPr>
          <w:fldChar w:fldCharType="separate"/>
        </w:r>
        <w:r w:rsidR="00140CCD">
          <w:rPr>
            <w:noProof/>
            <w:webHidden/>
          </w:rPr>
          <w:t>75</w:t>
        </w:r>
        <w:r w:rsidR="00140CCD">
          <w:rPr>
            <w:noProof/>
            <w:webHidden/>
          </w:rPr>
          <w:fldChar w:fldCharType="end"/>
        </w:r>
      </w:hyperlink>
    </w:p>
    <w:p w14:paraId="53424954" w14:textId="0678A652" w:rsidR="00140CCD" w:rsidRDefault="003238C4">
      <w:pPr>
        <w:pStyle w:val="Tabledesillustrations"/>
        <w:tabs>
          <w:tab w:val="right" w:leader="dot" w:pos="9016"/>
        </w:tabs>
        <w:rPr>
          <w:rFonts w:eastAsiaTheme="minorEastAsia"/>
          <w:noProof/>
          <w:sz w:val="24"/>
          <w:szCs w:val="24"/>
          <w:lang w:val="en-GB" w:eastAsia="en-GB"/>
        </w:rPr>
      </w:pPr>
      <w:hyperlink w:anchor="_Toc183686787" w:history="1">
        <w:r w:rsidR="00140CCD" w:rsidRPr="00796B73">
          <w:rPr>
            <w:rStyle w:val="Lienhypertexte"/>
            <w:noProof/>
          </w:rPr>
          <w:t>Figure 6 : Causes expliquant la faible couverture en consultation prénatale au 1er trimestre (CPN1)</w:t>
        </w:r>
        <w:r w:rsidR="00140CCD">
          <w:rPr>
            <w:noProof/>
            <w:webHidden/>
          </w:rPr>
          <w:tab/>
        </w:r>
        <w:r w:rsidR="00140CCD">
          <w:rPr>
            <w:noProof/>
            <w:webHidden/>
          </w:rPr>
          <w:fldChar w:fldCharType="begin"/>
        </w:r>
        <w:r w:rsidR="00140CCD">
          <w:rPr>
            <w:noProof/>
            <w:webHidden/>
          </w:rPr>
          <w:instrText xml:space="preserve"> PAGEREF _Toc183686787 \h </w:instrText>
        </w:r>
        <w:r w:rsidR="00140CCD">
          <w:rPr>
            <w:noProof/>
            <w:webHidden/>
          </w:rPr>
        </w:r>
        <w:r w:rsidR="00140CCD">
          <w:rPr>
            <w:noProof/>
            <w:webHidden/>
          </w:rPr>
          <w:fldChar w:fldCharType="separate"/>
        </w:r>
        <w:r w:rsidR="00140CCD">
          <w:rPr>
            <w:noProof/>
            <w:webHidden/>
          </w:rPr>
          <w:t>87</w:t>
        </w:r>
        <w:r w:rsidR="00140CCD">
          <w:rPr>
            <w:noProof/>
            <w:webHidden/>
          </w:rPr>
          <w:fldChar w:fldCharType="end"/>
        </w:r>
      </w:hyperlink>
    </w:p>
    <w:p w14:paraId="31040398" w14:textId="4E294B4C" w:rsidR="00140CCD" w:rsidRDefault="003238C4">
      <w:pPr>
        <w:pStyle w:val="Tabledesillustrations"/>
        <w:tabs>
          <w:tab w:val="right" w:leader="dot" w:pos="9016"/>
        </w:tabs>
        <w:rPr>
          <w:rFonts w:eastAsiaTheme="minorEastAsia"/>
          <w:noProof/>
          <w:sz w:val="24"/>
          <w:szCs w:val="24"/>
          <w:lang w:val="en-GB" w:eastAsia="en-GB"/>
        </w:rPr>
      </w:pPr>
      <w:hyperlink w:anchor="_Toc183686788" w:history="1">
        <w:r w:rsidR="00140CCD" w:rsidRPr="00796B73">
          <w:rPr>
            <w:rStyle w:val="Lienhypertexte"/>
            <w:noProof/>
          </w:rPr>
          <w:t>Figure 7 : Causes expliquant la faible couverture en CPoN</w:t>
        </w:r>
        <w:r w:rsidR="00140CCD">
          <w:rPr>
            <w:noProof/>
            <w:webHidden/>
          </w:rPr>
          <w:tab/>
        </w:r>
        <w:r w:rsidR="00140CCD">
          <w:rPr>
            <w:noProof/>
            <w:webHidden/>
          </w:rPr>
          <w:fldChar w:fldCharType="begin"/>
        </w:r>
        <w:r w:rsidR="00140CCD">
          <w:rPr>
            <w:noProof/>
            <w:webHidden/>
          </w:rPr>
          <w:instrText xml:space="preserve"> PAGEREF _Toc183686788 \h </w:instrText>
        </w:r>
        <w:r w:rsidR="00140CCD">
          <w:rPr>
            <w:noProof/>
            <w:webHidden/>
          </w:rPr>
        </w:r>
        <w:r w:rsidR="00140CCD">
          <w:rPr>
            <w:noProof/>
            <w:webHidden/>
          </w:rPr>
          <w:fldChar w:fldCharType="separate"/>
        </w:r>
        <w:r w:rsidR="00140CCD">
          <w:rPr>
            <w:noProof/>
            <w:webHidden/>
          </w:rPr>
          <w:t>87</w:t>
        </w:r>
        <w:r w:rsidR="00140CCD">
          <w:rPr>
            <w:noProof/>
            <w:webHidden/>
          </w:rPr>
          <w:fldChar w:fldCharType="end"/>
        </w:r>
      </w:hyperlink>
    </w:p>
    <w:p w14:paraId="020AB42A" w14:textId="338D4746" w:rsidR="00140CCD" w:rsidRDefault="003238C4">
      <w:pPr>
        <w:pStyle w:val="Tabledesillustrations"/>
        <w:tabs>
          <w:tab w:val="right" w:leader="dot" w:pos="9016"/>
        </w:tabs>
        <w:rPr>
          <w:rFonts w:eastAsiaTheme="minorEastAsia"/>
          <w:noProof/>
          <w:sz w:val="24"/>
          <w:szCs w:val="24"/>
          <w:lang w:val="en-GB" w:eastAsia="en-GB"/>
        </w:rPr>
      </w:pPr>
      <w:hyperlink w:anchor="_Toc183686789" w:history="1">
        <w:r w:rsidR="00140CCD" w:rsidRPr="00796B73">
          <w:rPr>
            <w:rStyle w:val="Lienhypertexte"/>
            <w:noProof/>
          </w:rPr>
          <w:t>Figure 8 : Causes expliquant la faible couverture vaccinale en Penta 3, Tétanos et RR</w:t>
        </w:r>
        <w:r w:rsidR="00140CCD">
          <w:rPr>
            <w:noProof/>
            <w:webHidden/>
          </w:rPr>
          <w:tab/>
        </w:r>
        <w:r w:rsidR="00140CCD">
          <w:rPr>
            <w:noProof/>
            <w:webHidden/>
          </w:rPr>
          <w:fldChar w:fldCharType="begin"/>
        </w:r>
        <w:r w:rsidR="00140CCD">
          <w:rPr>
            <w:noProof/>
            <w:webHidden/>
          </w:rPr>
          <w:instrText xml:space="preserve"> PAGEREF _Toc183686789 \h </w:instrText>
        </w:r>
        <w:r w:rsidR="00140CCD">
          <w:rPr>
            <w:noProof/>
            <w:webHidden/>
          </w:rPr>
        </w:r>
        <w:r w:rsidR="00140CCD">
          <w:rPr>
            <w:noProof/>
            <w:webHidden/>
          </w:rPr>
          <w:fldChar w:fldCharType="separate"/>
        </w:r>
        <w:r w:rsidR="00140CCD">
          <w:rPr>
            <w:noProof/>
            <w:webHidden/>
          </w:rPr>
          <w:t>88</w:t>
        </w:r>
        <w:r w:rsidR="00140CCD">
          <w:rPr>
            <w:noProof/>
            <w:webHidden/>
          </w:rPr>
          <w:fldChar w:fldCharType="end"/>
        </w:r>
      </w:hyperlink>
    </w:p>
    <w:p w14:paraId="6FAE6FD8" w14:textId="7B18A28C" w:rsidR="00140CCD" w:rsidRDefault="003238C4">
      <w:pPr>
        <w:pStyle w:val="Tabledesillustrations"/>
        <w:tabs>
          <w:tab w:val="right" w:leader="dot" w:pos="9016"/>
        </w:tabs>
        <w:rPr>
          <w:rFonts w:eastAsiaTheme="minorEastAsia"/>
          <w:noProof/>
          <w:sz w:val="24"/>
          <w:szCs w:val="24"/>
          <w:lang w:val="en-GB" w:eastAsia="en-GB"/>
        </w:rPr>
      </w:pPr>
      <w:hyperlink w:anchor="_Toc183686790" w:history="1">
        <w:r w:rsidR="00140CCD" w:rsidRPr="00796B73">
          <w:rPr>
            <w:rStyle w:val="Lienhypertexte"/>
            <w:noProof/>
          </w:rPr>
          <w:t>Figure 9 : Causes expliquant l'augmentation du nombre de décès maternel et infantile dans les régions sanitaires</w:t>
        </w:r>
        <w:r w:rsidR="00140CCD">
          <w:rPr>
            <w:noProof/>
            <w:webHidden/>
          </w:rPr>
          <w:tab/>
        </w:r>
        <w:r w:rsidR="00140CCD">
          <w:rPr>
            <w:noProof/>
            <w:webHidden/>
          </w:rPr>
          <w:fldChar w:fldCharType="begin"/>
        </w:r>
        <w:r w:rsidR="00140CCD">
          <w:rPr>
            <w:noProof/>
            <w:webHidden/>
          </w:rPr>
          <w:instrText xml:space="preserve"> PAGEREF _Toc183686790 \h </w:instrText>
        </w:r>
        <w:r w:rsidR="00140CCD">
          <w:rPr>
            <w:noProof/>
            <w:webHidden/>
          </w:rPr>
        </w:r>
        <w:r w:rsidR="00140CCD">
          <w:rPr>
            <w:noProof/>
            <w:webHidden/>
          </w:rPr>
          <w:fldChar w:fldCharType="separate"/>
        </w:r>
        <w:r w:rsidR="00140CCD">
          <w:rPr>
            <w:noProof/>
            <w:webHidden/>
          </w:rPr>
          <w:t>89</w:t>
        </w:r>
        <w:r w:rsidR="00140CCD">
          <w:rPr>
            <w:noProof/>
            <w:webHidden/>
          </w:rPr>
          <w:fldChar w:fldCharType="end"/>
        </w:r>
      </w:hyperlink>
    </w:p>
    <w:p w14:paraId="1205A158" w14:textId="2E38B7F7" w:rsidR="00140CCD" w:rsidRDefault="003238C4">
      <w:pPr>
        <w:pStyle w:val="Tabledesillustrations"/>
        <w:tabs>
          <w:tab w:val="right" w:leader="dot" w:pos="9016"/>
        </w:tabs>
        <w:rPr>
          <w:rFonts w:eastAsiaTheme="minorEastAsia"/>
          <w:noProof/>
          <w:sz w:val="24"/>
          <w:szCs w:val="24"/>
          <w:lang w:val="en-GB" w:eastAsia="en-GB"/>
        </w:rPr>
      </w:pPr>
      <w:hyperlink w:anchor="_Toc183686791" w:history="1">
        <w:r w:rsidR="00140CCD" w:rsidRPr="00796B73">
          <w:rPr>
            <w:rStyle w:val="Lienhypertexte"/>
            <w:noProof/>
          </w:rPr>
          <w:t>Figure 10 : Causes expliquant l’insuffisance dans l'utilisation des nouvelles méthodes contraceptives</w:t>
        </w:r>
        <w:r w:rsidR="00140CCD">
          <w:rPr>
            <w:noProof/>
            <w:webHidden/>
          </w:rPr>
          <w:tab/>
        </w:r>
        <w:r w:rsidR="00140CCD">
          <w:rPr>
            <w:noProof/>
            <w:webHidden/>
          </w:rPr>
          <w:fldChar w:fldCharType="begin"/>
        </w:r>
        <w:r w:rsidR="00140CCD">
          <w:rPr>
            <w:noProof/>
            <w:webHidden/>
          </w:rPr>
          <w:instrText xml:space="preserve"> PAGEREF _Toc183686791 \h </w:instrText>
        </w:r>
        <w:r w:rsidR="00140CCD">
          <w:rPr>
            <w:noProof/>
            <w:webHidden/>
          </w:rPr>
        </w:r>
        <w:r w:rsidR="00140CCD">
          <w:rPr>
            <w:noProof/>
            <w:webHidden/>
          </w:rPr>
          <w:fldChar w:fldCharType="separate"/>
        </w:r>
        <w:r w:rsidR="00140CCD">
          <w:rPr>
            <w:noProof/>
            <w:webHidden/>
          </w:rPr>
          <w:t>90</w:t>
        </w:r>
        <w:r w:rsidR="00140CCD">
          <w:rPr>
            <w:noProof/>
            <w:webHidden/>
          </w:rPr>
          <w:fldChar w:fldCharType="end"/>
        </w:r>
      </w:hyperlink>
    </w:p>
    <w:p w14:paraId="7D0B5859" w14:textId="4564938D" w:rsidR="00140CCD" w:rsidRDefault="003238C4">
      <w:pPr>
        <w:pStyle w:val="Tabledesillustrations"/>
        <w:tabs>
          <w:tab w:val="right" w:leader="dot" w:pos="9016"/>
        </w:tabs>
        <w:rPr>
          <w:rFonts w:eastAsiaTheme="minorEastAsia"/>
          <w:noProof/>
          <w:sz w:val="24"/>
          <w:szCs w:val="24"/>
          <w:lang w:val="en-GB" w:eastAsia="en-GB"/>
        </w:rPr>
      </w:pPr>
      <w:hyperlink w:anchor="_Toc183686792" w:history="1">
        <w:r w:rsidR="00140CCD" w:rsidRPr="00796B73">
          <w:rPr>
            <w:rStyle w:val="Lienhypertexte"/>
            <w:noProof/>
          </w:rPr>
          <w:t>Figure 11 :  Causes expliquant l’augmentation de l’incidence de la malnutrition aigüe sévère des enfants de 0 à 59 mois</w:t>
        </w:r>
        <w:r w:rsidR="00140CCD">
          <w:rPr>
            <w:noProof/>
            <w:webHidden/>
          </w:rPr>
          <w:tab/>
        </w:r>
        <w:r w:rsidR="00140CCD">
          <w:rPr>
            <w:noProof/>
            <w:webHidden/>
          </w:rPr>
          <w:fldChar w:fldCharType="begin"/>
        </w:r>
        <w:r w:rsidR="00140CCD">
          <w:rPr>
            <w:noProof/>
            <w:webHidden/>
          </w:rPr>
          <w:instrText xml:space="preserve"> PAGEREF _Toc183686792 \h </w:instrText>
        </w:r>
        <w:r w:rsidR="00140CCD">
          <w:rPr>
            <w:noProof/>
            <w:webHidden/>
          </w:rPr>
        </w:r>
        <w:r w:rsidR="00140CCD">
          <w:rPr>
            <w:noProof/>
            <w:webHidden/>
          </w:rPr>
          <w:fldChar w:fldCharType="separate"/>
        </w:r>
        <w:r w:rsidR="00140CCD">
          <w:rPr>
            <w:noProof/>
            <w:webHidden/>
          </w:rPr>
          <w:t>90</w:t>
        </w:r>
        <w:r w:rsidR="00140CCD">
          <w:rPr>
            <w:noProof/>
            <w:webHidden/>
          </w:rPr>
          <w:fldChar w:fldCharType="end"/>
        </w:r>
      </w:hyperlink>
    </w:p>
    <w:p w14:paraId="3749550E" w14:textId="08EB80A2" w:rsidR="00140CCD" w:rsidRDefault="003238C4">
      <w:pPr>
        <w:pStyle w:val="Tabledesillustrations"/>
        <w:tabs>
          <w:tab w:val="right" w:leader="dot" w:pos="9016"/>
        </w:tabs>
        <w:rPr>
          <w:rFonts w:eastAsiaTheme="minorEastAsia"/>
          <w:noProof/>
          <w:sz w:val="24"/>
          <w:szCs w:val="24"/>
          <w:lang w:val="en-GB" w:eastAsia="en-GB"/>
        </w:rPr>
      </w:pPr>
      <w:hyperlink w:anchor="_Toc183686793" w:history="1">
        <w:r w:rsidR="00140CCD" w:rsidRPr="00796B73">
          <w:rPr>
            <w:rStyle w:val="Lienhypertexte"/>
            <w:noProof/>
          </w:rPr>
          <w:t>Figure 12 :  Causes expliquant la faible couverture en structures sanitaires (ESPC, HR)</w:t>
        </w:r>
        <w:r w:rsidR="00140CCD">
          <w:rPr>
            <w:noProof/>
            <w:webHidden/>
          </w:rPr>
          <w:tab/>
        </w:r>
        <w:r w:rsidR="00140CCD">
          <w:rPr>
            <w:noProof/>
            <w:webHidden/>
          </w:rPr>
          <w:fldChar w:fldCharType="begin"/>
        </w:r>
        <w:r w:rsidR="00140CCD">
          <w:rPr>
            <w:noProof/>
            <w:webHidden/>
          </w:rPr>
          <w:instrText xml:space="preserve"> PAGEREF _Toc183686793 \h </w:instrText>
        </w:r>
        <w:r w:rsidR="00140CCD">
          <w:rPr>
            <w:noProof/>
            <w:webHidden/>
          </w:rPr>
        </w:r>
        <w:r w:rsidR="00140CCD">
          <w:rPr>
            <w:noProof/>
            <w:webHidden/>
          </w:rPr>
          <w:fldChar w:fldCharType="separate"/>
        </w:r>
        <w:r w:rsidR="00140CCD">
          <w:rPr>
            <w:noProof/>
            <w:webHidden/>
          </w:rPr>
          <w:t>93</w:t>
        </w:r>
        <w:r w:rsidR="00140CCD">
          <w:rPr>
            <w:noProof/>
            <w:webHidden/>
          </w:rPr>
          <w:fldChar w:fldCharType="end"/>
        </w:r>
      </w:hyperlink>
    </w:p>
    <w:p w14:paraId="1350C458" w14:textId="154EDB9E" w:rsidR="00140CCD" w:rsidRDefault="003238C4">
      <w:pPr>
        <w:pStyle w:val="Tabledesillustrations"/>
        <w:tabs>
          <w:tab w:val="right" w:leader="dot" w:pos="9016"/>
        </w:tabs>
        <w:rPr>
          <w:rFonts w:eastAsiaTheme="minorEastAsia"/>
          <w:noProof/>
          <w:sz w:val="24"/>
          <w:szCs w:val="24"/>
          <w:lang w:val="en-GB" w:eastAsia="en-GB"/>
        </w:rPr>
      </w:pPr>
      <w:hyperlink w:anchor="_Toc183686794" w:history="1">
        <w:r w:rsidR="00140CCD" w:rsidRPr="00796B73">
          <w:rPr>
            <w:rStyle w:val="Lienhypertexte"/>
            <w:noProof/>
          </w:rPr>
          <w:t>Figure 13 : Causes expliquant l’insuffisance de structures sanitaires aux normes</w:t>
        </w:r>
        <w:r w:rsidR="00140CCD">
          <w:rPr>
            <w:noProof/>
            <w:webHidden/>
          </w:rPr>
          <w:tab/>
        </w:r>
        <w:r w:rsidR="00140CCD">
          <w:rPr>
            <w:noProof/>
            <w:webHidden/>
          </w:rPr>
          <w:fldChar w:fldCharType="begin"/>
        </w:r>
        <w:r w:rsidR="00140CCD">
          <w:rPr>
            <w:noProof/>
            <w:webHidden/>
          </w:rPr>
          <w:instrText xml:space="preserve"> PAGEREF _Toc183686794 \h </w:instrText>
        </w:r>
        <w:r w:rsidR="00140CCD">
          <w:rPr>
            <w:noProof/>
            <w:webHidden/>
          </w:rPr>
        </w:r>
        <w:r w:rsidR="00140CCD">
          <w:rPr>
            <w:noProof/>
            <w:webHidden/>
          </w:rPr>
          <w:fldChar w:fldCharType="separate"/>
        </w:r>
        <w:r w:rsidR="00140CCD">
          <w:rPr>
            <w:noProof/>
            <w:webHidden/>
          </w:rPr>
          <w:t>93</w:t>
        </w:r>
        <w:r w:rsidR="00140CCD">
          <w:rPr>
            <w:noProof/>
            <w:webHidden/>
          </w:rPr>
          <w:fldChar w:fldCharType="end"/>
        </w:r>
      </w:hyperlink>
    </w:p>
    <w:p w14:paraId="1C8917AC" w14:textId="3403989F" w:rsidR="00140CCD" w:rsidRDefault="003238C4">
      <w:pPr>
        <w:pStyle w:val="Tabledesillustrations"/>
        <w:tabs>
          <w:tab w:val="right" w:leader="dot" w:pos="9016"/>
        </w:tabs>
        <w:rPr>
          <w:rFonts w:eastAsiaTheme="minorEastAsia"/>
          <w:noProof/>
          <w:sz w:val="24"/>
          <w:szCs w:val="24"/>
          <w:lang w:val="en-GB" w:eastAsia="en-GB"/>
        </w:rPr>
      </w:pPr>
      <w:hyperlink w:anchor="_Toc183686795" w:history="1">
        <w:r w:rsidR="00140CCD" w:rsidRPr="00796B73">
          <w:rPr>
            <w:rStyle w:val="Lienhypertexte"/>
            <w:noProof/>
          </w:rPr>
          <w:t>Figure 14 : Causes expliquant la difficulté d'accès aux structures sanitaires par les populations</w:t>
        </w:r>
        <w:r w:rsidR="00140CCD">
          <w:rPr>
            <w:noProof/>
            <w:webHidden/>
          </w:rPr>
          <w:tab/>
        </w:r>
        <w:r w:rsidR="00140CCD">
          <w:rPr>
            <w:noProof/>
            <w:webHidden/>
          </w:rPr>
          <w:fldChar w:fldCharType="begin"/>
        </w:r>
        <w:r w:rsidR="00140CCD">
          <w:rPr>
            <w:noProof/>
            <w:webHidden/>
          </w:rPr>
          <w:instrText xml:space="preserve"> PAGEREF _Toc183686795 \h </w:instrText>
        </w:r>
        <w:r w:rsidR="00140CCD">
          <w:rPr>
            <w:noProof/>
            <w:webHidden/>
          </w:rPr>
        </w:r>
        <w:r w:rsidR="00140CCD">
          <w:rPr>
            <w:noProof/>
            <w:webHidden/>
          </w:rPr>
          <w:fldChar w:fldCharType="separate"/>
        </w:r>
        <w:r w:rsidR="00140CCD">
          <w:rPr>
            <w:noProof/>
            <w:webHidden/>
          </w:rPr>
          <w:t>94</w:t>
        </w:r>
        <w:r w:rsidR="00140CCD">
          <w:rPr>
            <w:noProof/>
            <w:webHidden/>
          </w:rPr>
          <w:fldChar w:fldCharType="end"/>
        </w:r>
      </w:hyperlink>
    </w:p>
    <w:p w14:paraId="525DE1B2" w14:textId="0C1AB809" w:rsidR="00140CCD" w:rsidRDefault="003238C4">
      <w:pPr>
        <w:pStyle w:val="Tabledesillustrations"/>
        <w:tabs>
          <w:tab w:val="right" w:leader="dot" w:pos="9016"/>
        </w:tabs>
        <w:rPr>
          <w:rFonts w:eastAsiaTheme="minorEastAsia"/>
          <w:noProof/>
          <w:sz w:val="24"/>
          <w:szCs w:val="24"/>
          <w:lang w:val="en-GB" w:eastAsia="en-GB"/>
        </w:rPr>
      </w:pPr>
      <w:hyperlink w:anchor="_Toc183686796" w:history="1">
        <w:r w:rsidR="00140CCD" w:rsidRPr="00796B73">
          <w:rPr>
            <w:rStyle w:val="Lienhypertexte"/>
            <w:noProof/>
          </w:rPr>
          <w:t>Figure 15 : Causes expliquant la faible disponibilité des produits de la gratuité ciblée</w:t>
        </w:r>
        <w:r w:rsidR="00140CCD">
          <w:rPr>
            <w:noProof/>
            <w:webHidden/>
          </w:rPr>
          <w:tab/>
        </w:r>
        <w:r w:rsidR="00140CCD">
          <w:rPr>
            <w:noProof/>
            <w:webHidden/>
          </w:rPr>
          <w:fldChar w:fldCharType="begin"/>
        </w:r>
        <w:r w:rsidR="00140CCD">
          <w:rPr>
            <w:noProof/>
            <w:webHidden/>
          </w:rPr>
          <w:instrText xml:space="preserve"> PAGEREF _Toc183686796 \h </w:instrText>
        </w:r>
        <w:r w:rsidR="00140CCD">
          <w:rPr>
            <w:noProof/>
            <w:webHidden/>
          </w:rPr>
        </w:r>
        <w:r w:rsidR="00140CCD">
          <w:rPr>
            <w:noProof/>
            <w:webHidden/>
          </w:rPr>
          <w:fldChar w:fldCharType="separate"/>
        </w:r>
        <w:r w:rsidR="00140CCD">
          <w:rPr>
            <w:noProof/>
            <w:webHidden/>
          </w:rPr>
          <w:t>94</w:t>
        </w:r>
        <w:r w:rsidR="00140CCD">
          <w:rPr>
            <w:noProof/>
            <w:webHidden/>
          </w:rPr>
          <w:fldChar w:fldCharType="end"/>
        </w:r>
      </w:hyperlink>
    </w:p>
    <w:p w14:paraId="76A85D0D" w14:textId="38059D1E" w:rsidR="00140CCD" w:rsidRDefault="003238C4">
      <w:pPr>
        <w:pStyle w:val="Tabledesillustrations"/>
        <w:tabs>
          <w:tab w:val="right" w:leader="dot" w:pos="9016"/>
        </w:tabs>
        <w:rPr>
          <w:rFonts w:eastAsiaTheme="minorEastAsia"/>
          <w:noProof/>
          <w:sz w:val="24"/>
          <w:szCs w:val="24"/>
          <w:lang w:val="en-GB" w:eastAsia="en-GB"/>
        </w:rPr>
      </w:pPr>
      <w:hyperlink w:anchor="_Toc183686797" w:history="1">
        <w:r w:rsidR="00140CCD" w:rsidRPr="00796B73">
          <w:rPr>
            <w:rStyle w:val="Lienhypertexte"/>
            <w:noProof/>
          </w:rPr>
          <w:t>Figure 16 : Causes expliquant le non-respect des directives de la gratuité ciblée des soins (GTC)</w:t>
        </w:r>
        <w:r w:rsidR="00140CCD">
          <w:rPr>
            <w:noProof/>
            <w:webHidden/>
          </w:rPr>
          <w:tab/>
        </w:r>
        <w:r w:rsidR="00140CCD">
          <w:rPr>
            <w:noProof/>
            <w:webHidden/>
          </w:rPr>
          <w:fldChar w:fldCharType="begin"/>
        </w:r>
        <w:r w:rsidR="00140CCD">
          <w:rPr>
            <w:noProof/>
            <w:webHidden/>
          </w:rPr>
          <w:instrText xml:space="preserve"> PAGEREF _Toc183686797 \h </w:instrText>
        </w:r>
        <w:r w:rsidR="00140CCD">
          <w:rPr>
            <w:noProof/>
            <w:webHidden/>
          </w:rPr>
        </w:r>
        <w:r w:rsidR="00140CCD">
          <w:rPr>
            <w:noProof/>
            <w:webHidden/>
          </w:rPr>
          <w:fldChar w:fldCharType="separate"/>
        </w:r>
        <w:r w:rsidR="00140CCD">
          <w:rPr>
            <w:noProof/>
            <w:webHidden/>
          </w:rPr>
          <w:t>95</w:t>
        </w:r>
        <w:r w:rsidR="00140CCD">
          <w:rPr>
            <w:noProof/>
            <w:webHidden/>
          </w:rPr>
          <w:fldChar w:fldCharType="end"/>
        </w:r>
      </w:hyperlink>
    </w:p>
    <w:p w14:paraId="3406B170" w14:textId="468F6E10" w:rsidR="00140CCD" w:rsidRDefault="003238C4">
      <w:pPr>
        <w:pStyle w:val="Tabledesillustrations"/>
        <w:tabs>
          <w:tab w:val="right" w:leader="dot" w:pos="9016"/>
        </w:tabs>
        <w:rPr>
          <w:rFonts w:eastAsiaTheme="minorEastAsia"/>
          <w:noProof/>
          <w:sz w:val="24"/>
          <w:szCs w:val="24"/>
          <w:lang w:val="en-GB" w:eastAsia="en-GB"/>
        </w:rPr>
      </w:pPr>
      <w:hyperlink w:anchor="_Toc183686798" w:history="1">
        <w:r w:rsidR="00140CCD" w:rsidRPr="00796B73">
          <w:rPr>
            <w:rStyle w:val="Lienhypertexte"/>
            <w:noProof/>
          </w:rPr>
          <w:t>Figure 17 : Causes expliquant l’insuffisance de la performance dans l’atteinte des trois 95</w:t>
        </w:r>
        <w:r w:rsidR="00140CCD">
          <w:rPr>
            <w:noProof/>
            <w:webHidden/>
          </w:rPr>
          <w:tab/>
        </w:r>
        <w:r w:rsidR="00140CCD">
          <w:rPr>
            <w:noProof/>
            <w:webHidden/>
          </w:rPr>
          <w:fldChar w:fldCharType="begin"/>
        </w:r>
        <w:r w:rsidR="00140CCD">
          <w:rPr>
            <w:noProof/>
            <w:webHidden/>
          </w:rPr>
          <w:instrText xml:space="preserve"> PAGEREF _Toc183686798 \h </w:instrText>
        </w:r>
        <w:r w:rsidR="00140CCD">
          <w:rPr>
            <w:noProof/>
            <w:webHidden/>
          </w:rPr>
        </w:r>
        <w:r w:rsidR="00140CCD">
          <w:rPr>
            <w:noProof/>
            <w:webHidden/>
          </w:rPr>
          <w:fldChar w:fldCharType="separate"/>
        </w:r>
        <w:r w:rsidR="00140CCD">
          <w:rPr>
            <w:noProof/>
            <w:webHidden/>
          </w:rPr>
          <w:t>96</w:t>
        </w:r>
        <w:r w:rsidR="00140CCD">
          <w:rPr>
            <w:noProof/>
            <w:webHidden/>
          </w:rPr>
          <w:fldChar w:fldCharType="end"/>
        </w:r>
      </w:hyperlink>
    </w:p>
    <w:p w14:paraId="7FD1D6F2" w14:textId="796BA8EC" w:rsidR="00140CCD" w:rsidRDefault="003238C4">
      <w:pPr>
        <w:pStyle w:val="Tabledesillustrations"/>
        <w:tabs>
          <w:tab w:val="right" w:leader="dot" w:pos="9016"/>
        </w:tabs>
        <w:rPr>
          <w:rFonts w:eastAsiaTheme="minorEastAsia"/>
          <w:noProof/>
          <w:sz w:val="24"/>
          <w:szCs w:val="24"/>
          <w:lang w:val="en-GB" w:eastAsia="en-GB"/>
        </w:rPr>
      </w:pPr>
      <w:hyperlink w:anchor="_Toc183686799" w:history="1">
        <w:r w:rsidR="00140CCD" w:rsidRPr="00796B73">
          <w:rPr>
            <w:rStyle w:val="Lienhypertexte"/>
            <w:noProof/>
          </w:rPr>
          <w:t>Figure 18 :  Causes expliquant l’incidence relativement forte du paludisme</w:t>
        </w:r>
        <w:r w:rsidR="00140CCD">
          <w:rPr>
            <w:noProof/>
            <w:webHidden/>
          </w:rPr>
          <w:tab/>
        </w:r>
        <w:r w:rsidR="00140CCD">
          <w:rPr>
            <w:noProof/>
            <w:webHidden/>
          </w:rPr>
          <w:fldChar w:fldCharType="begin"/>
        </w:r>
        <w:r w:rsidR="00140CCD">
          <w:rPr>
            <w:noProof/>
            <w:webHidden/>
          </w:rPr>
          <w:instrText xml:space="preserve"> PAGEREF _Toc183686799 \h </w:instrText>
        </w:r>
        <w:r w:rsidR="00140CCD">
          <w:rPr>
            <w:noProof/>
            <w:webHidden/>
          </w:rPr>
        </w:r>
        <w:r w:rsidR="00140CCD">
          <w:rPr>
            <w:noProof/>
            <w:webHidden/>
          </w:rPr>
          <w:fldChar w:fldCharType="separate"/>
        </w:r>
        <w:r w:rsidR="00140CCD">
          <w:rPr>
            <w:noProof/>
            <w:webHidden/>
          </w:rPr>
          <w:t>98</w:t>
        </w:r>
        <w:r w:rsidR="00140CCD">
          <w:rPr>
            <w:noProof/>
            <w:webHidden/>
          </w:rPr>
          <w:fldChar w:fldCharType="end"/>
        </w:r>
      </w:hyperlink>
    </w:p>
    <w:p w14:paraId="30300A23" w14:textId="6008ADF1" w:rsidR="00140CCD" w:rsidRDefault="003238C4">
      <w:pPr>
        <w:pStyle w:val="Tabledesillustrations"/>
        <w:tabs>
          <w:tab w:val="right" w:leader="dot" w:pos="9016"/>
        </w:tabs>
        <w:rPr>
          <w:rFonts w:eastAsiaTheme="minorEastAsia"/>
          <w:noProof/>
          <w:sz w:val="24"/>
          <w:szCs w:val="24"/>
          <w:lang w:val="en-GB" w:eastAsia="en-GB"/>
        </w:rPr>
      </w:pPr>
      <w:hyperlink w:anchor="_Toc183686800" w:history="1">
        <w:r w:rsidR="00140CCD" w:rsidRPr="00796B73">
          <w:rPr>
            <w:rStyle w:val="Lienhypertexte"/>
            <w:noProof/>
          </w:rPr>
          <w:t>Figure 19 : Causes expliquant le faible dépistage des cas de tuberculose</w:t>
        </w:r>
        <w:r w:rsidR="00140CCD">
          <w:rPr>
            <w:noProof/>
            <w:webHidden/>
          </w:rPr>
          <w:tab/>
        </w:r>
        <w:r w:rsidR="00140CCD">
          <w:rPr>
            <w:noProof/>
            <w:webHidden/>
          </w:rPr>
          <w:fldChar w:fldCharType="begin"/>
        </w:r>
        <w:r w:rsidR="00140CCD">
          <w:rPr>
            <w:noProof/>
            <w:webHidden/>
          </w:rPr>
          <w:instrText xml:space="preserve"> PAGEREF _Toc183686800 \h </w:instrText>
        </w:r>
        <w:r w:rsidR="00140CCD">
          <w:rPr>
            <w:noProof/>
            <w:webHidden/>
          </w:rPr>
        </w:r>
        <w:r w:rsidR="00140CCD">
          <w:rPr>
            <w:noProof/>
            <w:webHidden/>
          </w:rPr>
          <w:fldChar w:fldCharType="separate"/>
        </w:r>
        <w:r w:rsidR="00140CCD">
          <w:rPr>
            <w:noProof/>
            <w:webHidden/>
          </w:rPr>
          <w:t>98</w:t>
        </w:r>
        <w:r w:rsidR="00140CCD">
          <w:rPr>
            <w:noProof/>
            <w:webHidden/>
          </w:rPr>
          <w:fldChar w:fldCharType="end"/>
        </w:r>
      </w:hyperlink>
    </w:p>
    <w:p w14:paraId="3E019CE2" w14:textId="4F01C08C" w:rsidR="00140CCD" w:rsidRDefault="003238C4">
      <w:pPr>
        <w:pStyle w:val="Tabledesillustrations"/>
        <w:tabs>
          <w:tab w:val="right" w:leader="dot" w:pos="9016"/>
        </w:tabs>
        <w:rPr>
          <w:rFonts w:eastAsiaTheme="minorEastAsia"/>
          <w:noProof/>
          <w:sz w:val="24"/>
          <w:szCs w:val="24"/>
          <w:lang w:val="en-GB" w:eastAsia="en-GB"/>
        </w:rPr>
      </w:pPr>
      <w:hyperlink w:anchor="_Toc183686801" w:history="1">
        <w:r w:rsidR="00140CCD" w:rsidRPr="00796B73">
          <w:rPr>
            <w:rStyle w:val="Lienhypertexte"/>
            <w:noProof/>
          </w:rPr>
          <w:t>Figure 20 : Causes expliquant l’insuffisance dans la prise en charge des malades multi-résistantes</w:t>
        </w:r>
        <w:r w:rsidR="00140CCD">
          <w:rPr>
            <w:noProof/>
            <w:webHidden/>
          </w:rPr>
          <w:tab/>
        </w:r>
        <w:r w:rsidR="00140CCD">
          <w:rPr>
            <w:noProof/>
            <w:webHidden/>
          </w:rPr>
          <w:fldChar w:fldCharType="begin"/>
        </w:r>
        <w:r w:rsidR="00140CCD">
          <w:rPr>
            <w:noProof/>
            <w:webHidden/>
          </w:rPr>
          <w:instrText xml:space="preserve"> PAGEREF _Toc183686801 \h </w:instrText>
        </w:r>
        <w:r w:rsidR="00140CCD">
          <w:rPr>
            <w:noProof/>
            <w:webHidden/>
          </w:rPr>
        </w:r>
        <w:r w:rsidR="00140CCD">
          <w:rPr>
            <w:noProof/>
            <w:webHidden/>
          </w:rPr>
          <w:fldChar w:fldCharType="separate"/>
        </w:r>
        <w:r w:rsidR="00140CCD">
          <w:rPr>
            <w:noProof/>
            <w:webHidden/>
          </w:rPr>
          <w:t>99</w:t>
        </w:r>
        <w:r w:rsidR="00140CCD">
          <w:rPr>
            <w:noProof/>
            <w:webHidden/>
          </w:rPr>
          <w:fldChar w:fldCharType="end"/>
        </w:r>
      </w:hyperlink>
    </w:p>
    <w:p w14:paraId="5EEC5E78" w14:textId="32221D27" w:rsidR="00140CCD" w:rsidRDefault="003238C4">
      <w:pPr>
        <w:pStyle w:val="Tabledesillustrations"/>
        <w:tabs>
          <w:tab w:val="right" w:leader="dot" w:pos="9016"/>
        </w:tabs>
        <w:rPr>
          <w:rFonts w:eastAsiaTheme="minorEastAsia"/>
          <w:noProof/>
          <w:sz w:val="24"/>
          <w:szCs w:val="24"/>
          <w:lang w:val="en-GB" w:eastAsia="en-GB"/>
        </w:rPr>
      </w:pPr>
      <w:hyperlink w:anchor="_Toc183686802" w:history="1">
        <w:r w:rsidR="00140CCD" w:rsidRPr="00796B73">
          <w:rPr>
            <w:rStyle w:val="Lienhypertexte"/>
            <w:noProof/>
          </w:rPr>
          <w:t>Figure 21 : Causes expliquant la faible couverture en Unités de Prise En Charge (UPEC) des maladies métaboliques dans les hôpitaux de référence</w:t>
        </w:r>
        <w:r w:rsidR="00140CCD">
          <w:rPr>
            <w:noProof/>
            <w:webHidden/>
          </w:rPr>
          <w:tab/>
        </w:r>
        <w:r w:rsidR="00140CCD">
          <w:rPr>
            <w:noProof/>
            <w:webHidden/>
          </w:rPr>
          <w:fldChar w:fldCharType="begin"/>
        </w:r>
        <w:r w:rsidR="00140CCD">
          <w:rPr>
            <w:noProof/>
            <w:webHidden/>
          </w:rPr>
          <w:instrText xml:space="preserve"> PAGEREF _Toc183686802 \h </w:instrText>
        </w:r>
        <w:r w:rsidR="00140CCD">
          <w:rPr>
            <w:noProof/>
            <w:webHidden/>
          </w:rPr>
        </w:r>
        <w:r w:rsidR="00140CCD">
          <w:rPr>
            <w:noProof/>
            <w:webHidden/>
          </w:rPr>
          <w:fldChar w:fldCharType="separate"/>
        </w:r>
        <w:r w:rsidR="00140CCD">
          <w:rPr>
            <w:noProof/>
            <w:webHidden/>
          </w:rPr>
          <w:t>100</w:t>
        </w:r>
        <w:r w:rsidR="00140CCD">
          <w:rPr>
            <w:noProof/>
            <w:webHidden/>
          </w:rPr>
          <w:fldChar w:fldCharType="end"/>
        </w:r>
      </w:hyperlink>
    </w:p>
    <w:p w14:paraId="2CF10FAA" w14:textId="29BA8A0F" w:rsidR="00140CCD" w:rsidRDefault="003238C4">
      <w:pPr>
        <w:pStyle w:val="Tabledesillustrations"/>
        <w:tabs>
          <w:tab w:val="right" w:leader="dot" w:pos="9016"/>
        </w:tabs>
        <w:rPr>
          <w:rFonts w:eastAsiaTheme="minorEastAsia"/>
          <w:noProof/>
          <w:sz w:val="24"/>
          <w:szCs w:val="24"/>
          <w:lang w:val="en-GB" w:eastAsia="en-GB"/>
        </w:rPr>
      </w:pPr>
      <w:hyperlink w:anchor="_Toc183686803" w:history="1">
        <w:r w:rsidR="00140CCD" w:rsidRPr="00796B73">
          <w:rPr>
            <w:rStyle w:val="Lienhypertexte"/>
            <w:noProof/>
          </w:rPr>
          <w:t>Figure 22 : Causes expliquant la sous-notification des données concernant les maladies métaboliques</w:t>
        </w:r>
        <w:r w:rsidR="00140CCD">
          <w:rPr>
            <w:noProof/>
            <w:webHidden/>
          </w:rPr>
          <w:tab/>
        </w:r>
        <w:r w:rsidR="00140CCD">
          <w:rPr>
            <w:noProof/>
            <w:webHidden/>
          </w:rPr>
          <w:fldChar w:fldCharType="begin"/>
        </w:r>
        <w:r w:rsidR="00140CCD">
          <w:rPr>
            <w:noProof/>
            <w:webHidden/>
          </w:rPr>
          <w:instrText xml:space="preserve"> PAGEREF _Toc183686803 \h </w:instrText>
        </w:r>
        <w:r w:rsidR="00140CCD">
          <w:rPr>
            <w:noProof/>
            <w:webHidden/>
          </w:rPr>
        </w:r>
        <w:r w:rsidR="00140CCD">
          <w:rPr>
            <w:noProof/>
            <w:webHidden/>
          </w:rPr>
          <w:fldChar w:fldCharType="separate"/>
        </w:r>
        <w:r w:rsidR="00140CCD">
          <w:rPr>
            <w:noProof/>
            <w:webHidden/>
          </w:rPr>
          <w:t>101</w:t>
        </w:r>
        <w:r w:rsidR="00140CCD">
          <w:rPr>
            <w:noProof/>
            <w:webHidden/>
          </w:rPr>
          <w:fldChar w:fldCharType="end"/>
        </w:r>
      </w:hyperlink>
    </w:p>
    <w:p w14:paraId="36F2C014" w14:textId="25CBE021" w:rsidR="00140CCD" w:rsidRDefault="003238C4">
      <w:pPr>
        <w:pStyle w:val="Tabledesillustrations"/>
        <w:tabs>
          <w:tab w:val="right" w:leader="dot" w:pos="9016"/>
        </w:tabs>
        <w:rPr>
          <w:rFonts w:eastAsiaTheme="minorEastAsia"/>
          <w:noProof/>
          <w:sz w:val="24"/>
          <w:szCs w:val="24"/>
          <w:lang w:val="en-GB" w:eastAsia="en-GB"/>
        </w:rPr>
      </w:pPr>
      <w:hyperlink w:anchor="_Toc183686804" w:history="1">
        <w:r w:rsidR="00140CCD" w:rsidRPr="00796B73">
          <w:rPr>
            <w:rStyle w:val="Lienhypertexte"/>
            <w:noProof/>
          </w:rPr>
          <w:t>Figure 23 : Causes expliquant le faible dépistage du cancer du col de l’utérus et du sein</w:t>
        </w:r>
        <w:r w:rsidR="00140CCD">
          <w:rPr>
            <w:noProof/>
            <w:webHidden/>
          </w:rPr>
          <w:tab/>
        </w:r>
        <w:r w:rsidR="00140CCD">
          <w:rPr>
            <w:noProof/>
            <w:webHidden/>
          </w:rPr>
          <w:fldChar w:fldCharType="begin"/>
        </w:r>
        <w:r w:rsidR="00140CCD">
          <w:rPr>
            <w:noProof/>
            <w:webHidden/>
          </w:rPr>
          <w:instrText xml:space="preserve"> PAGEREF _Toc183686804 \h </w:instrText>
        </w:r>
        <w:r w:rsidR="00140CCD">
          <w:rPr>
            <w:noProof/>
            <w:webHidden/>
          </w:rPr>
        </w:r>
        <w:r w:rsidR="00140CCD">
          <w:rPr>
            <w:noProof/>
            <w:webHidden/>
          </w:rPr>
          <w:fldChar w:fldCharType="separate"/>
        </w:r>
        <w:r w:rsidR="00140CCD">
          <w:rPr>
            <w:noProof/>
            <w:webHidden/>
          </w:rPr>
          <w:t>101</w:t>
        </w:r>
        <w:r w:rsidR="00140CCD">
          <w:rPr>
            <w:noProof/>
            <w:webHidden/>
          </w:rPr>
          <w:fldChar w:fldCharType="end"/>
        </w:r>
      </w:hyperlink>
    </w:p>
    <w:p w14:paraId="26125FAC" w14:textId="19BF9882" w:rsidR="00A723DF" w:rsidRPr="007E7C5B" w:rsidRDefault="002257FD" w:rsidP="00761F55">
      <w:pPr>
        <w:jc w:val="both"/>
        <w:rPr>
          <w:rFonts w:ascii="Arial Narrow" w:hAnsi="Arial Narrow" w:cs="Arial"/>
          <w:b/>
          <w:sz w:val="24"/>
          <w:szCs w:val="24"/>
        </w:rPr>
      </w:pPr>
      <w:r w:rsidRPr="007E7C5B">
        <w:rPr>
          <w:rFonts w:ascii="Arial Narrow" w:hAnsi="Arial Narrow" w:cs="Arial"/>
          <w:b/>
          <w:sz w:val="24"/>
          <w:szCs w:val="24"/>
        </w:rPr>
        <w:fldChar w:fldCharType="end"/>
      </w:r>
    </w:p>
    <w:p w14:paraId="56860176" w14:textId="77777777" w:rsidR="009F006B" w:rsidRPr="007E7C5B" w:rsidRDefault="009F006B" w:rsidP="00761F55">
      <w:pPr>
        <w:jc w:val="both"/>
        <w:rPr>
          <w:rFonts w:ascii="Arial Narrow" w:hAnsi="Arial Narrow" w:cs="Arial"/>
          <w:b/>
          <w:sz w:val="24"/>
          <w:szCs w:val="24"/>
        </w:rPr>
      </w:pPr>
      <w:r w:rsidRPr="007E7C5B">
        <w:rPr>
          <w:rFonts w:ascii="Arial Narrow" w:hAnsi="Arial Narrow" w:cs="Arial"/>
          <w:b/>
          <w:sz w:val="24"/>
          <w:szCs w:val="24"/>
        </w:rPr>
        <w:br w:type="page"/>
      </w:r>
    </w:p>
    <w:p w14:paraId="0186E063" w14:textId="77777777" w:rsidR="00517C0A" w:rsidRPr="007E7C5B" w:rsidRDefault="00517C0A" w:rsidP="00761F55">
      <w:pPr>
        <w:pStyle w:val="Titre1"/>
        <w:jc w:val="both"/>
        <w:rPr>
          <w:rFonts w:ascii="Arial Narrow" w:hAnsi="Arial Narrow" w:cs="Arial"/>
          <w:b/>
          <w:sz w:val="24"/>
          <w:szCs w:val="24"/>
        </w:rPr>
      </w:pPr>
      <w:bookmarkStart w:id="7" w:name="_Toc178699536"/>
      <w:bookmarkStart w:id="8" w:name="_Toc190677460"/>
      <w:r w:rsidRPr="007E7C5B">
        <w:rPr>
          <w:rFonts w:ascii="Arial Narrow" w:hAnsi="Arial Narrow" w:cs="Arial"/>
          <w:b/>
          <w:color w:val="auto"/>
          <w:sz w:val="24"/>
          <w:szCs w:val="24"/>
        </w:rPr>
        <w:lastRenderedPageBreak/>
        <w:t>Sigles et abréviations</w:t>
      </w:r>
      <w:bookmarkEnd w:id="7"/>
      <w:bookmarkEnd w:id="8"/>
      <w:r w:rsidRPr="007E7C5B">
        <w:rPr>
          <w:rFonts w:ascii="Arial Narrow" w:hAnsi="Arial Narrow" w:cs="Arial"/>
          <w:b/>
          <w:sz w:val="24"/>
          <w:szCs w:val="24"/>
        </w:rPr>
        <w:t xml:space="preserve"> </w:t>
      </w:r>
    </w:p>
    <w:tbl>
      <w:tblPr>
        <w:tblStyle w:val="Grilledetableauclaire"/>
        <w:tblW w:w="0" w:type="auto"/>
        <w:tblLook w:val="04A0" w:firstRow="1" w:lastRow="0" w:firstColumn="1" w:lastColumn="0" w:noHBand="0" w:noVBand="1"/>
      </w:tblPr>
      <w:tblGrid>
        <w:gridCol w:w="1555"/>
        <w:gridCol w:w="7371"/>
      </w:tblGrid>
      <w:tr w:rsidR="00475335" w:rsidRPr="003F13B0" w14:paraId="7DF77A1C" w14:textId="77777777" w:rsidTr="0007784F">
        <w:trPr>
          <w:trHeight w:val="290"/>
        </w:trPr>
        <w:tc>
          <w:tcPr>
            <w:tcW w:w="1555" w:type="dxa"/>
            <w:shd w:val="clear" w:color="auto" w:fill="222A35" w:themeFill="text2" w:themeFillShade="80"/>
            <w:noWrap/>
            <w:vAlign w:val="center"/>
            <w:hideMark/>
          </w:tcPr>
          <w:p w14:paraId="1E3CE827"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Sigles</w:t>
            </w:r>
          </w:p>
        </w:tc>
        <w:tc>
          <w:tcPr>
            <w:tcW w:w="7371" w:type="dxa"/>
            <w:shd w:val="clear" w:color="auto" w:fill="222A35" w:themeFill="text2" w:themeFillShade="80"/>
            <w:noWrap/>
            <w:vAlign w:val="center"/>
            <w:hideMark/>
          </w:tcPr>
          <w:p w14:paraId="21A2CF4D"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Signification</w:t>
            </w:r>
          </w:p>
        </w:tc>
      </w:tr>
      <w:tr w:rsidR="00475335" w:rsidRPr="003F13B0" w14:paraId="581C8FDF" w14:textId="77777777" w:rsidTr="0007784F">
        <w:trPr>
          <w:trHeight w:val="290"/>
        </w:trPr>
        <w:tc>
          <w:tcPr>
            <w:tcW w:w="1555" w:type="dxa"/>
            <w:noWrap/>
            <w:vAlign w:val="center"/>
            <w:hideMark/>
          </w:tcPr>
          <w:p w14:paraId="1A148CC5"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ACPCI</w:t>
            </w:r>
          </w:p>
        </w:tc>
        <w:tc>
          <w:tcPr>
            <w:tcW w:w="7371" w:type="dxa"/>
            <w:noWrap/>
            <w:vAlign w:val="center"/>
            <w:hideMark/>
          </w:tcPr>
          <w:p w14:paraId="21691A24" w14:textId="13AF37A8" w:rsidR="00475335" w:rsidRPr="0003170B" w:rsidRDefault="00DE7967" w:rsidP="0007784F">
            <w:pPr>
              <w:rPr>
                <w:rFonts w:ascii="Arial Narrow" w:hAnsi="Arial Narrow" w:cs="Arial"/>
                <w:sz w:val="24"/>
                <w:szCs w:val="24"/>
              </w:rPr>
            </w:pPr>
            <w:r w:rsidRPr="0003170B">
              <w:rPr>
                <w:rFonts w:ascii="Arial Narrow" w:hAnsi="Arial Narrow" w:cs="Arial"/>
                <w:sz w:val="24"/>
                <w:szCs w:val="24"/>
              </w:rPr>
              <w:t>Association des Cliniques Privées de C</w:t>
            </w:r>
            <w:r w:rsidR="00DA19C0" w:rsidRPr="0003170B">
              <w:rPr>
                <w:rFonts w:ascii="Arial Narrow" w:hAnsi="Arial Narrow" w:cs="Arial"/>
                <w:sz w:val="24"/>
                <w:szCs w:val="24"/>
              </w:rPr>
              <w:t>ôte d’Ivoire</w:t>
            </w:r>
          </w:p>
        </w:tc>
      </w:tr>
      <w:tr w:rsidR="00475335" w:rsidRPr="003F13B0" w14:paraId="202F1EC6" w14:textId="77777777" w:rsidTr="0007784F">
        <w:trPr>
          <w:trHeight w:val="290"/>
        </w:trPr>
        <w:tc>
          <w:tcPr>
            <w:tcW w:w="1555" w:type="dxa"/>
            <w:noWrap/>
            <w:vAlign w:val="center"/>
            <w:hideMark/>
          </w:tcPr>
          <w:p w14:paraId="5AC85213"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ADR</w:t>
            </w:r>
          </w:p>
        </w:tc>
        <w:tc>
          <w:tcPr>
            <w:tcW w:w="7371" w:type="dxa"/>
            <w:noWrap/>
            <w:vAlign w:val="center"/>
            <w:hideMark/>
          </w:tcPr>
          <w:p w14:paraId="52018A9A" w14:textId="552A3801" w:rsidR="00475335" w:rsidRPr="0003170B" w:rsidRDefault="00AC6D8F" w:rsidP="0007784F">
            <w:pPr>
              <w:rPr>
                <w:rFonts w:ascii="Arial Narrow" w:hAnsi="Arial Narrow" w:cs="Arial"/>
                <w:sz w:val="24"/>
                <w:szCs w:val="24"/>
              </w:rPr>
            </w:pPr>
            <w:r w:rsidRPr="0003170B">
              <w:rPr>
                <w:rFonts w:ascii="Arial Narrow" w:hAnsi="Arial Narrow" w:cs="Arial"/>
                <w:sz w:val="24"/>
                <w:szCs w:val="24"/>
              </w:rPr>
              <w:t>Agence de Développement Rur</w:t>
            </w:r>
            <w:r w:rsidR="0042111C" w:rsidRPr="0003170B">
              <w:rPr>
                <w:rFonts w:ascii="Arial Narrow" w:hAnsi="Arial Narrow" w:cs="Arial"/>
                <w:sz w:val="24"/>
                <w:szCs w:val="24"/>
              </w:rPr>
              <w:t>a</w:t>
            </w:r>
            <w:r w:rsidRPr="0003170B">
              <w:rPr>
                <w:rFonts w:ascii="Arial Narrow" w:hAnsi="Arial Narrow" w:cs="Arial"/>
                <w:sz w:val="24"/>
                <w:szCs w:val="24"/>
              </w:rPr>
              <w:t>l</w:t>
            </w:r>
          </w:p>
        </w:tc>
      </w:tr>
      <w:tr w:rsidR="00475335" w:rsidRPr="003F13B0" w14:paraId="1F9320E8" w14:textId="77777777" w:rsidTr="0007784F">
        <w:trPr>
          <w:trHeight w:val="290"/>
        </w:trPr>
        <w:tc>
          <w:tcPr>
            <w:tcW w:w="1555" w:type="dxa"/>
            <w:noWrap/>
            <w:vAlign w:val="center"/>
            <w:hideMark/>
          </w:tcPr>
          <w:p w14:paraId="3D6A9884"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AMIU</w:t>
            </w:r>
          </w:p>
        </w:tc>
        <w:tc>
          <w:tcPr>
            <w:tcW w:w="7371" w:type="dxa"/>
            <w:noWrap/>
            <w:vAlign w:val="center"/>
            <w:hideMark/>
          </w:tcPr>
          <w:p w14:paraId="3D69D167" w14:textId="5A30D0BA" w:rsidR="00475335" w:rsidRPr="0003170B" w:rsidRDefault="00133EA4" w:rsidP="0007784F">
            <w:pPr>
              <w:rPr>
                <w:rFonts w:ascii="Arial Narrow" w:hAnsi="Arial Narrow" w:cs="Arial"/>
                <w:sz w:val="24"/>
                <w:szCs w:val="24"/>
              </w:rPr>
            </w:pPr>
            <w:r w:rsidRPr="0003170B">
              <w:rPr>
                <w:rFonts w:ascii="Arial Narrow" w:hAnsi="Arial Narrow" w:cs="Arial"/>
                <w:sz w:val="24"/>
                <w:szCs w:val="24"/>
              </w:rPr>
              <w:t>Avortement par aspiration Manuelle</w:t>
            </w:r>
            <w:r w:rsidR="00762A86" w:rsidRPr="0003170B">
              <w:rPr>
                <w:rFonts w:ascii="Arial Narrow" w:hAnsi="Arial Narrow" w:cs="Arial"/>
                <w:sz w:val="24"/>
                <w:szCs w:val="24"/>
              </w:rPr>
              <w:t xml:space="preserve"> Intra-Utérine</w:t>
            </w:r>
          </w:p>
        </w:tc>
      </w:tr>
      <w:tr w:rsidR="00475335" w:rsidRPr="003F13B0" w14:paraId="1AE1911A" w14:textId="77777777" w:rsidTr="0007784F">
        <w:trPr>
          <w:trHeight w:val="290"/>
        </w:trPr>
        <w:tc>
          <w:tcPr>
            <w:tcW w:w="1555" w:type="dxa"/>
            <w:noWrap/>
            <w:vAlign w:val="center"/>
            <w:hideMark/>
          </w:tcPr>
          <w:p w14:paraId="6A621881"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ARV</w:t>
            </w:r>
          </w:p>
        </w:tc>
        <w:tc>
          <w:tcPr>
            <w:tcW w:w="7371" w:type="dxa"/>
            <w:noWrap/>
            <w:vAlign w:val="center"/>
            <w:hideMark/>
          </w:tcPr>
          <w:p w14:paraId="5052FDDB" w14:textId="541E34C5" w:rsidR="00475335" w:rsidRPr="0003170B" w:rsidRDefault="00762A86" w:rsidP="0007784F">
            <w:pPr>
              <w:rPr>
                <w:rFonts w:ascii="Arial Narrow" w:hAnsi="Arial Narrow" w:cs="Arial"/>
                <w:sz w:val="24"/>
                <w:szCs w:val="24"/>
              </w:rPr>
            </w:pPr>
            <w:r w:rsidRPr="0003170B">
              <w:rPr>
                <w:rFonts w:ascii="Arial Narrow" w:hAnsi="Arial Narrow" w:cs="Arial"/>
                <w:sz w:val="24"/>
                <w:szCs w:val="24"/>
              </w:rPr>
              <w:t>Anti-Retro-Vir</w:t>
            </w:r>
            <w:r w:rsidR="00C45307" w:rsidRPr="0003170B">
              <w:rPr>
                <w:rFonts w:ascii="Arial Narrow" w:hAnsi="Arial Narrow" w:cs="Arial"/>
                <w:sz w:val="24"/>
                <w:szCs w:val="24"/>
              </w:rPr>
              <w:t>a</w:t>
            </w:r>
            <w:r w:rsidR="00C45307" w:rsidRPr="0003170B">
              <w:rPr>
                <w:rFonts w:ascii="Arial Narrow" w:hAnsi="Arial Narrow"/>
                <w:sz w:val="24"/>
                <w:szCs w:val="24"/>
              </w:rPr>
              <w:t>ux</w:t>
            </w:r>
          </w:p>
        </w:tc>
      </w:tr>
      <w:tr w:rsidR="00475335" w:rsidRPr="003F13B0" w14:paraId="1F7908AC" w14:textId="77777777" w:rsidTr="0007784F">
        <w:trPr>
          <w:trHeight w:val="290"/>
        </w:trPr>
        <w:tc>
          <w:tcPr>
            <w:tcW w:w="1555" w:type="dxa"/>
            <w:noWrap/>
            <w:vAlign w:val="center"/>
            <w:hideMark/>
          </w:tcPr>
          <w:p w14:paraId="5A88646A"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ASC</w:t>
            </w:r>
          </w:p>
        </w:tc>
        <w:tc>
          <w:tcPr>
            <w:tcW w:w="7371" w:type="dxa"/>
            <w:noWrap/>
            <w:vAlign w:val="center"/>
            <w:hideMark/>
          </w:tcPr>
          <w:p w14:paraId="3D812BC5" w14:textId="05AE3164" w:rsidR="00475335" w:rsidRPr="0003170B" w:rsidRDefault="00762A86" w:rsidP="0007784F">
            <w:pPr>
              <w:rPr>
                <w:rFonts w:ascii="Arial Narrow" w:hAnsi="Arial Narrow" w:cs="Arial"/>
                <w:sz w:val="24"/>
                <w:szCs w:val="24"/>
              </w:rPr>
            </w:pPr>
            <w:r w:rsidRPr="0003170B">
              <w:rPr>
                <w:rFonts w:ascii="Arial Narrow" w:hAnsi="Arial Narrow" w:cs="Arial"/>
                <w:sz w:val="24"/>
                <w:szCs w:val="24"/>
              </w:rPr>
              <w:t>Agent de Santé Communautaire</w:t>
            </w:r>
          </w:p>
        </w:tc>
      </w:tr>
      <w:tr w:rsidR="00475335" w:rsidRPr="003F13B0" w14:paraId="4DDA5F69" w14:textId="77777777" w:rsidTr="0007784F">
        <w:trPr>
          <w:trHeight w:val="290"/>
        </w:trPr>
        <w:tc>
          <w:tcPr>
            <w:tcW w:w="1555" w:type="dxa"/>
            <w:noWrap/>
            <w:vAlign w:val="center"/>
            <w:hideMark/>
          </w:tcPr>
          <w:p w14:paraId="014E7BBD"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CAT</w:t>
            </w:r>
          </w:p>
        </w:tc>
        <w:tc>
          <w:tcPr>
            <w:tcW w:w="7371" w:type="dxa"/>
            <w:noWrap/>
            <w:vAlign w:val="center"/>
            <w:hideMark/>
          </w:tcPr>
          <w:p w14:paraId="3AEDBF8D" w14:textId="25DB5B9C" w:rsidR="00475335" w:rsidRPr="0003170B" w:rsidRDefault="000413C8" w:rsidP="0007784F">
            <w:pPr>
              <w:rPr>
                <w:rFonts w:ascii="Arial Narrow" w:hAnsi="Arial Narrow" w:cs="Arial"/>
                <w:sz w:val="24"/>
                <w:szCs w:val="24"/>
              </w:rPr>
            </w:pPr>
            <w:r w:rsidRPr="0003170B">
              <w:rPr>
                <w:rFonts w:ascii="Arial Narrow" w:hAnsi="Arial Narrow" w:cs="Arial"/>
                <w:sz w:val="24"/>
                <w:szCs w:val="24"/>
              </w:rPr>
              <w:t xml:space="preserve">Centre </w:t>
            </w:r>
            <w:r w:rsidR="007E7C5B" w:rsidRPr="0003170B">
              <w:rPr>
                <w:rFonts w:ascii="Arial Narrow" w:hAnsi="Arial Narrow" w:cs="Arial"/>
                <w:sz w:val="24"/>
                <w:szCs w:val="24"/>
              </w:rPr>
              <w:t>Antituberculeux</w:t>
            </w:r>
          </w:p>
        </w:tc>
      </w:tr>
      <w:tr w:rsidR="00475335" w:rsidRPr="003F13B0" w14:paraId="5F907ED5" w14:textId="77777777" w:rsidTr="0007784F">
        <w:trPr>
          <w:trHeight w:val="310"/>
        </w:trPr>
        <w:tc>
          <w:tcPr>
            <w:tcW w:w="1555" w:type="dxa"/>
            <w:noWrap/>
            <w:vAlign w:val="center"/>
            <w:hideMark/>
          </w:tcPr>
          <w:p w14:paraId="4D8B269F"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CCDD</w:t>
            </w:r>
          </w:p>
        </w:tc>
        <w:tc>
          <w:tcPr>
            <w:tcW w:w="7371" w:type="dxa"/>
            <w:noWrap/>
            <w:vAlign w:val="center"/>
            <w:hideMark/>
          </w:tcPr>
          <w:p w14:paraId="6E5575AE" w14:textId="0E9D72C9" w:rsidR="00475335" w:rsidRPr="0003170B" w:rsidRDefault="000413C8" w:rsidP="0007784F">
            <w:pPr>
              <w:rPr>
                <w:rFonts w:ascii="Arial Narrow" w:hAnsi="Arial Narrow" w:cs="Arial"/>
                <w:sz w:val="24"/>
                <w:szCs w:val="24"/>
              </w:rPr>
            </w:pPr>
            <w:r w:rsidRPr="0003170B">
              <w:rPr>
                <w:rFonts w:ascii="Arial Narrow" w:hAnsi="Arial Narrow" w:cs="Arial"/>
                <w:sz w:val="24"/>
                <w:szCs w:val="24"/>
              </w:rPr>
              <w:t xml:space="preserve">Cadre de Coopération </w:t>
            </w:r>
            <w:r w:rsidR="005A0351" w:rsidRPr="0003170B">
              <w:rPr>
                <w:rFonts w:ascii="Arial Narrow" w:hAnsi="Arial Narrow" w:cs="Arial"/>
                <w:sz w:val="24"/>
                <w:szCs w:val="24"/>
              </w:rPr>
              <w:t>pour le</w:t>
            </w:r>
            <w:r w:rsidRPr="0003170B">
              <w:rPr>
                <w:rFonts w:ascii="Arial Narrow" w:hAnsi="Arial Narrow" w:cs="Arial"/>
                <w:sz w:val="24"/>
                <w:szCs w:val="24"/>
              </w:rPr>
              <w:t xml:space="preserve"> Développement Durable</w:t>
            </w:r>
          </w:p>
        </w:tc>
      </w:tr>
      <w:tr w:rsidR="00475335" w:rsidRPr="003F13B0" w14:paraId="2BBD212A" w14:textId="77777777" w:rsidTr="0007784F">
        <w:trPr>
          <w:trHeight w:val="290"/>
        </w:trPr>
        <w:tc>
          <w:tcPr>
            <w:tcW w:w="1555" w:type="dxa"/>
            <w:noWrap/>
            <w:vAlign w:val="center"/>
            <w:hideMark/>
          </w:tcPr>
          <w:p w14:paraId="455E9D80"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CDT</w:t>
            </w:r>
          </w:p>
        </w:tc>
        <w:tc>
          <w:tcPr>
            <w:tcW w:w="7371" w:type="dxa"/>
            <w:noWrap/>
            <w:vAlign w:val="center"/>
            <w:hideMark/>
          </w:tcPr>
          <w:p w14:paraId="59CD1575" w14:textId="10E028F5" w:rsidR="00475335" w:rsidRPr="0003170B" w:rsidRDefault="000413C8" w:rsidP="0007784F">
            <w:pPr>
              <w:rPr>
                <w:rFonts w:ascii="Arial Narrow" w:hAnsi="Arial Narrow" w:cs="Arial"/>
                <w:sz w:val="24"/>
                <w:szCs w:val="24"/>
              </w:rPr>
            </w:pPr>
            <w:r w:rsidRPr="0003170B">
              <w:rPr>
                <w:rFonts w:ascii="Arial Narrow" w:hAnsi="Arial Narrow" w:cs="Arial"/>
                <w:sz w:val="24"/>
                <w:szCs w:val="24"/>
              </w:rPr>
              <w:t>C</w:t>
            </w:r>
            <w:r w:rsidR="00305A6F" w:rsidRPr="0003170B">
              <w:rPr>
                <w:rFonts w:ascii="Arial Narrow" w:hAnsi="Arial Narrow" w:cs="Arial"/>
                <w:sz w:val="24"/>
                <w:szCs w:val="24"/>
              </w:rPr>
              <w:t>entre de Dépistage de la Tuberculose</w:t>
            </w:r>
          </w:p>
        </w:tc>
      </w:tr>
      <w:tr w:rsidR="00475335" w:rsidRPr="003F13B0" w14:paraId="5DA7BD05" w14:textId="77777777" w:rsidTr="0007784F">
        <w:trPr>
          <w:trHeight w:val="290"/>
        </w:trPr>
        <w:tc>
          <w:tcPr>
            <w:tcW w:w="1555" w:type="dxa"/>
            <w:noWrap/>
            <w:vAlign w:val="center"/>
            <w:hideMark/>
          </w:tcPr>
          <w:p w14:paraId="11AE252C"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CHR</w:t>
            </w:r>
          </w:p>
        </w:tc>
        <w:tc>
          <w:tcPr>
            <w:tcW w:w="7371" w:type="dxa"/>
            <w:noWrap/>
            <w:vAlign w:val="center"/>
            <w:hideMark/>
          </w:tcPr>
          <w:p w14:paraId="60D4C573" w14:textId="6143BBB2" w:rsidR="00475335" w:rsidRPr="0003170B" w:rsidRDefault="00232EB6" w:rsidP="0007784F">
            <w:pPr>
              <w:rPr>
                <w:rFonts w:ascii="Arial Narrow" w:hAnsi="Arial Narrow" w:cs="Arial"/>
                <w:sz w:val="24"/>
                <w:szCs w:val="24"/>
              </w:rPr>
            </w:pPr>
            <w:r w:rsidRPr="0003170B">
              <w:rPr>
                <w:rFonts w:ascii="Arial Narrow" w:hAnsi="Arial Narrow" w:cs="Arial"/>
                <w:sz w:val="24"/>
                <w:szCs w:val="24"/>
              </w:rPr>
              <w:t>Centre Hospitalier Régional</w:t>
            </w:r>
          </w:p>
        </w:tc>
      </w:tr>
      <w:tr w:rsidR="00475335" w:rsidRPr="003F13B0" w14:paraId="3AFA9950" w14:textId="77777777" w:rsidTr="0007784F">
        <w:trPr>
          <w:trHeight w:val="290"/>
        </w:trPr>
        <w:tc>
          <w:tcPr>
            <w:tcW w:w="1555" w:type="dxa"/>
            <w:noWrap/>
            <w:vAlign w:val="center"/>
            <w:hideMark/>
          </w:tcPr>
          <w:p w14:paraId="070B4668"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CHU</w:t>
            </w:r>
          </w:p>
        </w:tc>
        <w:tc>
          <w:tcPr>
            <w:tcW w:w="7371" w:type="dxa"/>
            <w:noWrap/>
            <w:vAlign w:val="center"/>
            <w:hideMark/>
          </w:tcPr>
          <w:p w14:paraId="5698B23C" w14:textId="2B8258D3" w:rsidR="00475335" w:rsidRPr="0003170B" w:rsidRDefault="00232EB6" w:rsidP="0007784F">
            <w:pPr>
              <w:rPr>
                <w:rFonts w:ascii="Arial Narrow" w:hAnsi="Arial Narrow" w:cs="Arial"/>
                <w:sz w:val="24"/>
                <w:szCs w:val="24"/>
              </w:rPr>
            </w:pPr>
            <w:r w:rsidRPr="0003170B">
              <w:rPr>
                <w:rFonts w:ascii="Arial Narrow" w:hAnsi="Arial Narrow" w:cs="Arial"/>
                <w:sz w:val="24"/>
                <w:szCs w:val="24"/>
              </w:rPr>
              <w:t xml:space="preserve">Centre Hospitalier </w:t>
            </w:r>
            <w:r w:rsidR="005A0351" w:rsidRPr="0003170B">
              <w:rPr>
                <w:rFonts w:ascii="Arial Narrow" w:hAnsi="Arial Narrow" w:cs="Arial"/>
                <w:sz w:val="24"/>
                <w:szCs w:val="24"/>
              </w:rPr>
              <w:t>Universitaire</w:t>
            </w:r>
          </w:p>
        </w:tc>
      </w:tr>
      <w:tr w:rsidR="00475335" w:rsidRPr="003F13B0" w14:paraId="41E51BDC" w14:textId="77777777" w:rsidTr="0007784F">
        <w:trPr>
          <w:trHeight w:val="290"/>
        </w:trPr>
        <w:tc>
          <w:tcPr>
            <w:tcW w:w="1555" w:type="dxa"/>
            <w:noWrap/>
            <w:vAlign w:val="center"/>
            <w:hideMark/>
          </w:tcPr>
          <w:p w14:paraId="3AD87305"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CMU</w:t>
            </w:r>
          </w:p>
        </w:tc>
        <w:tc>
          <w:tcPr>
            <w:tcW w:w="7371" w:type="dxa"/>
            <w:noWrap/>
            <w:vAlign w:val="center"/>
            <w:hideMark/>
          </w:tcPr>
          <w:p w14:paraId="1CC1624E" w14:textId="3DA2E534" w:rsidR="00475335" w:rsidRPr="0003170B" w:rsidRDefault="005A0351" w:rsidP="0007784F">
            <w:pPr>
              <w:rPr>
                <w:rFonts w:ascii="Arial Narrow" w:hAnsi="Arial Narrow" w:cs="Arial"/>
                <w:sz w:val="24"/>
                <w:szCs w:val="24"/>
              </w:rPr>
            </w:pPr>
            <w:r w:rsidRPr="0003170B">
              <w:rPr>
                <w:rFonts w:ascii="Arial Narrow" w:hAnsi="Arial Narrow" w:cs="Arial"/>
                <w:sz w:val="24"/>
                <w:szCs w:val="24"/>
              </w:rPr>
              <w:t>Couverture Maladie Universelle</w:t>
            </w:r>
          </w:p>
        </w:tc>
      </w:tr>
      <w:tr w:rsidR="00475335" w:rsidRPr="003F13B0" w14:paraId="22EA51F9" w14:textId="77777777" w:rsidTr="0007784F">
        <w:trPr>
          <w:trHeight w:val="310"/>
        </w:trPr>
        <w:tc>
          <w:tcPr>
            <w:tcW w:w="1555" w:type="dxa"/>
            <w:noWrap/>
            <w:vAlign w:val="center"/>
            <w:hideMark/>
          </w:tcPr>
          <w:p w14:paraId="0D6A9261"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CNTSCI</w:t>
            </w:r>
          </w:p>
        </w:tc>
        <w:tc>
          <w:tcPr>
            <w:tcW w:w="7371" w:type="dxa"/>
            <w:noWrap/>
            <w:vAlign w:val="center"/>
            <w:hideMark/>
          </w:tcPr>
          <w:p w14:paraId="4C7E4358" w14:textId="227C6FF2" w:rsidR="00475335" w:rsidRPr="0003170B" w:rsidRDefault="00E57981" w:rsidP="0007784F">
            <w:pPr>
              <w:rPr>
                <w:rFonts w:ascii="Arial Narrow" w:hAnsi="Arial Narrow" w:cs="Arial"/>
                <w:sz w:val="24"/>
                <w:szCs w:val="24"/>
              </w:rPr>
            </w:pPr>
            <w:r w:rsidRPr="0003170B">
              <w:rPr>
                <w:rFonts w:ascii="Arial Narrow" w:hAnsi="Arial Narrow" w:cs="Arial"/>
                <w:sz w:val="24"/>
                <w:szCs w:val="24"/>
              </w:rPr>
              <w:t>Centre National de Transfusion Sanguine Côte d’Ivoire</w:t>
            </w:r>
          </w:p>
        </w:tc>
      </w:tr>
      <w:tr w:rsidR="00475335" w:rsidRPr="003F13B0" w14:paraId="11F9CF80" w14:textId="77777777" w:rsidTr="0007784F">
        <w:trPr>
          <w:trHeight w:val="290"/>
        </w:trPr>
        <w:tc>
          <w:tcPr>
            <w:tcW w:w="1555" w:type="dxa"/>
            <w:noWrap/>
            <w:vAlign w:val="center"/>
            <w:hideMark/>
          </w:tcPr>
          <w:p w14:paraId="1257907B"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CSU</w:t>
            </w:r>
          </w:p>
        </w:tc>
        <w:tc>
          <w:tcPr>
            <w:tcW w:w="7371" w:type="dxa"/>
            <w:noWrap/>
            <w:vAlign w:val="center"/>
            <w:hideMark/>
          </w:tcPr>
          <w:p w14:paraId="444E7C0D" w14:textId="554E15CC" w:rsidR="00475335" w:rsidRPr="0003170B" w:rsidRDefault="007630DF" w:rsidP="0007784F">
            <w:pPr>
              <w:rPr>
                <w:rFonts w:ascii="Arial Narrow" w:hAnsi="Arial Narrow" w:cs="Arial"/>
                <w:sz w:val="24"/>
                <w:szCs w:val="24"/>
              </w:rPr>
            </w:pPr>
            <w:r w:rsidRPr="0003170B">
              <w:rPr>
                <w:rFonts w:ascii="Arial Narrow" w:hAnsi="Arial Narrow" w:cs="Arial"/>
                <w:sz w:val="24"/>
                <w:szCs w:val="24"/>
              </w:rPr>
              <w:t>Centre de Santé Urbain</w:t>
            </w:r>
          </w:p>
        </w:tc>
      </w:tr>
      <w:tr w:rsidR="00475335" w:rsidRPr="003F13B0" w14:paraId="10DD0DE2" w14:textId="77777777" w:rsidTr="0007784F">
        <w:trPr>
          <w:trHeight w:val="290"/>
        </w:trPr>
        <w:tc>
          <w:tcPr>
            <w:tcW w:w="1555" w:type="dxa"/>
            <w:noWrap/>
            <w:vAlign w:val="center"/>
            <w:hideMark/>
          </w:tcPr>
          <w:p w14:paraId="379A0DA2" w14:textId="3B078298"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CS</w:t>
            </w:r>
            <w:r w:rsidR="000D2DD9" w:rsidRPr="0003170B">
              <w:rPr>
                <w:rFonts w:ascii="Arial Narrow" w:hAnsi="Arial Narrow" w:cs="Arial"/>
                <w:b/>
                <w:sz w:val="24"/>
                <w:szCs w:val="24"/>
              </w:rPr>
              <w:t>R</w:t>
            </w:r>
          </w:p>
        </w:tc>
        <w:tc>
          <w:tcPr>
            <w:tcW w:w="7371" w:type="dxa"/>
            <w:noWrap/>
            <w:vAlign w:val="center"/>
            <w:hideMark/>
          </w:tcPr>
          <w:p w14:paraId="2C09D92B" w14:textId="5D9DA576" w:rsidR="00475335" w:rsidRPr="0003170B" w:rsidRDefault="000D2DD9" w:rsidP="0007784F">
            <w:pPr>
              <w:rPr>
                <w:rFonts w:ascii="Arial Narrow" w:hAnsi="Arial Narrow" w:cs="Arial"/>
                <w:sz w:val="24"/>
                <w:szCs w:val="24"/>
              </w:rPr>
            </w:pPr>
            <w:r w:rsidRPr="0003170B">
              <w:rPr>
                <w:rFonts w:ascii="Arial Narrow" w:hAnsi="Arial Narrow" w:cs="Arial"/>
                <w:sz w:val="24"/>
                <w:szCs w:val="24"/>
              </w:rPr>
              <w:t>Centre de Santé Rural</w:t>
            </w:r>
          </w:p>
        </w:tc>
      </w:tr>
      <w:tr w:rsidR="00315463" w:rsidRPr="003F13B0" w14:paraId="462B8EA6" w14:textId="77777777" w:rsidTr="0007784F">
        <w:trPr>
          <w:trHeight w:val="290"/>
        </w:trPr>
        <w:tc>
          <w:tcPr>
            <w:tcW w:w="1555" w:type="dxa"/>
            <w:noWrap/>
            <w:vAlign w:val="center"/>
          </w:tcPr>
          <w:p w14:paraId="361743AA" w14:textId="6A16DA17" w:rsidR="00315463" w:rsidRPr="0003170B" w:rsidRDefault="00315463" w:rsidP="0007784F">
            <w:pPr>
              <w:rPr>
                <w:rFonts w:ascii="Arial Narrow" w:hAnsi="Arial Narrow" w:cs="Arial"/>
                <w:b/>
                <w:sz w:val="24"/>
                <w:szCs w:val="24"/>
              </w:rPr>
            </w:pPr>
            <w:r w:rsidRPr="0003170B">
              <w:rPr>
                <w:rFonts w:ascii="Arial Narrow" w:hAnsi="Arial Narrow" w:cs="Arial"/>
                <w:b/>
                <w:sz w:val="24"/>
                <w:szCs w:val="24"/>
              </w:rPr>
              <w:t>DDS</w:t>
            </w:r>
          </w:p>
        </w:tc>
        <w:tc>
          <w:tcPr>
            <w:tcW w:w="7371" w:type="dxa"/>
            <w:noWrap/>
            <w:vAlign w:val="center"/>
          </w:tcPr>
          <w:p w14:paraId="358B904C" w14:textId="0D162ADD" w:rsidR="00315463" w:rsidRPr="0003170B" w:rsidRDefault="00315463" w:rsidP="0007784F">
            <w:pPr>
              <w:rPr>
                <w:rFonts w:ascii="Arial Narrow" w:hAnsi="Arial Narrow" w:cs="Arial"/>
                <w:sz w:val="24"/>
                <w:szCs w:val="24"/>
              </w:rPr>
            </w:pPr>
            <w:r w:rsidRPr="0003170B">
              <w:rPr>
                <w:rFonts w:ascii="Arial Narrow" w:hAnsi="Arial Narrow" w:cs="Arial"/>
                <w:sz w:val="24"/>
                <w:szCs w:val="24"/>
              </w:rPr>
              <w:t>Direction Départementale de la Santé</w:t>
            </w:r>
          </w:p>
        </w:tc>
      </w:tr>
      <w:tr w:rsidR="00475335" w:rsidRPr="003F13B0" w14:paraId="032F5B9F" w14:textId="77777777" w:rsidTr="0007784F">
        <w:trPr>
          <w:trHeight w:val="290"/>
        </w:trPr>
        <w:tc>
          <w:tcPr>
            <w:tcW w:w="1555" w:type="dxa"/>
            <w:noWrap/>
            <w:vAlign w:val="center"/>
            <w:hideMark/>
          </w:tcPr>
          <w:p w14:paraId="0B6A409E"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DPI</w:t>
            </w:r>
          </w:p>
        </w:tc>
        <w:tc>
          <w:tcPr>
            <w:tcW w:w="7371" w:type="dxa"/>
            <w:noWrap/>
            <w:vAlign w:val="center"/>
            <w:hideMark/>
          </w:tcPr>
          <w:p w14:paraId="063D92A4" w14:textId="3D64FC9E" w:rsidR="00475335" w:rsidRPr="0003170B" w:rsidRDefault="003738D5" w:rsidP="0007784F">
            <w:pPr>
              <w:rPr>
                <w:rFonts w:ascii="Arial Narrow" w:hAnsi="Arial Narrow" w:cs="Arial"/>
                <w:sz w:val="24"/>
                <w:szCs w:val="24"/>
              </w:rPr>
            </w:pPr>
            <w:r w:rsidRPr="0003170B">
              <w:rPr>
                <w:rFonts w:ascii="Arial Narrow" w:hAnsi="Arial Narrow" w:cs="Arial"/>
                <w:sz w:val="24"/>
                <w:szCs w:val="24"/>
              </w:rPr>
              <w:t>Dossier Patient Informatisé</w:t>
            </w:r>
          </w:p>
        </w:tc>
      </w:tr>
      <w:tr w:rsidR="004E0CCF" w:rsidRPr="003F13B0" w14:paraId="410CD974" w14:textId="77777777" w:rsidTr="0007784F">
        <w:trPr>
          <w:trHeight w:val="310"/>
        </w:trPr>
        <w:tc>
          <w:tcPr>
            <w:tcW w:w="1555" w:type="dxa"/>
            <w:noWrap/>
            <w:vAlign w:val="center"/>
            <w:hideMark/>
          </w:tcPr>
          <w:p w14:paraId="0F6E32BA" w14:textId="77777777" w:rsidR="004E0CCF" w:rsidRPr="0003170B" w:rsidRDefault="004E0CCF" w:rsidP="0007784F">
            <w:pPr>
              <w:rPr>
                <w:rFonts w:ascii="Arial Narrow" w:hAnsi="Arial Narrow" w:cs="Arial"/>
                <w:b/>
                <w:sz w:val="24"/>
                <w:szCs w:val="24"/>
              </w:rPr>
            </w:pPr>
            <w:r w:rsidRPr="0003170B">
              <w:rPr>
                <w:rFonts w:ascii="Arial Narrow" w:hAnsi="Arial Narrow" w:cs="Arial"/>
                <w:b/>
                <w:sz w:val="24"/>
                <w:szCs w:val="24"/>
              </w:rPr>
              <w:t>DPPD-PAP</w:t>
            </w:r>
          </w:p>
        </w:tc>
        <w:tc>
          <w:tcPr>
            <w:tcW w:w="7371" w:type="dxa"/>
            <w:vAlign w:val="center"/>
          </w:tcPr>
          <w:p w14:paraId="4ADAA586" w14:textId="6B5634AE" w:rsidR="004E0CCF" w:rsidRPr="0003170B" w:rsidRDefault="002F4E4F" w:rsidP="0007784F">
            <w:pPr>
              <w:rPr>
                <w:rFonts w:ascii="Arial Narrow" w:hAnsi="Arial Narrow" w:cs="Arial"/>
                <w:sz w:val="24"/>
                <w:szCs w:val="24"/>
              </w:rPr>
            </w:pPr>
            <w:r w:rsidRPr="0003170B">
              <w:rPr>
                <w:rFonts w:ascii="Arial Narrow" w:hAnsi="Arial Narrow" w:cs="Arial"/>
                <w:sz w:val="24"/>
                <w:szCs w:val="24"/>
              </w:rPr>
              <w:t xml:space="preserve">Document </w:t>
            </w:r>
            <w:r w:rsidR="007E7C5B" w:rsidRPr="0003170B">
              <w:rPr>
                <w:rFonts w:ascii="Arial Narrow" w:hAnsi="Arial Narrow" w:cs="Arial"/>
                <w:sz w:val="24"/>
                <w:szCs w:val="24"/>
              </w:rPr>
              <w:t>Pluriannuel</w:t>
            </w:r>
            <w:r w:rsidRPr="0003170B">
              <w:rPr>
                <w:rFonts w:ascii="Arial Narrow" w:hAnsi="Arial Narrow" w:cs="Arial"/>
                <w:sz w:val="24"/>
                <w:szCs w:val="24"/>
              </w:rPr>
              <w:t xml:space="preserve"> de Programmation des Dépenses</w:t>
            </w:r>
            <w:r w:rsidR="0007784F" w:rsidRPr="0003170B">
              <w:rPr>
                <w:rFonts w:ascii="Arial Narrow" w:hAnsi="Arial Narrow" w:cs="Arial"/>
                <w:sz w:val="24"/>
                <w:szCs w:val="24"/>
              </w:rPr>
              <w:t xml:space="preserve"> – Projet Annuel de Programmation</w:t>
            </w:r>
          </w:p>
        </w:tc>
      </w:tr>
      <w:tr w:rsidR="00475335" w:rsidRPr="003F13B0" w14:paraId="53F81D35" w14:textId="77777777" w:rsidTr="0007784F">
        <w:trPr>
          <w:trHeight w:val="310"/>
        </w:trPr>
        <w:tc>
          <w:tcPr>
            <w:tcW w:w="1555" w:type="dxa"/>
            <w:noWrap/>
            <w:vAlign w:val="center"/>
            <w:hideMark/>
          </w:tcPr>
          <w:p w14:paraId="24FF0478"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DPPS</w:t>
            </w:r>
          </w:p>
        </w:tc>
        <w:tc>
          <w:tcPr>
            <w:tcW w:w="7371" w:type="dxa"/>
            <w:noWrap/>
            <w:vAlign w:val="center"/>
            <w:hideMark/>
          </w:tcPr>
          <w:p w14:paraId="665B3473" w14:textId="61914554" w:rsidR="00475335" w:rsidRPr="0003170B" w:rsidRDefault="0007784F" w:rsidP="0007784F">
            <w:pPr>
              <w:rPr>
                <w:rFonts w:ascii="Arial Narrow" w:hAnsi="Arial Narrow" w:cs="Arial"/>
                <w:sz w:val="24"/>
                <w:szCs w:val="24"/>
              </w:rPr>
            </w:pPr>
            <w:r w:rsidRPr="0003170B">
              <w:rPr>
                <w:rFonts w:ascii="Arial Narrow" w:hAnsi="Arial Narrow" w:cs="Arial"/>
                <w:sz w:val="24"/>
                <w:szCs w:val="24"/>
              </w:rPr>
              <w:t>Direction de la Prospective, de la Planification et des Stratégies</w:t>
            </w:r>
          </w:p>
        </w:tc>
      </w:tr>
      <w:tr w:rsidR="008642B3" w:rsidRPr="003F13B0" w14:paraId="4CD80B08" w14:textId="77777777" w:rsidTr="0007784F">
        <w:trPr>
          <w:trHeight w:val="310"/>
        </w:trPr>
        <w:tc>
          <w:tcPr>
            <w:tcW w:w="1555" w:type="dxa"/>
            <w:noWrap/>
            <w:vAlign w:val="center"/>
          </w:tcPr>
          <w:p w14:paraId="0802983D" w14:textId="0478AB2C" w:rsidR="008642B3" w:rsidRPr="0003170B" w:rsidRDefault="008642B3" w:rsidP="0007784F">
            <w:pPr>
              <w:rPr>
                <w:rFonts w:ascii="Arial Narrow" w:hAnsi="Arial Narrow" w:cs="Arial"/>
                <w:b/>
                <w:sz w:val="24"/>
                <w:szCs w:val="24"/>
              </w:rPr>
            </w:pPr>
            <w:r w:rsidRPr="0003170B">
              <w:rPr>
                <w:rFonts w:ascii="Arial Narrow" w:hAnsi="Arial Narrow" w:cs="Arial"/>
                <w:b/>
                <w:sz w:val="24"/>
                <w:szCs w:val="24"/>
              </w:rPr>
              <w:t>DS</w:t>
            </w:r>
          </w:p>
        </w:tc>
        <w:tc>
          <w:tcPr>
            <w:tcW w:w="7371" w:type="dxa"/>
            <w:noWrap/>
            <w:vAlign w:val="center"/>
          </w:tcPr>
          <w:p w14:paraId="6697139B" w14:textId="6B64E12C" w:rsidR="008642B3" w:rsidRPr="0003170B" w:rsidRDefault="008642B3" w:rsidP="0007784F">
            <w:pPr>
              <w:rPr>
                <w:rFonts w:ascii="Arial Narrow" w:hAnsi="Arial Narrow" w:cs="Arial"/>
                <w:sz w:val="24"/>
                <w:szCs w:val="24"/>
              </w:rPr>
            </w:pPr>
            <w:r w:rsidRPr="0003170B">
              <w:rPr>
                <w:rFonts w:ascii="Arial Narrow" w:hAnsi="Arial Narrow" w:cs="Arial"/>
                <w:sz w:val="24"/>
                <w:szCs w:val="24"/>
              </w:rPr>
              <w:t>District Sanitaire</w:t>
            </w:r>
          </w:p>
        </w:tc>
      </w:tr>
      <w:tr w:rsidR="00475335" w:rsidRPr="003F13B0" w14:paraId="507711C8" w14:textId="77777777" w:rsidTr="0007784F">
        <w:trPr>
          <w:trHeight w:val="290"/>
        </w:trPr>
        <w:tc>
          <w:tcPr>
            <w:tcW w:w="1555" w:type="dxa"/>
            <w:noWrap/>
            <w:vAlign w:val="center"/>
            <w:hideMark/>
          </w:tcPr>
          <w:p w14:paraId="126546F7"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DSCPS</w:t>
            </w:r>
          </w:p>
        </w:tc>
        <w:tc>
          <w:tcPr>
            <w:tcW w:w="7371" w:type="dxa"/>
            <w:noWrap/>
            <w:vAlign w:val="center"/>
            <w:hideMark/>
          </w:tcPr>
          <w:p w14:paraId="526038FD" w14:textId="141E4C2B" w:rsidR="00475335" w:rsidRPr="0003170B" w:rsidRDefault="00941ADF" w:rsidP="0007784F">
            <w:pPr>
              <w:rPr>
                <w:rFonts w:ascii="Arial Narrow" w:hAnsi="Arial Narrow" w:cs="Arial"/>
                <w:sz w:val="24"/>
                <w:szCs w:val="24"/>
              </w:rPr>
            </w:pPr>
            <w:r w:rsidRPr="0003170B">
              <w:rPr>
                <w:rFonts w:ascii="Arial Narrow" w:hAnsi="Arial Narrow" w:cs="Arial"/>
                <w:sz w:val="24"/>
                <w:szCs w:val="24"/>
              </w:rPr>
              <w:t>Direction de la Santé Communautaire et de la Promotion de la Santé</w:t>
            </w:r>
          </w:p>
        </w:tc>
      </w:tr>
      <w:tr w:rsidR="00475335" w:rsidRPr="003F13B0" w14:paraId="1EC91B63" w14:textId="77777777" w:rsidTr="0007784F">
        <w:trPr>
          <w:trHeight w:val="310"/>
        </w:trPr>
        <w:tc>
          <w:tcPr>
            <w:tcW w:w="1555" w:type="dxa"/>
            <w:noWrap/>
            <w:vAlign w:val="center"/>
            <w:hideMark/>
          </w:tcPr>
          <w:p w14:paraId="02F217A0"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ECD</w:t>
            </w:r>
          </w:p>
        </w:tc>
        <w:tc>
          <w:tcPr>
            <w:tcW w:w="7371" w:type="dxa"/>
            <w:noWrap/>
            <w:vAlign w:val="center"/>
            <w:hideMark/>
          </w:tcPr>
          <w:p w14:paraId="1C81132B" w14:textId="2E10E5DB" w:rsidR="00475335" w:rsidRPr="0003170B" w:rsidRDefault="008E14EE" w:rsidP="0007784F">
            <w:pPr>
              <w:rPr>
                <w:rFonts w:ascii="Arial Narrow" w:hAnsi="Arial Narrow" w:cs="Arial"/>
                <w:sz w:val="24"/>
                <w:szCs w:val="24"/>
              </w:rPr>
            </w:pPr>
            <w:r w:rsidRPr="0003170B">
              <w:rPr>
                <w:rFonts w:ascii="Arial Narrow" w:hAnsi="Arial Narrow" w:cs="Arial"/>
                <w:sz w:val="24"/>
                <w:szCs w:val="24"/>
              </w:rPr>
              <w:t>Equipe Cadre de District</w:t>
            </w:r>
          </w:p>
        </w:tc>
      </w:tr>
      <w:tr w:rsidR="00CF2A14" w:rsidRPr="003F13B0" w14:paraId="298A66A0" w14:textId="77777777" w:rsidTr="0007784F">
        <w:trPr>
          <w:trHeight w:val="310"/>
        </w:trPr>
        <w:tc>
          <w:tcPr>
            <w:tcW w:w="1555" w:type="dxa"/>
            <w:noWrap/>
            <w:vAlign w:val="center"/>
          </w:tcPr>
          <w:p w14:paraId="49313DDE" w14:textId="25387294" w:rsidR="00CF2A14" w:rsidRPr="0003170B" w:rsidRDefault="00CF2A14" w:rsidP="0007784F">
            <w:pPr>
              <w:rPr>
                <w:rFonts w:ascii="Arial Narrow" w:hAnsi="Arial Narrow" w:cs="Arial"/>
                <w:b/>
                <w:sz w:val="24"/>
                <w:szCs w:val="24"/>
              </w:rPr>
            </w:pPr>
            <w:r w:rsidRPr="0003170B">
              <w:rPr>
                <w:rFonts w:ascii="Arial Narrow" w:hAnsi="Arial Narrow" w:cs="Arial"/>
                <w:b/>
                <w:sz w:val="24"/>
                <w:szCs w:val="24"/>
              </w:rPr>
              <w:t>EHP</w:t>
            </w:r>
          </w:p>
        </w:tc>
        <w:tc>
          <w:tcPr>
            <w:tcW w:w="7371" w:type="dxa"/>
            <w:noWrap/>
            <w:vAlign w:val="center"/>
          </w:tcPr>
          <w:p w14:paraId="011F519B" w14:textId="0527F724" w:rsidR="00CF2A14" w:rsidRPr="0003170B" w:rsidRDefault="00CF2A14" w:rsidP="0007784F">
            <w:pPr>
              <w:rPr>
                <w:rFonts w:ascii="Arial Narrow" w:hAnsi="Arial Narrow" w:cs="Arial"/>
                <w:sz w:val="24"/>
                <w:szCs w:val="24"/>
              </w:rPr>
            </w:pPr>
            <w:r w:rsidRPr="0003170B">
              <w:rPr>
                <w:rFonts w:ascii="Arial Narrow" w:hAnsi="Arial Narrow" w:cs="Arial"/>
                <w:sz w:val="24"/>
                <w:szCs w:val="24"/>
              </w:rPr>
              <w:t>Etablissement Hospitalier Privé</w:t>
            </w:r>
          </w:p>
        </w:tc>
      </w:tr>
      <w:tr w:rsidR="00475335" w:rsidRPr="003F13B0" w14:paraId="0569E5E4" w14:textId="77777777" w:rsidTr="0007784F">
        <w:trPr>
          <w:trHeight w:val="290"/>
        </w:trPr>
        <w:tc>
          <w:tcPr>
            <w:tcW w:w="1555" w:type="dxa"/>
            <w:noWrap/>
            <w:vAlign w:val="center"/>
            <w:hideMark/>
          </w:tcPr>
          <w:p w14:paraId="242C6960"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EPH</w:t>
            </w:r>
          </w:p>
        </w:tc>
        <w:tc>
          <w:tcPr>
            <w:tcW w:w="7371" w:type="dxa"/>
            <w:noWrap/>
            <w:vAlign w:val="center"/>
            <w:hideMark/>
          </w:tcPr>
          <w:p w14:paraId="56D35B7E" w14:textId="44EFDEC3" w:rsidR="00475335" w:rsidRPr="0003170B" w:rsidRDefault="008E14EE" w:rsidP="0007784F">
            <w:pPr>
              <w:rPr>
                <w:rFonts w:ascii="Arial Narrow" w:hAnsi="Arial Narrow" w:cs="Arial"/>
                <w:sz w:val="24"/>
                <w:szCs w:val="24"/>
              </w:rPr>
            </w:pPr>
            <w:r w:rsidRPr="0003170B">
              <w:rPr>
                <w:rFonts w:ascii="Arial Narrow" w:hAnsi="Arial Narrow" w:cs="Arial"/>
                <w:sz w:val="24"/>
                <w:szCs w:val="24"/>
              </w:rPr>
              <w:t>Etablissement Public Hospitalier</w:t>
            </w:r>
          </w:p>
        </w:tc>
      </w:tr>
      <w:tr w:rsidR="00475335" w:rsidRPr="003F13B0" w14:paraId="2371E27A" w14:textId="77777777" w:rsidTr="0007784F">
        <w:trPr>
          <w:trHeight w:val="290"/>
        </w:trPr>
        <w:tc>
          <w:tcPr>
            <w:tcW w:w="1555" w:type="dxa"/>
            <w:noWrap/>
            <w:vAlign w:val="center"/>
            <w:hideMark/>
          </w:tcPr>
          <w:p w14:paraId="4AA50BA2"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EPHD</w:t>
            </w:r>
          </w:p>
        </w:tc>
        <w:tc>
          <w:tcPr>
            <w:tcW w:w="7371" w:type="dxa"/>
            <w:noWrap/>
            <w:vAlign w:val="center"/>
            <w:hideMark/>
          </w:tcPr>
          <w:p w14:paraId="38BC1B58" w14:textId="4B9B04F5" w:rsidR="00475335" w:rsidRPr="0003170B" w:rsidRDefault="008E14EE" w:rsidP="0007784F">
            <w:pPr>
              <w:rPr>
                <w:rFonts w:ascii="Arial Narrow" w:hAnsi="Arial Narrow" w:cs="Arial"/>
                <w:sz w:val="24"/>
                <w:szCs w:val="24"/>
              </w:rPr>
            </w:pPr>
            <w:r w:rsidRPr="0003170B">
              <w:rPr>
                <w:rFonts w:ascii="Arial Narrow" w:hAnsi="Arial Narrow" w:cs="Arial"/>
                <w:sz w:val="24"/>
                <w:szCs w:val="24"/>
              </w:rPr>
              <w:t>Etablissement Public Hospitalier Départemental</w:t>
            </w:r>
          </w:p>
        </w:tc>
      </w:tr>
      <w:tr w:rsidR="00475335" w:rsidRPr="003F13B0" w14:paraId="08D999CE" w14:textId="77777777" w:rsidTr="0007784F">
        <w:trPr>
          <w:trHeight w:val="290"/>
        </w:trPr>
        <w:tc>
          <w:tcPr>
            <w:tcW w:w="1555" w:type="dxa"/>
            <w:noWrap/>
            <w:vAlign w:val="center"/>
            <w:hideMark/>
          </w:tcPr>
          <w:p w14:paraId="630A1E30"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EPHN</w:t>
            </w:r>
          </w:p>
        </w:tc>
        <w:tc>
          <w:tcPr>
            <w:tcW w:w="7371" w:type="dxa"/>
            <w:noWrap/>
            <w:vAlign w:val="center"/>
            <w:hideMark/>
          </w:tcPr>
          <w:p w14:paraId="1634F64D" w14:textId="38D97C14" w:rsidR="00475335" w:rsidRPr="0003170B" w:rsidRDefault="008E14EE" w:rsidP="0007784F">
            <w:pPr>
              <w:rPr>
                <w:rFonts w:ascii="Arial Narrow" w:hAnsi="Arial Narrow" w:cs="Arial"/>
                <w:sz w:val="24"/>
                <w:szCs w:val="24"/>
              </w:rPr>
            </w:pPr>
            <w:r w:rsidRPr="0003170B">
              <w:rPr>
                <w:rFonts w:ascii="Arial Narrow" w:hAnsi="Arial Narrow" w:cs="Arial"/>
                <w:sz w:val="24"/>
                <w:szCs w:val="24"/>
              </w:rPr>
              <w:t>Etablissement Public Hospitalier National</w:t>
            </w:r>
          </w:p>
        </w:tc>
      </w:tr>
      <w:tr w:rsidR="00475335" w:rsidRPr="003F13B0" w14:paraId="3F193863" w14:textId="77777777" w:rsidTr="0007784F">
        <w:trPr>
          <w:trHeight w:val="290"/>
        </w:trPr>
        <w:tc>
          <w:tcPr>
            <w:tcW w:w="1555" w:type="dxa"/>
            <w:noWrap/>
            <w:vAlign w:val="center"/>
            <w:hideMark/>
          </w:tcPr>
          <w:p w14:paraId="1EEE1F4C"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EPHR</w:t>
            </w:r>
          </w:p>
        </w:tc>
        <w:tc>
          <w:tcPr>
            <w:tcW w:w="7371" w:type="dxa"/>
            <w:noWrap/>
            <w:vAlign w:val="center"/>
            <w:hideMark/>
          </w:tcPr>
          <w:p w14:paraId="30336793" w14:textId="1B9CB3FE" w:rsidR="00475335" w:rsidRPr="0003170B" w:rsidRDefault="008E14EE" w:rsidP="0007784F">
            <w:pPr>
              <w:rPr>
                <w:rFonts w:ascii="Arial Narrow" w:hAnsi="Arial Narrow" w:cs="Arial"/>
                <w:sz w:val="24"/>
                <w:szCs w:val="24"/>
              </w:rPr>
            </w:pPr>
            <w:r w:rsidRPr="0003170B">
              <w:rPr>
                <w:rFonts w:ascii="Arial Narrow" w:hAnsi="Arial Narrow" w:cs="Arial"/>
                <w:sz w:val="24"/>
                <w:szCs w:val="24"/>
              </w:rPr>
              <w:t>Etablissement Public Hospitalier Régional</w:t>
            </w:r>
          </w:p>
        </w:tc>
      </w:tr>
      <w:tr w:rsidR="00475335" w:rsidRPr="003F13B0" w14:paraId="2A572314" w14:textId="77777777" w:rsidTr="0007784F">
        <w:trPr>
          <w:trHeight w:val="310"/>
        </w:trPr>
        <w:tc>
          <w:tcPr>
            <w:tcW w:w="1555" w:type="dxa"/>
            <w:noWrap/>
            <w:vAlign w:val="center"/>
            <w:hideMark/>
          </w:tcPr>
          <w:p w14:paraId="4594FA77"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ERS</w:t>
            </w:r>
          </w:p>
        </w:tc>
        <w:tc>
          <w:tcPr>
            <w:tcW w:w="7371" w:type="dxa"/>
            <w:noWrap/>
            <w:vAlign w:val="center"/>
            <w:hideMark/>
          </w:tcPr>
          <w:p w14:paraId="7F599286" w14:textId="55046C00" w:rsidR="00475335" w:rsidRPr="0003170B" w:rsidRDefault="006E4943" w:rsidP="0007784F">
            <w:pPr>
              <w:rPr>
                <w:rFonts w:ascii="Arial Narrow" w:hAnsi="Arial Narrow" w:cs="Arial"/>
                <w:sz w:val="24"/>
                <w:szCs w:val="24"/>
              </w:rPr>
            </w:pPr>
            <w:r w:rsidRPr="0003170B">
              <w:rPr>
                <w:rFonts w:ascii="Arial Narrow" w:hAnsi="Arial Narrow" w:cs="Arial"/>
                <w:sz w:val="24"/>
                <w:szCs w:val="24"/>
              </w:rPr>
              <w:t>Equipe Régionale de Santé</w:t>
            </w:r>
          </w:p>
        </w:tc>
      </w:tr>
      <w:tr w:rsidR="00475335" w:rsidRPr="003F13B0" w14:paraId="6D3F5B68" w14:textId="77777777" w:rsidTr="0007784F">
        <w:trPr>
          <w:trHeight w:val="290"/>
        </w:trPr>
        <w:tc>
          <w:tcPr>
            <w:tcW w:w="1555" w:type="dxa"/>
            <w:noWrap/>
            <w:vAlign w:val="center"/>
            <w:hideMark/>
          </w:tcPr>
          <w:p w14:paraId="6BE98E9B"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ESPC</w:t>
            </w:r>
          </w:p>
        </w:tc>
        <w:tc>
          <w:tcPr>
            <w:tcW w:w="7371" w:type="dxa"/>
            <w:noWrap/>
            <w:vAlign w:val="center"/>
            <w:hideMark/>
          </w:tcPr>
          <w:p w14:paraId="7A10B010" w14:textId="3F676D04" w:rsidR="00475335" w:rsidRPr="0003170B" w:rsidRDefault="00C32F05" w:rsidP="0007784F">
            <w:pPr>
              <w:rPr>
                <w:rFonts w:ascii="Arial Narrow" w:hAnsi="Arial Narrow" w:cs="Arial"/>
                <w:sz w:val="24"/>
                <w:szCs w:val="24"/>
              </w:rPr>
            </w:pPr>
            <w:r w:rsidRPr="0003170B">
              <w:rPr>
                <w:rFonts w:ascii="Arial Narrow" w:hAnsi="Arial Narrow" w:cs="Arial"/>
                <w:sz w:val="24"/>
                <w:szCs w:val="24"/>
              </w:rPr>
              <w:t>Etablissement Sanitaire de Premier Contact</w:t>
            </w:r>
          </w:p>
        </w:tc>
      </w:tr>
      <w:tr w:rsidR="00475335" w:rsidRPr="003F13B0" w14:paraId="64A8E209" w14:textId="77777777" w:rsidTr="0007784F">
        <w:trPr>
          <w:trHeight w:val="290"/>
        </w:trPr>
        <w:tc>
          <w:tcPr>
            <w:tcW w:w="1555" w:type="dxa"/>
            <w:noWrap/>
            <w:vAlign w:val="center"/>
            <w:hideMark/>
          </w:tcPr>
          <w:p w14:paraId="32A29FE4" w14:textId="77777777" w:rsidR="00475335" w:rsidRPr="0003170B" w:rsidRDefault="00475335" w:rsidP="0007784F">
            <w:pPr>
              <w:rPr>
                <w:rFonts w:ascii="Arial Narrow" w:hAnsi="Arial Narrow" w:cs="Arial"/>
                <w:b/>
                <w:sz w:val="24"/>
                <w:szCs w:val="24"/>
              </w:rPr>
            </w:pPr>
            <w:proofErr w:type="spellStart"/>
            <w:r w:rsidRPr="0003170B">
              <w:rPr>
                <w:rFonts w:ascii="Arial Narrow" w:hAnsi="Arial Narrow" w:cs="Arial"/>
                <w:b/>
                <w:sz w:val="24"/>
                <w:szCs w:val="24"/>
              </w:rPr>
              <w:t>ESPr</w:t>
            </w:r>
            <w:proofErr w:type="spellEnd"/>
          </w:p>
        </w:tc>
        <w:tc>
          <w:tcPr>
            <w:tcW w:w="7371" w:type="dxa"/>
            <w:noWrap/>
            <w:vAlign w:val="center"/>
            <w:hideMark/>
          </w:tcPr>
          <w:p w14:paraId="23DCB217" w14:textId="1D00A476" w:rsidR="00475335" w:rsidRPr="0003170B" w:rsidRDefault="00C32F05" w:rsidP="0007784F">
            <w:pPr>
              <w:rPr>
                <w:rFonts w:ascii="Arial Narrow" w:hAnsi="Arial Narrow" w:cs="Arial"/>
                <w:sz w:val="24"/>
                <w:szCs w:val="24"/>
              </w:rPr>
            </w:pPr>
            <w:r w:rsidRPr="0003170B">
              <w:rPr>
                <w:rFonts w:ascii="Arial Narrow" w:hAnsi="Arial Narrow" w:cs="Arial"/>
                <w:sz w:val="24"/>
                <w:szCs w:val="24"/>
              </w:rPr>
              <w:t>Etablissement Sanitaire Privé</w:t>
            </w:r>
          </w:p>
        </w:tc>
      </w:tr>
      <w:tr w:rsidR="00475335" w:rsidRPr="003F13B0" w14:paraId="19D6D409" w14:textId="77777777" w:rsidTr="0007784F">
        <w:trPr>
          <w:trHeight w:val="290"/>
        </w:trPr>
        <w:tc>
          <w:tcPr>
            <w:tcW w:w="1555" w:type="dxa"/>
            <w:noWrap/>
            <w:vAlign w:val="center"/>
            <w:hideMark/>
          </w:tcPr>
          <w:p w14:paraId="3DF470A0"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FBP</w:t>
            </w:r>
          </w:p>
        </w:tc>
        <w:tc>
          <w:tcPr>
            <w:tcW w:w="7371" w:type="dxa"/>
            <w:noWrap/>
            <w:vAlign w:val="center"/>
            <w:hideMark/>
          </w:tcPr>
          <w:p w14:paraId="65917F8B" w14:textId="6E807A1D" w:rsidR="00475335" w:rsidRPr="0003170B" w:rsidRDefault="00C32F05" w:rsidP="0007784F">
            <w:pPr>
              <w:rPr>
                <w:rFonts w:ascii="Arial Narrow" w:hAnsi="Arial Narrow" w:cs="Arial"/>
                <w:sz w:val="24"/>
                <w:szCs w:val="24"/>
              </w:rPr>
            </w:pPr>
            <w:r w:rsidRPr="0003170B">
              <w:rPr>
                <w:rFonts w:ascii="Arial Narrow" w:hAnsi="Arial Narrow" w:cs="Arial"/>
                <w:sz w:val="24"/>
                <w:szCs w:val="24"/>
              </w:rPr>
              <w:t>Financement Basé sur la Performance</w:t>
            </w:r>
          </w:p>
        </w:tc>
      </w:tr>
      <w:tr w:rsidR="00475335" w:rsidRPr="003F13B0" w14:paraId="3387C995" w14:textId="77777777" w:rsidTr="0007784F">
        <w:trPr>
          <w:trHeight w:val="290"/>
        </w:trPr>
        <w:tc>
          <w:tcPr>
            <w:tcW w:w="1555" w:type="dxa"/>
            <w:noWrap/>
            <w:vAlign w:val="center"/>
            <w:hideMark/>
          </w:tcPr>
          <w:p w14:paraId="61911D42"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FCFA</w:t>
            </w:r>
          </w:p>
        </w:tc>
        <w:tc>
          <w:tcPr>
            <w:tcW w:w="7371" w:type="dxa"/>
            <w:noWrap/>
            <w:vAlign w:val="center"/>
            <w:hideMark/>
          </w:tcPr>
          <w:p w14:paraId="171C4B77" w14:textId="37E42632" w:rsidR="00475335" w:rsidRPr="0003170B" w:rsidRDefault="00C32F05" w:rsidP="0007784F">
            <w:pPr>
              <w:rPr>
                <w:rFonts w:ascii="Arial Narrow" w:hAnsi="Arial Narrow" w:cs="Arial"/>
                <w:sz w:val="24"/>
                <w:szCs w:val="24"/>
              </w:rPr>
            </w:pPr>
            <w:r w:rsidRPr="0003170B">
              <w:rPr>
                <w:rFonts w:ascii="Arial Narrow" w:hAnsi="Arial Narrow" w:cs="Arial"/>
                <w:sz w:val="24"/>
                <w:szCs w:val="24"/>
              </w:rPr>
              <w:t>Franc de la Communauté Financière Africaine</w:t>
            </w:r>
          </w:p>
        </w:tc>
      </w:tr>
      <w:tr w:rsidR="00475335" w:rsidRPr="003F13B0" w14:paraId="547C5F5A" w14:textId="77777777" w:rsidTr="0007784F">
        <w:trPr>
          <w:trHeight w:val="290"/>
        </w:trPr>
        <w:tc>
          <w:tcPr>
            <w:tcW w:w="1555" w:type="dxa"/>
            <w:noWrap/>
            <w:vAlign w:val="center"/>
            <w:hideMark/>
          </w:tcPr>
          <w:p w14:paraId="7B4D1930"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FMI</w:t>
            </w:r>
          </w:p>
        </w:tc>
        <w:tc>
          <w:tcPr>
            <w:tcW w:w="7371" w:type="dxa"/>
            <w:noWrap/>
            <w:vAlign w:val="center"/>
            <w:hideMark/>
          </w:tcPr>
          <w:p w14:paraId="57CC5241" w14:textId="60BC66AC" w:rsidR="00475335" w:rsidRPr="0003170B" w:rsidRDefault="00C32F05" w:rsidP="0007784F">
            <w:pPr>
              <w:rPr>
                <w:rFonts w:ascii="Arial Narrow" w:hAnsi="Arial Narrow" w:cs="Arial"/>
                <w:sz w:val="24"/>
                <w:szCs w:val="24"/>
              </w:rPr>
            </w:pPr>
            <w:r w:rsidRPr="0003170B">
              <w:rPr>
                <w:rFonts w:ascii="Arial Narrow" w:hAnsi="Arial Narrow" w:cs="Arial"/>
                <w:sz w:val="24"/>
                <w:szCs w:val="24"/>
              </w:rPr>
              <w:t>Fonds Monétaire International</w:t>
            </w:r>
          </w:p>
        </w:tc>
      </w:tr>
      <w:tr w:rsidR="00475335" w:rsidRPr="003F13B0" w14:paraId="0F00FD31" w14:textId="77777777" w:rsidTr="0007784F">
        <w:trPr>
          <w:trHeight w:val="290"/>
        </w:trPr>
        <w:tc>
          <w:tcPr>
            <w:tcW w:w="1555" w:type="dxa"/>
            <w:noWrap/>
            <w:vAlign w:val="center"/>
            <w:hideMark/>
          </w:tcPr>
          <w:p w14:paraId="4262F46F"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GEU</w:t>
            </w:r>
          </w:p>
        </w:tc>
        <w:tc>
          <w:tcPr>
            <w:tcW w:w="7371" w:type="dxa"/>
            <w:noWrap/>
            <w:vAlign w:val="center"/>
            <w:hideMark/>
          </w:tcPr>
          <w:p w14:paraId="69482003" w14:textId="6E43E1AE" w:rsidR="00475335" w:rsidRPr="0003170B" w:rsidRDefault="00C32F05" w:rsidP="0007784F">
            <w:pPr>
              <w:rPr>
                <w:rFonts w:ascii="Arial Narrow" w:hAnsi="Arial Narrow" w:cs="Arial"/>
                <w:sz w:val="24"/>
                <w:szCs w:val="24"/>
              </w:rPr>
            </w:pPr>
            <w:r w:rsidRPr="0003170B">
              <w:rPr>
                <w:rFonts w:ascii="Arial Narrow" w:hAnsi="Arial Narrow" w:cs="Arial"/>
                <w:sz w:val="24"/>
                <w:szCs w:val="24"/>
              </w:rPr>
              <w:t>Grossesse Extra-Utérine</w:t>
            </w:r>
          </w:p>
        </w:tc>
      </w:tr>
      <w:tr w:rsidR="00475335" w:rsidRPr="003F13B0" w14:paraId="1625C840" w14:textId="77777777" w:rsidTr="0007784F">
        <w:trPr>
          <w:trHeight w:val="290"/>
        </w:trPr>
        <w:tc>
          <w:tcPr>
            <w:tcW w:w="1555" w:type="dxa"/>
            <w:noWrap/>
            <w:vAlign w:val="center"/>
            <w:hideMark/>
          </w:tcPr>
          <w:p w14:paraId="33FDFC12"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GSS</w:t>
            </w:r>
          </w:p>
        </w:tc>
        <w:tc>
          <w:tcPr>
            <w:tcW w:w="7371" w:type="dxa"/>
            <w:noWrap/>
            <w:vAlign w:val="center"/>
            <w:hideMark/>
          </w:tcPr>
          <w:p w14:paraId="31BC0C04" w14:textId="4CB53E90" w:rsidR="00475335" w:rsidRPr="0003170B" w:rsidRDefault="00C32F05" w:rsidP="0007784F">
            <w:pPr>
              <w:rPr>
                <w:rFonts w:ascii="Arial Narrow" w:hAnsi="Arial Narrow" w:cs="Arial"/>
                <w:sz w:val="24"/>
                <w:szCs w:val="24"/>
              </w:rPr>
            </w:pPr>
            <w:r w:rsidRPr="0003170B">
              <w:rPr>
                <w:rFonts w:ascii="Arial Narrow" w:hAnsi="Arial Narrow" w:cs="Arial"/>
                <w:sz w:val="24"/>
                <w:szCs w:val="24"/>
              </w:rPr>
              <w:t>Groupe</w:t>
            </w:r>
            <w:r w:rsidR="000C0F6C" w:rsidRPr="0003170B">
              <w:rPr>
                <w:rFonts w:ascii="Arial Narrow" w:hAnsi="Arial Narrow" w:cs="Arial"/>
                <w:sz w:val="24"/>
                <w:szCs w:val="24"/>
              </w:rPr>
              <w:t xml:space="preserve"> Sectoriel Santé</w:t>
            </w:r>
          </w:p>
        </w:tc>
      </w:tr>
      <w:tr w:rsidR="00475335" w:rsidRPr="003F13B0" w14:paraId="77A86D00" w14:textId="77777777" w:rsidTr="0007784F">
        <w:trPr>
          <w:trHeight w:val="290"/>
        </w:trPr>
        <w:tc>
          <w:tcPr>
            <w:tcW w:w="1555" w:type="dxa"/>
            <w:noWrap/>
            <w:vAlign w:val="center"/>
            <w:hideMark/>
          </w:tcPr>
          <w:p w14:paraId="42800E13"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HG</w:t>
            </w:r>
          </w:p>
        </w:tc>
        <w:tc>
          <w:tcPr>
            <w:tcW w:w="7371" w:type="dxa"/>
            <w:noWrap/>
            <w:vAlign w:val="center"/>
            <w:hideMark/>
          </w:tcPr>
          <w:p w14:paraId="45A8CC0A" w14:textId="7FF0E270" w:rsidR="00475335" w:rsidRPr="0003170B" w:rsidRDefault="000C0F6C" w:rsidP="0007784F">
            <w:pPr>
              <w:rPr>
                <w:rFonts w:ascii="Arial Narrow" w:hAnsi="Arial Narrow" w:cs="Arial"/>
                <w:sz w:val="24"/>
                <w:szCs w:val="24"/>
              </w:rPr>
            </w:pPr>
            <w:r w:rsidRPr="0003170B">
              <w:rPr>
                <w:rFonts w:ascii="Arial Narrow" w:hAnsi="Arial Narrow" w:cs="Arial"/>
                <w:sz w:val="24"/>
                <w:szCs w:val="24"/>
              </w:rPr>
              <w:t>Hôpital Général</w:t>
            </w:r>
          </w:p>
        </w:tc>
      </w:tr>
      <w:tr w:rsidR="00475335" w:rsidRPr="003F13B0" w14:paraId="524C87EC" w14:textId="77777777" w:rsidTr="0007784F">
        <w:trPr>
          <w:trHeight w:val="290"/>
        </w:trPr>
        <w:tc>
          <w:tcPr>
            <w:tcW w:w="1555" w:type="dxa"/>
            <w:noWrap/>
            <w:vAlign w:val="center"/>
            <w:hideMark/>
          </w:tcPr>
          <w:p w14:paraId="136AA33F"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HTA</w:t>
            </w:r>
          </w:p>
        </w:tc>
        <w:tc>
          <w:tcPr>
            <w:tcW w:w="7371" w:type="dxa"/>
            <w:noWrap/>
            <w:vAlign w:val="center"/>
            <w:hideMark/>
          </w:tcPr>
          <w:p w14:paraId="7D05604E" w14:textId="22B12DEE" w:rsidR="00475335" w:rsidRPr="0003170B" w:rsidRDefault="000C0F6C" w:rsidP="0007784F">
            <w:pPr>
              <w:rPr>
                <w:rFonts w:ascii="Arial Narrow" w:hAnsi="Arial Narrow" w:cs="Arial"/>
                <w:sz w:val="24"/>
                <w:szCs w:val="24"/>
              </w:rPr>
            </w:pPr>
            <w:r w:rsidRPr="0003170B">
              <w:rPr>
                <w:rFonts w:ascii="Arial Narrow" w:hAnsi="Arial Narrow" w:cs="Arial"/>
                <w:sz w:val="24"/>
                <w:szCs w:val="24"/>
              </w:rPr>
              <w:t>Hypertension Artérielle</w:t>
            </w:r>
          </w:p>
        </w:tc>
      </w:tr>
      <w:tr w:rsidR="00A978A7" w:rsidRPr="003F13B0" w14:paraId="03880FFF" w14:textId="77777777" w:rsidTr="0007784F">
        <w:trPr>
          <w:trHeight w:val="290"/>
        </w:trPr>
        <w:tc>
          <w:tcPr>
            <w:tcW w:w="1555" w:type="dxa"/>
            <w:noWrap/>
            <w:vAlign w:val="center"/>
          </w:tcPr>
          <w:p w14:paraId="5FEEB303" w14:textId="49C08F46" w:rsidR="00A978A7" w:rsidRPr="0003170B" w:rsidRDefault="00A978A7" w:rsidP="0007784F">
            <w:pPr>
              <w:rPr>
                <w:rFonts w:ascii="Arial Narrow" w:hAnsi="Arial Narrow" w:cs="Arial"/>
                <w:b/>
                <w:sz w:val="24"/>
                <w:szCs w:val="24"/>
                <w:highlight w:val="yellow"/>
              </w:rPr>
            </w:pPr>
            <w:r w:rsidRPr="0003170B">
              <w:rPr>
                <w:rFonts w:ascii="Arial Narrow" w:hAnsi="Arial Narrow" w:cs="Arial"/>
                <w:b/>
                <w:sz w:val="24"/>
                <w:szCs w:val="24"/>
              </w:rPr>
              <w:t>IDE</w:t>
            </w:r>
          </w:p>
        </w:tc>
        <w:tc>
          <w:tcPr>
            <w:tcW w:w="7371" w:type="dxa"/>
            <w:noWrap/>
            <w:vAlign w:val="center"/>
          </w:tcPr>
          <w:p w14:paraId="63565F04" w14:textId="6D48E442" w:rsidR="00A978A7" w:rsidRPr="0003170B" w:rsidRDefault="00A978A7" w:rsidP="0007784F">
            <w:pPr>
              <w:rPr>
                <w:rFonts w:ascii="Arial Narrow" w:hAnsi="Arial Narrow" w:cs="Arial"/>
                <w:sz w:val="24"/>
                <w:szCs w:val="24"/>
              </w:rPr>
            </w:pPr>
            <w:r w:rsidRPr="0003170B">
              <w:rPr>
                <w:rFonts w:ascii="Arial Narrow" w:hAnsi="Arial Narrow" w:cs="Arial"/>
                <w:sz w:val="24"/>
                <w:szCs w:val="24"/>
              </w:rPr>
              <w:t>Infirmier Diplômé d’Etat</w:t>
            </w:r>
          </w:p>
        </w:tc>
      </w:tr>
      <w:tr w:rsidR="00475335" w:rsidRPr="003F13B0" w14:paraId="1E635DDA" w14:textId="77777777" w:rsidTr="0007784F">
        <w:trPr>
          <w:trHeight w:val="290"/>
        </w:trPr>
        <w:tc>
          <w:tcPr>
            <w:tcW w:w="1555" w:type="dxa"/>
            <w:noWrap/>
            <w:vAlign w:val="center"/>
            <w:hideMark/>
          </w:tcPr>
          <w:p w14:paraId="6AFD1600"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INFAS</w:t>
            </w:r>
          </w:p>
        </w:tc>
        <w:tc>
          <w:tcPr>
            <w:tcW w:w="7371" w:type="dxa"/>
            <w:noWrap/>
            <w:vAlign w:val="center"/>
            <w:hideMark/>
          </w:tcPr>
          <w:p w14:paraId="0A41EE65" w14:textId="7BF5A57A" w:rsidR="00475335" w:rsidRPr="0003170B" w:rsidRDefault="00520213" w:rsidP="0007784F">
            <w:pPr>
              <w:rPr>
                <w:rFonts w:ascii="Arial Narrow" w:hAnsi="Arial Narrow" w:cs="Arial"/>
                <w:sz w:val="24"/>
                <w:szCs w:val="24"/>
              </w:rPr>
            </w:pPr>
            <w:r w:rsidRPr="0003170B">
              <w:rPr>
                <w:rFonts w:ascii="Arial Narrow" w:hAnsi="Arial Narrow" w:cs="Arial"/>
                <w:sz w:val="24"/>
                <w:szCs w:val="24"/>
              </w:rPr>
              <w:t>Institut National de Formation des Agents de Santé</w:t>
            </w:r>
          </w:p>
        </w:tc>
      </w:tr>
      <w:tr w:rsidR="00475335" w:rsidRPr="003F13B0" w14:paraId="576A404B" w14:textId="77777777" w:rsidTr="0007784F">
        <w:trPr>
          <w:trHeight w:val="290"/>
        </w:trPr>
        <w:tc>
          <w:tcPr>
            <w:tcW w:w="1555" w:type="dxa"/>
            <w:noWrap/>
            <w:vAlign w:val="center"/>
            <w:hideMark/>
          </w:tcPr>
          <w:p w14:paraId="651440C5"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INSP</w:t>
            </w:r>
          </w:p>
        </w:tc>
        <w:tc>
          <w:tcPr>
            <w:tcW w:w="7371" w:type="dxa"/>
            <w:noWrap/>
            <w:vAlign w:val="center"/>
            <w:hideMark/>
          </w:tcPr>
          <w:p w14:paraId="5505B7D5" w14:textId="6D513C41" w:rsidR="00475335" w:rsidRPr="0003170B" w:rsidRDefault="00520213" w:rsidP="0007784F">
            <w:pPr>
              <w:rPr>
                <w:rFonts w:ascii="Arial Narrow" w:hAnsi="Arial Narrow" w:cs="Arial"/>
                <w:sz w:val="24"/>
                <w:szCs w:val="24"/>
              </w:rPr>
            </w:pPr>
            <w:r w:rsidRPr="0003170B">
              <w:rPr>
                <w:rFonts w:ascii="Arial Narrow" w:hAnsi="Arial Narrow" w:cs="Arial"/>
                <w:sz w:val="24"/>
                <w:szCs w:val="24"/>
              </w:rPr>
              <w:t>Institut National de Santé Publique</w:t>
            </w:r>
          </w:p>
        </w:tc>
      </w:tr>
      <w:tr w:rsidR="00475335" w:rsidRPr="003F13B0" w14:paraId="1EE08CE6" w14:textId="77777777" w:rsidTr="0007784F">
        <w:trPr>
          <w:trHeight w:val="290"/>
        </w:trPr>
        <w:tc>
          <w:tcPr>
            <w:tcW w:w="1555" w:type="dxa"/>
            <w:noWrap/>
            <w:vAlign w:val="center"/>
            <w:hideMark/>
          </w:tcPr>
          <w:p w14:paraId="223155E3"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IPR</w:t>
            </w:r>
          </w:p>
        </w:tc>
        <w:tc>
          <w:tcPr>
            <w:tcW w:w="7371" w:type="dxa"/>
            <w:noWrap/>
            <w:vAlign w:val="center"/>
            <w:hideMark/>
          </w:tcPr>
          <w:p w14:paraId="59B8BABB" w14:textId="72BBDCF1" w:rsidR="00475335" w:rsidRPr="0003170B" w:rsidRDefault="00520213" w:rsidP="0007784F">
            <w:pPr>
              <w:rPr>
                <w:rFonts w:ascii="Arial Narrow" w:hAnsi="Arial Narrow" w:cs="Arial"/>
                <w:sz w:val="24"/>
                <w:szCs w:val="24"/>
              </w:rPr>
            </w:pPr>
            <w:r w:rsidRPr="0003170B">
              <w:rPr>
                <w:rFonts w:ascii="Arial Narrow" w:hAnsi="Arial Narrow" w:cs="Arial"/>
                <w:sz w:val="24"/>
                <w:szCs w:val="24"/>
              </w:rPr>
              <w:t>Institut Pierre Richet</w:t>
            </w:r>
          </w:p>
        </w:tc>
      </w:tr>
      <w:tr w:rsidR="00475335" w:rsidRPr="003F13B0" w14:paraId="018D8DDF" w14:textId="77777777" w:rsidTr="0007784F">
        <w:trPr>
          <w:trHeight w:val="290"/>
        </w:trPr>
        <w:tc>
          <w:tcPr>
            <w:tcW w:w="1555" w:type="dxa"/>
            <w:noWrap/>
            <w:vAlign w:val="center"/>
            <w:hideMark/>
          </w:tcPr>
          <w:p w14:paraId="278A1BCA"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IST</w:t>
            </w:r>
          </w:p>
        </w:tc>
        <w:tc>
          <w:tcPr>
            <w:tcW w:w="7371" w:type="dxa"/>
            <w:noWrap/>
            <w:vAlign w:val="center"/>
            <w:hideMark/>
          </w:tcPr>
          <w:p w14:paraId="376336E6" w14:textId="77777777" w:rsidR="00475335" w:rsidRPr="0003170B" w:rsidRDefault="00520213" w:rsidP="0007784F">
            <w:pPr>
              <w:rPr>
                <w:rFonts w:ascii="Arial Narrow" w:hAnsi="Arial Narrow" w:cs="Arial"/>
                <w:sz w:val="24"/>
                <w:szCs w:val="24"/>
              </w:rPr>
            </w:pPr>
            <w:r w:rsidRPr="0003170B">
              <w:rPr>
                <w:rFonts w:ascii="Arial Narrow" w:hAnsi="Arial Narrow" w:cs="Arial"/>
                <w:sz w:val="24"/>
                <w:szCs w:val="24"/>
              </w:rPr>
              <w:t>Infection Sexuellement Transmissible</w:t>
            </w:r>
          </w:p>
          <w:p w14:paraId="03D9EC9D" w14:textId="77777777" w:rsidR="00EB359F" w:rsidRPr="0003170B" w:rsidRDefault="00EB359F" w:rsidP="00EB359F">
            <w:pPr>
              <w:rPr>
                <w:rFonts w:ascii="Arial Narrow" w:hAnsi="Arial Narrow" w:cs="Arial"/>
                <w:sz w:val="24"/>
                <w:szCs w:val="24"/>
              </w:rPr>
            </w:pPr>
          </w:p>
          <w:p w14:paraId="7858CBC0" w14:textId="6F96CB5A" w:rsidR="00EB359F" w:rsidRPr="00A918AC" w:rsidRDefault="00EB359F" w:rsidP="00EB359F">
            <w:pPr>
              <w:rPr>
                <w:rFonts w:ascii="Arial Narrow" w:hAnsi="Arial Narrow" w:cs="Arial"/>
                <w:sz w:val="24"/>
                <w:szCs w:val="24"/>
              </w:rPr>
            </w:pPr>
          </w:p>
        </w:tc>
      </w:tr>
      <w:tr w:rsidR="00475335" w:rsidRPr="003F13B0" w14:paraId="57F19BC7" w14:textId="77777777" w:rsidTr="0007784F">
        <w:trPr>
          <w:trHeight w:val="310"/>
        </w:trPr>
        <w:tc>
          <w:tcPr>
            <w:tcW w:w="1555" w:type="dxa"/>
            <w:noWrap/>
            <w:vAlign w:val="center"/>
            <w:hideMark/>
          </w:tcPr>
          <w:p w14:paraId="2E886713"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lastRenderedPageBreak/>
              <w:t>MCSS</w:t>
            </w:r>
          </w:p>
        </w:tc>
        <w:tc>
          <w:tcPr>
            <w:tcW w:w="7371" w:type="dxa"/>
            <w:noWrap/>
            <w:vAlign w:val="center"/>
            <w:hideMark/>
          </w:tcPr>
          <w:p w14:paraId="41E70D2F" w14:textId="35DEACB1" w:rsidR="00475335" w:rsidRPr="0003170B" w:rsidRDefault="00AB59BC" w:rsidP="0007784F">
            <w:pPr>
              <w:rPr>
                <w:rFonts w:ascii="Arial Narrow" w:hAnsi="Arial Narrow" w:cs="Arial"/>
                <w:sz w:val="24"/>
                <w:szCs w:val="24"/>
              </w:rPr>
            </w:pPr>
            <w:r w:rsidRPr="0003170B">
              <w:rPr>
                <w:rFonts w:ascii="Arial Narrow" w:hAnsi="Arial Narrow" w:cs="Arial"/>
                <w:sz w:val="24"/>
                <w:szCs w:val="24"/>
              </w:rPr>
              <w:t xml:space="preserve">Mécanisme de </w:t>
            </w:r>
            <w:r w:rsidR="00D846AC" w:rsidRPr="0003170B">
              <w:rPr>
                <w:rFonts w:ascii="Arial Narrow" w:hAnsi="Arial Narrow" w:cs="Arial"/>
                <w:sz w:val="24"/>
                <w:szCs w:val="24"/>
              </w:rPr>
              <w:t>Coordination</w:t>
            </w:r>
            <w:r w:rsidRPr="0003170B">
              <w:rPr>
                <w:rFonts w:ascii="Arial Narrow" w:hAnsi="Arial Narrow" w:cs="Arial"/>
                <w:sz w:val="24"/>
                <w:szCs w:val="24"/>
              </w:rPr>
              <w:t xml:space="preserve"> du Secteur de la Santé</w:t>
            </w:r>
          </w:p>
        </w:tc>
      </w:tr>
      <w:tr w:rsidR="00475335" w:rsidRPr="003F13B0" w14:paraId="0A46686A" w14:textId="77777777" w:rsidTr="0007784F">
        <w:trPr>
          <w:trHeight w:val="290"/>
        </w:trPr>
        <w:tc>
          <w:tcPr>
            <w:tcW w:w="1555" w:type="dxa"/>
            <w:noWrap/>
            <w:vAlign w:val="center"/>
            <w:hideMark/>
          </w:tcPr>
          <w:p w14:paraId="6AF1FF67"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MILDA</w:t>
            </w:r>
          </w:p>
        </w:tc>
        <w:tc>
          <w:tcPr>
            <w:tcW w:w="7371" w:type="dxa"/>
            <w:noWrap/>
            <w:vAlign w:val="center"/>
            <w:hideMark/>
          </w:tcPr>
          <w:p w14:paraId="60DFF1A6" w14:textId="6860096E" w:rsidR="00475335" w:rsidRPr="0003170B" w:rsidRDefault="00AB59BC" w:rsidP="0007784F">
            <w:pPr>
              <w:rPr>
                <w:rFonts w:ascii="Arial Narrow" w:hAnsi="Arial Narrow" w:cs="Arial"/>
                <w:sz w:val="24"/>
                <w:szCs w:val="24"/>
              </w:rPr>
            </w:pPr>
            <w:r w:rsidRPr="0003170B">
              <w:rPr>
                <w:rFonts w:ascii="Arial Narrow" w:hAnsi="Arial Narrow" w:cs="Arial"/>
                <w:sz w:val="24"/>
                <w:szCs w:val="24"/>
              </w:rPr>
              <w:t>Moustiquaire Imprégnée à Longue Durée d’Action</w:t>
            </w:r>
          </w:p>
        </w:tc>
      </w:tr>
      <w:tr w:rsidR="00475335" w:rsidRPr="003F13B0" w14:paraId="08FBA15B" w14:textId="77777777" w:rsidTr="0007784F">
        <w:trPr>
          <w:trHeight w:val="290"/>
        </w:trPr>
        <w:tc>
          <w:tcPr>
            <w:tcW w:w="1555" w:type="dxa"/>
            <w:noWrap/>
            <w:vAlign w:val="center"/>
            <w:hideMark/>
          </w:tcPr>
          <w:p w14:paraId="4A206EB1"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MNT</w:t>
            </w:r>
          </w:p>
        </w:tc>
        <w:tc>
          <w:tcPr>
            <w:tcW w:w="7371" w:type="dxa"/>
            <w:noWrap/>
            <w:vAlign w:val="center"/>
            <w:hideMark/>
          </w:tcPr>
          <w:p w14:paraId="59436161" w14:textId="73DE1A64" w:rsidR="00475335" w:rsidRPr="0003170B" w:rsidRDefault="00AB59BC" w:rsidP="0007784F">
            <w:pPr>
              <w:rPr>
                <w:rFonts w:ascii="Arial Narrow" w:hAnsi="Arial Narrow" w:cs="Arial"/>
                <w:sz w:val="24"/>
                <w:szCs w:val="24"/>
              </w:rPr>
            </w:pPr>
            <w:r w:rsidRPr="0003170B">
              <w:rPr>
                <w:rFonts w:ascii="Arial Narrow" w:hAnsi="Arial Narrow" w:cs="Arial"/>
                <w:sz w:val="24"/>
                <w:szCs w:val="24"/>
              </w:rPr>
              <w:t>Maladie Non-Transmissible</w:t>
            </w:r>
          </w:p>
        </w:tc>
      </w:tr>
      <w:tr w:rsidR="004E0CCF" w:rsidRPr="003F13B0" w14:paraId="4E2D08B8" w14:textId="77777777" w:rsidTr="0007784F">
        <w:trPr>
          <w:trHeight w:val="310"/>
        </w:trPr>
        <w:tc>
          <w:tcPr>
            <w:tcW w:w="1555" w:type="dxa"/>
            <w:noWrap/>
            <w:vAlign w:val="center"/>
            <w:hideMark/>
          </w:tcPr>
          <w:p w14:paraId="2325AAE1" w14:textId="77777777" w:rsidR="004E0CCF" w:rsidRPr="0003170B" w:rsidRDefault="004E0CCF" w:rsidP="0007784F">
            <w:pPr>
              <w:rPr>
                <w:rFonts w:ascii="Arial Narrow" w:hAnsi="Arial Narrow" w:cs="Arial"/>
                <w:b/>
                <w:sz w:val="24"/>
                <w:szCs w:val="24"/>
              </w:rPr>
            </w:pPr>
            <w:r w:rsidRPr="0003170B">
              <w:rPr>
                <w:rFonts w:ascii="Arial Narrow" w:hAnsi="Arial Narrow" w:cs="Arial"/>
                <w:b/>
                <w:sz w:val="24"/>
                <w:szCs w:val="24"/>
              </w:rPr>
              <w:t>MSHPCMU</w:t>
            </w:r>
          </w:p>
        </w:tc>
        <w:tc>
          <w:tcPr>
            <w:tcW w:w="7371" w:type="dxa"/>
            <w:vAlign w:val="center"/>
          </w:tcPr>
          <w:p w14:paraId="3869CEBD" w14:textId="02890737" w:rsidR="004E0CCF" w:rsidRPr="0003170B" w:rsidRDefault="00AB59BC" w:rsidP="0007784F">
            <w:pPr>
              <w:rPr>
                <w:rFonts w:ascii="Arial Narrow" w:hAnsi="Arial Narrow" w:cs="Arial"/>
                <w:sz w:val="24"/>
                <w:szCs w:val="24"/>
              </w:rPr>
            </w:pPr>
            <w:r w:rsidRPr="0003170B">
              <w:rPr>
                <w:rFonts w:ascii="Arial Narrow" w:hAnsi="Arial Narrow" w:cs="Arial"/>
                <w:sz w:val="24"/>
                <w:szCs w:val="24"/>
              </w:rPr>
              <w:t>Ministère de la Santé, de l’Hygiène Publique et de la Couverture Maladie Universelle</w:t>
            </w:r>
          </w:p>
        </w:tc>
      </w:tr>
      <w:tr w:rsidR="00475335" w:rsidRPr="003F13B0" w14:paraId="284048EE" w14:textId="77777777" w:rsidTr="0007784F">
        <w:trPr>
          <w:trHeight w:val="290"/>
        </w:trPr>
        <w:tc>
          <w:tcPr>
            <w:tcW w:w="1555" w:type="dxa"/>
            <w:noWrap/>
            <w:vAlign w:val="center"/>
            <w:hideMark/>
          </w:tcPr>
          <w:p w14:paraId="30B44F70"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MTN</w:t>
            </w:r>
          </w:p>
        </w:tc>
        <w:tc>
          <w:tcPr>
            <w:tcW w:w="7371" w:type="dxa"/>
            <w:noWrap/>
            <w:vAlign w:val="center"/>
            <w:hideMark/>
          </w:tcPr>
          <w:p w14:paraId="1058584D" w14:textId="5059DD4F" w:rsidR="00475335" w:rsidRPr="0003170B" w:rsidRDefault="00AB59BC" w:rsidP="0007784F">
            <w:pPr>
              <w:rPr>
                <w:rFonts w:ascii="Arial Narrow" w:hAnsi="Arial Narrow" w:cs="Arial"/>
                <w:sz w:val="24"/>
                <w:szCs w:val="24"/>
              </w:rPr>
            </w:pPr>
            <w:r w:rsidRPr="0003170B">
              <w:rPr>
                <w:rFonts w:ascii="Arial Narrow" w:hAnsi="Arial Narrow" w:cs="Arial"/>
                <w:sz w:val="24"/>
                <w:szCs w:val="24"/>
              </w:rPr>
              <w:t>Maladie Tropicale Négligée</w:t>
            </w:r>
          </w:p>
        </w:tc>
      </w:tr>
      <w:tr w:rsidR="00475335" w:rsidRPr="003F13B0" w14:paraId="147A9392" w14:textId="77777777" w:rsidTr="0007784F">
        <w:trPr>
          <w:trHeight w:val="290"/>
        </w:trPr>
        <w:tc>
          <w:tcPr>
            <w:tcW w:w="1555" w:type="dxa"/>
            <w:noWrap/>
            <w:vAlign w:val="center"/>
            <w:hideMark/>
          </w:tcPr>
          <w:p w14:paraId="453AACD3" w14:textId="39FBB0EF"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NPSP</w:t>
            </w:r>
            <w:r w:rsidR="00AB59BC" w:rsidRPr="0003170B">
              <w:rPr>
                <w:rFonts w:ascii="Arial Narrow" w:hAnsi="Arial Narrow" w:cs="Arial"/>
                <w:b/>
                <w:sz w:val="24"/>
                <w:szCs w:val="24"/>
              </w:rPr>
              <w:t>CI</w:t>
            </w:r>
          </w:p>
        </w:tc>
        <w:tc>
          <w:tcPr>
            <w:tcW w:w="7371" w:type="dxa"/>
            <w:noWrap/>
            <w:vAlign w:val="center"/>
            <w:hideMark/>
          </w:tcPr>
          <w:p w14:paraId="7704F6BC" w14:textId="280A2CB8" w:rsidR="00475335" w:rsidRPr="0003170B" w:rsidRDefault="00AB59BC" w:rsidP="0007784F">
            <w:pPr>
              <w:rPr>
                <w:rFonts w:ascii="Arial Narrow" w:hAnsi="Arial Narrow" w:cs="Arial"/>
                <w:sz w:val="24"/>
                <w:szCs w:val="24"/>
              </w:rPr>
            </w:pPr>
            <w:r w:rsidRPr="0003170B">
              <w:rPr>
                <w:rFonts w:ascii="Arial Narrow" w:hAnsi="Arial Narrow" w:cs="Arial"/>
                <w:sz w:val="24"/>
                <w:szCs w:val="24"/>
              </w:rPr>
              <w:t>Nouvelle Pharmacie de Santé Publique Côte d’Ivoire</w:t>
            </w:r>
          </w:p>
        </w:tc>
      </w:tr>
      <w:tr w:rsidR="00475335" w:rsidRPr="003F13B0" w14:paraId="2F57D8A3" w14:textId="77777777" w:rsidTr="0007784F">
        <w:trPr>
          <w:trHeight w:val="310"/>
        </w:trPr>
        <w:tc>
          <w:tcPr>
            <w:tcW w:w="1555" w:type="dxa"/>
            <w:noWrap/>
            <w:vAlign w:val="center"/>
            <w:hideMark/>
          </w:tcPr>
          <w:p w14:paraId="3D7BF286"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ODD</w:t>
            </w:r>
          </w:p>
        </w:tc>
        <w:tc>
          <w:tcPr>
            <w:tcW w:w="7371" w:type="dxa"/>
            <w:noWrap/>
            <w:vAlign w:val="center"/>
            <w:hideMark/>
          </w:tcPr>
          <w:p w14:paraId="5713D825" w14:textId="3165870E" w:rsidR="00475335" w:rsidRPr="0003170B" w:rsidRDefault="00AB59BC" w:rsidP="0007784F">
            <w:pPr>
              <w:rPr>
                <w:rFonts w:ascii="Arial Narrow" w:hAnsi="Arial Narrow" w:cs="Arial"/>
                <w:sz w:val="24"/>
                <w:szCs w:val="24"/>
              </w:rPr>
            </w:pPr>
            <w:r w:rsidRPr="0003170B">
              <w:rPr>
                <w:rFonts w:ascii="Arial Narrow" w:hAnsi="Arial Narrow" w:cs="Arial"/>
                <w:sz w:val="24"/>
                <w:szCs w:val="24"/>
              </w:rPr>
              <w:t>Objectif de Développement Durable</w:t>
            </w:r>
          </w:p>
        </w:tc>
      </w:tr>
      <w:tr w:rsidR="00475335" w:rsidRPr="003F13B0" w14:paraId="5DA1616F" w14:textId="77777777" w:rsidTr="0007784F">
        <w:trPr>
          <w:trHeight w:val="290"/>
        </w:trPr>
        <w:tc>
          <w:tcPr>
            <w:tcW w:w="1555" w:type="dxa"/>
            <w:noWrap/>
            <w:vAlign w:val="center"/>
            <w:hideMark/>
          </w:tcPr>
          <w:p w14:paraId="581EACD8"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OMS</w:t>
            </w:r>
          </w:p>
        </w:tc>
        <w:tc>
          <w:tcPr>
            <w:tcW w:w="7371" w:type="dxa"/>
            <w:noWrap/>
            <w:vAlign w:val="center"/>
            <w:hideMark/>
          </w:tcPr>
          <w:p w14:paraId="2BD9CD2F" w14:textId="03A76D47" w:rsidR="00475335" w:rsidRPr="0003170B" w:rsidRDefault="00AB59BC" w:rsidP="0007784F">
            <w:pPr>
              <w:rPr>
                <w:rFonts w:ascii="Arial Narrow" w:hAnsi="Arial Narrow" w:cs="Arial"/>
                <w:sz w:val="24"/>
                <w:szCs w:val="24"/>
              </w:rPr>
            </w:pPr>
            <w:r w:rsidRPr="0003170B">
              <w:rPr>
                <w:rFonts w:ascii="Arial Narrow" w:hAnsi="Arial Narrow" w:cs="Arial"/>
                <w:sz w:val="24"/>
                <w:szCs w:val="24"/>
              </w:rPr>
              <w:t>O</w:t>
            </w:r>
            <w:r w:rsidR="0073401C" w:rsidRPr="0003170B">
              <w:rPr>
                <w:rFonts w:ascii="Arial Narrow" w:hAnsi="Arial Narrow" w:cs="Arial"/>
                <w:sz w:val="24"/>
                <w:szCs w:val="24"/>
              </w:rPr>
              <w:t>rganisation Mondiale de la Santé</w:t>
            </w:r>
          </w:p>
        </w:tc>
      </w:tr>
      <w:tr w:rsidR="00475335" w:rsidRPr="003F13B0" w14:paraId="36939AB4" w14:textId="77777777" w:rsidTr="0007784F">
        <w:trPr>
          <w:trHeight w:val="290"/>
        </w:trPr>
        <w:tc>
          <w:tcPr>
            <w:tcW w:w="1555" w:type="dxa"/>
            <w:noWrap/>
            <w:vAlign w:val="center"/>
            <w:hideMark/>
          </w:tcPr>
          <w:p w14:paraId="1323C59B"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PCIMNE</w:t>
            </w:r>
          </w:p>
        </w:tc>
        <w:tc>
          <w:tcPr>
            <w:tcW w:w="7371" w:type="dxa"/>
            <w:noWrap/>
            <w:vAlign w:val="center"/>
            <w:hideMark/>
          </w:tcPr>
          <w:p w14:paraId="5E607C76" w14:textId="1AA7A599" w:rsidR="00475335" w:rsidRPr="0003170B" w:rsidRDefault="0073401C" w:rsidP="0007784F">
            <w:pPr>
              <w:rPr>
                <w:rFonts w:ascii="Arial Narrow" w:hAnsi="Arial Narrow" w:cs="Arial"/>
                <w:sz w:val="24"/>
                <w:szCs w:val="24"/>
              </w:rPr>
            </w:pPr>
            <w:r w:rsidRPr="0003170B">
              <w:rPr>
                <w:rFonts w:ascii="Arial Narrow" w:hAnsi="Arial Narrow" w:cs="Arial"/>
                <w:sz w:val="24"/>
                <w:szCs w:val="24"/>
              </w:rPr>
              <w:t>Prise en Charge Intégrée des Maladies du Nouveau-né et de l’Enfant</w:t>
            </w:r>
          </w:p>
        </w:tc>
      </w:tr>
      <w:tr w:rsidR="00475335" w:rsidRPr="003F13B0" w14:paraId="48449B5B" w14:textId="77777777" w:rsidTr="0007784F">
        <w:trPr>
          <w:trHeight w:val="290"/>
        </w:trPr>
        <w:tc>
          <w:tcPr>
            <w:tcW w:w="1555" w:type="dxa"/>
            <w:noWrap/>
            <w:vAlign w:val="center"/>
            <w:hideMark/>
          </w:tcPr>
          <w:p w14:paraId="57A2AB14"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PF</w:t>
            </w:r>
          </w:p>
        </w:tc>
        <w:tc>
          <w:tcPr>
            <w:tcW w:w="7371" w:type="dxa"/>
            <w:noWrap/>
            <w:vAlign w:val="center"/>
            <w:hideMark/>
          </w:tcPr>
          <w:p w14:paraId="168A073E" w14:textId="24F06598" w:rsidR="00475335" w:rsidRPr="0003170B" w:rsidRDefault="0073401C" w:rsidP="0007784F">
            <w:pPr>
              <w:rPr>
                <w:rFonts w:ascii="Arial Narrow" w:hAnsi="Arial Narrow" w:cs="Arial"/>
                <w:sz w:val="24"/>
                <w:szCs w:val="24"/>
              </w:rPr>
            </w:pPr>
            <w:r w:rsidRPr="0003170B">
              <w:rPr>
                <w:rFonts w:ascii="Arial Narrow" w:hAnsi="Arial Narrow" w:cs="Arial"/>
                <w:sz w:val="24"/>
                <w:szCs w:val="24"/>
              </w:rPr>
              <w:t>Plani</w:t>
            </w:r>
            <w:r w:rsidR="00ED5502" w:rsidRPr="0003170B">
              <w:rPr>
                <w:rFonts w:ascii="Arial Narrow" w:hAnsi="Arial Narrow" w:cs="Arial"/>
                <w:sz w:val="24"/>
                <w:szCs w:val="24"/>
              </w:rPr>
              <w:t>fication</w:t>
            </w:r>
            <w:r w:rsidRPr="0003170B">
              <w:rPr>
                <w:rFonts w:ascii="Arial Narrow" w:hAnsi="Arial Narrow" w:cs="Arial"/>
                <w:sz w:val="24"/>
                <w:szCs w:val="24"/>
              </w:rPr>
              <w:t xml:space="preserve"> Famil</w:t>
            </w:r>
            <w:r w:rsidR="002B4435" w:rsidRPr="0003170B">
              <w:rPr>
                <w:rFonts w:ascii="Arial Narrow" w:hAnsi="Arial Narrow" w:cs="Arial"/>
                <w:sz w:val="24"/>
                <w:szCs w:val="24"/>
              </w:rPr>
              <w:t>ial</w:t>
            </w:r>
            <w:r w:rsidR="00ED5502" w:rsidRPr="0003170B">
              <w:rPr>
                <w:rFonts w:ascii="Arial Narrow" w:hAnsi="Arial Narrow" w:cs="Arial"/>
                <w:sz w:val="24"/>
                <w:szCs w:val="24"/>
              </w:rPr>
              <w:t>e</w:t>
            </w:r>
          </w:p>
        </w:tc>
      </w:tr>
      <w:tr w:rsidR="00475335" w:rsidRPr="003F13B0" w14:paraId="5D94AA47" w14:textId="77777777" w:rsidTr="0007784F">
        <w:trPr>
          <w:trHeight w:val="290"/>
        </w:trPr>
        <w:tc>
          <w:tcPr>
            <w:tcW w:w="1555" w:type="dxa"/>
            <w:noWrap/>
            <w:vAlign w:val="center"/>
            <w:hideMark/>
          </w:tcPr>
          <w:p w14:paraId="0B08D6FE"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PIB</w:t>
            </w:r>
          </w:p>
        </w:tc>
        <w:tc>
          <w:tcPr>
            <w:tcW w:w="7371" w:type="dxa"/>
            <w:noWrap/>
            <w:vAlign w:val="center"/>
            <w:hideMark/>
          </w:tcPr>
          <w:p w14:paraId="6D2C7515" w14:textId="619151C0" w:rsidR="00475335" w:rsidRPr="0003170B" w:rsidRDefault="002B4435" w:rsidP="0007784F">
            <w:pPr>
              <w:rPr>
                <w:rFonts w:ascii="Arial Narrow" w:hAnsi="Arial Narrow" w:cs="Arial"/>
                <w:sz w:val="24"/>
                <w:szCs w:val="24"/>
              </w:rPr>
            </w:pPr>
            <w:r w:rsidRPr="0003170B">
              <w:rPr>
                <w:rFonts w:ascii="Arial Narrow" w:hAnsi="Arial Narrow" w:cs="Arial"/>
                <w:sz w:val="24"/>
                <w:szCs w:val="24"/>
              </w:rPr>
              <w:t>Produit Intérieur Brut</w:t>
            </w:r>
          </w:p>
        </w:tc>
      </w:tr>
      <w:tr w:rsidR="00475335" w:rsidRPr="003F13B0" w14:paraId="4FF6B8FA" w14:textId="77777777" w:rsidTr="0007784F">
        <w:trPr>
          <w:trHeight w:val="310"/>
        </w:trPr>
        <w:tc>
          <w:tcPr>
            <w:tcW w:w="1555" w:type="dxa"/>
            <w:noWrap/>
            <w:vAlign w:val="center"/>
            <w:hideMark/>
          </w:tcPr>
          <w:p w14:paraId="2B55452E"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PIP</w:t>
            </w:r>
          </w:p>
        </w:tc>
        <w:tc>
          <w:tcPr>
            <w:tcW w:w="7371" w:type="dxa"/>
            <w:noWrap/>
            <w:vAlign w:val="center"/>
            <w:hideMark/>
          </w:tcPr>
          <w:p w14:paraId="014BB1F5" w14:textId="7ADAF7E0" w:rsidR="00475335" w:rsidRPr="0003170B" w:rsidRDefault="002B4435" w:rsidP="0007784F">
            <w:pPr>
              <w:rPr>
                <w:rFonts w:ascii="Arial Narrow" w:hAnsi="Arial Narrow" w:cs="Arial"/>
                <w:sz w:val="24"/>
                <w:szCs w:val="24"/>
              </w:rPr>
            </w:pPr>
            <w:r w:rsidRPr="0003170B">
              <w:rPr>
                <w:rFonts w:ascii="Arial Narrow" w:hAnsi="Arial Narrow" w:cs="Arial"/>
                <w:sz w:val="24"/>
                <w:szCs w:val="24"/>
              </w:rPr>
              <w:t>Pro</w:t>
            </w:r>
            <w:r w:rsidR="00ED5502" w:rsidRPr="0003170B">
              <w:rPr>
                <w:rFonts w:ascii="Arial Narrow" w:hAnsi="Arial Narrow" w:cs="Arial"/>
                <w:sz w:val="24"/>
                <w:szCs w:val="24"/>
              </w:rPr>
              <w:t>jet des Investissements Publics</w:t>
            </w:r>
          </w:p>
        </w:tc>
      </w:tr>
      <w:tr w:rsidR="00475335" w:rsidRPr="003F13B0" w14:paraId="6765F945" w14:textId="77777777" w:rsidTr="0007784F">
        <w:trPr>
          <w:trHeight w:val="290"/>
        </w:trPr>
        <w:tc>
          <w:tcPr>
            <w:tcW w:w="1555" w:type="dxa"/>
            <w:noWrap/>
            <w:vAlign w:val="center"/>
            <w:hideMark/>
          </w:tcPr>
          <w:p w14:paraId="472338C5"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PMA</w:t>
            </w:r>
          </w:p>
        </w:tc>
        <w:tc>
          <w:tcPr>
            <w:tcW w:w="7371" w:type="dxa"/>
            <w:noWrap/>
            <w:vAlign w:val="center"/>
            <w:hideMark/>
          </w:tcPr>
          <w:p w14:paraId="2D45BCBA" w14:textId="41A0A967" w:rsidR="00475335" w:rsidRPr="0003170B" w:rsidRDefault="00ED5502" w:rsidP="0007784F">
            <w:pPr>
              <w:rPr>
                <w:rFonts w:ascii="Arial Narrow" w:hAnsi="Arial Narrow" w:cs="Arial"/>
                <w:sz w:val="24"/>
                <w:szCs w:val="24"/>
              </w:rPr>
            </w:pPr>
            <w:r w:rsidRPr="0003170B">
              <w:rPr>
                <w:rFonts w:ascii="Arial Narrow" w:hAnsi="Arial Narrow" w:cs="Arial"/>
                <w:sz w:val="24"/>
                <w:szCs w:val="24"/>
              </w:rPr>
              <w:t>Paquet Minimum d’Activités</w:t>
            </w:r>
          </w:p>
        </w:tc>
      </w:tr>
      <w:tr w:rsidR="00475335" w:rsidRPr="003F13B0" w14:paraId="5AA59DCD" w14:textId="77777777" w:rsidTr="0007784F">
        <w:trPr>
          <w:trHeight w:val="310"/>
        </w:trPr>
        <w:tc>
          <w:tcPr>
            <w:tcW w:w="1555" w:type="dxa"/>
            <w:noWrap/>
            <w:vAlign w:val="center"/>
            <w:hideMark/>
          </w:tcPr>
          <w:p w14:paraId="4E18B3C4"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PMQIF</w:t>
            </w:r>
          </w:p>
        </w:tc>
        <w:tc>
          <w:tcPr>
            <w:tcW w:w="7371" w:type="dxa"/>
            <w:noWrap/>
            <w:vAlign w:val="center"/>
            <w:hideMark/>
          </w:tcPr>
          <w:p w14:paraId="24B54F08" w14:textId="4F58C026" w:rsidR="00475335" w:rsidRPr="0003170B" w:rsidRDefault="008C21DA" w:rsidP="0007784F">
            <w:pPr>
              <w:rPr>
                <w:rFonts w:ascii="Arial Narrow" w:hAnsi="Arial Narrow" w:cs="Arial"/>
                <w:sz w:val="24"/>
                <w:szCs w:val="24"/>
              </w:rPr>
            </w:pPr>
            <w:r w:rsidRPr="0003170B">
              <w:rPr>
                <w:rFonts w:ascii="Arial Narrow" w:hAnsi="Arial Narrow" w:cs="Arial"/>
                <w:sz w:val="24"/>
                <w:szCs w:val="24"/>
              </w:rPr>
              <w:t>Produit</w:t>
            </w:r>
            <w:r w:rsidR="00FF428D" w:rsidRPr="0003170B">
              <w:rPr>
                <w:rFonts w:ascii="Arial Narrow" w:hAnsi="Arial Narrow" w:cs="Arial"/>
                <w:sz w:val="24"/>
                <w:szCs w:val="24"/>
              </w:rPr>
              <w:t>s</w:t>
            </w:r>
            <w:r w:rsidRPr="0003170B">
              <w:rPr>
                <w:rFonts w:ascii="Arial Narrow" w:hAnsi="Arial Narrow" w:cs="Arial"/>
                <w:sz w:val="24"/>
                <w:szCs w:val="24"/>
              </w:rPr>
              <w:t xml:space="preserve"> Médica</w:t>
            </w:r>
            <w:r w:rsidR="00FF428D" w:rsidRPr="0003170B">
              <w:rPr>
                <w:rFonts w:ascii="Arial Narrow" w:hAnsi="Arial Narrow" w:cs="Arial"/>
                <w:sz w:val="24"/>
                <w:szCs w:val="24"/>
              </w:rPr>
              <w:t>ux</w:t>
            </w:r>
            <w:r w:rsidRPr="0003170B">
              <w:rPr>
                <w:rFonts w:ascii="Arial Narrow" w:hAnsi="Arial Narrow" w:cs="Arial"/>
                <w:sz w:val="24"/>
                <w:szCs w:val="24"/>
              </w:rPr>
              <w:t xml:space="preserve"> de Qualité Inférieur</w:t>
            </w:r>
            <w:r w:rsidR="00FF428D" w:rsidRPr="0003170B">
              <w:rPr>
                <w:rFonts w:ascii="Arial Narrow" w:hAnsi="Arial Narrow" w:cs="Arial"/>
                <w:sz w:val="24"/>
                <w:szCs w:val="24"/>
              </w:rPr>
              <w:t>e</w:t>
            </w:r>
            <w:r w:rsidRPr="0003170B">
              <w:rPr>
                <w:rFonts w:ascii="Arial Narrow" w:hAnsi="Arial Narrow" w:cs="Arial"/>
                <w:sz w:val="24"/>
                <w:szCs w:val="24"/>
              </w:rPr>
              <w:t xml:space="preserve"> </w:t>
            </w:r>
            <w:r w:rsidR="00656FC3" w:rsidRPr="0003170B">
              <w:rPr>
                <w:rFonts w:ascii="Arial Narrow" w:hAnsi="Arial Narrow" w:cs="Arial"/>
                <w:sz w:val="24"/>
                <w:szCs w:val="24"/>
              </w:rPr>
              <w:t>et</w:t>
            </w:r>
            <w:r w:rsidRPr="0003170B">
              <w:rPr>
                <w:rFonts w:ascii="Arial Narrow" w:hAnsi="Arial Narrow" w:cs="Arial"/>
                <w:sz w:val="24"/>
                <w:szCs w:val="24"/>
              </w:rPr>
              <w:t xml:space="preserve"> </w:t>
            </w:r>
            <w:r w:rsidR="008C4B2F" w:rsidRPr="0003170B">
              <w:rPr>
                <w:rFonts w:ascii="Arial Narrow" w:hAnsi="Arial Narrow" w:cs="Arial"/>
                <w:sz w:val="24"/>
                <w:szCs w:val="24"/>
              </w:rPr>
              <w:t>Falsifiés</w:t>
            </w:r>
          </w:p>
        </w:tc>
      </w:tr>
      <w:tr w:rsidR="00475335" w:rsidRPr="003F13B0" w14:paraId="419A467A" w14:textId="77777777" w:rsidTr="0007784F">
        <w:trPr>
          <w:trHeight w:val="310"/>
        </w:trPr>
        <w:tc>
          <w:tcPr>
            <w:tcW w:w="1555" w:type="dxa"/>
            <w:noWrap/>
            <w:vAlign w:val="center"/>
            <w:hideMark/>
          </w:tcPr>
          <w:p w14:paraId="1EA3AEA5"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PNCFS</w:t>
            </w:r>
          </w:p>
        </w:tc>
        <w:tc>
          <w:tcPr>
            <w:tcW w:w="7371" w:type="dxa"/>
            <w:noWrap/>
            <w:vAlign w:val="center"/>
            <w:hideMark/>
          </w:tcPr>
          <w:p w14:paraId="086FBC5F" w14:textId="05C4B504" w:rsidR="00475335" w:rsidRPr="0003170B" w:rsidRDefault="00FF428D" w:rsidP="0007784F">
            <w:pPr>
              <w:rPr>
                <w:rFonts w:ascii="Arial Narrow" w:hAnsi="Arial Narrow" w:cs="Arial"/>
                <w:sz w:val="24"/>
                <w:szCs w:val="24"/>
              </w:rPr>
            </w:pPr>
            <w:r w:rsidRPr="0003170B">
              <w:rPr>
                <w:rFonts w:ascii="Arial Narrow" w:hAnsi="Arial Narrow" w:cs="Arial"/>
                <w:sz w:val="24"/>
                <w:szCs w:val="24"/>
              </w:rPr>
              <w:t>Pla</w:t>
            </w:r>
            <w:r w:rsidR="00656FC3" w:rsidRPr="0003170B">
              <w:rPr>
                <w:rFonts w:ascii="Arial Narrow" w:hAnsi="Arial Narrow" w:cs="Arial"/>
                <w:sz w:val="24"/>
                <w:szCs w:val="24"/>
              </w:rPr>
              <w:t>teforme</w:t>
            </w:r>
            <w:r w:rsidRPr="0003170B">
              <w:rPr>
                <w:rFonts w:ascii="Arial Narrow" w:hAnsi="Arial Narrow" w:cs="Arial"/>
                <w:sz w:val="24"/>
                <w:szCs w:val="24"/>
              </w:rPr>
              <w:t xml:space="preserve"> National</w:t>
            </w:r>
            <w:r w:rsidR="00656FC3" w:rsidRPr="0003170B">
              <w:rPr>
                <w:rFonts w:ascii="Arial Narrow" w:hAnsi="Arial Narrow" w:cs="Arial"/>
                <w:sz w:val="24"/>
                <w:szCs w:val="24"/>
              </w:rPr>
              <w:t>e</w:t>
            </w:r>
            <w:r w:rsidRPr="0003170B">
              <w:rPr>
                <w:rFonts w:ascii="Arial Narrow" w:hAnsi="Arial Narrow" w:cs="Arial"/>
                <w:sz w:val="24"/>
                <w:szCs w:val="24"/>
              </w:rPr>
              <w:t xml:space="preserve"> de Coordination du Financement </w:t>
            </w:r>
            <w:r w:rsidR="00656FC3" w:rsidRPr="0003170B">
              <w:rPr>
                <w:rFonts w:ascii="Arial Narrow" w:hAnsi="Arial Narrow" w:cs="Arial"/>
                <w:sz w:val="24"/>
                <w:szCs w:val="24"/>
              </w:rPr>
              <w:t>de la Santé</w:t>
            </w:r>
          </w:p>
        </w:tc>
      </w:tr>
      <w:tr w:rsidR="00475335" w:rsidRPr="003F13B0" w14:paraId="3850EBEE" w14:textId="77777777" w:rsidTr="0007784F">
        <w:trPr>
          <w:trHeight w:val="290"/>
        </w:trPr>
        <w:tc>
          <w:tcPr>
            <w:tcW w:w="1555" w:type="dxa"/>
            <w:noWrap/>
            <w:vAlign w:val="center"/>
            <w:hideMark/>
          </w:tcPr>
          <w:p w14:paraId="568E987A"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PND</w:t>
            </w:r>
          </w:p>
        </w:tc>
        <w:tc>
          <w:tcPr>
            <w:tcW w:w="7371" w:type="dxa"/>
            <w:noWrap/>
            <w:vAlign w:val="center"/>
            <w:hideMark/>
          </w:tcPr>
          <w:p w14:paraId="377C5836" w14:textId="2CA1609F" w:rsidR="00475335" w:rsidRPr="0003170B" w:rsidRDefault="00656FC3" w:rsidP="0007784F">
            <w:pPr>
              <w:rPr>
                <w:rFonts w:ascii="Arial Narrow" w:hAnsi="Arial Narrow" w:cs="Arial"/>
                <w:sz w:val="24"/>
                <w:szCs w:val="24"/>
              </w:rPr>
            </w:pPr>
            <w:r w:rsidRPr="0003170B">
              <w:rPr>
                <w:rFonts w:ascii="Arial Narrow" w:hAnsi="Arial Narrow" w:cs="Arial"/>
                <w:sz w:val="24"/>
                <w:szCs w:val="24"/>
              </w:rPr>
              <w:t>Plan National de Développement</w:t>
            </w:r>
          </w:p>
        </w:tc>
      </w:tr>
      <w:tr w:rsidR="00475335" w:rsidRPr="003F13B0" w14:paraId="7A6A8993" w14:textId="77777777" w:rsidTr="0007784F">
        <w:trPr>
          <w:trHeight w:val="290"/>
        </w:trPr>
        <w:tc>
          <w:tcPr>
            <w:tcW w:w="1555" w:type="dxa"/>
            <w:noWrap/>
            <w:vAlign w:val="center"/>
            <w:hideMark/>
          </w:tcPr>
          <w:p w14:paraId="1377DAE9"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PNDS</w:t>
            </w:r>
          </w:p>
        </w:tc>
        <w:tc>
          <w:tcPr>
            <w:tcW w:w="7371" w:type="dxa"/>
            <w:noWrap/>
            <w:vAlign w:val="center"/>
            <w:hideMark/>
          </w:tcPr>
          <w:p w14:paraId="7815E120" w14:textId="5A0CE8E8" w:rsidR="00475335" w:rsidRPr="0003170B" w:rsidRDefault="00656FC3" w:rsidP="0007784F">
            <w:pPr>
              <w:rPr>
                <w:rFonts w:ascii="Arial Narrow" w:hAnsi="Arial Narrow" w:cs="Arial"/>
                <w:sz w:val="24"/>
                <w:szCs w:val="24"/>
              </w:rPr>
            </w:pPr>
            <w:r w:rsidRPr="0003170B">
              <w:rPr>
                <w:rFonts w:ascii="Arial Narrow" w:hAnsi="Arial Narrow" w:cs="Arial"/>
                <w:sz w:val="24"/>
                <w:szCs w:val="24"/>
              </w:rPr>
              <w:t>Plan National de Développement Sanitaire</w:t>
            </w:r>
          </w:p>
        </w:tc>
      </w:tr>
      <w:tr w:rsidR="00475335" w:rsidRPr="003F13B0" w14:paraId="3B27F388" w14:textId="77777777" w:rsidTr="0007784F">
        <w:trPr>
          <w:trHeight w:val="310"/>
        </w:trPr>
        <w:tc>
          <w:tcPr>
            <w:tcW w:w="1555" w:type="dxa"/>
            <w:noWrap/>
            <w:vAlign w:val="center"/>
            <w:hideMark/>
          </w:tcPr>
          <w:p w14:paraId="642CBD78"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PNSLAB</w:t>
            </w:r>
          </w:p>
        </w:tc>
        <w:tc>
          <w:tcPr>
            <w:tcW w:w="7371" w:type="dxa"/>
            <w:noWrap/>
            <w:vAlign w:val="center"/>
            <w:hideMark/>
          </w:tcPr>
          <w:p w14:paraId="236D822E" w14:textId="536A9543" w:rsidR="00475335" w:rsidRPr="0003170B" w:rsidRDefault="00B508C8" w:rsidP="0007784F">
            <w:pPr>
              <w:rPr>
                <w:rFonts w:ascii="Arial Narrow" w:hAnsi="Arial Narrow" w:cs="Arial"/>
                <w:sz w:val="24"/>
                <w:szCs w:val="24"/>
              </w:rPr>
            </w:pPr>
            <w:r w:rsidRPr="0003170B">
              <w:rPr>
                <w:rFonts w:ascii="Arial Narrow" w:hAnsi="Arial Narrow" w:cs="Arial"/>
                <w:sz w:val="24"/>
                <w:szCs w:val="24"/>
              </w:rPr>
              <w:t>Plan National Stratégique des Laboratoires de biologie médicale</w:t>
            </w:r>
          </w:p>
        </w:tc>
      </w:tr>
      <w:tr w:rsidR="00475335" w:rsidRPr="003F13B0" w14:paraId="536140C5" w14:textId="77777777" w:rsidTr="0007784F">
        <w:trPr>
          <w:trHeight w:val="310"/>
        </w:trPr>
        <w:tc>
          <w:tcPr>
            <w:tcW w:w="1555" w:type="dxa"/>
            <w:noWrap/>
            <w:vAlign w:val="center"/>
            <w:hideMark/>
          </w:tcPr>
          <w:p w14:paraId="06B67390"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PPN</w:t>
            </w:r>
          </w:p>
        </w:tc>
        <w:tc>
          <w:tcPr>
            <w:tcW w:w="7371" w:type="dxa"/>
            <w:noWrap/>
            <w:vAlign w:val="center"/>
            <w:hideMark/>
          </w:tcPr>
          <w:p w14:paraId="207C15E9" w14:textId="7E45ED84" w:rsidR="00475335" w:rsidRPr="0003170B" w:rsidRDefault="004446A8" w:rsidP="0007784F">
            <w:pPr>
              <w:rPr>
                <w:rFonts w:ascii="Arial Narrow" w:hAnsi="Arial Narrow" w:cs="Arial"/>
                <w:sz w:val="24"/>
                <w:szCs w:val="24"/>
              </w:rPr>
            </w:pPr>
            <w:r w:rsidRPr="0003170B">
              <w:rPr>
                <w:rFonts w:ascii="Arial Narrow" w:hAnsi="Arial Narrow" w:cs="Arial"/>
                <w:sz w:val="24"/>
                <w:szCs w:val="24"/>
              </w:rPr>
              <w:t xml:space="preserve">Politique Pharmaceutique </w:t>
            </w:r>
            <w:r w:rsidR="005423BE" w:rsidRPr="0003170B">
              <w:rPr>
                <w:rFonts w:ascii="Arial Narrow" w:hAnsi="Arial Narrow" w:cs="Arial"/>
                <w:sz w:val="24"/>
                <w:szCs w:val="24"/>
              </w:rPr>
              <w:t>Nationale</w:t>
            </w:r>
          </w:p>
        </w:tc>
      </w:tr>
      <w:tr w:rsidR="00475335" w:rsidRPr="003F13B0" w14:paraId="19D38B2A" w14:textId="77777777" w:rsidTr="0007784F">
        <w:trPr>
          <w:trHeight w:val="290"/>
        </w:trPr>
        <w:tc>
          <w:tcPr>
            <w:tcW w:w="1555" w:type="dxa"/>
            <w:noWrap/>
            <w:vAlign w:val="center"/>
            <w:hideMark/>
          </w:tcPr>
          <w:p w14:paraId="2D3DC855"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PRES</w:t>
            </w:r>
          </w:p>
        </w:tc>
        <w:tc>
          <w:tcPr>
            <w:tcW w:w="7371" w:type="dxa"/>
            <w:noWrap/>
            <w:vAlign w:val="center"/>
            <w:hideMark/>
          </w:tcPr>
          <w:p w14:paraId="363B3E58" w14:textId="165EF3E4" w:rsidR="00475335" w:rsidRPr="0003170B" w:rsidRDefault="00FD186C" w:rsidP="0007784F">
            <w:pPr>
              <w:rPr>
                <w:rFonts w:ascii="Arial Narrow" w:hAnsi="Arial Narrow" w:cs="Arial"/>
                <w:sz w:val="24"/>
                <w:szCs w:val="24"/>
              </w:rPr>
            </w:pPr>
            <w:r w:rsidRPr="0003170B">
              <w:rPr>
                <w:rFonts w:ascii="Arial Narrow" w:hAnsi="Arial Narrow" w:cs="Arial"/>
                <w:sz w:val="24"/>
                <w:szCs w:val="24"/>
              </w:rPr>
              <w:t>Pôle Régional d’Excellence en Santé</w:t>
            </w:r>
          </w:p>
        </w:tc>
      </w:tr>
      <w:tr w:rsidR="00475335" w:rsidRPr="003F13B0" w14:paraId="0ECA5613" w14:textId="77777777" w:rsidTr="0007784F">
        <w:trPr>
          <w:trHeight w:val="290"/>
        </w:trPr>
        <w:tc>
          <w:tcPr>
            <w:tcW w:w="1555" w:type="dxa"/>
            <w:noWrap/>
            <w:vAlign w:val="center"/>
            <w:hideMark/>
          </w:tcPr>
          <w:p w14:paraId="638E91E3"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PTA</w:t>
            </w:r>
          </w:p>
        </w:tc>
        <w:tc>
          <w:tcPr>
            <w:tcW w:w="7371" w:type="dxa"/>
            <w:noWrap/>
            <w:vAlign w:val="center"/>
            <w:hideMark/>
          </w:tcPr>
          <w:p w14:paraId="6F7FA42D" w14:textId="103966C9" w:rsidR="00475335" w:rsidRPr="0003170B" w:rsidRDefault="00177365" w:rsidP="0007784F">
            <w:pPr>
              <w:rPr>
                <w:rFonts w:ascii="Arial Narrow" w:hAnsi="Arial Narrow" w:cs="Arial"/>
                <w:sz w:val="24"/>
                <w:szCs w:val="24"/>
              </w:rPr>
            </w:pPr>
            <w:r w:rsidRPr="0003170B">
              <w:rPr>
                <w:rFonts w:ascii="Arial Narrow" w:hAnsi="Arial Narrow" w:cs="Arial"/>
                <w:sz w:val="24"/>
                <w:szCs w:val="24"/>
              </w:rPr>
              <w:t>Plan de Travail Annuel</w:t>
            </w:r>
          </w:p>
        </w:tc>
      </w:tr>
      <w:tr w:rsidR="00475335" w:rsidRPr="003F13B0" w14:paraId="4E658DAB" w14:textId="77777777" w:rsidTr="0007784F">
        <w:trPr>
          <w:trHeight w:val="290"/>
        </w:trPr>
        <w:tc>
          <w:tcPr>
            <w:tcW w:w="1555" w:type="dxa"/>
            <w:noWrap/>
            <w:vAlign w:val="center"/>
            <w:hideMark/>
          </w:tcPr>
          <w:p w14:paraId="0354D6F8"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PTF</w:t>
            </w:r>
          </w:p>
        </w:tc>
        <w:tc>
          <w:tcPr>
            <w:tcW w:w="7371" w:type="dxa"/>
            <w:noWrap/>
            <w:vAlign w:val="center"/>
            <w:hideMark/>
          </w:tcPr>
          <w:p w14:paraId="68C7A72E" w14:textId="1D7E95BD" w:rsidR="00475335" w:rsidRPr="0003170B" w:rsidRDefault="00DB1CDF" w:rsidP="0007784F">
            <w:pPr>
              <w:rPr>
                <w:rFonts w:ascii="Arial Narrow" w:hAnsi="Arial Narrow" w:cs="Arial"/>
                <w:sz w:val="24"/>
                <w:szCs w:val="24"/>
              </w:rPr>
            </w:pPr>
            <w:r w:rsidRPr="0003170B">
              <w:rPr>
                <w:rFonts w:ascii="Arial Narrow" w:hAnsi="Arial Narrow" w:cs="Arial"/>
                <w:sz w:val="24"/>
                <w:szCs w:val="24"/>
              </w:rPr>
              <w:t>Partenaire Technique et Financier</w:t>
            </w:r>
          </w:p>
        </w:tc>
      </w:tr>
      <w:tr w:rsidR="00475335" w:rsidRPr="003F13B0" w14:paraId="27F57186" w14:textId="77777777" w:rsidTr="0007784F">
        <w:trPr>
          <w:trHeight w:val="290"/>
        </w:trPr>
        <w:tc>
          <w:tcPr>
            <w:tcW w:w="1555" w:type="dxa"/>
            <w:noWrap/>
            <w:vAlign w:val="center"/>
            <w:hideMark/>
          </w:tcPr>
          <w:p w14:paraId="28F8B090"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PVVIH</w:t>
            </w:r>
          </w:p>
        </w:tc>
        <w:tc>
          <w:tcPr>
            <w:tcW w:w="7371" w:type="dxa"/>
            <w:noWrap/>
            <w:vAlign w:val="center"/>
            <w:hideMark/>
          </w:tcPr>
          <w:p w14:paraId="679A5D2D" w14:textId="227D5490" w:rsidR="00475335" w:rsidRPr="0003170B" w:rsidRDefault="00DB1CDF" w:rsidP="0007784F">
            <w:pPr>
              <w:rPr>
                <w:rFonts w:ascii="Arial Narrow" w:hAnsi="Arial Narrow" w:cs="Arial"/>
                <w:sz w:val="24"/>
                <w:szCs w:val="24"/>
              </w:rPr>
            </w:pPr>
            <w:r w:rsidRPr="0003170B">
              <w:rPr>
                <w:rFonts w:ascii="Arial Narrow" w:hAnsi="Arial Narrow" w:cs="Arial"/>
                <w:sz w:val="24"/>
                <w:szCs w:val="24"/>
              </w:rPr>
              <w:t>Personne Vivant avec le V</w:t>
            </w:r>
            <w:r w:rsidR="00177365" w:rsidRPr="0003170B">
              <w:rPr>
                <w:rFonts w:ascii="Arial Narrow" w:hAnsi="Arial Narrow" w:cs="Arial"/>
                <w:sz w:val="24"/>
                <w:szCs w:val="24"/>
              </w:rPr>
              <w:t xml:space="preserve">irus </w:t>
            </w:r>
            <w:r w:rsidR="00F23B93" w:rsidRPr="0003170B">
              <w:rPr>
                <w:rFonts w:ascii="Arial Narrow" w:hAnsi="Arial Narrow" w:cs="Arial"/>
                <w:sz w:val="24"/>
                <w:szCs w:val="24"/>
              </w:rPr>
              <w:t>de l’Immunodéficience Humaine</w:t>
            </w:r>
          </w:p>
        </w:tc>
      </w:tr>
      <w:tr w:rsidR="00475335" w:rsidRPr="003F13B0" w14:paraId="7B71EDBD" w14:textId="77777777" w:rsidTr="0007784F">
        <w:trPr>
          <w:trHeight w:val="290"/>
        </w:trPr>
        <w:tc>
          <w:tcPr>
            <w:tcW w:w="1555" w:type="dxa"/>
            <w:noWrap/>
            <w:vAlign w:val="center"/>
            <w:hideMark/>
          </w:tcPr>
          <w:p w14:paraId="0E10E3EB"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RAP</w:t>
            </w:r>
          </w:p>
        </w:tc>
        <w:tc>
          <w:tcPr>
            <w:tcW w:w="7371" w:type="dxa"/>
            <w:noWrap/>
            <w:vAlign w:val="center"/>
            <w:hideMark/>
          </w:tcPr>
          <w:p w14:paraId="390477BA" w14:textId="2CF25C14" w:rsidR="00475335" w:rsidRPr="0003170B" w:rsidRDefault="00177365" w:rsidP="0007784F">
            <w:pPr>
              <w:rPr>
                <w:rFonts w:ascii="Arial Narrow" w:hAnsi="Arial Narrow" w:cs="Arial"/>
                <w:sz w:val="24"/>
                <w:szCs w:val="24"/>
              </w:rPr>
            </w:pPr>
            <w:r w:rsidRPr="0003170B">
              <w:rPr>
                <w:rFonts w:ascii="Arial Narrow" w:hAnsi="Arial Narrow" w:cs="Arial"/>
                <w:sz w:val="24"/>
                <w:szCs w:val="24"/>
              </w:rPr>
              <w:t>Rapport Annuel de Performance</w:t>
            </w:r>
          </w:p>
        </w:tc>
      </w:tr>
      <w:tr w:rsidR="00475335" w:rsidRPr="003F13B0" w14:paraId="7F5F0779" w14:textId="77777777" w:rsidTr="0007784F">
        <w:trPr>
          <w:trHeight w:val="310"/>
        </w:trPr>
        <w:tc>
          <w:tcPr>
            <w:tcW w:w="1555" w:type="dxa"/>
            <w:noWrap/>
            <w:vAlign w:val="center"/>
            <w:hideMark/>
          </w:tcPr>
          <w:p w14:paraId="5CBA5D53"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RASS</w:t>
            </w:r>
          </w:p>
        </w:tc>
        <w:tc>
          <w:tcPr>
            <w:tcW w:w="7371" w:type="dxa"/>
            <w:noWrap/>
            <w:vAlign w:val="center"/>
            <w:hideMark/>
          </w:tcPr>
          <w:p w14:paraId="749B281E" w14:textId="6A716DE7" w:rsidR="00475335" w:rsidRPr="0003170B" w:rsidRDefault="00DB1CDF" w:rsidP="0007784F">
            <w:pPr>
              <w:rPr>
                <w:rFonts w:ascii="Arial Narrow" w:hAnsi="Arial Narrow" w:cs="Arial"/>
                <w:sz w:val="24"/>
                <w:szCs w:val="24"/>
              </w:rPr>
            </w:pPr>
            <w:r w:rsidRPr="0003170B">
              <w:rPr>
                <w:rFonts w:ascii="Arial Narrow" w:hAnsi="Arial Narrow" w:cs="Arial"/>
                <w:sz w:val="24"/>
                <w:szCs w:val="24"/>
              </w:rPr>
              <w:t xml:space="preserve">Rapport Annuel </w:t>
            </w:r>
            <w:r w:rsidR="00D05CFD" w:rsidRPr="0003170B">
              <w:rPr>
                <w:rFonts w:ascii="Arial Narrow" w:hAnsi="Arial Narrow" w:cs="Arial"/>
                <w:sz w:val="24"/>
                <w:szCs w:val="24"/>
              </w:rPr>
              <w:t>sur la Situation Sanitaire</w:t>
            </w:r>
          </w:p>
        </w:tc>
      </w:tr>
      <w:tr w:rsidR="006E2E4B" w:rsidRPr="003F13B0" w14:paraId="68C5C2E5" w14:textId="77777777" w:rsidTr="0007784F">
        <w:trPr>
          <w:trHeight w:val="310"/>
        </w:trPr>
        <w:tc>
          <w:tcPr>
            <w:tcW w:w="1555" w:type="dxa"/>
            <w:noWrap/>
            <w:vAlign w:val="center"/>
          </w:tcPr>
          <w:p w14:paraId="7DD1230B" w14:textId="32F5D93E" w:rsidR="006E2E4B" w:rsidRPr="0003170B" w:rsidRDefault="006E2E4B" w:rsidP="0007784F">
            <w:pPr>
              <w:rPr>
                <w:rFonts w:ascii="Arial Narrow" w:hAnsi="Arial Narrow" w:cs="Arial"/>
                <w:b/>
                <w:sz w:val="24"/>
                <w:szCs w:val="24"/>
              </w:rPr>
            </w:pPr>
            <w:r w:rsidRPr="0003170B">
              <w:rPr>
                <w:rFonts w:ascii="Arial Narrow" w:hAnsi="Arial Narrow" w:cs="Arial"/>
                <w:b/>
                <w:sz w:val="24"/>
                <w:szCs w:val="24"/>
              </w:rPr>
              <w:t>SFDE</w:t>
            </w:r>
          </w:p>
        </w:tc>
        <w:tc>
          <w:tcPr>
            <w:tcW w:w="7371" w:type="dxa"/>
            <w:noWrap/>
            <w:vAlign w:val="center"/>
          </w:tcPr>
          <w:p w14:paraId="5B3A5B19" w14:textId="31DC2B16" w:rsidR="006E2E4B" w:rsidRPr="0003170B" w:rsidRDefault="006E2E4B" w:rsidP="0007784F">
            <w:pPr>
              <w:rPr>
                <w:rFonts w:ascii="Arial Narrow" w:hAnsi="Arial Narrow" w:cs="Arial"/>
                <w:sz w:val="24"/>
                <w:szCs w:val="24"/>
              </w:rPr>
            </w:pPr>
            <w:r w:rsidRPr="0003170B">
              <w:rPr>
                <w:rFonts w:ascii="Arial Narrow" w:hAnsi="Arial Narrow" w:cs="Arial"/>
                <w:sz w:val="24"/>
                <w:szCs w:val="24"/>
              </w:rPr>
              <w:t>Sage-Femme Diplômé d’Etat</w:t>
            </w:r>
          </w:p>
        </w:tc>
      </w:tr>
      <w:tr w:rsidR="00475335" w:rsidRPr="003F13B0" w14:paraId="33832012" w14:textId="77777777" w:rsidTr="0007784F">
        <w:trPr>
          <w:trHeight w:val="310"/>
        </w:trPr>
        <w:tc>
          <w:tcPr>
            <w:tcW w:w="1555" w:type="dxa"/>
            <w:noWrap/>
            <w:vAlign w:val="center"/>
            <w:hideMark/>
          </w:tcPr>
          <w:p w14:paraId="7BAEA178"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SIGPS</w:t>
            </w:r>
          </w:p>
        </w:tc>
        <w:tc>
          <w:tcPr>
            <w:tcW w:w="7371" w:type="dxa"/>
            <w:noWrap/>
            <w:vAlign w:val="center"/>
            <w:hideMark/>
          </w:tcPr>
          <w:p w14:paraId="757563D0" w14:textId="2393D485" w:rsidR="00475335" w:rsidRPr="0003170B" w:rsidRDefault="00F23B93" w:rsidP="0007784F">
            <w:pPr>
              <w:rPr>
                <w:rFonts w:ascii="Arial Narrow" w:hAnsi="Arial Narrow" w:cs="Arial"/>
                <w:sz w:val="24"/>
                <w:szCs w:val="24"/>
              </w:rPr>
            </w:pPr>
            <w:r w:rsidRPr="0003170B">
              <w:rPr>
                <w:rFonts w:ascii="Arial Narrow" w:hAnsi="Arial Narrow" w:cs="Arial"/>
                <w:sz w:val="24"/>
                <w:szCs w:val="24"/>
              </w:rPr>
              <w:t>Système Intégré de Gestion</w:t>
            </w:r>
            <w:r w:rsidR="001039BD" w:rsidRPr="0003170B">
              <w:rPr>
                <w:rFonts w:ascii="Arial Narrow" w:hAnsi="Arial Narrow" w:cs="Arial"/>
                <w:sz w:val="24"/>
                <w:szCs w:val="24"/>
              </w:rPr>
              <w:t xml:space="preserve"> des Personnels de la Santé</w:t>
            </w:r>
          </w:p>
        </w:tc>
      </w:tr>
      <w:tr w:rsidR="00475335" w:rsidRPr="003F13B0" w14:paraId="19FD2C06" w14:textId="77777777" w:rsidTr="0007784F">
        <w:trPr>
          <w:trHeight w:val="310"/>
        </w:trPr>
        <w:tc>
          <w:tcPr>
            <w:tcW w:w="1555" w:type="dxa"/>
            <w:noWrap/>
            <w:vAlign w:val="center"/>
            <w:hideMark/>
          </w:tcPr>
          <w:p w14:paraId="48720F9B"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SIH</w:t>
            </w:r>
          </w:p>
        </w:tc>
        <w:tc>
          <w:tcPr>
            <w:tcW w:w="7371" w:type="dxa"/>
            <w:noWrap/>
            <w:vAlign w:val="center"/>
            <w:hideMark/>
          </w:tcPr>
          <w:p w14:paraId="5ACD8892" w14:textId="780BAE1E" w:rsidR="00475335" w:rsidRPr="0003170B" w:rsidRDefault="001039BD" w:rsidP="0007784F">
            <w:pPr>
              <w:rPr>
                <w:rFonts w:ascii="Arial Narrow" w:hAnsi="Arial Narrow" w:cs="Arial"/>
                <w:sz w:val="24"/>
                <w:szCs w:val="24"/>
              </w:rPr>
            </w:pPr>
            <w:r w:rsidRPr="0003170B">
              <w:rPr>
                <w:rFonts w:ascii="Arial Narrow" w:hAnsi="Arial Narrow" w:cs="Arial"/>
                <w:sz w:val="24"/>
                <w:szCs w:val="24"/>
              </w:rPr>
              <w:t>Système d’Information Hospitalier</w:t>
            </w:r>
          </w:p>
        </w:tc>
      </w:tr>
      <w:tr w:rsidR="00131BE3" w:rsidRPr="003F13B0" w14:paraId="2DC99309" w14:textId="77777777" w:rsidTr="0007784F">
        <w:trPr>
          <w:trHeight w:val="310"/>
        </w:trPr>
        <w:tc>
          <w:tcPr>
            <w:tcW w:w="1555" w:type="dxa"/>
            <w:noWrap/>
            <w:vAlign w:val="center"/>
          </w:tcPr>
          <w:p w14:paraId="77A8B6C9" w14:textId="1B4445DF" w:rsidR="00131BE3" w:rsidRPr="0003170B" w:rsidRDefault="00131BE3" w:rsidP="0007784F">
            <w:pPr>
              <w:rPr>
                <w:rFonts w:ascii="Arial Narrow" w:hAnsi="Arial Narrow" w:cs="Arial"/>
                <w:b/>
                <w:sz w:val="24"/>
                <w:szCs w:val="24"/>
              </w:rPr>
            </w:pPr>
            <w:r w:rsidRPr="0003170B">
              <w:rPr>
                <w:rFonts w:ascii="Arial Narrow" w:hAnsi="Arial Narrow" w:cs="Arial"/>
                <w:b/>
                <w:sz w:val="24"/>
                <w:szCs w:val="24"/>
              </w:rPr>
              <w:t>SME</w:t>
            </w:r>
          </w:p>
        </w:tc>
        <w:tc>
          <w:tcPr>
            <w:tcW w:w="7371" w:type="dxa"/>
            <w:noWrap/>
            <w:vAlign w:val="center"/>
          </w:tcPr>
          <w:p w14:paraId="1E7947F0" w14:textId="014858A1" w:rsidR="00131BE3" w:rsidRPr="0003170B" w:rsidRDefault="00131BE3" w:rsidP="0007784F">
            <w:pPr>
              <w:rPr>
                <w:rFonts w:ascii="Arial Narrow" w:hAnsi="Arial Narrow" w:cs="Arial"/>
                <w:sz w:val="24"/>
                <w:szCs w:val="24"/>
              </w:rPr>
            </w:pPr>
            <w:r w:rsidRPr="0003170B">
              <w:rPr>
                <w:rFonts w:ascii="Arial Narrow" w:hAnsi="Arial Narrow" w:cs="Arial"/>
                <w:sz w:val="24"/>
                <w:szCs w:val="24"/>
              </w:rPr>
              <w:t>Santé Mère Enfant</w:t>
            </w:r>
          </w:p>
        </w:tc>
      </w:tr>
      <w:tr w:rsidR="00475335" w:rsidRPr="003F13B0" w14:paraId="792FEABB" w14:textId="77777777" w:rsidTr="0007784F">
        <w:trPr>
          <w:trHeight w:val="290"/>
        </w:trPr>
        <w:tc>
          <w:tcPr>
            <w:tcW w:w="1555" w:type="dxa"/>
            <w:noWrap/>
            <w:vAlign w:val="center"/>
            <w:hideMark/>
          </w:tcPr>
          <w:p w14:paraId="208E93A2"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SMNI</w:t>
            </w:r>
          </w:p>
        </w:tc>
        <w:tc>
          <w:tcPr>
            <w:tcW w:w="7371" w:type="dxa"/>
            <w:noWrap/>
            <w:vAlign w:val="center"/>
            <w:hideMark/>
          </w:tcPr>
          <w:p w14:paraId="18C28333" w14:textId="7A7EA272" w:rsidR="00475335" w:rsidRPr="0003170B" w:rsidRDefault="00875746" w:rsidP="0007784F">
            <w:pPr>
              <w:rPr>
                <w:rFonts w:ascii="Arial Narrow" w:hAnsi="Arial Narrow" w:cs="Arial"/>
                <w:sz w:val="24"/>
                <w:szCs w:val="24"/>
              </w:rPr>
            </w:pPr>
            <w:r w:rsidRPr="0003170B">
              <w:rPr>
                <w:rFonts w:ascii="Arial Narrow" w:hAnsi="Arial Narrow" w:cs="Arial"/>
                <w:sz w:val="24"/>
                <w:szCs w:val="24"/>
              </w:rPr>
              <w:t>Santé Maternelle, Néonatale et Infantile</w:t>
            </w:r>
          </w:p>
        </w:tc>
      </w:tr>
      <w:tr w:rsidR="00475335" w:rsidRPr="003F13B0" w14:paraId="74ADB2EE" w14:textId="77777777" w:rsidTr="0007784F">
        <w:trPr>
          <w:trHeight w:val="290"/>
        </w:trPr>
        <w:tc>
          <w:tcPr>
            <w:tcW w:w="1555" w:type="dxa"/>
            <w:noWrap/>
            <w:vAlign w:val="center"/>
            <w:hideMark/>
          </w:tcPr>
          <w:p w14:paraId="3E4CF268"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SONU</w:t>
            </w:r>
          </w:p>
        </w:tc>
        <w:tc>
          <w:tcPr>
            <w:tcW w:w="7371" w:type="dxa"/>
            <w:noWrap/>
            <w:vAlign w:val="center"/>
            <w:hideMark/>
          </w:tcPr>
          <w:p w14:paraId="28FC5DF8" w14:textId="5AEE4AC5" w:rsidR="00475335" w:rsidRPr="0003170B" w:rsidRDefault="00875746" w:rsidP="0007784F">
            <w:pPr>
              <w:rPr>
                <w:rFonts w:ascii="Arial Narrow" w:hAnsi="Arial Narrow" w:cs="Arial"/>
                <w:sz w:val="24"/>
                <w:szCs w:val="24"/>
              </w:rPr>
            </w:pPr>
            <w:r w:rsidRPr="0003170B">
              <w:rPr>
                <w:rFonts w:ascii="Arial Narrow" w:hAnsi="Arial Narrow" w:cs="Arial"/>
                <w:sz w:val="24"/>
                <w:szCs w:val="24"/>
              </w:rPr>
              <w:t xml:space="preserve">Soins Obstétricaux </w:t>
            </w:r>
            <w:r w:rsidR="0015287F" w:rsidRPr="0003170B">
              <w:rPr>
                <w:rFonts w:ascii="Arial Narrow" w:hAnsi="Arial Narrow" w:cs="Arial"/>
                <w:sz w:val="24"/>
                <w:szCs w:val="24"/>
              </w:rPr>
              <w:t xml:space="preserve">et </w:t>
            </w:r>
            <w:r w:rsidRPr="0003170B">
              <w:rPr>
                <w:rFonts w:ascii="Arial Narrow" w:hAnsi="Arial Narrow" w:cs="Arial"/>
                <w:sz w:val="24"/>
                <w:szCs w:val="24"/>
              </w:rPr>
              <w:t>Néo</w:t>
            </w:r>
            <w:r w:rsidR="0015287F" w:rsidRPr="0003170B">
              <w:rPr>
                <w:rFonts w:ascii="Arial Narrow" w:hAnsi="Arial Narrow" w:cs="Arial"/>
                <w:sz w:val="24"/>
                <w:szCs w:val="24"/>
              </w:rPr>
              <w:t>n</w:t>
            </w:r>
            <w:r w:rsidRPr="0003170B">
              <w:rPr>
                <w:rFonts w:ascii="Arial Narrow" w:hAnsi="Arial Narrow" w:cs="Arial"/>
                <w:sz w:val="24"/>
                <w:szCs w:val="24"/>
              </w:rPr>
              <w:t>ata</w:t>
            </w:r>
            <w:r w:rsidR="0015287F" w:rsidRPr="0003170B">
              <w:rPr>
                <w:rFonts w:ascii="Arial Narrow" w:hAnsi="Arial Narrow" w:cs="Arial"/>
                <w:sz w:val="24"/>
                <w:szCs w:val="24"/>
              </w:rPr>
              <w:t>ls</w:t>
            </w:r>
            <w:r w:rsidRPr="0003170B">
              <w:rPr>
                <w:rFonts w:ascii="Arial Narrow" w:hAnsi="Arial Narrow" w:cs="Arial"/>
                <w:sz w:val="24"/>
                <w:szCs w:val="24"/>
              </w:rPr>
              <w:t xml:space="preserve"> d’Urgence</w:t>
            </w:r>
          </w:p>
        </w:tc>
      </w:tr>
      <w:tr w:rsidR="00AC2720" w:rsidRPr="003F13B0" w14:paraId="55E18C97" w14:textId="77777777" w:rsidTr="0007784F">
        <w:trPr>
          <w:trHeight w:val="290"/>
        </w:trPr>
        <w:tc>
          <w:tcPr>
            <w:tcW w:w="1555" w:type="dxa"/>
            <w:noWrap/>
            <w:vAlign w:val="center"/>
          </w:tcPr>
          <w:p w14:paraId="54B02474" w14:textId="15C070BC" w:rsidR="00AC2720" w:rsidRPr="0003170B" w:rsidRDefault="00AC2720" w:rsidP="0007784F">
            <w:pPr>
              <w:rPr>
                <w:rFonts w:ascii="Arial Narrow" w:hAnsi="Arial Narrow" w:cs="Arial"/>
                <w:b/>
                <w:sz w:val="24"/>
                <w:szCs w:val="24"/>
              </w:rPr>
            </w:pPr>
            <w:r w:rsidRPr="0003170B">
              <w:rPr>
                <w:rFonts w:ascii="Arial Narrow" w:hAnsi="Arial Narrow" w:cs="Arial"/>
                <w:b/>
                <w:sz w:val="24"/>
                <w:szCs w:val="24"/>
              </w:rPr>
              <w:t>SONUB</w:t>
            </w:r>
          </w:p>
        </w:tc>
        <w:tc>
          <w:tcPr>
            <w:tcW w:w="7371" w:type="dxa"/>
            <w:noWrap/>
            <w:vAlign w:val="center"/>
          </w:tcPr>
          <w:p w14:paraId="047349C4" w14:textId="2F61A961" w:rsidR="00AC2720" w:rsidRPr="0003170B" w:rsidRDefault="00AC2720" w:rsidP="0007784F">
            <w:pPr>
              <w:rPr>
                <w:rFonts w:ascii="Arial Narrow" w:hAnsi="Arial Narrow" w:cs="Arial"/>
                <w:sz w:val="24"/>
                <w:szCs w:val="24"/>
              </w:rPr>
            </w:pPr>
            <w:r w:rsidRPr="0003170B">
              <w:rPr>
                <w:rFonts w:ascii="Arial Narrow" w:hAnsi="Arial Narrow" w:cs="Arial"/>
                <w:sz w:val="24"/>
                <w:szCs w:val="24"/>
              </w:rPr>
              <w:t>Soins Obstétricaux et Néonatals d’Urgence de Base</w:t>
            </w:r>
          </w:p>
        </w:tc>
      </w:tr>
      <w:tr w:rsidR="00475335" w:rsidRPr="003F13B0" w14:paraId="0A3C1DC8" w14:textId="77777777" w:rsidTr="0007784F">
        <w:trPr>
          <w:trHeight w:val="290"/>
        </w:trPr>
        <w:tc>
          <w:tcPr>
            <w:tcW w:w="1555" w:type="dxa"/>
            <w:noWrap/>
            <w:vAlign w:val="center"/>
            <w:hideMark/>
          </w:tcPr>
          <w:p w14:paraId="46B64B5F"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SONUC</w:t>
            </w:r>
          </w:p>
        </w:tc>
        <w:tc>
          <w:tcPr>
            <w:tcW w:w="7371" w:type="dxa"/>
            <w:noWrap/>
            <w:vAlign w:val="center"/>
            <w:hideMark/>
          </w:tcPr>
          <w:p w14:paraId="5A765F8A" w14:textId="61533C52" w:rsidR="00475335" w:rsidRPr="0003170B" w:rsidRDefault="0015287F" w:rsidP="0007784F">
            <w:pPr>
              <w:rPr>
                <w:rFonts w:ascii="Arial Narrow" w:hAnsi="Arial Narrow" w:cs="Arial"/>
                <w:sz w:val="24"/>
                <w:szCs w:val="24"/>
              </w:rPr>
            </w:pPr>
            <w:r w:rsidRPr="0003170B">
              <w:rPr>
                <w:rFonts w:ascii="Arial Narrow" w:hAnsi="Arial Narrow" w:cs="Arial"/>
                <w:sz w:val="24"/>
                <w:szCs w:val="24"/>
              </w:rPr>
              <w:t>Soins Obstétricaux et Néonatals d’Urgence</w:t>
            </w:r>
            <w:r w:rsidR="00AB4D1C" w:rsidRPr="0003170B">
              <w:rPr>
                <w:rFonts w:ascii="Arial Narrow" w:hAnsi="Arial Narrow" w:cs="Arial"/>
                <w:sz w:val="24"/>
                <w:szCs w:val="24"/>
              </w:rPr>
              <w:t xml:space="preserve"> Complets</w:t>
            </w:r>
          </w:p>
        </w:tc>
      </w:tr>
      <w:tr w:rsidR="004E0CCF" w:rsidRPr="003F13B0" w14:paraId="5EE3D1EF" w14:textId="77777777" w:rsidTr="0007784F">
        <w:trPr>
          <w:trHeight w:val="290"/>
        </w:trPr>
        <w:tc>
          <w:tcPr>
            <w:tcW w:w="1555" w:type="dxa"/>
            <w:noWrap/>
            <w:vAlign w:val="center"/>
            <w:hideMark/>
          </w:tcPr>
          <w:p w14:paraId="47F7EBCB" w14:textId="77777777" w:rsidR="004E0CCF" w:rsidRPr="0003170B" w:rsidRDefault="004E0CCF" w:rsidP="0007784F">
            <w:pPr>
              <w:rPr>
                <w:rFonts w:ascii="Arial Narrow" w:hAnsi="Arial Narrow" w:cs="Arial"/>
                <w:b/>
                <w:sz w:val="24"/>
                <w:szCs w:val="24"/>
              </w:rPr>
            </w:pPr>
            <w:r w:rsidRPr="0003170B">
              <w:rPr>
                <w:rFonts w:ascii="Arial Narrow" w:hAnsi="Arial Narrow" w:cs="Arial"/>
                <w:b/>
                <w:sz w:val="24"/>
                <w:szCs w:val="24"/>
              </w:rPr>
              <w:t>SRMNIA-N</w:t>
            </w:r>
          </w:p>
        </w:tc>
        <w:tc>
          <w:tcPr>
            <w:tcW w:w="7371" w:type="dxa"/>
            <w:vAlign w:val="center"/>
          </w:tcPr>
          <w:p w14:paraId="3F4F43AB" w14:textId="0DBBEADC" w:rsidR="004E0CCF" w:rsidRPr="0003170B" w:rsidRDefault="000D4A55" w:rsidP="0007784F">
            <w:pPr>
              <w:rPr>
                <w:rFonts w:ascii="Arial Narrow" w:hAnsi="Arial Narrow" w:cs="Arial"/>
                <w:sz w:val="24"/>
                <w:szCs w:val="24"/>
              </w:rPr>
            </w:pPr>
            <w:r w:rsidRPr="0003170B">
              <w:rPr>
                <w:rFonts w:ascii="Arial Narrow" w:hAnsi="Arial Narrow" w:cs="Arial"/>
                <w:sz w:val="24"/>
                <w:szCs w:val="24"/>
              </w:rPr>
              <w:t>Santé Reproducti</w:t>
            </w:r>
            <w:r w:rsidR="001320B9" w:rsidRPr="0003170B">
              <w:rPr>
                <w:rFonts w:ascii="Arial Narrow" w:hAnsi="Arial Narrow" w:cs="Arial"/>
                <w:sz w:val="24"/>
                <w:szCs w:val="24"/>
              </w:rPr>
              <w:t>ve,</w:t>
            </w:r>
            <w:r w:rsidRPr="0003170B">
              <w:rPr>
                <w:rFonts w:ascii="Arial Narrow" w:hAnsi="Arial Narrow" w:cs="Arial"/>
                <w:sz w:val="24"/>
                <w:szCs w:val="24"/>
              </w:rPr>
              <w:t xml:space="preserve"> Maternelle, Néonatale, Infantile, Adolescent</w:t>
            </w:r>
            <w:r w:rsidR="00EB610D" w:rsidRPr="0003170B">
              <w:rPr>
                <w:rFonts w:ascii="Arial Narrow" w:hAnsi="Arial Narrow" w:cs="Arial"/>
                <w:sz w:val="24"/>
                <w:szCs w:val="24"/>
              </w:rPr>
              <w:t xml:space="preserve"> et Nutrition</w:t>
            </w:r>
          </w:p>
        </w:tc>
      </w:tr>
      <w:tr w:rsidR="00475335" w:rsidRPr="003F13B0" w14:paraId="1982930B" w14:textId="77777777" w:rsidTr="0007784F">
        <w:trPr>
          <w:trHeight w:val="290"/>
        </w:trPr>
        <w:tc>
          <w:tcPr>
            <w:tcW w:w="1555" w:type="dxa"/>
            <w:noWrap/>
            <w:vAlign w:val="center"/>
            <w:hideMark/>
          </w:tcPr>
          <w:p w14:paraId="64F99D5B" w14:textId="10E5CDBF" w:rsidR="00475335" w:rsidRPr="0003170B" w:rsidRDefault="004669A5" w:rsidP="0007784F">
            <w:pPr>
              <w:rPr>
                <w:rFonts w:ascii="Arial Narrow" w:hAnsi="Arial Narrow" w:cs="Arial"/>
                <w:b/>
                <w:sz w:val="24"/>
                <w:szCs w:val="24"/>
              </w:rPr>
            </w:pPr>
            <w:r w:rsidRPr="0003170B">
              <w:rPr>
                <w:rFonts w:ascii="Arial Narrow" w:hAnsi="Arial Narrow" w:cs="Arial"/>
                <w:b/>
                <w:sz w:val="24"/>
                <w:szCs w:val="24"/>
              </w:rPr>
              <w:t>S</w:t>
            </w:r>
            <w:r w:rsidR="00475335" w:rsidRPr="0003170B">
              <w:rPr>
                <w:rFonts w:ascii="Arial Narrow" w:hAnsi="Arial Narrow" w:cs="Arial"/>
                <w:b/>
                <w:sz w:val="24"/>
                <w:szCs w:val="24"/>
              </w:rPr>
              <w:t>SSU-SAJ</w:t>
            </w:r>
          </w:p>
        </w:tc>
        <w:tc>
          <w:tcPr>
            <w:tcW w:w="7371" w:type="dxa"/>
            <w:noWrap/>
            <w:vAlign w:val="center"/>
            <w:hideMark/>
          </w:tcPr>
          <w:p w14:paraId="57169C9A" w14:textId="29292968" w:rsidR="00475335" w:rsidRPr="0003170B" w:rsidRDefault="004669A5" w:rsidP="0007784F">
            <w:pPr>
              <w:rPr>
                <w:rFonts w:ascii="Arial Narrow" w:hAnsi="Arial Narrow" w:cs="Arial"/>
                <w:sz w:val="24"/>
                <w:szCs w:val="24"/>
              </w:rPr>
            </w:pPr>
            <w:r w:rsidRPr="0003170B">
              <w:rPr>
                <w:rFonts w:ascii="Arial Narrow" w:hAnsi="Arial Narrow" w:cs="Arial"/>
                <w:sz w:val="24"/>
                <w:szCs w:val="24"/>
              </w:rPr>
              <w:t xml:space="preserve">Service de </w:t>
            </w:r>
            <w:r w:rsidR="001320B9" w:rsidRPr="0003170B">
              <w:rPr>
                <w:rFonts w:ascii="Arial Narrow" w:hAnsi="Arial Narrow" w:cs="Arial"/>
                <w:sz w:val="24"/>
                <w:szCs w:val="24"/>
              </w:rPr>
              <w:t>Santé Scolaire</w:t>
            </w:r>
            <w:r w:rsidRPr="0003170B">
              <w:rPr>
                <w:rFonts w:ascii="Arial Narrow" w:hAnsi="Arial Narrow" w:cs="Arial"/>
                <w:sz w:val="24"/>
                <w:szCs w:val="24"/>
              </w:rPr>
              <w:t xml:space="preserve"> et Universitaire – Santé Adolescent</w:t>
            </w:r>
            <w:r w:rsidR="009E15B3" w:rsidRPr="0003170B">
              <w:rPr>
                <w:rFonts w:ascii="Arial Narrow" w:hAnsi="Arial Narrow" w:cs="Arial"/>
                <w:sz w:val="24"/>
                <w:szCs w:val="24"/>
              </w:rPr>
              <w:t>s</w:t>
            </w:r>
            <w:r w:rsidRPr="0003170B">
              <w:rPr>
                <w:rFonts w:ascii="Arial Narrow" w:hAnsi="Arial Narrow" w:cs="Arial"/>
                <w:sz w:val="24"/>
                <w:szCs w:val="24"/>
              </w:rPr>
              <w:t xml:space="preserve"> et Jeune</w:t>
            </w:r>
            <w:r w:rsidR="009E15B3" w:rsidRPr="0003170B">
              <w:rPr>
                <w:rFonts w:ascii="Arial Narrow" w:hAnsi="Arial Narrow" w:cs="Arial"/>
                <w:sz w:val="24"/>
                <w:szCs w:val="24"/>
              </w:rPr>
              <w:t>s</w:t>
            </w:r>
          </w:p>
        </w:tc>
      </w:tr>
      <w:tr w:rsidR="00475335" w:rsidRPr="003F13B0" w14:paraId="12A8CEFA" w14:textId="77777777" w:rsidTr="0007784F">
        <w:trPr>
          <w:trHeight w:val="310"/>
        </w:trPr>
        <w:tc>
          <w:tcPr>
            <w:tcW w:w="1555" w:type="dxa"/>
            <w:noWrap/>
            <w:vAlign w:val="center"/>
            <w:hideMark/>
          </w:tcPr>
          <w:p w14:paraId="20E80397"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TBI</w:t>
            </w:r>
          </w:p>
        </w:tc>
        <w:tc>
          <w:tcPr>
            <w:tcW w:w="7371" w:type="dxa"/>
            <w:noWrap/>
            <w:vAlign w:val="center"/>
            <w:hideMark/>
          </w:tcPr>
          <w:p w14:paraId="7FDE6A81" w14:textId="09DB0C98" w:rsidR="00475335" w:rsidRPr="0003170B" w:rsidRDefault="009E15B3" w:rsidP="0007784F">
            <w:pPr>
              <w:rPr>
                <w:rFonts w:ascii="Arial Narrow" w:hAnsi="Arial Narrow" w:cs="Arial"/>
                <w:sz w:val="24"/>
                <w:szCs w:val="24"/>
              </w:rPr>
            </w:pPr>
            <w:r w:rsidRPr="0003170B">
              <w:rPr>
                <w:rFonts w:ascii="Arial Narrow" w:hAnsi="Arial Narrow" w:cs="Arial"/>
                <w:sz w:val="24"/>
                <w:szCs w:val="24"/>
              </w:rPr>
              <w:t>Tony Blair Institute</w:t>
            </w:r>
          </w:p>
        </w:tc>
      </w:tr>
      <w:tr w:rsidR="00475335" w:rsidRPr="003F13B0" w14:paraId="34964B13" w14:textId="77777777" w:rsidTr="0007784F">
        <w:trPr>
          <w:trHeight w:val="290"/>
        </w:trPr>
        <w:tc>
          <w:tcPr>
            <w:tcW w:w="1555" w:type="dxa"/>
            <w:noWrap/>
            <w:vAlign w:val="center"/>
            <w:hideMark/>
          </w:tcPr>
          <w:p w14:paraId="711906E3"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UEMOA</w:t>
            </w:r>
          </w:p>
        </w:tc>
        <w:tc>
          <w:tcPr>
            <w:tcW w:w="7371" w:type="dxa"/>
            <w:noWrap/>
            <w:vAlign w:val="center"/>
            <w:hideMark/>
          </w:tcPr>
          <w:p w14:paraId="682A29E6" w14:textId="0BC1CEF6" w:rsidR="00475335" w:rsidRPr="0003170B" w:rsidRDefault="009E15B3" w:rsidP="0007784F">
            <w:pPr>
              <w:rPr>
                <w:rFonts w:ascii="Arial Narrow" w:hAnsi="Arial Narrow" w:cs="Arial"/>
                <w:sz w:val="24"/>
                <w:szCs w:val="24"/>
              </w:rPr>
            </w:pPr>
            <w:r w:rsidRPr="0003170B">
              <w:rPr>
                <w:rFonts w:ascii="Arial Narrow" w:hAnsi="Arial Narrow" w:cs="Arial"/>
                <w:sz w:val="24"/>
                <w:szCs w:val="24"/>
              </w:rPr>
              <w:t>Union Economique et Monétaire Ouest Africaine</w:t>
            </w:r>
          </w:p>
        </w:tc>
      </w:tr>
      <w:tr w:rsidR="00475335" w:rsidRPr="003F13B0" w14:paraId="5720AB89" w14:textId="77777777" w:rsidTr="0007784F">
        <w:trPr>
          <w:trHeight w:val="290"/>
        </w:trPr>
        <w:tc>
          <w:tcPr>
            <w:tcW w:w="1555" w:type="dxa"/>
            <w:noWrap/>
            <w:vAlign w:val="center"/>
            <w:hideMark/>
          </w:tcPr>
          <w:p w14:paraId="04CAEEAC" w14:textId="77777777" w:rsidR="00475335" w:rsidRPr="0003170B" w:rsidRDefault="00475335" w:rsidP="0007784F">
            <w:pPr>
              <w:rPr>
                <w:rFonts w:ascii="Arial Narrow" w:hAnsi="Arial Narrow" w:cs="Arial"/>
                <w:b/>
                <w:sz w:val="24"/>
                <w:szCs w:val="24"/>
                <w:highlight w:val="red"/>
              </w:rPr>
            </w:pPr>
            <w:r w:rsidRPr="0003170B">
              <w:rPr>
                <w:rFonts w:ascii="Arial Narrow" w:hAnsi="Arial Narrow" w:cs="Arial"/>
                <w:b/>
                <w:sz w:val="24"/>
                <w:szCs w:val="24"/>
              </w:rPr>
              <w:t>USD</w:t>
            </w:r>
          </w:p>
        </w:tc>
        <w:tc>
          <w:tcPr>
            <w:tcW w:w="7371" w:type="dxa"/>
            <w:noWrap/>
            <w:vAlign w:val="center"/>
            <w:hideMark/>
          </w:tcPr>
          <w:p w14:paraId="7832FCFF" w14:textId="07AEC660" w:rsidR="00475335" w:rsidRPr="0003170B" w:rsidRDefault="00880786" w:rsidP="0007784F">
            <w:pPr>
              <w:rPr>
                <w:rFonts w:ascii="Arial Narrow" w:hAnsi="Arial Narrow" w:cs="Arial"/>
                <w:sz w:val="24"/>
                <w:szCs w:val="24"/>
              </w:rPr>
            </w:pPr>
            <w:r w:rsidRPr="0003170B">
              <w:rPr>
                <w:rFonts w:ascii="Arial Narrow" w:hAnsi="Arial Narrow" w:cs="Arial"/>
                <w:sz w:val="24"/>
                <w:szCs w:val="24"/>
              </w:rPr>
              <w:t>United States Dollar</w:t>
            </w:r>
          </w:p>
        </w:tc>
      </w:tr>
      <w:tr w:rsidR="00475335" w:rsidRPr="003F13B0" w14:paraId="4B8892BD" w14:textId="77777777" w:rsidTr="0007784F">
        <w:trPr>
          <w:trHeight w:val="290"/>
        </w:trPr>
        <w:tc>
          <w:tcPr>
            <w:tcW w:w="1555" w:type="dxa"/>
            <w:noWrap/>
            <w:vAlign w:val="center"/>
            <w:hideMark/>
          </w:tcPr>
          <w:p w14:paraId="1B618C00"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VBG</w:t>
            </w:r>
          </w:p>
        </w:tc>
        <w:tc>
          <w:tcPr>
            <w:tcW w:w="7371" w:type="dxa"/>
            <w:noWrap/>
            <w:vAlign w:val="center"/>
            <w:hideMark/>
          </w:tcPr>
          <w:p w14:paraId="08449EB1" w14:textId="35026BE6" w:rsidR="00475335" w:rsidRPr="0003170B" w:rsidRDefault="001B6B85" w:rsidP="0007784F">
            <w:pPr>
              <w:rPr>
                <w:rFonts w:ascii="Arial Narrow" w:hAnsi="Arial Narrow" w:cs="Arial"/>
                <w:sz w:val="24"/>
                <w:szCs w:val="24"/>
              </w:rPr>
            </w:pPr>
            <w:r w:rsidRPr="0003170B">
              <w:rPr>
                <w:rFonts w:ascii="Arial Narrow" w:hAnsi="Arial Narrow" w:cs="Arial"/>
                <w:sz w:val="24"/>
                <w:szCs w:val="24"/>
              </w:rPr>
              <w:t>Violences Basées sur le Genre</w:t>
            </w:r>
          </w:p>
        </w:tc>
      </w:tr>
      <w:tr w:rsidR="00475335" w:rsidRPr="003F13B0" w14:paraId="53D24F34" w14:textId="77777777" w:rsidTr="0007784F">
        <w:trPr>
          <w:trHeight w:val="290"/>
        </w:trPr>
        <w:tc>
          <w:tcPr>
            <w:tcW w:w="1555" w:type="dxa"/>
            <w:noWrap/>
            <w:vAlign w:val="center"/>
            <w:hideMark/>
          </w:tcPr>
          <w:p w14:paraId="51723D77" w14:textId="77777777" w:rsidR="00475335" w:rsidRPr="0003170B" w:rsidRDefault="00475335" w:rsidP="0007784F">
            <w:pPr>
              <w:rPr>
                <w:rFonts w:ascii="Arial Narrow" w:hAnsi="Arial Narrow" w:cs="Arial"/>
                <w:b/>
                <w:sz w:val="24"/>
                <w:szCs w:val="24"/>
              </w:rPr>
            </w:pPr>
            <w:r w:rsidRPr="0003170B">
              <w:rPr>
                <w:rFonts w:ascii="Arial Narrow" w:hAnsi="Arial Narrow" w:cs="Arial"/>
                <w:b/>
                <w:sz w:val="24"/>
                <w:szCs w:val="24"/>
              </w:rPr>
              <w:t>VIH</w:t>
            </w:r>
          </w:p>
        </w:tc>
        <w:tc>
          <w:tcPr>
            <w:tcW w:w="7371" w:type="dxa"/>
            <w:noWrap/>
            <w:vAlign w:val="center"/>
            <w:hideMark/>
          </w:tcPr>
          <w:p w14:paraId="26ACF225" w14:textId="2543FC98" w:rsidR="00475335" w:rsidRPr="0003170B" w:rsidRDefault="007F44EB" w:rsidP="0007784F">
            <w:pPr>
              <w:rPr>
                <w:rFonts w:ascii="Arial Narrow" w:hAnsi="Arial Narrow" w:cs="Arial"/>
                <w:sz w:val="24"/>
                <w:szCs w:val="24"/>
              </w:rPr>
            </w:pPr>
            <w:r w:rsidRPr="0003170B">
              <w:rPr>
                <w:rFonts w:ascii="Arial Narrow" w:hAnsi="Arial Narrow" w:cs="Arial"/>
                <w:sz w:val="24"/>
                <w:szCs w:val="24"/>
              </w:rPr>
              <w:t>Virus de l’Immunodéficience Humaine</w:t>
            </w:r>
          </w:p>
        </w:tc>
      </w:tr>
    </w:tbl>
    <w:p w14:paraId="53667E5D" w14:textId="68E1D823" w:rsidR="00287EF1" w:rsidRPr="007E7C5B" w:rsidRDefault="00287EF1" w:rsidP="00761F55">
      <w:pPr>
        <w:jc w:val="both"/>
        <w:rPr>
          <w:rFonts w:ascii="Arial Narrow" w:hAnsi="Arial Narrow" w:cs="Arial"/>
          <w:sz w:val="24"/>
          <w:szCs w:val="24"/>
        </w:rPr>
      </w:pPr>
    </w:p>
    <w:p w14:paraId="1E0A9446" w14:textId="77777777" w:rsidR="00287EF1" w:rsidRPr="007E7C5B" w:rsidRDefault="00287EF1" w:rsidP="00761F55">
      <w:pPr>
        <w:jc w:val="both"/>
        <w:rPr>
          <w:rFonts w:ascii="Arial Narrow" w:hAnsi="Arial Narrow" w:cs="Arial"/>
          <w:sz w:val="24"/>
          <w:szCs w:val="24"/>
        </w:rPr>
      </w:pPr>
    </w:p>
    <w:p w14:paraId="318A6BB5" w14:textId="77777777" w:rsidR="00287EF1" w:rsidRPr="007E7C5B" w:rsidRDefault="00287EF1" w:rsidP="00761F55">
      <w:pPr>
        <w:jc w:val="both"/>
        <w:rPr>
          <w:rFonts w:ascii="Arial Narrow" w:hAnsi="Arial Narrow" w:cs="Arial"/>
          <w:sz w:val="24"/>
          <w:szCs w:val="24"/>
        </w:rPr>
      </w:pPr>
    </w:p>
    <w:p w14:paraId="6A25B232" w14:textId="325515B6" w:rsidR="007E2707" w:rsidRPr="007E7C5B" w:rsidRDefault="007E2707" w:rsidP="00761F55">
      <w:pPr>
        <w:jc w:val="both"/>
        <w:rPr>
          <w:rFonts w:ascii="Arial Narrow" w:hAnsi="Arial Narrow" w:cs="Arial"/>
          <w:sz w:val="24"/>
          <w:szCs w:val="24"/>
        </w:rPr>
        <w:sectPr w:rsidR="007E2707" w:rsidRPr="007E7C5B" w:rsidSect="009B338B">
          <w:headerReference w:type="even" r:id="rId21"/>
          <w:headerReference w:type="default" r:id="rId22"/>
          <w:footerReference w:type="default" r:id="rId23"/>
          <w:headerReference w:type="first" r:id="rId24"/>
          <w:pgSz w:w="11906" w:h="16838"/>
          <w:pgMar w:top="1440" w:right="1440" w:bottom="1440" w:left="1440" w:header="708" w:footer="708" w:gutter="0"/>
          <w:pgNumType w:fmt="lowerRoman" w:start="1"/>
          <w:cols w:space="708"/>
          <w:docGrid w:linePitch="360"/>
        </w:sectPr>
      </w:pPr>
    </w:p>
    <w:p w14:paraId="4E27016A" w14:textId="701719C9" w:rsidR="00B856E3" w:rsidRPr="007E7C5B" w:rsidRDefault="00960E11" w:rsidP="0044167B">
      <w:pPr>
        <w:pStyle w:val="Titre1"/>
        <w:jc w:val="both"/>
      </w:pPr>
      <w:bookmarkStart w:id="9" w:name="_Toc178699538"/>
      <w:bookmarkStart w:id="10" w:name="_Toc190677461"/>
      <w:bookmarkStart w:id="11" w:name="_Hlk185323769"/>
      <w:r w:rsidRPr="007E7C5B">
        <w:rPr>
          <w:rFonts w:ascii="Arial Narrow" w:hAnsi="Arial Narrow" w:cs="Arial"/>
          <w:b/>
          <w:color w:val="auto"/>
          <w:sz w:val="24"/>
          <w:szCs w:val="24"/>
        </w:rPr>
        <w:lastRenderedPageBreak/>
        <w:t>Mot de Monsieur le Ministre</w:t>
      </w:r>
      <w:bookmarkEnd w:id="9"/>
      <w:bookmarkEnd w:id="10"/>
    </w:p>
    <w:p w14:paraId="211E4B99" w14:textId="7851B09C" w:rsidR="001D7161" w:rsidRPr="0044167B" w:rsidRDefault="004900EC" w:rsidP="0044167B">
      <w:pPr>
        <w:suppressAutoHyphens/>
        <w:spacing w:line="240" w:lineRule="auto"/>
        <w:jc w:val="both"/>
        <w:rPr>
          <w:rFonts w:ascii="Segoe UI Historic" w:hAnsi="Segoe UI Historic" w:cs="Segoe UI Historic"/>
          <w:iCs/>
          <w:color w:val="000000" w:themeColor="text1"/>
          <w:sz w:val="24"/>
          <w:szCs w:val="24"/>
        </w:rPr>
      </w:pPr>
      <w:r w:rsidRPr="0044167B">
        <w:rPr>
          <w:rFonts w:ascii="Segoe UI Historic" w:hAnsi="Segoe UI Historic" w:cs="Segoe UI Historic"/>
          <w:iCs/>
          <w:color w:val="000000" w:themeColor="text1"/>
          <w:sz w:val="24"/>
          <w:szCs w:val="24"/>
        </w:rPr>
        <w:t>La</w:t>
      </w:r>
      <w:r w:rsidR="00D17561" w:rsidRPr="0044167B">
        <w:rPr>
          <w:rFonts w:ascii="Segoe UI Historic" w:hAnsi="Segoe UI Historic" w:cs="Segoe UI Historic"/>
          <w:iCs/>
          <w:color w:val="000000" w:themeColor="text1"/>
          <w:sz w:val="24"/>
          <w:szCs w:val="24"/>
        </w:rPr>
        <w:t xml:space="preserve"> Côte d’Ivoire</w:t>
      </w:r>
      <w:r w:rsidRPr="0044167B">
        <w:rPr>
          <w:rFonts w:ascii="Segoe UI Historic" w:hAnsi="Segoe UI Historic" w:cs="Segoe UI Historic"/>
          <w:iCs/>
          <w:color w:val="000000" w:themeColor="text1"/>
          <w:sz w:val="24"/>
          <w:szCs w:val="24"/>
        </w:rPr>
        <w:t xml:space="preserve"> </w:t>
      </w:r>
      <w:r w:rsidR="00D17561" w:rsidRPr="0044167B">
        <w:rPr>
          <w:rFonts w:ascii="Segoe UI Historic" w:hAnsi="Segoe UI Historic" w:cs="Segoe UI Historic"/>
          <w:iCs/>
          <w:color w:val="000000" w:themeColor="text1"/>
          <w:sz w:val="24"/>
          <w:szCs w:val="24"/>
        </w:rPr>
        <w:t xml:space="preserve">a renoué avec la croissance fondée sur une solide planification à travers le Plan National de Développement (PND). La santé qui est un secteur clé de développement en soutien à la dynamique d’émergence en cours, contribue au pilier 4 du PND 2021-2025 « Renforcement de l’inclusion, de la solidarité nationale et de l’action sociale ». </w:t>
      </w:r>
      <w:r w:rsidR="001D7161" w:rsidRPr="0044167B">
        <w:rPr>
          <w:rFonts w:ascii="Segoe UI Historic" w:hAnsi="Segoe UI Historic" w:cs="Segoe UI Historic"/>
          <w:iCs/>
          <w:color w:val="000000" w:themeColor="text1"/>
          <w:sz w:val="24"/>
          <w:szCs w:val="24"/>
        </w:rPr>
        <w:t xml:space="preserve">Dans ce cadre, le </w:t>
      </w:r>
      <w:r w:rsidRPr="0044167B">
        <w:rPr>
          <w:rFonts w:ascii="Segoe UI Historic" w:hAnsi="Segoe UI Historic" w:cs="Segoe UI Historic"/>
          <w:iCs/>
          <w:color w:val="000000" w:themeColor="text1"/>
          <w:sz w:val="24"/>
          <w:szCs w:val="24"/>
        </w:rPr>
        <w:t>Plan National de développement Sanitaire (PNDS) 2021-2025 a été élaboré.</w:t>
      </w:r>
    </w:p>
    <w:p w14:paraId="18589BCB" w14:textId="6BC942C0" w:rsidR="001D7161" w:rsidRPr="0044167B" w:rsidRDefault="001D7161" w:rsidP="001D7161">
      <w:pPr>
        <w:spacing w:after="0"/>
        <w:jc w:val="both"/>
        <w:rPr>
          <w:rFonts w:ascii="Segoe UI Historic" w:hAnsi="Segoe UI Historic" w:cs="Segoe UI Historic"/>
          <w:iCs/>
          <w:color w:val="000000" w:themeColor="text1"/>
          <w:sz w:val="24"/>
          <w:szCs w:val="24"/>
        </w:rPr>
      </w:pPr>
      <w:r w:rsidRPr="0044167B">
        <w:rPr>
          <w:rFonts w:ascii="Segoe UI Historic" w:hAnsi="Segoe UI Historic" w:cs="Segoe UI Historic"/>
          <w:iCs/>
          <w:color w:val="000000" w:themeColor="text1"/>
          <w:sz w:val="24"/>
          <w:szCs w:val="24"/>
        </w:rPr>
        <w:t xml:space="preserve">À deux ans de l'échéance de sa mise en œuvre, le Ministère de la Santé, de l'Hygiène Publique et de la Couverture Maladie Universelle a entrepris une </w:t>
      </w:r>
      <w:r w:rsidR="00B635D8">
        <w:rPr>
          <w:rFonts w:ascii="Segoe UI Historic" w:hAnsi="Segoe UI Historic" w:cs="Segoe UI Historic"/>
          <w:iCs/>
          <w:color w:val="000000" w:themeColor="text1"/>
          <w:sz w:val="24"/>
          <w:szCs w:val="24"/>
        </w:rPr>
        <w:t>revue</w:t>
      </w:r>
      <w:r w:rsidRPr="0044167B">
        <w:rPr>
          <w:rFonts w:ascii="Segoe UI Historic" w:hAnsi="Segoe UI Historic" w:cs="Segoe UI Historic"/>
          <w:iCs/>
          <w:color w:val="000000" w:themeColor="text1"/>
          <w:sz w:val="24"/>
          <w:szCs w:val="24"/>
        </w:rPr>
        <w:t xml:space="preserve"> du PNDS 2021-2025. Cette revue vise à mettre en lumière les progrès accomplis, les défis persistants et les difficultés inhérentes à la mise en œuvre dudit plan, tout en orientant l'élaboration du prochain plan stratégique pour la période 2026-2030. </w:t>
      </w:r>
      <w:r w:rsidR="00D84E5D">
        <w:rPr>
          <w:rFonts w:ascii="Segoe UI Historic" w:hAnsi="Segoe UI Historic" w:cs="Segoe UI Historic"/>
          <w:iCs/>
          <w:color w:val="000000" w:themeColor="text1"/>
          <w:sz w:val="24"/>
          <w:szCs w:val="24"/>
        </w:rPr>
        <w:t>D</w:t>
      </w:r>
      <w:r w:rsidRPr="0044167B">
        <w:rPr>
          <w:rFonts w:ascii="Segoe UI Historic" w:hAnsi="Segoe UI Historic" w:cs="Segoe UI Historic"/>
          <w:iCs/>
          <w:color w:val="000000" w:themeColor="text1"/>
          <w:sz w:val="24"/>
          <w:szCs w:val="24"/>
        </w:rPr>
        <w:t xml:space="preserve">es recommandations ont été </w:t>
      </w:r>
      <w:r w:rsidR="00D84E5D">
        <w:rPr>
          <w:rFonts w:ascii="Segoe UI Historic" w:hAnsi="Segoe UI Historic" w:cs="Segoe UI Historic"/>
          <w:iCs/>
          <w:color w:val="000000" w:themeColor="text1"/>
          <w:sz w:val="24"/>
          <w:szCs w:val="24"/>
        </w:rPr>
        <w:t xml:space="preserve">également </w:t>
      </w:r>
      <w:r w:rsidRPr="0044167B">
        <w:rPr>
          <w:rFonts w:ascii="Segoe UI Historic" w:hAnsi="Segoe UI Historic" w:cs="Segoe UI Historic"/>
          <w:iCs/>
          <w:color w:val="000000" w:themeColor="text1"/>
          <w:sz w:val="24"/>
          <w:szCs w:val="24"/>
        </w:rPr>
        <w:t>formulées afin de renforcer davantage le système de santé et de garantir un accès équitable aux soins pour tous. Ce système de santé devra permettre à la Côte d’Ivoire de contribuer pleinement à l’atteinte des Objectifs de Développement Durable (ODD) à l’horizon 2030, notamment l’objectif relatif à la santé, qui consiste à « permettre à tous de vivre en bonne santé et promouvoir le bien-être de tous à tout âge ».</w:t>
      </w:r>
    </w:p>
    <w:p w14:paraId="6D38BAEF" w14:textId="77777777" w:rsidR="004900EC" w:rsidRDefault="004900EC" w:rsidP="00DC73AC">
      <w:pPr>
        <w:spacing w:after="0"/>
        <w:jc w:val="both"/>
        <w:rPr>
          <w:rFonts w:ascii="Arial Narrow" w:hAnsi="Arial Narrow" w:cs="Arial"/>
          <w:b/>
          <w:sz w:val="24"/>
          <w:szCs w:val="24"/>
        </w:rPr>
      </w:pPr>
    </w:p>
    <w:p w14:paraId="7C2B3AE3" w14:textId="52EFB78A" w:rsidR="00A62833" w:rsidRDefault="00260C83" w:rsidP="004900EC">
      <w:pPr>
        <w:spacing w:after="0"/>
        <w:jc w:val="both"/>
        <w:rPr>
          <w:rFonts w:ascii="Segoe UI Historic" w:hAnsi="Segoe UI Historic" w:cs="Segoe UI Historic"/>
          <w:iCs/>
          <w:color w:val="000000" w:themeColor="text1"/>
          <w:sz w:val="24"/>
          <w:szCs w:val="24"/>
        </w:rPr>
      </w:pPr>
      <w:r w:rsidRPr="00396E9C">
        <w:rPr>
          <w:rFonts w:ascii="Segoe UI Historic" w:hAnsi="Segoe UI Historic" w:cs="Segoe UI Historic"/>
          <w:iCs/>
          <w:color w:val="000000" w:themeColor="text1"/>
          <w:sz w:val="24"/>
          <w:szCs w:val="24"/>
        </w:rPr>
        <w:t xml:space="preserve">Nous remercions toutes les parties prenantes, qu'elles soient du secteur public, privé ou associatif, </w:t>
      </w:r>
      <w:r>
        <w:rPr>
          <w:rFonts w:ascii="Segoe UI Historic" w:hAnsi="Segoe UI Historic" w:cs="Segoe UI Historic"/>
          <w:iCs/>
          <w:color w:val="000000" w:themeColor="text1"/>
          <w:sz w:val="24"/>
          <w:szCs w:val="24"/>
        </w:rPr>
        <w:t xml:space="preserve">partenaires techniques et financiers, </w:t>
      </w:r>
      <w:r w:rsidRPr="00396E9C">
        <w:rPr>
          <w:rFonts w:ascii="Segoe UI Historic" w:hAnsi="Segoe UI Historic" w:cs="Segoe UI Historic"/>
          <w:iCs/>
          <w:color w:val="000000" w:themeColor="text1"/>
          <w:sz w:val="24"/>
          <w:szCs w:val="24"/>
        </w:rPr>
        <w:t xml:space="preserve">pour leur contribution précieuse à l'édification d'un système de santé résilient et performant. </w:t>
      </w:r>
    </w:p>
    <w:p w14:paraId="577595A7" w14:textId="77777777" w:rsidR="001D7161" w:rsidRDefault="001D7161" w:rsidP="004900EC">
      <w:pPr>
        <w:spacing w:after="0"/>
        <w:jc w:val="both"/>
        <w:rPr>
          <w:rFonts w:ascii="Segoe UI Historic" w:hAnsi="Segoe UI Historic" w:cs="Segoe UI Historic"/>
          <w:iCs/>
          <w:color w:val="000000" w:themeColor="text1"/>
          <w:sz w:val="24"/>
          <w:szCs w:val="24"/>
        </w:rPr>
      </w:pPr>
    </w:p>
    <w:p w14:paraId="32A58800" w14:textId="2312B70A" w:rsidR="001D7161" w:rsidRPr="0044167B" w:rsidRDefault="001D7161" w:rsidP="001D7161">
      <w:pPr>
        <w:spacing w:after="0"/>
        <w:jc w:val="both"/>
        <w:rPr>
          <w:rFonts w:ascii="Segoe UI Historic" w:hAnsi="Segoe UI Historic" w:cs="Segoe UI Historic"/>
          <w:iCs/>
          <w:color w:val="000000" w:themeColor="text1"/>
          <w:sz w:val="24"/>
          <w:szCs w:val="24"/>
        </w:rPr>
      </w:pPr>
      <w:r w:rsidRPr="0044167B">
        <w:rPr>
          <w:rFonts w:ascii="Segoe UI Historic" w:hAnsi="Segoe UI Historic" w:cs="Segoe UI Historic"/>
          <w:iCs/>
          <w:color w:val="000000" w:themeColor="text1"/>
          <w:sz w:val="24"/>
          <w:szCs w:val="24"/>
        </w:rPr>
        <w:t xml:space="preserve">À l'issu d'un processus à la fois participatif et inclusif, le rapport de la </w:t>
      </w:r>
      <w:r w:rsidR="00B635D8">
        <w:rPr>
          <w:rFonts w:ascii="Segoe UI Historic" w:hAnsi="Segoe UI Historic" w:cs="Segoe UI Historic"/>
          <w:iCs/>
          <w:color w:val="000000" w:themeColor="text1"/>
          <w:sz w:val="24"/>
          <w:szCs w:val="24"/>
        </w:rPr>
        <w:t>revue</w:t>
      </w:r>
      <w:r w:rsidRPr="0044167B">
        <w:rPr>
          <w:rFonts w:ascii="Segoe UI Historic" w:hAnsi="Segoe UI Historic" w:cs="Segoe UI Historic"/>
          <w:iCs/>
          <w:color w:val="000000" w:themeColor="text1"/>
          <w:sz w:val="24"/>
          <w:szCs w:val="24"/>
        </w:rPr>
        <w:t xml:space="preserve"> du PNDS 2021-2025 est disponible. Nous </w:t>
      </w:r>
      <w:r w:rsidR="00386CED">
        <w:rPr>
          <w:rFonts w:ascii="Segoe UI Historic" w:hAnsi="Segoe UI Historic" w:cs="Segoe UI Historic"/>
          <w:iCs/>
          <w:color w:val="000000" w:themeColor="text1"/>
          <w:sz w:val="24"/>
          <w:szCs w:val="24"/>
        </w:rPr>
        <w:t>voulons</w:t>
      </w:r>
      <w:r w:rsidRPr="0044167B">
        <w:rPr>
          <w:rFonts w:ascii="Segoe UI Historic" w:hAnsi="Segoe UI Historic" w:cs="Segoe UI Historic"/>
          <w:iCs/>
          <w:color w:val="000000" w:themeColor="text1"/>
          <w:sz w:val="24"/>
          <w:szCs w:val="24"/>
        </w:rPr>
        <w:t xml:space="preserve"> remercier tout particulièrement les partenaires techniques et financiers, </w:t>
      </w:r>
      <w:r w:rsidR="00D84E5D">
        <w:rPr>
          <w:rFonts w:ascii="Segoe UI Historic" w:hAnsi="Segoe UI Historic" w:cs="Segoe UI Historic"/>
          <w:iCs/>
          <w:color w:val="000000" w:themeColor="text1"/>
          <w:sz w:val="24"/>
          <w:szCs w:val="24"/>
        </w:rPr>
        <w:t xml:space="preserve">notamment </w:t>
      </w:r>
      <w:r w:rsidRPr="0044167B">
        <w:rPr>
          <w:rFonts w:ascii="Segoe UI Historic" w:hAnsi="Segoe UI Historic" w:cs="Segoe UI Historic"/>
          <w:iCs/>
          <w:color w:val="000000" w:themeColor="text1"/>
          <w:sz w:val="24"/>
          <w:szCs w:val="24"/>
        </w:rPr>
        <w:t>l'OMS, l'UNICEF, la Banque mondiale et le Fonds mondial, pour leur contribution significative à l'élaboration de ce document.</w:t>
      </w:r>
    </w:p>
    <w:p w14:paraId="5808E5B2" w14:textId="32075C70" w:rsidR="004900EC" w:rsidRPr="001D7161" w:rsidRDefault="004900EC" w:rsidP="0044167B">
      <w:pPr>
        <w:spacing w:after="0"/>
        <w:jc w:val="both"/>
        <w:rPr>
          <w:rFonts w:ascii="Segoe UI Historic" w:hAnsi="Segoe UI Historic" w:cs="Segoe UI Historic"/>
          <w:iCs/>
          <w:color w:val="000000" w:themeColor="text1"/>
          <w:sz w:val="24"/>
          <w:szCs w:val="24"/>
        </w:rPr>
      </w:pPr>
    </w:p>
    <w:p w14:paraId="25F29A9E" w14:textId="730493BE" w:rsidR="00DC73AC" w:rsidRPr="0065070F" w:rsidRDefault="00260C83" w:rsidP="00DC73AC">
      <w:pPr>
        <w:spacing w:after="0"/>
        <w:jc w:val="both"/>
        <w:rPr>
          <w:rFonts w:cstheme="minorHAnsi"/>
          <w:color w:val="000000" w:themeColor="text1"/>
          <w:sz w:val="24"/>
          <w:szCs w:val="24"/>
        </w:rPr>
      </w:pPr>
      <w:r w:rsidRPr="0044167B">
        <w:rPr>
          <w:rFonts w:ascii="Segoe UI Historic" w:hAnsi="Segoe UI Historic" w:cs="Segoe UI Historic"/>
          <w:iCs/>
          <w:color w:val="000000" w:themeColor="text1"/>
          <w:sz w:val="24"/>
          <w:szCs w:val="24"/>
        </w:rPr>
        <w:t xml:space="preserve"> N</w:t>
      </w:r>
      <w:r w:rsidRPr="00396E9C">
        <w:rPr>
          <w:rFonts w:ascii="Segoe UI Historic" w:hAnsi="Segoe UI Historic" w:cs="Segoe UI Historic"/>
          <w:iCs/>
          <w:color w:val="000000" w:themeColor="text1"/>
          <w:sz w:val="24"/>
          <w:szCs w:val="24"/>
        </w:rPr>
        <w:t>ous espérons que ce</w:t>
      </w:r>
      <w:r w:rsidRPr="0044167B">
        <w:rPr>
          <w:rFonts w:ascii="Segoe UI Historic" w:hAnsi="Segoe UI Historic" w:cs="Segoe UI Historic"/>
          <w:iCs/>
          <w:color w:val="000000" w:themeColor="text1"/>
          <w:sz w:val="24"/>
          <w:szCs w:val="24"/>
        </w:rPr>
        <w:t xml:space="preserve"> </w:t>
      </w:r>
      <w:r w:rsidR="001D7161" w:rsidRPr="0044167B">
        <w:rPr>
          <w:rFonts w:ascii="Segoe UI Historic" w:hAnsi="Segoe UI Historic" w:cs="Segoe UI Historic"/>
          <w:iCs/>
          <w:color w:val="000000" w:themeColor="text1"/>
          <w:sz w:val="24"/>
          <w:szCs w:val="24"/>
        </w:rPr>
        <w:t>rapport</w:t>
      </w:r>
      <w:r w:rsidRPr="0044167B">
        <w:rPr>
          <w:rFonts w:ascii="Segoe UI Historic" w:hAnsi="Segoe UI Historic" w:cs="Segoe UI Historic"/>
          <w:iCs/>
          <w:color w:val="000000" w:themeColor="text1"/>
          <w:sz w:val="24"/>
          <w:szCs w:val="24"/>
        </w:rPr>
        <w:t xml:space="preserve"> </w:t>
      </w:r>
      <w:r w:rsidR="0032259F">
        <w:rPr>
          <w:rFonts w:ascii="Segoe UI Historic" w:hAnsi="Segoe UI Historic" w:cs="Segoe UI Historic"/>
          <w:iCs/>
          <w:color w:val="000000" w:themeColor="text1"/>
          <w:sz w:val="24"/>
          <w:szCs w:val="24"/>
        </w:rPr>
        <w:t>servira à</w:t>
      </w:r>
      <w:r w:rsidRPr="00396E9C">
        <w:rPr>
          <w:rFonts w:ascii="Segoe UI Historic" w:hAnsi="Segoe UI Historic" w:cs="Segoe UI Historic"/>
          <w:iCs/>
          <w:color w:val="000000" w:themeColor="text1"/>
          <w:sz w:val="24"/>
          <w:szCs w:val="24"/>
        </w:rPr>
        <w:t xml:space="preserve"> orienter les décisions stratégiques, stimuler le dialogue constructif et encourager </w:t>
      </w:r>
      <w:r w:rsidR="001D7161">
        <w:rPr>
          <w:rFonts w:ascii="Segoe UI Historic" w:hAnsi="Segoe UI Historic" w:cs="Segoe UI Historic"/>
          <w:iCs/>
          <w:color w:val="000000" w:themeColor="text1"/>
          <w:sz w:val="24"/>
          <w:szCs w:val="24"/>
        </w:rPr>
        <w:t>des</w:t>
      </w:r>
      <w:r w:rsidRPr="00396E9C">
        <w:rPr>
          <w:rFonts w:ascii="Segoe UI Historic" w:hAnsi="Segoe UI Historic" w:cs="Segoe UI Historic"/>
          <w:iCs/>
          <w:color w:val="000000" w:themeColor="text1"/>
          <w:sz w:val="24"/>
          <w:szCs w:val="24"/>
        </w:rPr>
        <w:t xml:space="preserve"> action</w:t>
      </w:r>
      <w:r w:rsidR="001D7161">
        <w:rPr>
          <w:rFonts w:ascii="Segoe UI Historic" w:hAnsi="Segoe UI Historic" w:cs="Segoe UI Historic"/>
          <w:iCs/>
          <w:color w:val="000000" w:themeColor="text1"/>
          <w:sz w:val="24"/>
          <w:szCs w:val="24"/>
        </w:rPr>
        <w:t>s</w:t>
      </w:r>
      <w:r w:rsidRPr="00396E9C">
        <w:rPr>
          <w:rFonts w:ascii="Segoe UI Historic" w:hAnsi="Segoe UI Historic" w:cs="Segoe UI Historic"/>
          <w:iCs/>
          <w:color w:val="000000" w:themeColor="text1"/>
          <w:sz w:val="24"/>
          <w:szCs w:val="24"/>
        </w:rPr>
        <w:t xml:space="preserve"> coordonnée</w:t>
      </w:r>
      <w:r w:rsidR="001D7161">
        <w:rPr>
          <w:rFonts w:ascii="Segoe UI Historic" w:hAnsi="Segoe UI Historic" w:cs="Segoe UI Historic"/>
          <w:iCs/>
          <w:color w:val="000000" w:themeColor="text1"/>
          <w:sz w:val="24"/>
          <w:szCs w:val="24"/>
        </w:rPr>
        <w:t>s</w:t>
      </w:r>
      <w:r w:rsidRPr="00396E9C">
        <w:rPr>
          <w:rFonts w:ascii="Segoe UI Historic" w:hAnsi="Segoe UI Historic" w:cs="Segoe UI Historic"/>
          <w:iCs/>
          <w:color w:val="000000" w:themeColor="text1"/>
          <w:sz w:val="24"/>
          <w:szCs w:val="24"/>
        </w:rPr>
        <w:t xml:space="preserve"> en faveur de </w:t>
      </w:r>
      <w:r w:rsidRPr="001D7161">
        <w:rPr>
          <w:rFonts w:ascii="Segoe UI Historic" w:hAnsi="Segoe UI Historic" w:cs="Segoe UI Historic"/>
          <w:iCs/>
          <w:color w:val="000000" w:themeColor="text1"/>
          <w:sz w:val="24"/>
          <w:szCs w:val="24"/>
        </w:rPr>
        <w:t>l'amélioration continue de notre système de santé. Nous sommes convaincus que, ensemble, nous</w:t>
      </w:r>
      <w:r w:rsidRPr="00396E9C">
        <w:rPr>
          <w:rFonts w:ascii="Segoe UI Historic" w:hAnsi="Segoe UI Historic" w:cs="Segoe UI Historic"/>
          <w:iCs/>
          <w:color w:val="000000" w:themeColor="text1"/>
          <w:sz w:val="24"/>
          <w:szCs w:val="24"/>
        </w:rPr>
        <w:t xml:space="preserve"> pourrons œuvrer pour un avenir où la santé est une réalité accessible à tous. </w:t>
      </w:r>
    </w:p>
    <w:p w14:paraId="02C87501" w14:textId="67225F63" w:rsidR="00260C83" w:rsidRPr="00396E9C" w:rsidRDefault="00260C83" w:rsidP="00260C83">
      <w:pPr>
        <w:suppressAutoHyphens/>
        <w:spacing w:line="240" w:lineRule="auto"/>
        <w:jc w:val="both"/>
        <w:rPr>
          <w:rFonts w:ascii="Segoe UI Historic" w:hAnsi="Segoe UI Historic" w:cs="Segoe UI Historic"/>
          <w:iCs/>
          <w:color w:val="000000" w:themeColor="text1"/>
          <w:sz w:val="24"/>
          <w:szCs w:val="24"/>
        </w:rPr>
      </w:pPr>
    </w:p>
    <w:p w14:paraId="5F3D4A48" w14:textId="77777777" w:rsidR="00260C83" w:rsidRPr="00396E9C" w:rsidRDefault="00260C83" w:rsidP="00260C83">
      <w:pPr>
        <w:suppressAutoHyphens/>
        <w:spacing w:line="240" w:lineRule="auto"/>
        <w:jc w:val="both"/>
        <w:rPr>
          <w:rFonts w:ascii="Segoe UI Historic" w:hAnsi="Segoe UI Historic" w:cs="Segoe UI Historic"/>
          <w:iCs/>
          <w:strike/>
          <w:color w:val="000000" w:themeColor="text1"/>
          <w:sz w:val="24"/>
          <w:szCs w:val="24"/>
        </w:rPr>
      </w:pPr>
    </w:p>
    <w:bookmarkEnd w:id="11"/>
    <w:p w14:paraId="52876A41" w14:textId="36740015" w:rsidR="00260C83" w:rsidRPr="007E7C5B" w:rsidRDefault="00260C83" w:rsidP="00761F55">
      <w:pPr>
        <w:jc w:val="both"/>
        <w:rPr>
          <w:rFonts w:ascii="Arial Narrow" w:hAnsi="Arial Narrow" w:cs="Arial"/>
          <w:b/>
          <w:sz w:val="24"/>
          <w:szCs w:val="24"/>
        </w:rPr>
        <w:sectPr w:rsidR="00260C83" w:rsidRPr="007E7C5B" w:rsidSect="00F01262">
          <w:headerReference w:type="even" r:id="rId25"/>
          <w:headerReference w:type="default" r:id="rId26"/>
          <w:footerReference w:type="default" r:id="rId27"/>
          <w:headerReference w:type="first" r:id="rId28"/>
          <w:pgSz w:w="11906" w:h="16838"/>
          <w:pgMar w:top="1440" w:right="1440" w:bottom="1440" w:left="1440" w:header="708" w:footer="708" w:gutter="0"/>
          <w:cols w:space="708"/>
          <w:docGrid w:linePitch="360"/>
        </w:sectPr>
      </w:pPr>
    </w:p>
    <w:p w14:paraId="6B44C495" w14:textId="0EF08331" w:rsidR="005F6835" w:rsidRPr="007E7C5B" w:rsidRDefault="005F6835" w:rsidP="00761F55">
      <w:pPr>
        <w:pStyle w:val="Titre1"/>
        <w:jc w:val="both"/>
        <w:rPr>
          <w:rFonts w:ascii="Arial Narrow" w:hAnsi="Arial Narrow" w:cs="Arial"/>
          <w:b/>
          <w:color w:val="auto"/>
          <w:sz w:val="24"/>
          <w:szCs w:val="24"/>
        </w:rPr>
      </w:pPr>
      <w:bookmarkStart w:id="12" w:name="_Toc178699539"/>
      <w:bookmarkStart w:id="13" w:name="_Toc190677462"/>
      <w:bookmarkStart w:id="14" w:name="_Hlk185242531"/>
      <w:r w:rsidRPr="007E7C5B">
        <w:rPr>
          <w:rFonts w:ascii="Arial Narrow" w:hAnsi="Arial Narrow" w:cs="Arial"/>
          <w:b/>
          <w:color w:val="auto"/>
          <w:sz w:val="24"/>
          <w:szCs w:val="24"/>
        </w:rPr>
        <w:lastRenderedPageBreak/>
        <w:t>Résumé exécutif</w:t>
      </w:r>
      <w:bookmarkEnd w:id="12"/>
      <w:bookmarkEnd w:id="13"/>
    </w:p>
    <w:p w14:paraId="670BC7AF" w14:textId="77777777" w:rsidR="004330B0" w:rsidRPr="004C5748" w:rsidRDefault="004330B0" w:rsidP="004330B0">
      <w:pPr>
        <w:jc w:val="both"/>
        <w:rPr>
          <w:rFonts w:ascii="Arial Narrow" w:hAnsi="Arial Narrow" w:cs="Arial"/>
          <w:sz w:val="24"/>
          <w:szCs w:val="24"/>
        </w:rPr>
      </w:pPr>
      <w:r w:rsidRPr="00E036DB">
        <w:rPr>
          <w:rFonts w:ascii="Arial Narrow" w:hAnsi="Arial Narrow" w:cs="Arial"/>
          <w:sz w:val="24"/>
          <w:szCs w:val="24"/>
        </w:rPr>
        <w:t>La vision du PNDS repose sur trois axes stratégiques : améliorer la gouvernance et le financement, renforcer l'offre de soins et leur accessibilité, et promouvoir la santé tout en luttant contre les maladies. Malgré un contexte mondial marqué par des crises sanitaires et économiques, des avancées notables ont été enregistrées.</w:t>
      </w:r>
      <w:r>
        <w:rPr>
          <w:rFonts w:ascii="Arial Narrow" w:hAnsi="Arial Narrow" w:cs="Arial"/>
          <w:sz w:val="24"/>
          <w:szCs w:val="24"/>
        </w:rPr>
        <w:t xml:space="preserve"> </w:t>
      </w:r>
      <w:r w:rsidRPr="004C5748">
        <w:rPr>
          <w:rFonts w:ascii="Arial Narrow" w:hAnsi="Arial Narrow" w:cs="Arial"/>
          <w:sz w:val="24"/>
          <w:szCs w:val="24"/>
        </w:rPr>
        <w:t xml:space="preserve">La revue s’est appuyée sur une approche participative impliquant tous les niveaux de la pyramide sanitaire </w:t>
      </w:r>
      <w:r>
        <w:rPr>
          <w:rFonts w:ascii="Arial Narrow" w:hAnsi="Arial Narrow" w:cs="Arial"/>
          <w:sz w:val="24"/>
          <w:szCs w:val="24"/>
        </w:rPr>
        <w:t>ainsi que le secteur privé, la société civile et les</w:t>
      </w:r>
      <w:r w:rsidRPr="004C5748">
        <w:rPr>
          <w:rFonts w:ascii="Arial Narrow" w:hAnsi="Arial Narrow" w:cs="Arial"/>
          <w:sz w:val="24"/>
          <w:szCs w:val="24"/>
        </w:rPr>
        <w:t xml:space="preserve"> partenaires techniques et financiers (PTF</w:t>
      </w:r>
      <w:r>
        <w:rPr>
          <w:rFonts w:ascii="Arial Narrow" w:hAnsi="Arial Narrow" w:cs="Arial"/>
          <w:sz w:val="24"/>
          <w:szCs w:val="24"/>
        </w:rPr>
        <w:t xml:space="preserve">). </w:t>
      </w:r>
    </w:p>
    <w:p w14:paraId="49F882D4" w14:textId="77777777" w:rsidR="004330B0" w:rsidRDefault="004330B0" w:rsidP="004330B0">
      <w:pPr>
        <w:jc w:val="both"/>
        <w:rPr>
          <w:rFonts w:ascii="Arial Narrow" w:hAnsi="Arial Narrow" w:cs="Arial"/>
          <w:sz w:val="24"/>
          <w:szCs w:val="24"/>
        </w:rPr>
      </w:pPr>
      <w:r w:rsidRPr="004C5748">
        <w:rPr>
          <w:rFonts w:ascii="Arial Narrow" w:hAnsi="Arial Narrow" w:cs="Arial"/>
          <w:sz w:val="24"/>
          <w:szCs w:val="24"/>
        </w:rPr>
        <w:t>Malgré sa rigueur, la revue a été confrontée à plusieurs limit</w:t>
      </w:r>
      <w:r>
        <w:rPr>
          <w:rFonts w:ascii="Arial Narrow" w:hAnsi="Arial Narrow" w:cs="Arial"/>
          <w:sz w:val="24"/>
          <w:szCs w:val="24"/>
        </w:rPr>
        <w:t>es</w:t>
      </w:r>
      <w:r w:rsidRPr="004C5748">
        <w:rPr>
          <w:rFonts w:ascii="Arial Narrow" w:hAnsi="Arial Narrow" w:cs="Arial"/>
          <w:sz w:val="24"/>
          <w:szCs w:val="24"/>
        </w:rPr>
        <w:t>. Les retards dans la transmission des informations, l'incomplétude des données transmises par certaines structures et le faible retour des régions ont entravé l’analyse détaillée. Ces limites soulignent la nécessité d’améliorer la collecte et le suivi des données dans les futures évaluations.</w:t>
      </w:r>
    </w:p>
    <w:p w14:paraId="5DBFDB53" w14:textId="77777777" w:rsidR="004330B0" w:rsidRDefault="004330B0" w:rsidP="004330B0">
      <w:pPr>
        <w:jc w:val="both"/>
        <w:rPr>
          <w:rFonts w:ascii="Arial Narrow" w:hAnsi="Arial Narrow" w:cs="Arial"/>
          <w:b/>
          <w:bCs/>
          <w:sz w:val="24"/>
          <w:szCs w:val="24"/>
        </w:rPr>
      </w:pPr>
      <w:r w:rsidRPr="005F3C78">
        <w:rPr>
          <w:rFonts w:ascii="Arial Narrow" w:hAnsi="Arial Narrow" w:cs="Arial"/>
          <w:b/>
          <w:bCs/>
          <w:sz w:val="24"/>
          <w:szCs w:val="24"/>
        </w:rPr>
        <w:t xml:space="preserve">Principaux résultats </w:t>
      </w:r>
    </w:p>
    <w:p w14:paraId="244DF6F7" w14:textId="77777777" w:rsidR="004330B0" w:rsidRPr="00E81938" w:rsidRDefault="004330B0" w:rsidP="004330B0">
      <w:pPr>
        <w:jc w:val="both"/>
        <w:rPr>
          <w:rFonts w:ascii="Arial Narrow" w:hAnsi="Arial Narrow" w:cs="Arial"/>
          <w:i/>
          <w:iCs/>
          <w:sz w:val="24"/>
          <w:szCs w:val="24"/>
          <w:u w:val="single"/>
        </w:rPr>
      </w:pPr>
      <w:r w:rsidRPr="00E81938">
        <w:rPr>
          <w:rFonts w:ascii="Arial Narrow" w:hAnsi="Arial Narrow" w:cs="Arial"/>
          <w:i/>
          <w:iCs/>
          <w:sz w:val="24"/>
          <w:szCs w:val="24"/>
          <w:u w:val="single"/>
        </w:rPr>
        <w:t>Perception du PNDS</w:t>
      </w:r>
    </w:p>
    <w:p w14:paraId="5E082637" w14:textId="77777777" w:rsidR="004330B0" w:rsidRDefault="004330B0" w:rsidP="004330B0">
      <w:pPr>
        <w:jc w:val="both"/>
        <w:rPr>
          <w:rFonts w:ascii="Arial Narrow" w:hAnsi="Arial Narrow" w:cs="Arial"/>
          <w:sz w:val="24"/>
          <w:szCs w:val="24"/>
        </w:rPr>
      </w:pPr>
      <w:r>
        <w:rPr>
          <w:rFonts w:ascii="Arial Narrow" w:eastAsia="Arial Narrow" w:hAnsi="Arial Narrow" w:cs="Arial Narrow"/>
          <w:sz w:val="24"/>
          <w:szCs w:val="24"/>
        </w:rPr>
        <w:t xml:space="preserve">Les acteurs du niveau central, </w:t>
      </w:r>
      <w:r w:rsidRPr="007E7C5B">
        <w:rPr>
          <w:rFonts w:ascii="Arial Narrow" w:eastAsia="Arial Narrow" w:hAnsi="Arial Narrow" w:cs="Arial Narrow"/>
          <w:sz w:val="24"/>
          <w:szCs w:val="24"/>
        </w:rPr>
        <w:t>52% des acteurs se déclarent satisfaits de la diffusion du PNDS et 57% ont relevé s’être appropriés</w:t>
      </w:r>
      <w:r>
        <w:rPr>
          <w:rFonts w:ascii="Arial Narrow" w:eastAsia="Arial Narrow" w:hAnsi="Arial Narrow" w:cs="Arial Narrow"/>
          <w:sz w:val="24"/>
          <w:szCs w:val="24"/>
        </w:rPr>
        <w:t xml:space="preserve">. </w:t>
      </w:r>
      <w:r w:rsidRPr="007E7C5B">
        <w:rPr>
          <w:rFonts w:ascii="Arial Narrow" w:hAnsi="Arial Narrow" w:cs="Arial"/>
          <w:sz w:val="24"/>
          <w:szCs w:val="24"/>
        </w:rPr>
        <w:t>La perception des acteurs au niveau déconcentré est globalement insatisfaisante dans les trois domaines abordés (élaboration, diffusion et suivi)</w:t>
      </w:r>
      <w:r>
        <w:rPr>
          <w:rFonts w:ascii="Arial Narrow" w:hAnsi="Arial Narrow" w:cs="Arial"/>
          <w:sz w:val="24"/>
          <w:szCs w:val="24"/>
        </w:rPr>
        <w:t>. De ce fait, la</w:t>
      </w:r>
      <w:r w:rsidRPr="007E7C5B">
        <w:rPr>
          <w:rFonts w:ascii="Arial Narrow" w:hAnsi="Arial Narrow" w:cs="Arial"/>
          <w:sz w:val="24"/>
          <w:szCs w:val="24"/>
        </w:rPr>
        <w:t xml:space="preserve"> perception des acteurs</w:t>
      </w:r>
      <w:r>
        <w:rPr>
          <w:rFonts w:ascii="Arial Narrow" w:hAnsi="Arial Narrow" w:cs="Arial"/>
          <w:sz w:val="24"/>
          <w:szCs w:val="24"/>
        </w:rPr>
        <w:t xml:space="preserve"> du MSHPCMU</w:t>
      </w:r>
      <w:r w:rsidRPr="007E7C5B">
        <w:rPr>
          <w:rFonts w:ascii="Arial Narrow" w:hAnsi="Arial Narrow" w:cs="Arial"/>
          <w:sz w:val="24"/>
          <w:szCs w:val="24"/>
        </w:rPr>
        <w:t xml:space="preserve"> </w:t>
      </w:r>
      <w:r>
        <w:rPr>
          <w:rFonts w:ascii="Arial Narrow" w:hAnsi="Arial Narrow" w:cs="Arial"/>
          <w:sz w:val="24"/>
          <w:szCs w:val="24"/>
        </w:rPr>
        <w:t xml:space="preserve">sur le PNDS </w:t>
      </w:r>
      <w:r w:rsidRPr="007E7C5B">
        <w:rPr>
          <w:rFonts w:ascii="Arial Narrow" w:hAnsi="Arial Narrow" w:cs="Arial"/>
          <w:sz w:val="24"/>
          <w:szCs w:val="24"/>
        </w:rPr>
        <w:t xml:space="preserve">soulève des questions </w:t>
      </w:r>
      <w:r w:rsidRPr="002563B2">
        <w:rPr>
          <w:rFonts w:ascii="Arial Narrow" w:hAnsi="Arial Narrow" w:cs="Arial"/>
          <w:sz w:val="24"/>
          <w:szCs w:val="24"/>
        </w:rPr>
        <w:t>de la représentativité</w:t>
      </w:r>
      <w:r w:rsidRPr="007E7C5B">
        <w:rPr>
          <w:rFonts w:ascii="Arial Narrow" w:hAnsi="Arial Narrow" w:cs="Arial"/>
          <w:sz w:val="24"/>
          <w:szCs w:val="24"/>
        </w:rPr>
        <w:t xml:space="preserve"> des participants et</w:t>
      </w:r>
      <w:r w:rsidRPr="007E7C5B" w:rsidDel="5F9DE053">
        <w:rPr>
          <w:rFonts w:ascii="Arial Narrow" w:hAnsi="Arial Narrow" w:cs="Arial"/>
          <w:sz w:val="24"/>
          <w:szCs w:val="24"/>
        </w:rPr>
        <w:t xml:space="preserve"> </w:t>
      </w:r>
      <w:r w:rsidRPr="007E7C5B">
        <w:rPr>
          <w:rFonts w:ascii="Arial Narrow" w:eastAsia="Arial Narrow" w:hAnsi="Arial Narrow" w:cs="Arial Narrow"/>
          <w:sz w:val="24"/>
          <w:szCs w:val="24"/>
        </w:rPr>
        <w:t>de communication interne au sein</w:t>
      </w:r>
      <w:r w:rsidRPr="007E7C5B">
        <w:rPr>
          <w:rFonts w:ascii="Arial Narrow" w:hAnsi="Arial Narrow" w:cs="Arial"/>
          <w:sz w:val="24"/>
          <w:szCs w:val="24"/>
        </w:rPr>
        <w:t xml:space="preserve"> des structures concernées</w:t>
      </w:r>
      <w:r>
        <w:rPr>
          <w:rFonts w:ascii="Arial Narrow" w:hAnsi="Arial Narrow" w:cs="Arial"/>
          <w:sz w:val="24"/>
          <w:szCs w:val="24"/>
        </w:rPr>
        <w:t xml:space="preserve">. </w:t>
      </w:r>
      <w:r>
        <w:rPr>
          <w:rFonts w:ascii="Arial Narrow" w:hAnsi="Arial Narrow" w:cs="Arial"/>
          <w:bCs/>
          <w:sz w:val="24"/>
          <w:szCs w:val="24"/>
        </w:rPr>
        <w:t>Toutefois</w:t>
      </w:r>
      <w:r w:rsidRPr="007E7C5B">
        <w:rPr>
          <w:rFonts w:ascii="Arial Narrow" w:hAnsi="Arial Narrow" w:cs="Arial"/>
          <w:bCs/>
          <w:sz w:val="24"/>
          <w:szCs w:val="24"/>
        </w:rPr>
        <w:t xml:space="preserve"> les Partenaires Techniques et Financiers (PTF) interviewés</w:t>
      </w:r>
      <w:r w:rsidRPr="007E7C5B">
        <w:rPr>
          <w:rFonts w:ascii="Arial Narrow" w:hAnsi="Arial Narrow" w:cs="Arial"/>
          <w:sz w:val="24"/>
          <w:szCs w:val="24"/>
        </w:rPr>
        <w:t>, ainsi que la Société civile et le Secteur Privé, disent globalement être satisfaits de leur niveau d’implication dans l’élaboration et la diffusion du PNDS.</w:t>
      </w:r>
    </w:p>
    <w:p w14:paraId="79AEE691" w14:textId="77777777" w:rsidR="004330B0" w:rsidRPr="00E81938" w:rsidRDefault="004330B0" w:rsidP="004330B0">
      <w:pPr>
        <w:jc w:val="both"/>
        <w:rPr>
          <w:rFonts w:ascii="Arial Narrow" w:hAnsi="Arial Narrow" w:cs="Arial"/>
          <w:b/>
          <w:bCs/>
          <w:i/>
          <w:iCs/>
          <w:sz w:val="24"/>
          <w:szCs w:val="24"/>
          <w:u w:val="single"/>
        </w:rPr>
      </w:pPr>
      <w:r w:rsidRPr="00E81938">
        <w:rPr>
          <w:rFonts w:ascii="Arial Narrow" w:hAnsi="Arial Narrow" w:cs="Arial"/>
          <w:i/>
          <w:iCs/>
          <w:sz w:val="24"/>
          <w:szCs w:val="24"/>
          <w:u w:val="single"/>
        </w:rPr>
        <w:t>Analyse des progrès du PNDS 2021-2025</w:t>
      </w:r>
    </w:p>
    <w:p w14:paraId="45D039AB" w14:textId="77777777" w:rsidR="004330B0" w:rsidRPr="005F3C78" w:rsidRDefault="004330B0" w:rsidP="004330B0">
      <w:pPr>
        <w:jc w:val="both"/>
        <w:rPr>
          <w:rFonts w:ascii="Arial Narrow" w:hAnsi="Arial Narrow" w:cs="Arial"/>
          <w:b/>
          <w:bCs/>
          <w:sz w:val="24"/>
          <w:szCs w:val="24"/>
        </w:rPr>
      </w:pPr>
      <w:r w:rsidRPr="005F3C78">
        <w:rPr>
          <w:rFonts w:ascii="Arial Narrow" w:hAnsi="Arial Narrow" w:cs="Arial"/>
          <w:b/>
          <w:bCs/>
          <w:sz w:val="24"/>
          <w:szCs w:val="24"/>
        </w:rPr>
        <w:t>Axe 1 : Amélioration de la gouvernance et du financement de la santé</w:t>
      </w:r>
    </w:p>
    <w:p w14:paraId="60412BA9" w14:textId="77777777" w:rsidR="004330B0" w:rsidRPr="005F3C78" w:rsidRDefault="004330B0" w:rsidP="004330B0">
      <w:pPr>
        <w:pStyle w:val="Paragraphedeliste"/>
        <w:numPr>
          <w:ilvl w:val="0"/>
          <w:numId w:val="79"/>
        </w:numPr>
        <w:ind w:left="426" w:hanging="284"/>
        <w:jc w:val="both"/>
        <w:rPr>
          <w:rFonts w:ascii="Arial Narrow" w:hAnsi="Arial Narrow" w:cs="Arial"/>
          <w:sz w:val="24"/>
          <w:szCs w:val="24"/>
        </w:rPr>
      </w:pPr>
      <w:r w:rsidRPr="005F3C78">
        <w:rPr>
          <w:rFonts w:ascii="Arial Narrow" w:hAnsi="Arial Narrow" w:cs="Arial"/>
          <w:sz w:val="24"/>
          <w:szCs w:val="24"/>
        </w:rPr>
        <w:t>Gouvernance</w:t>
      </w:r>
    </w:p>
    <w:p w14:paraId="3F34EABB" w14:textId="77777777" w:rsidR="004330B0" w:rsidRDefault="004330B0" w:rsidP="004330B0">
      <w:pPr>
        <w:pStyle w:val="Paragraphedeliste"/>
        <w:numPr>
          <w:ilvl w:val="1"/>
          <w:numId w:val="28"/>
        </w:numPr>
        <w:ind w:left="851"/>
        <w:jc w:val="both"/>
        <w:rPr>
          <w:rFonts w:ascii="Arial Narrow" w:hAnsi="Arial Narrow" w:cs="Arial"/>
          <w:sz w:val="24"/>
          <w:szCs w:val="24"/>
        </w:rPr>
      </w:pPr>
      <w:r>
        <w:rPr>
          <w:rFonts w:ascii="Arial Narrow" w:hAnsi="Arial Narrow" w:cs="Arial"/>
          <w:sz w:val="24"/>
          <w:szCs w:val="24"/>
        </w:rPr>
        <w:t>L</w:t>
      </w:r>
      <w:r w:rsidRPr="005F3C78">
        <w:rPr>
          <w:rFonts w:ascii="Arial Narrow" w:hAnsi="Arial Narrow" w:cs="Arial"/>
          <w:sz w:val="24"/>
          <w:szCs w:val="24"/>
        </w:rPr>
        <w:t>a loi n°2024-240 sur l'exercice de la médecine</w:t>
      </w:r>
      <w:r>
        <w:rPr>
          <w:rFonts w:ascii="Arial Narrow" w:hAnsi="Arial Narrow" w:cs="Arial"/>
          <w:sz w:val="24"/>
          <w:szCs w:val="24"/>
        </w:rPr>
        <w:t xml:space="preserve"> a été adoptée</w:t>
      </w:r>
      <w:r w:rsidRPr="005F3C78">
        <w:rPr>
          <w:rFonts w:ascii="Arial Narrow" w:hAnsi="Arial Narrow" w:cs="Arial"/>
          <w:sz w:val="24"/>
          <w:szCs w:val="24"/>
        </w:rPr>
        <w:t>, avec une meilleure régulation des professions de santé.</w:t>
      </w:r>
    </w:p>
    <w:p w14:paraId="6C1DD6D5" w14:textId="77777777" w:rsidR="004330B0" w:rsidRPr="0059399A" w:rsidRDefault="004330B0" w:rsidP="004330B0">
      <w:pPr>
        <w:pStyle w:val="Paragraphedeliste"/>
        <w:numPr>
          <w:ilvl w:val="1"/>
          <w:numId w:val="28"/>
        </w:numPr>
        <w:ind w:left="851"/>
        <w:jc w:val="both"/>
        <w:rPr>
          <w:rFonts w:ascii="Arial Narrow" w:hAnsi="Arial Narrow" w:cs="Arial"/>
          <w:sz w:val="24"/>
          <w:szCs w:val="24"/>
        </w:rPr>
      </w:pPr>
      <w:r>
        <w:rPr>
          <w:rFonts w:ascii="Arial Narrow" w:eastAsia="Bell MT" w:hAnsi="Arial Narrow" w:cs="Bell MT"/>
          <w:sz w:val="24"/>
          <w:szCs w:val="24"/>
          <w:lang w:val="fr"/>
        </w:rPr>
        <w:t xml:space="preserve">La </w:t>
      </w:r>
      <w:r w:rsidRPr="0059399A">
        <w:rPr>
          <w:rFonts w:ascii="Arial Narrow" w:eastAsia="Bell MT" w:hAnsi="Arial Narrow" w:cs="Bell MT"/>
          <w:sz w:val="24"/>
          <w:szCs w:val="24"/>
          <w:lang w:val="fr"/>
        </w:rPr>
        <w:t>L</w:t>
      </w:r>
      <w:proofErr w:type="spellStart"/>
      <w:r w:rsidRPr="0059399A">
        <w:rPr>
          <w:rFonts w:ascii="Arial Narrow" w:hAnsi="Arial Narrow" w:cs="Arial"/>
          <w:sz w:val="24"/>
          <w:szCs w:val="24"/>
        </w:rPr>
        <w:t>oi</w:t>
      </w:r>
      <w:proofErr w:type="spellEnd"/>
      <w:r w:rsidRPr="0059399A">
        <w:rPr>
          <w:rFonts w:ascii="Arial Narrow" w:hAnsi="Arial Narrow" w:cs="Arial"/>
          <w:sz w:val="24"/>
          <w:szCs w:val="24"/>
        </w:rPr>
        <w:t xml:space="preserve"> sur la Santé de la Reproduction a été examinée en Conseil de Gouvernement en janvier 2024</w:t>
      </w:r>
    </w:p>
    <w:p w14:paraId="4FC78D7C" w14:textId="77777777" w:rsidR="004330B0" w:rsidRPr="005F3C78" w:rsidRDefault="004330B0" w:rsidP="004330B0">
      <w:pPr>
        <w:pStyle w:val="Paragraphedeliste"/>
        <w:numPr>
          <w:ilvl w:val="1"/>
          <w:numId w:val="28"/>
        </w:numPr>
        <w:ind w:left="851"/>
        <w:jc w:val="both"/>
        <w:rPr>
          <w:rFonts w:ascii="Arial Narrow" w:hAnsi="Arial Narrow" w:cs="Arial"/>
          <w:sz w:val="24"/>
          <w:szCs w:val="24"/>
        </w:rPr>
      </w:pPr>
      <w:r>
        <w:rPr>
          <w:rFonts w:ascii="Arial Narrow" w:hAnsi="Arial Narrow" w:cs="Arial"/>
          <w:sz w:val="24"/>
          <w:szCs w:val="24"/>
        </w:rPr>
        <w:t>Des</w:t>
      </w:r>
      <w:r w:rsidRPr="005F3C78">
        <w:rPr>
          <w:rFonts w:ascii="Arial Narrow" w:hAnsi="Arial Narrow" w:cs="Arial"/>
          <w:sz w:val="24"/>
          <w:szCs w:val="24"/>
        </w:rPr>
        <w:t xml:space="preserve"> partenariats stratégiques avec des acteurs bilatéraux et multilatéraux</w:t>
      </w:r>
      <w:r>
        <w:rPr>
          <w:rFonts w:ascii="Arial Narrow" w:hAnsi="Arial Narrow" w:cs="Arial"/>
          <w:sz w:val="24"/>
          <w:szCs w:val="24"/>
        </w:rPr>
        <w:t xml:space="preserve"> sont en cours de finalisation</w:t>
      </w:r>
      <w:r w:rsidRPr="005F3C78">
        <w:rPr>
          <w:rFonts w:ascii="Arial Narrow" w:hAnsi="Arial Narrow" w:cs="Arial"/>
          <w:sz w:val="24"/>
          <w:szCs w:val="24"/>
        </w:rPr>
        <w:t>, renforçant la coopération technique, notamment avec l’Afrique du Sud et la Chine.</w:t>
      </w:r>
    </w:p>
    <w:p w14:paraId="358B9B4D" w14:textId="77777777" w:rsidR="004330B0" w:rsidRDefault="004330B0" w:rsidP="004330B0">
      <w:pPr>
        <w:pStyle w:val="Paragraphedeliste"/>
        <w:numPr>
          <w:ilvl w:val="0"/>
          <w:numId w:val="79"/>
        </w:numPr>
        <w:ind w:left="567" w:hanging="425"/>
        <w:jc w:val="both"/>
        <w:rPr>
          <w:rFonts w:ascii="Arial Narrow" w:hAnsi="Arial Narrow" w:cs="Arial"/>
          <w:sz w:val="24"/>
          <w:szCs w:val="24"/>
        </w:rPr>
      </w:pPr>
      <w:r w:rsidRPr="005F3C78">
        <w:rPr>
          <w:rFonts w:ascii="Arial Narrow" w:hAnsi="Arial Narrow" w:cs="Arial"/>
          <w:sz w:val="24"/>
          <w:szCs w:val="24"/>
        </w:rPr>
        <w:t xml:space="preserve">Financements et mobilisation de ressources </w:t>
      </w:r>
    </w:p>
    <w:p w14:paraId="47D196DD" w14:textId="77777777" w:rsidR="004330B0" w:rsidRPr="0059399A" w:rsidRDefault="004330B0" w:rsidP="004330B0">
      <w:pPr>
        <w:pStyle w:val="Paragraphedeliste"/>
        <w:numPr>
          <w:ilvl w:val="1"/>
          <w:numId w:val="28"/>
        </w:numPr>
        <w:ind w:left="851"/>
        <w:jc w:val="both"/>
        <w:rPr>
          <w:rFonts w:ascii="Arial Narrow" w:hAnsi="Arial Narrow" w:cs="Arial"/>
          <w:sz w:val="24"/>
          <w:szCs w:val="24"/>
        </w:rPr>
      </w:pPr>
      <w:r w:rsidRPr="00E81938">
        <w:rPr>
          <w:rFonts w:ascii="Arial Narrow" w:eastAsia="Times New Roman" w:hAnsi="Arial Narrow" w:cs="Arial"/>
          <w:kern w:val="0"/>
          <w:sz w:val="24"/>
          <w:szCs w:val="24"/>
          <w:lang w:eastAsia="fr-FR"/>
          <w14:ligatures w14:val="none"/>
        </w:rPr>
        <w:t>Plusieurs outils ont été développés afin d’assurer</w:t>
      </w:r>
      <w:r w:rsidRPr="007E7C5B">
        <w:rPr>
          <w:rFonts w:ascii="Arial Narrow" w:eastAsia="Times New Roman" w:hAnsi="Arial Narrow" w:cs="Arial"/>
          <w:sz w:val="24"/>
          <w:szCs w:val="24"/>
          <w:lang w:eastAsia="fr-FR"/>
        </w:rPr>
        <w:t xml:space="preserve"> une meilleure mobilisation et une gestion efficiente des ressources </w:t>
      </w:r>
      <w:r w:rsidRPr="00C27422">
        <w:rPr>
          <w:rFonts w:ascii="Arial Narrow" w:eastAsia="Times New Roman" w:hAnsi="Arial Narrow" w:cs="Arial"/>
          <w:sz w:val="24"/>
          <w:szCs w:val="24"/>
          <w:lang w:eastAsia="fr-FR"/>
        </w:rPr>
        <w:t>financières</w:t>
      </w:r>
      <w:r w:rsidRPr="00E81938">
        <w:rPr>
          <w:rFonts w:cstheme="minorHAnsi"/>
          <w:bCs/>
          <w:sz w:val="24"/>
          <w:szCs w:val="24"/>
        </w:rPr>
        <w:t xml:space="preserve"> </w:t>
      </w:r>
      <w:r w:rsidRPr="00C27422">
        <w:rPr>
          <w:rFonts w:ascii="Arial Narrow" w:eastAsia="Times New Roman" w:hAnsi="Arial Narrow" w:cs="Arial"/>
          <w:sz w:val="24"/>
          <w:szCs w:val="24"/>
          <w:lang w:eastAsia="fr-FR"/>
        </w:rPr>
        <w:t>(</w:t>
      </w:r>
      <w:r w:rsidRPr="0059399A">
        <w:rPr>
          <w:rFonts w:ascii="Arial Narrow" w:eastAsia="Times New Roman" w:hAnsi="Arial Narrow" w:cs="Arial"/>
          <w:kern w:val="0"/>
          <w:sz w:val="24"/>
          <w:szCs w:val="24"/>
          <w:lang w:eastAsia="fr-FR"/>
          <w14:ligatures w14:val="none"/>
        </w:rPr>
        <w:t>Projets</w:t>
      </w:r>
      <w:r w:rsidRPr="0059399A" w:rsidDel="009B437D">
        <w:rPr>
          <w:rFonts w:ascii="Arial Narrow" w:eastAsia="Times New Roman" w:hAnsi="Arial Narrow" w:cs="Arial"/>
          <w:kern w:val="0"/>
          <w:sz w:val="24"/>
          <w:szCs w:val="24"/>
          <w:lang w:eastAsia="fr-FR"/>
          <w14:ligatures w14:val="none"/>
        </w:rPr>
        <w:t xml:space="preserve"> d’</w:t>
      </w:r>
      <w:r w:rsidRPr="0059399A">
        <w:rPr>
          <w:rFonts w:ascii="Arial Narrow" w:eastAsia="Times New Roman" w:hAnsi="Arial Narrow" w:cs="Arial"/>
          <w:kern w:val="0"/>
          <w:sz w:val="24"/>
          <w:szCs w:val="24"/>
          <w:lang w:eastAsia="fr-FR"/>
          <w14:ligatures w14:val="none"/>
        </w:rPr>
        <w:t>Investissement Public, Documents</w:t>
      </w:r>
      <w:r w:rsidRPr="0059399A" w:rsidDel="009B437D">
        <w:rPr>
          <w:rFonts w:ascii="Arial Narrow" w:eastAsia="Times New Roman" w:hAnsi="Arial Narrow" w:cs="Arial"/>
          <w:kern w:val="0"/>
          <w:sz w:val="24"/>
          <w:szCs w:val="24"/>
          <w:lang w:eastAsia="fr-FR"/>
          <w14:ligatures w14:val="none"/>
        </w:rPr>
        <w:t xml:space="preserve"> de </w:t>
      </w:r>
      <w:r w:rsidRPr="0059399A">
        <w:rPr>
          <w:rFonts w:ascii="Arial Narrow" w:eastAsia="Times New Roman" w:hAnsi="Arial Narrow" w:cs="Arial"/>
          <w:kern w:val="0"/>
          <w:sz w:val="24"/>
          <w:szCs w:val="24"/>
          <w:lang w:eastAsia="fr-FR"/>
          <w14:ligatures w14:val="none"/>
        </w:rPr>
        <w:t>P</w:t>
      </w:r>
      <w:r w:rsidRPr="0059399A" w:rsidDel="009B437D">
        <w:rPr>
          <w:rFonts w:ascii="Arial Narrow" w:eastAsia="Times New Roman" w:hAnsi="Arial Narrow" w:cs="Arial"/>
          <w:kern w:val="0"/>
          <w:sz w:val="24"/>
          <w:szCs w:val="24"/>
          <w:lang w:eastAsia="fr-FR"/>
          <w14:ligatures w14:val="none"/>
        </w:rPr>
        <w:t xml:space="preserve">rogrammation </w:t>
      </w:r>
      <w:r w:rsidRPr="0059399A">
        <w:rPr>
          <w:rFonts w:ascii="Arial Narrow" w:eastAsia="Times New Roman" w:hAnsi="Arial Narrow" w:cs="Arial"/>
          <w:kern w:val="0"/>
          <w:sz w:val="24"/>
          <w:szCs w:val="24"/>
          <w:lang w:eastAsia="fr-FR"/>
          <w14:ligatures w14:val="none"/>
        </w:rPr>
        <w:t>P</w:t>
      </w:r>
      <w:r w:rsidRPr="0059399A" w:rsidDel="009B437D">
        <w:rPr>
          <w:rFonts w:ascii="Arial Narrow" w:eastAsia="Times New Roman" w:hAnsi="Arial Narrow" w:cs="Arial"/>
          <w:kern w:val="0"/>
          <w:sz w:val="24"/>
          <w:szCs w:val="24"/>
          <w:lang w:eastAsia="fr-FR"/>
          <w14:ligatures w14:val="none"/>
        </w:rPr>
        <w:t xml:space="preserve">luriannuel des </w:t>
      </w:r>
      <w:r w:rsidRPr="0059399A">
        <w:rPr>
          <w:rFonts w:ascii="Arial Narrow" w:eastAsia="Times New Roman" w:hAnsi="Arial Narrow" w:cs="Arial"/>
          <w:kern w:val="0"/>
          <w:sz w:val="24"/>
          <w:szCs w:val="24"/>
          <w:lang w:eastAsia="fr-FR"/>
          <w14:ligatures w14:val="none"/>
        </w:rPr>
        <w:t xml:space="preserve">Dépenses, </w:t>
      </w:r>
      <w:r w:rsidRPr="0059399A" w:rsidDel="00E16330">
        <w:rPr>
          <w:rFonts w:ascii="Arial Narrow" w:eastAsia="Times New Roman" w:hAnsi="Arial Narrow" w:cs="Arial"/>
          <w:kern w:val="0"/>
          <w:sz w:val="24"/>
          <w:szCs w:val="24"/>
          <w:lang w:eastAsia="fr-FR"/>
          <w14:ligatures w14:val="none"/>
        </w:rPr>
        <w:t xml:space="preserve">Projet </w:t>
      </w:r>
      <w:r w:rsidRPr="0059399A">
        <w:rPr>
          <w:rFonts w:ascii="Arial Narrow" w:eastAsia="Times New Roman" w:hAnsi="Arial Narrow" w:cs="Arial"/>
          <w:kern w:val="0"/>
          <w:sz w:val="24"/>
          <w:szCs w:val="24"/>
          <w:lang w:eastAsia="fr-FR"/>
          <w14:ligatures w14:val="none"/>
        </w:rPr>
        <w:t>A</w:t>
      </w:r>
      <w:r w:rsidRPr="0059399A" w:rsidDel="00E16330">
        <w:rPr>
          <w:rFonts w:ascii="Arial Narrow" w:eastAsia="Times New Roman" w:hAnsi="Arial Narrow" w:cs="Arial"/>
          <w:kern w:val="0"/>
          <w:sz w:val="24"/>
          <w:szCs w:val="24"/>
          <w:lang w:eastAsia="fr-FR"/>
          <w14:ligatures w14:val="none"/>
        </w:rPr>
        <w:t xml:space="preserve">nnuel de </w:t>
      </w:r>
      <w:r w:rsidRPr="0059399A">
        <w:rPr>
          <w:rFonts w:ascii="Arial Narrow" w:eastAsia="Times New Roman" w:hAnsi="Arial Narrow" w:cs="Arial"/>
          <w:kern w:val="0"/>
          <w:sz w:val="24"/>
          <w:szCs w:val="24"/>
          <w:lang w:eastAsia="fr-FR"/>
          <w14:ligatures w14:val="none"/>
        </w:rPr>
        <w:t>Performance, lettres d’engagements, rapports d’activités semestrielles de performance</w:t>
      </w:r>
      <w:r>
        <w:rPr>
          <w:rFonts w:ascii="Arial Narrow" w:eastAsia="Times New Roman" w:hAnsi="Arial Narrow" w:cs="Arial"/>
          <w:kern w:val="0"/>
          <w:sz w:val="24"/>
          <w:szCs w:val="24"/>
          <w:lang w:eastAsia="fr-FR"/>
          <w14:ligatures w14:val="none"/>
        </w:rPr>
        <w:t xml:space="preserve"> </w:t>
      </w:r>
      <w:r w:rsidRPr="0059399A">
        <w:rPr>
          <w:rFonts w:ascii="Arial Narrow" w:eastAsia="Times New Roman" w:hAnsi="Arial Narrow" w:cs="Arial"/>
          <w:sz w:val="24"/>
          <w:szCs w:val="24"/>
          <w:lang w:eastAsia="fr-FR"/>
        </w:rPr>
        <w:t xml:space="preserve">et </w:t>
      </w:r>
      <w:r>
        <w:rPr>
          <w:rFonts w:ascii="Arial Narrow" w:eastAsia="Times New Roman" w:hAnsi="Arial Narrow" w:cs="Arial"/>
          <w:kern w:val="0"/>
          <w:sz w:val="24"/>
          <w:szCs w:val="24"/>
          <w:lang w:eastAsia="fr-FR"/>
          <w14:ligatures w14:val="none"/>
        </w:rPr>
        <w:t>R</w:t>
      </w:r>
      <w:r w:rsidRPr="0059399A" w:rsidDel="00D67C75">
        <w:rPr>
          <w:rFonts w:ascii="Arial Narrow" w:eastAsia="Times New Roman" w:hAnsi="Arial Narrow" w:cs="Arial"/>
          <w:kern w:val="0"/>
          <w:sz w:val="24"/>
          <w:szCs w:val="24"/>
          <w:lang w:eastAsia="fr-FR"/>
          <w14:ligatures w14:val="none"/>
        </w:rPr>
        <w:t xml:space="preserve">apports </w:t>
      </w:r>
      <w:r w:rsidRPr="0059399A">
        <w:rPr>
          <w:rFonts w:ascii="Arial Narrow" w:eastAsia="Times New Roman" w:hAnsi="Arial Narrow" w:cs="Arial"/>
          <w:kern w:val="0"/>
          <w:sz w:val="24"/>
          <w:szCs w:val="24"/>
          <w:lang w:eastAsia="fr-FR"/>
          <w14:ligatures w14:val="none"/>
        </w:rPr>
        <w:t>A</w:t>
      </w:r>
      <w:r w:rsidRPr="0059399A" w:rsidDel="00D67C75">
        <w:rPr>
          <w:rFonts w:ascii="Arial Narrow" w:eastAsia="Times New Roman" w:hAnsi="Arial Narrow" w:cs="Arial"/>
          <w:kern w:val="0"/>
          <w:sz w:val="24"/>
          <w:szCs w:val="24"/>
          <w:lang w:eastAsia="fr-FR"/>
          <w14:ligatures w14:val="none"/>
        </w:rPr>
        <w:t xml:space="preserve">nnuels de </w:t>
      </w:r>
      <w:r w:rsidRPr="0059399A">
        <w:rPr>
          <w:rFonts w:ascii="Arial Narrow" w:eastAsia="Times New Roman" w:hAnsi="Arial Narrow" w:cs="Arial"/>
          <w:kern w:val="0"/>
          <w:sz w:val="24"/>
          <w:szCs w:val="24"/>
          <w:lang w:eastAsia="fr-FR"/>
          <w14:ligatures w14:val="none"/>
        </w:rPr>
        <w:t>Performance</w:t>
      </w:r>
      <w:r>
        <w:rPr>
          <w:rFonts w:ascii="Arial Narrow" w:eastAsia="Times New Roman" w:hAnsi="Arial Narrow" w:cs="Arial"/>
          <w:kern w:val="0"/>
          <w:sz w:val="24"/>
          <w:szCs w:val="24"/>
          <w:lang w:eastAsia="fr-FR"/>
          <w14:ligatures w14:val="none"/>
        </w:rPr>
        <w:t>)</w:t>
      </w:r>
      <w:r w:rsidRPr="0059399A">
        <w:rPr>
          <w:rFonts w:ascii="Arial Narrow" w:eastAsia="Times New Roman" w:hAnsi="Arial Narrow" w:cs="Arial"/>
          <w:sz w:val="24"/>
          <w:szCs w:val="24"/>
          <w:lang w:eastAsia="fr-FR"/>
        </w:rPr>
        <w:t xml:space="preserve">. </w:t>
      </w:r>
    </w:p>
    <w:p w14:paraId="4E957779" w14:textId="77777777" w:rsidR="004330B0" w:rsidRPr="005F3C78" w:rsidRDefault="004330B0" w:rsidP="004330B0">
      <w:pPr>
        <w:pStyle w:val="Paragraphedeliste"/>
        <w:ind w:left="426"/>
        <w:jc w:val="both"/>
        <w:rPr>
          <w:rFonts w:ascii="Arial Narrow" w:hAnsi="Arial Narrow" w:cs="Arial"/>
          <w:sz w:val="24"/>
          <w:szCs w:val="24"/>
        </w:rPr>
      </w:pPr>
    </w:p>
    <w:p w14:paraId="571538F8" w14:textId="77777777" w:rsidR="004330B0" w:rsidRDefault="004330B0" w:rsidP="004330B0">
      <w:pPr>
        <w:pStyle w:val="Paragraphedeliste"/>
        <w:numPr>
          <w:ilvl w:val="1"/>
          <w:numId w:val="28"/>
        </w:numPr>
        <w:ind w:left="851"/>
        <w:jc w:val="both"/>
        <w:rPr>
          <w:rFonts w:ascii="Arial Narrow" w:hAnsi="Arial Narrow" w:cs="Arial"/>
          <w:sz w:val="24"/>
          <w:szCs w:val="24"/>
        </w:rPr>
      </w:pPr>
      <w:r w:rsidRPr="005F3C78">
        <w:rPr>
          <w:rFonts w:ascii="Arial Narrow" w:hAnsi="Arial Narrow" w:cs="Arial"/>
          <w:sz w:val="24"/>
          <w:szCs w:val="24"/>
        </w:rPr>
        <w:t xml:space="preserve">Le budget </w:t>
      </w:r>
      <w:r w:rsidRPr="00901F30">
        <w:rPr>
          <w:rFonts w:ascii="Arial Narrow" w:hAnsi="Arial Narrow" w:cs="Arial"/>
          <w:sz w:val="24"/>
          <w:szCs w:val="24"/>
        </w:rPr>
        <w:t xml:space="preserve">alloué au secteur de la </w:t>
      </w:r>
      <w:r w:rsidRPr="005F3C78">
        <w:rPr>
          <w:rFonts w:ascii="Arial Narrow" w:hAnsi="Arial Narrow" w:cs="Arial"/>
          <w:sz w:val="24"/>
          <w:szCs w:val="24"/>
        </w:rPr>
        <w:t xml:space="preserve">santé a </w:t>
      </w:r>
      <w:r w:rsidRPr="00901F30">
        <w:rPr>
          <w:rFonts w:ascii="Arial Narrow" w:hAnsi="Arial Narrow" w:cs="Arial"/>
          <w:sz w:val="24"/>
          <w:szCs w:val="24"/>
        </w:rPr>
        <w:t>augmenté</w:t>
      </w:r>
      <w:r w:rsidRPr="005F3C78">
        <w:rPr>
          <w:rFonts w:ascii="Arial Narrow" w:hAnsi="Arial Narrow" w:cs="Arial"/>
          <w:sz w:val="24"/>
          <w:szCs w:val="24"/>
        </w:rPr>
        <w:t xml:space="preserve"> de 414 milliards FCFA en 2021 à 691 milliards FCFA en 2023</w:t>
      </w:r>
      <w:r w:rsidRPr="00901F30">
        <w:rPr>
          <w:rFonts w:ascii="Arial Narrow" w:hAnsi="Arial Narrow" w:cs="Arial"/>
          <w:sz w:val="24"/>
          <w:szCs w:val="24"/>
        </w:rPr>
        <w:t xml:space="preserve"> (+56%), avec une progression notable des investissements dans les infrastructures sanitaires et le personnel. </w:t>
      </w:r>
      <w:r>
        <w:rPr>
          <w:rFonts w:ascii="Arial Narrow" w:hAnsi="Arial Narrow" w:cs="Arial"/>
          <w:sz w:val="24"/>
          <w:szCs w:val="24"/>
        </w:rPr>
        <w:t>Cela a permis</w:t>
      </w:r>
      <w:r w:rsidRPr="005F3C78">
        <w:rPr>
          <w:rFonts w:ascii="Arial Narrow" w:hAnsi="Arial Narrow" w:cs="Arial"/>
          <w:sz w:val="24"/>
          <w:szCs w:val="24"/>
        </w:rPr>
        <w:t xml:space="preserve"> des investissements dans des infrastructures nécessaires pour des événements majeurs comme la Coupe d’Afrique des Nations (CAN) 2023.</w:t>
      </w:r>
    </w:p>
    <w:p w14:paraId="64375E07" w14:textId="77777777" w:rsidR="004330B0" w:rsidRPr="00E81938" w:rsidRDefault="004330B0" w:rsidP="004330B0">
      <w:pPr>
        <w:pStyle w:val="Paragraphedeliste"/>
        <w:numPr>
          <w:ilvl w:val="0"/>
          <w:numId w:val="72"/>
        </w:numPr>
        <w:ind w:left="426" w:hanging="284"/>
        <w:rPr>
          <w:rFonts w:ascii="Arial Narrow" w:hAnsi="Arial Narrow" w:cs="Arial"/>
          <w:sz w:val="24"/>
          <w:szCs w:val="24"/>
        </w:rPr>
      </w:pPr>
      <w:r>
        <w:rPr>
          <w:rFonts w:ascii="Arial Narrow" w:hAnsi="Arial Narrow" w:cs="Arial"/>
          <w:sz w:val="24"/>
          <w:szCs w:val="24"/>
        </w:rPr>
        <w:t>Informations sanitaires</w:t>
      </w:r>
    </w:p>
    <w:p w14:paraId="3B1F2DE0" w14:textId="77777777" w:rsidR="004330B0" w:rsidRDefault="004330B0" w:rsidP="004330B0">
      <w:pPr>
        <w:pStyle w:val="Paragraphedeliste"/>
        <w:numPr>
          <w:ilvl w:val="1"/>
          <w:numId w:val="73"/>
        </w:numPr>
        <w:ind w:left="851" w:hanging="425"/>
        <w:rPr>
          <w:rStyle w:val="normaltextrun"/>
          <w:rFonts w:ascii="Arial Narrow" w:hAnsi="Arial Narrow" w:cs="Arial"/>
          <w:lang w:val="fr-CI"/>
        </w:rPr>
      </w:pPr>
      <w:r>
        <w:rPr>
          <w:rStyle w:val="normaltextrun"/>
          <w:rFonts w:ascii="Arial Narrow" w:hAnsi="Arial Narrow" w:cs="Arial"/>
          <w:lang w:val="fr-CI"/>
        </w:rPr>
        <w:lastRenderedPageBreak/>
        <w:t>L</w:t>
      </w:r>
      <w:r w:rsidRPr="007E7C5B">
        <w:rPr>
          <w:rStyle w:val="normaltextrun"/>
          <w:rFonts w:ascii="Arial Narrow" w:hAnsi="Arial Narrow" w:cs="Arial"/>
          <w:lang w:val="fr-CI"/>
        </w:rPr>
        <w:t xml:space="preserve">e Ministère a procédé à l’interopérabilité entre le DHIS2 et les autres logiciels existants (SIGDEP3, Open Elis, Power-bi, </w:t>
      </w:r>
      <w:proofErr w:type="spellStart"/>
      <w:r w:rsidRPr="007E7C5B">
        <w:rPr>
          <w:rStyle w:val="normaltextrun"/>
          <w:rFonts w:ascii="Arial Narrow" w:hAnsi="Arial Narrow" w:cs="Arial"/>
          <w:lang w:val="fr-CI"/>
        </w:rPr>
        <w:t>mSupply</w:t>
      </w:r>
      <w:proofErr w:type="spellEnd"/>
      <w:r w:rsidRPr="007E7C5B">
        <w:rPr>
          <w:rStyle w:val="normaltextrun"/>
          <w:rFonts w:ascii="Arial Narrow" w:hAnsi="Arial Narrow" w:cs="Arial"/>
          <w:lang w:val="fr-CI"/>
        </w:rPr>
        <w:t>, etc.), à l’intégration des données</w:t>
      </w:r>
      <w:r w:rsidRPr="007E7C5B">
        <w:rPr>
          <w:rStyle w:val="normaltextrun"/>
          <w:rFonts w:ascii="Arial Narrow" w:hAnsi="Arial Narrow" w:cs="Arial"/>
          <w:color w:val="000000"/>
          <w:lang w:val="fr-CI"/>
        </w:rPr>
        <w:t xml:space="preserve"> </w:t>
      </w:r>
      <w:r w:rsidRPr="007E7C5B">
        <w:rPr>
          <w:rStyle w:val="normaltextrun"/>
          <w:rFonts w:ascii="Arial Narrow" w:hAnsi="Arial Narrow" w:cs="Arial"/>
          <w:lang w:val="fr-CI"/>
        </w:rPr>
        <w:t xml:space="preserve">du secteur privé, des EPN et de toutes les composantes non encore enrôlées (l'armée, l’éducation) dans le SIG (DHIS 2), ainsi qu’au développement d’outils de collectes des données. </w:t>
      </w:r>
      <w:r w:rsidRPr="00F036D1">
        <w:rPr>
          <w:rStyle w:val="normaltextrun"/>
          <w:rFonts w:ascii="Arial Narrow" w:hAnsi="Arial Narrow" w:cs="Arial"/>
          <w:lang w:val="fr-CI"/>
        </w:rPr>
        <w:t>Ce progrès favorisera une prise de décision basée sur des données actualisées et fiables, couvrant à la fois le secteur public et privé</w:t>
      </w:r>
      <w:r>
        <w:rPr>
          <w:rStyle w:val="normaltextrun"/>
          <w:rFonts w:ascii="Arial Narrow" w:hAnsi="Arial Narrow" w:cs="Arial"/>
          <w:lang w:val="fr-CI"/>
        </w:rPr>
        <w:t>.</w:t>
      </w:r>
    </w:p>
    <w:p w14:paraId="362FC377" w14:textId="77777777" w:rsidR="004330B0" w:rsidRPr="00F036D1" w:rsidRDefault="004330B0" w:rsidP="004330B0">
      <w:pPr>
        <w:pStyle w:val="Paragraphedeliste"/>
        <w:numPr>
          <w:ilvl w:val="1"/>
          <w:numId w:val="73"/>
        </w:numPr>
        <w:ind w:left="851" w:hanging="425"/>
        <w:rPr>
          <w:rStyle w:val="normaltextrun"/>
          <w:rFonts w:ascii="Arial Narrow" w:hAnsi="Arial Narrow" w:cs="Arial"/>
          <w:lang w:val="fr-CI"/>
        </w:rPr>
      </w:pPr>
      <w:r w:rsidRPr="00C27422">
        <w:rPr>
          <w:rStyle w:val="normaltextrun"/>
          <w:rFonts w:ascii="Arial Narrow" w:hAnsi="Arial Narrow" w:cs="Arial"/>
          <w:lang w:val="fr-CI"/>
        </w:rPr>
        <w:t xml:space="preserve"> </w:t>
      </w:r>
      <w:r>
        <w:rPr>
          <w:rStyle w:val="normaltextrun"/>
          <w:rFonts w:ascii="Arial Narrow" w:hAnsi="Arial Narrow" w:cs="Arial"/>
          <w:lang w:val="fr-CI"/>
        </w:rPr>
        <w:t>D</w:t>
      </w:r>
      <w:r w:rsidRPr="00C27422">
        <w:rPr>
          <w:rStyle w:val="normaltextrun"/>
          <w:rFonts w:ascii="Arial Narrow" w:hAnsi="Arial Narrow" w:cs="Arial"/>
          <w:lang w:val="fr-CI"/>
        </w:rPr>
        <w:t xml:space="preserve">es études de référence en santé, telles que </w:t>
      </w:r>
      <w:r w:rsidRPr="00E81938">
        <w:rPr>
          <w:rStyle w:val="normaltextrun"/>
          <w:rFonts w:ascii="Arial Narrow" w:hAnsi="Arial Narrow" w:cs="Arial"/>
          <w:lang w:val="fr-CI"/>
        </w:rPr>
        <w:t>IPSS, HHFA, EDS-CI</w:t>
      </w:r>
      <w:r w:rsidRPr="00C27422">
        <w:rPr>
          <w:rStyle w:val="normaltextrun"/>
          <w:rFonts w:ascii="Arial Narrow" w:hAnsi="Arial Narrow" w:cs="Arial"/>
          <w:lang w:val="fr-CI"/>
        </w:rPr>
        <w:t xml:space="preserve"> ont été conduites.</w:t>
      </w:r>
      <w:r w:rsidRPr="00F036D1">
        <w:rPr>
          <w:rStyle w:val="normaltextrun"/>
          <w:lang w:val="fr-CI"/>
        </w:rPr>
        <w:t> </w:t>
      </w:r>
    </w:p>
    <w:p w14:paraId="616A84F2" w14:textId="77777777" w:rsidR="004330B0" w:rsidRPr="005F3C78" w:rsidRDefault="004330B0" w:rsidP="004330B0">
      <w:pPr>
        <w:pStyle w:val="Paragraphedeliste"/>
        <w:ind w:left="851"/>
        <w:jc w:val="both"/>
        <w:rPr>
          <w:rFonts w:ascii="Arial Narrow" w:hAnsi="Arial Narrow" w:cs="Arial"/>
          <w:sz w:val="24"/>
          <w:szCs w:val="24"/>
        </w:rPr>
      </w:pPr>
    </w:p>
    <w:p w14:paraId="4E7B1426" w14:textId="77777777" w:rsidR="004330B0" w:rsidRDefault="004330B0" w:rsidP="004330B0">
      <w:pPr>
        <w:jc w:val="both"/>
        <w:rPr>
          <w:rFonts w:ascii="Arial Narrow" w:hAnsi="Arial Narrow" w:cs="Arial"/>
          <w:b/>
          <w:sz w:val="24"/>
          <w:szCs w:val="24"/>
        </w:rPr>
      </w:pPr>
      <w:r w:rsidRPr="00B33CCA">
        <w:rPr>
          <w:rFonts w:ascii="Arial Narrow" w:hAnsi="Arial Narrow" w:cs="Arial"/>
          <w:b/>
          <w:sz w:val="24"/>
          <w:szCs w:val="24"/>
        </w:rPr>
        <w:t>Axe 2 : Renforcement de l’offre et de l’accessibilité des soins de qualité</w:t>
      </w:r>
    </w:p>
    <w:p w14:paraId="62C0E6A5" w14:textId="77777777" w:rsidR="004330B0" w:rsidRPr="00E81938" w:rsidRDefault="004330B0" w:rsidP="004330B0">
      <w:pPr>
        <w:pStyle w:val="Paragraphedeliste"/>
        <w:numPr>
          <w:ilvl w:val="0"/>
          <w:numId w:val="65"/>
        </w:numPr>
        <w:ind w:left="0" w:hanging="284"/>
        <w:jc w:val="both"/>
        <w:rPr>
          <w:rFonts w:ascii="Arial Narrow" w:hAnsi="Arial Narrow" w:cs="Arial"/>
          <w:bCs/>
          <w:sz w:val="24"/>
          <w:szCs w:val="24"/>
        </w:rPr>
      </w:pPr>
      <w:r w:rsidRPr="00E81938">
        <w:rPr>
          <w:rFonts w:ascii="Arial Narrow" w:hAnsi="Arial Narrow" w:cs="Arial"/>
          <w:bCs/>
          <w:sz w:val="24"/>
          <w:szCs w:val="24"/>
        </w:rPr>
        <w:t>Ressources humaines et produits de santé</w:t>
      </w:r>
    </w:p>
    <w:p w14:paraId="1D5D36EA" w14:textId="77777777" w:rsidR="004330B0" w:rsidRPr="00F036D1" w:rsidRDefault="004330B0" w:rsidP="004330B0">
      <w:pPr>
        <w:rPr>
          <w:rStyle w:val="normaltextrun"/>
          <w:rFonts w:ascii="Arial Narrow" w:hAnsi="Arial Narrow" w:cs="Arial"/>
          <w:lang w:val="fr-CI"/>
        </w:rPr>
      </w:pPr>
      <w:r w:rsidRPr="00F036D1">
        <w:rPr>
          <w:rStyle w:val="normaltextrun"/>
          <w:rFonts w:ascii="Arial Narrow" w:hAnsi="Arial Narrow" w:cs="Arial"/>
          <w:lang w:val="fr-CI"/>
        </w:rPr>
        <w:t>La densité des prestataires de soins / habitant s’est amélioré passant de 8,57</w:t>
      </w:r>
      <w:r w:rsidRPr="00F036D1" w:rsidDel="00574097">
        <w:rPr>
          <w:rStyle w:val="normaltextrun"/>
          <w:rFonts w:ascii="Arial Narrow" w:hAnsi="Arial Narrow" w:cs="Arial"/>
          <w:lang w:val="fr-CI"/>
        </w:rPr>
        <w:t xml:space="preserve"> </w:t>
      </w:r>
      <w:r w:rsidRPr="00F036D1">
        <w:rPr>
          <w:rStyle w:val="normaltextrun"/>
          <w:rFonts w:ascii="Arial Narrow" w:hAnsi="Arial Narrow" w:cs="Arial"/>
          <w:lang w:val="fr-CI"/>
        </w:rPr>
        <w:t>en 2020 à 11,55 en 2024 pour 10 000 habitants. De même, la disponibilité des produits de santé a été renforcée. Ainsi on observe la hausse du taux de disponibilité des produits traceurs au niveau des sites clients directs de la NPSP (82,9% en 2021 à 84% en 2023) et le taux de disponibilité des produits sanguins labiles s’est amélioré passant de 79,8% en 2020 à 100% en 2023.</w:t>
      </w:r>
    </w:p>
    <w:p w14:paraId="1C1062DC" w14:textId="77777777" w:rsidR="004330B0" w:rsidRPr="00E81938" w:rsidRDefault="004330B0" w:rsidP="004330B0">
      <w:pPr>
        <w:pStyle w:val="Paragraphedeliste"/>
        <w:numPr>
          <w:ilvl w:val="0"/>
          <w:numId w:val="66"/>
        </w:numPr>
        <w:ind w:left="0" w:hanging="426"/>
        <w:jc w:val="both"/>
        <w:rPr>
          <w:rFonts w:ascii="Arial Narrow" w:hAnsi="Arial Narrow" w:cs="Arial"/>
          <w:sz w:val="24"/>
          <w:szCs w:val="24"/>
        </w:rPr>
      </w:pPr>
      <w:r w:rsidRPr="00E81938">
        <w:rPr>
          <w:rFonts w:ascii="Arial Narrow" w:hAnsi="Arial Narrow" w:cs="Arial"/>
          <w:sz w:val="24"/>
          <w:szCs w:val="24"/>
        </w:rPr>
        <w:t>Infrastructures et équipements</w:t>
      </w:r>
    </w:p>
    <w:p w14:paraId="3BAD6013" w14:textId="77777777" w:rsidR="004330B0" w:rsidRPr="00E81938" w:rsidRDefault="004330B0" w:rsidP="004330B0">
      <w:pPr>
        <w:jc w:val="both"/>
        <w:rPr>
          <w:rFonts w:ascii="Arial Narrow" w:hAnsi="Arial Narrow" w:cs="Arial"/>
          <w:sz w:val="24"/>
          <w:szCs w:val="24"/>
        </w:rPr>
      </w:pPr>
      <w:r w:rsidRPr="00E81938">
        <w:rPr>
          <w:rFonts w:ascii="Arial Narrow" w:eastAsia="Times New Roman" w:hAnsi="Arial Narrow" w:cs="Arial"/>
          <w:kern w:val="0"/>
          <w:sz w:val="24"/>
          <w:szCs w:val="24"/>
          <w:lang w:val="fr-CI" w:eastAsia="fr-FR"/>
          <w14:ligatures w14:val="none"/>
        </w:rPr>
        <w:t>D’importants investissements réalisés entre 2021 et 2023 ont permis d'accroître l'accessibilité aux soins et de renforcer le</w:t>
      </w:r>
      <w:r w:rsidRPr="00E81938" w:rsidDel="00F46489">
        <w:rPr>
          <w:rFonts w:ascii="Arial Narrow" w:eastAsia="Times New Roman" w:hAnsi="Arial Narrow" w:cs="Arial"/>
          <w:color w:val="0078D4"/>
          <w:kern w:val="0"/>
          <w:sz w:val="24"/>
          <w:szCs w:val="24"/>
          <w:lang w:val="fr-CI" w:eastAsia="fr-FR"/>
          <w14:ligatures w14:val="none"/>
        </w:rPr>
        <w:t xml:space="preserve"> </w:t>
      </w:r>
      <w:r w:rsidRPr="00E81938">
        <w:rPr>
          <w:rFonts w:ascii="Arial Narrow" w:eastAsia="Times New Roman" w:hAnsi="Arial Narrow" w:cs="Arial"/>
          <w:kern w:val="0"/>
          <w:sz w:val="24"/>
          <w:szCs w:val="24"/>
          <w:lang w:val="fr-CI" w:eastAsia="fr-FR"/>
          <w14:ligatures w14:val="none"/>
        </w:rPr>
        <w:t xml:space="preserve">plateau technique des établissements sanitaires. </w:t>
      </w:r>
      <w:r w:rsidRPr="00E81938">
        <w:rPr>
          <w:rFonts w:ascii="Arial Narrow" w:hAnsi="Arial Narrow" w:cstheme="minorHAnsi"/>
          <w:sz w:val="24"/>
          <w:szCs w:val="24"/>
        </w:rPr>
        <w:t xml:space="preserve">La proportion de la population vivant à moins de 5km d'un centre de santé, passée de 70,7% en 2020 à 80% au premier semestre 2024 avec une offre de service de plus de 1 600 lits supplémentaires. </w:t>
      </w:r>
      <w:r w:rsidRPr="00E81938">
        <w:rPr>
          <w:rFonts w:ascii="Arial Narrow" w:eastAsia="Times New Roman" w:hAnsi="Arial Narrow" w:cs="Arial"/>
          <w:kern w:val="0"/>
          <w:sz w:val="24"/>
          <w:szCs w:val="24"/>
          <w:lang w:val="fr-CI" w:eastAsia="fr-FR"/>
          <w14:ligatures w14:val="none"/>
        </w:rPr>
        <w:t>Au titre des équipements, on dénombre 15 scanners installés et 04 en voie de livraison ; 09 IRM dont 06 à l’intérieur du pays, 01 à Abidjan et 02 en voie de livraison.</w:t>
      </w:r>
    </w:p>
    <w:p w14:paraId="054B7DB1" w14:textId="77777777" w:rsidR="004330B0" w:rsidRPr="00E81938" w:rsidRDefault="004330B0" w:rsidP="004330B0">
      <w:pPr>
        <w:pStyle w:val="Paragraphedeliste"/>
        <w:numPr>
          <w:ilvl w:val="0"/>
          <w:numId w:val="67"/>
        </w:numPr>
        <w:ind w:left="284" w:hanging="426"/>
        <w:jc w:val="both"/>
        <w:rPr>
          <w:rFonts w:ascii="Arial Narrow" w:hAnsi="Arial Narrow" w:cs="Arial"/>
          <w:sz w:val="24"/>
          <w:szCs w:val="24"/>
        </w:rPr>
      </w:pPr>
      <w:r w:rsidRPr="00E81938">
        <w:rPr>
          <w:rFonts w:ascii="Arial Narrow" w:hAnsi="Arial Narrow" w:cs="Arial"/>
          <w:sz w:val="24"/>
          <w:szCs w:val="24"/>
        </w:rPr>
        <w:t>Prise en charge des groupes spécifiques et prioritaires</w:t>
      </w:r>
    </w:p>
    <w:p w14:paraId="3C219909" w14:textId="77777777" w:rsidR="004330B0" w:rsidRPr="00E81938" w:rsidRDefault="004330B0" w:rsidP="004330B0">
      <w:pPr>
        <w:pStyle w:val="Paragraphedeliste"/>
        <w:numPr>
          <w:ilvl w:val="0"/>
          <w:numId w:val="64"/>
        </w:numPr>
        <w:ind w:left="567" w:hanging="283"/>
        <w:jc w:val="both"/>
        <w:rPr>
          <w:rFonts w:ascii="Arial Narrow" w:hAnsi="Arial Narrow" w:cstheme="minorHAnsi"/>
          <w:sz w:val="24"/>
          <w:szCs w:val="24"/>
        </w:rPr>
      </w:pPr>
      <w:r w:rsidRPr="00E81938">
        <w:rPr>
          <w:rFonts w:ascii="Arial Narrow" w:hAnsi="Arial Narrow" w:cstheme="minorHAnsi"/>
          <w:sz w:val="24"/>
          <w:szCs w:val="24"/>
        </w:rPr>
        <w:t>La prise en charge du couple mère/enfant a connu une nette amélioration. Cela s’est traduit par la réduction des taux de mortalité maternelle, néonatale et infantile de 2012 à 2021</w:t>
      </w:r>
      <w:r>
        <w:rPr>
          <w:rFonts w:ascii="Arial Narrow" w:hAnsi="Arial Narrow" w:cstheme="minorHAnsi"/>
          <w:sz w:val="24"/>
          <w:szCs w:val="24"/>
        </w:rPr>
        <w:t xml:space="preserve"> </w:t>
      </w:r>
      <w:r w:rsidRPr="00E81938">
        <w:rPr>
          <w:rFonts w:ascii="Arial Narrow" w:hAnsi="Arial Narrow" w:cstheme="minorHAnsi"/>
          <w:sz w:val="24"/>
          <w:szCs w:val="24"/>
        </w:rPr>
        <w:t>: la mortalité maternelle est passée de 614 pour 100 000 naissances vivantes à 385 ; la mortalité néonatale est passé de 38‰ naissances vivantes à 30‰</w:t>
      </w:r>
      <w:r w:rsidRPr="00E81938" w:rsidDel="006030A4">
        <w:rPr>
          <w:rFonts w:ascii="Arial Narrow" w:hAnsi="Arial Narrow" w:cstheme="minorHAnsi"/>
          <w:sz w:val="24"/>
          <w:szCs w:val="24"/>
        </w:rPr>
        <w:t xml:space="preserve"> </w:t>
      </w:r>
      <w:r w:rsidRPr="00E81938">
        <w:rPr>
          <w:rFonts w:ascii="Arial Narrow" w:hAnsi="Arial Narrow" w:cstheme="minorHAnsi"/>
          <w:sz w:val="24"/>
          <w:szCs w:val="24"/>
        </w:rPr>
        <w:t>et la mortalité infanto-juvénile de 108‰ à 74‰. Cependant, Cependant, le taux de couverture en CPN4 reste faible, s’établissant à 42% en 2023.</w:t>
      </w:r>
    </w:p>
    <w:p w14:paraId="6FF8CEC6" w14:textId="77777777" w:rsidR="004330B0" w:rsidRDefault="004330B0" w:rsidP="004330B0">
      <w:pPr>
        <w:pStyle w:val="Paragraphedeliste"/>
        <w:numPr>
          <w:ilvl w:val="0"/>
          <w:numId w:val="64"/>
        </w:numPr>
        <w:ind w:left="567" w:hanging="283"/>
        <w:jc w:val="both"/>
        <w:rPr>
          <w:rFonts w:ascii="Arial Narrow" w:hAnsi="Arial Narrow" w:cstheme="minorHAnsi"/>
          <w:sz w:val="24"/>
          <w:szCs w:val="24"/>
        </w:rPr>
      </w:pPr>
      <w:r w:rsidRPr="00E81938">
        <w:rPr>
          <w:rFonts w:ascii="Arial Narrow" w:hAnsi="Arial Narrow" w:cstheme="minorHAnsi"/>
          <w:sz w:val="24"/>
          <w:szCs w:val="24"/>
        </w:rPr>
        <w:t>Au titre de la vaccination, de 2020</w:t>
      </w:r>
      <w:r w:rsidRPr="00E81938" w:rsidDel="00A651CF">
        <w:rPr>
          <w:rFonts w:ascii="Arial Narrow" w:hAnsi="Arial Narrow" w:cstheme="minorHAnsi"/>
          <w:sz w:val="24"/>
          <w:szCs w:val="24"/>
        </w:rPr>
        <w:t xml:space="preserve"> </w:t>
      </w:r>
      <w:r w:rsidRPr="00E81938">
        <w:rPr>
          <w:rFonts w:ascii="Arial Narrow" w:hAnsi="Arial Narrow" w:cstheme="minorHAnsi"/>
          <w:sz w:val="24"/>
          <w:szCs w:val="24"/>
        </w:rPr>
        <w:t>à 2023, pour un objectif de 95%, les taux de couverture vaccinale sont passés de 90% à 97% en Penta 3 et de 86% à 93% en Rougeole Rubéole 1. La couverture vaccinale pour la deuxième dose de tétanos chez les femmes enceintes est passée de 70% à 72%.</w:t>
      </w:r>
    </w:p>
    <w:p w14:paraId="37218056" w14:textId="77777777" w:rsidR="004330B0" w:rsidRPr="00F036D1" w:rsidRDefault="004330B0" w:rsidP="004330B0">
      <w:pPr>
        <w:pStyle w:val="Paragraphedeliste"/>
        <w:numPr>
          <w:ilvl w:val="0"/>
          <w:numId w:val="64"/>
        </w:numPr>
        <w:ind w:left="567" w:hanging="283"/>
        <w:jc w:val="both"/>
        <w:rPr>
          <w:rFonts w:ascii="Arial Narrow" w:hAnsi="Arial Narrow" w:cstheme="minorHAnsi"/>
          <w:sz w:val="24"/>
          <w:szCs w:val="24"/>
        </w:rPr>
      </w:pPr>
      <w:r w:rsidRPr="00F036D1">
        <w:rPr>
          <w:rFonts w:ascii="Arial Narrow" w:hAnsi="Arial Narrow" w:cstheme="minorHAnsi"/>
          <w:sz w:val="24"/>
          <w:szCs w:val="24"/>
        </w:rPr>
        <w:t xml:space="preserve">Les services de santé sexuelle et reproductive sont offerts gratuitement aux adolescents et jeunes dans les </w:t>
      </w:r>
      <w:r w:rsidRPr="007E7C5B">
        <w:rPr>
          <w:rFonts w:ascii="Arial Narrow" w:eastAsia="Bell MT" w:hAnsi="Arial Narrow" w:cs="Bell MT"/>
          <w:sz w:val="24"/>
          <w:szCs w:val="24"/>
          <w:lang w:val="fr"/>
        </w:rPr>
        <w:t>Services de Santé Scolaire et Universitaire – Santé Adolescents et Jeunes</w:t>
      </w:r>
      <w:r>
        <w:rPr>
          <w:rFonts w:ascii="Arial Narrow" w:hAnsi="Arial Narrow" w:cstheme="minorHAnsi"/>
          <w:sz w:val="24"/>
          <w:szCs w:val="24"/>
        </w:rPr>
        <w:t>. Ainsi, l</w:t>
      </w:r>
      <w:r w:rsidRPr="005F4997">
        <w:rPr>
          <w:rFonts w:ascii="Arial Narrow" w:hAnsi="Arial Narrow" w:cstheme="minorHAnsi"/>
          <w:sz w:val="24"/>
          <w:szCs w:val="24"/>
        </w:rPr>
        <w:t>e nombre de nouvelles utilisatrices de méthodes contraceptives modernes a augmenté de 62,96% entre 2021 et 2023, contribuant</w:t>
      </w:r>
      <w:r>
        <w:rPr>
          <w:rFonts w:ascii="Arial Narrow" w:hAnsi="Arial Narrow" w:cstheme="minorHAnsi"/>
          <w:sz w:val="24"/>
          <w:szCs w:val="24"/>
        </w:rPr>
        <w:t xml:space="preserve"> ainsi</w:t>
      </w:r>
      <w:r w:rsidRPr="005F4997">
        <w:rPr>
          <w:rFonts w:ascii="Arial Narrow" w:hAnsi="Arial Narrow" w:cstheme="minorHAnsi"/>
          <w:sz w:val="24"/>
          <w:szCs w:val="24"/>
        </w:rPr>
        <w:t xml:space="preserve"> à la réduction du nombre de grossesses diagnostiquées chez les adolescentes et jeunes, qui est passé de 6 034 en 2021 à 4 520 en 2023.</w:t>
      </w:r>
      <w:r>
        <w:rPr>
          <w:rFonts w:ascii="Arial Narrow" w:hAnsi="Arial Narrow" w:cstheme="minorHAnsi"/>
          <w:sz w:val="24"/>
          <w:szCs w:val="24"/>
        </w:rPr>
        <w:t xml:space="preserve"> </w:t>
      </w:r>
      <w:r w:rsidRPr="00F036D1">
        <w:rPr>
          <w:rFonts w:ascii="Arial Narrow" w:hAnsi="Arial Narrow" w:cstheme="minorHAnsi"/>
          <w:sz w:val="24"/>
          <w:szCs w:val="24"/>
        </w:rPr>
        <w:t>Cependant, le taux de réalisation</w:t>
      </w:r>
      <w:r w:rsidRPr="00F036D1">
        <w:rPr>
          <w:rFonts w:ascii="Arial Narrow" w:eastAsia="Bell MT" w:hAnsi="Arial Narrow" w:cs="Bell MT"/>
          <w:sz w:val="24"/>
          <w:szCs w:val="24"/>
          <w:lang w:val="fr"/>
        </w:rPr>
        <w:t xml:space="preserve"> de la visite médicale systématique au connu une baisse de 2020 à 2023 passant de 30,23% à 21,65%.</w:t>
      </w:r>
    </w:p>
    <w:p w14:paraId="1B452734" w14:textId="77777777" w:rsidR="004330B0" w:rsidRPr="00E81938" w:rsidRDefault="004330B0" w:rsidP="004330B0">
      <w:pPr>
        <w:pStyle w:val="Paragraphedeliste"/>
        <w:ind w:left="284"/>
        <w:jc w:val="both"/>
        <w:rPr>
          <w:rFonts w:cs="Arial"/>
          <w:highlight w:val="yellow"/>
        </w:rPr>
      </w:pPr>
    </w:p>
    <w:p w14:paraId="46FDC610" w14:textId="77777777" w:rsidR="004330B0" w:rsidRPr="00E81938" w:rsidRDefault="004330B0" w:rsidP="004330B0">
      <w:pPr>
        <w:pStyle w:val="Paragraphedeliste"/>
        <w:numPr>
          <w:ilvl w:val="0"/>
          <w:numId w:val="67"/>
        </w:numPr>
        <w:ind w:left="567"/>
        <w:jc w:val="both"/>
        <w:rPr>
          <w:rFonts w:ascii="Arial Narrow" w:hAnsi="Arial Narrow" w:cs="Arial"/>
          <w:sz w:val="24"/>
          <w:szCs w:val="24"/>
        </w:rPr>
      </w:pPr>
      <w:r w:rsidRPr="00E81938">
        <w:rPr>
          <w:rFonts w:ascii="Arial Narrow" w:hAnsi="Arial Narrow" w:cs="Arial"/>
          <w:sz w:val="24"/>
          <w:szCs w:val="24"/>
        </w:rPr>
        <w:t>Lutte contre les maladies transmissibles et tropicales négligées</w:t>
      </w:r>
    </w:p>
    <w:p w14:paraId="10A43B4B" w14:textId="77777777" w:rsidR="004330B0" w:rsidRPr="00F036D1" w:rsidRDefault="004330B0" w:rsidP="004330B0">
      <w:pPr>
        <w:pStyle w:val="NormalWeb"/>
        <w:numPr>
          <w:ilvl w:val="0"/>
          <w:numId w:val="78"/>
        </w:numPr>
        <w:rPr>
          <w:rFonts w:ascii="Arial Narrow" w:eastAsiaTheme="minorHAnsi" w:hAnsi="Arial Narrow"/>
          <w:kern w:val="2"/>
          <w:lang w:eastAsia="en-US"/>
          <w14:ligatures w14:val="standardContextual"/>
        </w:rPr>
      </w:pPr>
      <w:r w:rsidRPr="00F036D1">
        <w:rPr>
          <w:rFonts w:ascii="Arial Narrow" w:eastAsiaTheme="minorHAnsi" w:hAnsi="Arial Narrow"/>
          <w:kern w:val="2"/>
          <w:lang w:eastAsia="en-US"/>
          <w14:ligatures w14:val="standardContextual"/>
        </w:rPr>
        <w:t xml:space="preserve">Le paludisme demeure un défi majeur de santé publique, avec une augmentation de l’incidence dans la population générale, passant de 173‰ en 2020 à 269‰ en 2023. En revanche, des progrès significatifs ont été réalisés dans la lutte contre le VIH/Sida, avec une </w:t>
      </w:r>
      <w:r w:rsidRPr="00F036D1">
        <w:rPr>
          <w:rFonts w:ascii="Arial Narrow" w:eastAsiaTheme="minorHAnsi" w:hAnsi="Arial Narrow"/>
          <w:kern w:val="2"/>
          <w:lang w:eastAsia="en-US"/>
          <w14:ligatures w14:val="standardContextual"/>
        </w:rPr>
        <w:lastRenderedPageBreak/>
        <w:t>baisse de la prévalence de 2,5% en 2018 à 1,82% en 2023. De même, l’incidence de la tuberculose a diminué, passant de 137 cas pour 100 000 habitants en 2020 à 123 cas pour 100 000 habitants en 2023. Malgré ces avancées, des efforts supplémentaires sont nécessaires pour atteindre les objectifs fixés</w:t>
      </w:r>
      <w:r>
        <w:rPr>
          <w:rFonts w:ascii="Arial Narrow" w:eastAsiaTheme="minorHAnsi" w:hAnsi="Arial Narrow"/>
          <w:kern w:val="2"/>
          <w:lang w:eastAsia="en-US"/>
          <w14:ligatures w14:val="standardContextual"/>
        </w:rPr>
        <w:t>.</w:t>
      </w:r>
    </w:p>
    <w:p w14:paraId="078359CE" w14:textId="4B555B03" w:rsidR="004330B0" w:rsidRDefault="004330B0" w:rsidP="004330B0">
      <w:pPr>
        <w:pStyle w:val="Paragraphedeliste"/>
        <w:numPr>
          <w:ilvl w:val="0"/>
          <w:numId w:val="28"/>
        </w:numPr>
        <w:ind w:left="709"/>
        <w:jc w:val="both"/>
        <w:rPr>
          <w:rFonts w:ascii="Arial Narrow" w:hAnsi="Arial Narrow" w:cs="Times New Roman"/>
          <w:sz w:val="24"/>
          <w:szCs w:val="24"/>
        </w:rPr>
      </w:pPr>
      <w:r w:rsidRPr="00F036D1">
        <w:rPr>
          <w:rFonts w:ascii="Arial Narrow" w:hAnsi="Arial Narrow" w:cs="Times New Roman"/>
          <w:sz w:val="24"/>
          <w:szCs w:val="24"/>
        </w:rPr>
        <w:t xml:space="preserve">La couverture thérapeutique des </w:t>
      </w:r>
      <w:r w:rsidRPr="00F036D1">
        <w:rPr>
          <w:rFonts w:ascii="Arial Narrow" w:eastAsia="Calibri" w:hAnsi="Arial Narrow" w:cs="Arial"/>
          <w:sz w:val="24"/>
          <w:szCs w:val="24"/>
        </w:rPr>
        <w:t xml:space="preserve">Maladies Tropicales Négligés à </w:t>
      </w:r>
      <w:proofErr w:type="spellStart"/>
      <w:r w:rsidRPr="00F036D1">
        <w:rPr>
          <w:rFonts w:ascii="Arial Narrow" w:eastAsia="Calibri" w:hAnsi="Arial Narrow" w:cs="Arial"/>
          <w:sz w:val="24"/>
          <w:szCs w:val="24"/>
        </w:rPr>
        <w:t>Chimio-Prophylaxie</w:t>
      </w:r>
      <w:proofErr w:type="spellEnd"/>
      <w:r w:rsidRPr="00F036D1">
        <w:rPr>
          <w:rFonts w:ascii="Arial Narrow" w:hAnsi="Arial Narrow" w:cs="Times New Roman"/>
          <w:sz w:val="24"/>
          <w:szCs w:val="24"/>
        </w:rPr>
        <w:t xml:space="preserve"> est passée de 86,82% en 2021 à 94,7% en 2023 pour une cible fixé</w:t>
      </w:r>
      <w:r w:rsidR="00F70382">
        <w:rPr>
          <w:rFonts w:ascii="Arial Narrow" w:hAnsi="Arial Narrow" w:cs="Times New Roman"/>
          <w:sz w:val="24"/>
          <w:szCs w:val="24"/>
        </w:rPr>
        <w:t>e</w:t>
      </w:r>
      <w:r w:rsidRPr="00F036D1">
        <w:rPr>
          <w:rFonts w:ascii="Arial Narrow" w:hAnsi="Arial Narrow" w:cs="Times New Roman"/>
          <w:sz w:val="24"/>
          <w:szCs w:val="24"/>
        </w:rPr>
        <w:t xml:space="preserve"> à 65%. Pour ce qui des </w:t>
      </w:r>
      <w:r w:rsidRPr="00F036D1">
        <w:rPr>
          <w:rFonts w:ascii="Arial Narrow" w:eastAsia="Calibri" w:hAnsi="Arial Narrow" w:cs="Arial"/>
          <w:sz w:val="24"/>
          <w:szCs w:val="24"/>
        </w:rPr>
        <w:t>Maladies Tropicales Négligées à Prise en charge de Cas</w:t>
      </w:r>
      <w:r>
        <w:rPr>
          <w:rFonts w:ascii="Arial Narrow" w:eastAsia="Calibri" w:hAnsi="Arial Narrow" w:cs="Arial"/>
          <w:sz w:val="24"/>
          <w:szCs w:val="24"/>
        </w:rPr>
        <w:t>, elle est restée stable</w:t>
      </w:r>
      <w:r>
        <w:rPr>
          <w:rFonts w:ascii="Arial Narrow" w:hAnsi="Arial Narrow" w:cs="Times New Roman"/>
          <w:sz w:val="24"/>
          <w:szCs w:val="24"/>
        </w:rPr>
        <w:t xml:space="preserve"> à</w:t>
      </w:r>
      <w:r w:rsidRPr="00F036D1">
        <w:rPr>
          <w:rFonts w:ascii="Arial Narrow" w:hAnsi="Arial Narrow" w:cs="Times New Roman"/>
          <w:sz w:val="24"/>
          <w:szCs w:val="24"/>
        </w:rPr>
        <w:t xml:space="preserve"> 100%</w:t>
      </w:r>
      <w:r>
        <w:rPr>
          <w:rFonts w:ascii="Arial Narrow" w:hAnsi="Arial Narrow" w:cs="Times New Roman"/>
          <w:sz w:val="24"/>
          <w:szCs w:val="24"/>
        </w:rPr>
        <w:t>.</w:t>
      </w:r>
    </w:p>
    <w:p w14:paraId="5518F818" w14:textId="77777777" w:rsidR="004330B0" w:rsidRPr="00E81938" w:rsidRDefault="004330B0" w:rsidP="004330B0">
      <w:pPr>
        <w:pStyle w:val="Paragraphedeliste"/>
        <w:ind w:left="426"/>
        <w:jc w:val="both"/>
        <w:rPr>
          <w:rFonts w:ascii="Arial Narrow" w:hAnsi="Arial Narrow" w:cs="Times New Roman"/>
          <w:sz w:val="24"/>
          <w:szCs w:val="24"/>
        </w:rPr>
      </w:pPr>
    </w:p>
    <w:p w14:paraId="39F29CC4" w14:textId="77777777" w:rsidR="004330B0" w:rsidRPr="00F036D1" w:rsidRDefault="004330B0" w:rsidP="004330B0">
      <w:pPr>
        <w:pStyle w:val="Paragraphedeliste"/>
        <w:numPr>
          <w:ilvl w:val="0"/>
          <w:numId w:val="67"/>
        </w:numPr>
        <w:ind w:left="426"/>
        <w:jc w:val="both"/>
        <w:rPr>
          <w:rFonts w:ascii="Arial Narrow" w:hAnsi="Arial Narrow" w:cs="Arial"/>
          <w:sz w:val="24"/>
          <w:szCs w:val="24"/>
        </w:rPr>
      </w:pPr>
      <w:r w:rsidRPr="00F036D1">
        <w:rPr>
          <w:rFonts w:ascii="Arial Narrow" w:hAnsi="Arial Narrow" w:cs="Arial"/>
          <w:sz w:val="24"/>
          <w:szCs w:val="24"/>
        </w:rPr>
        <w:t>Lutte contre les maladies non transmissibles</w:t>
      </w:r>
    </w:p>
    <w:p w14:paraId="2B74E232" w14:textId="77777777" w:rsidR="004330B0" w:rsidRDefault="004330B0" w:rsidP="004330B0">
      <w:pPr>
        <w:pStyle w:val="Paragraphedeliste"/>
        <w:numPr>
          <w:ilvl w:val="0"/>
          <w:numId w:val="77"/>
        </w:numPr>
        <w:ind w:left="709" w:hanging="283"/>
        <w:jc w:val="both"/>
        <w:rPr>
          <w:rFonts w:ascii="Arial Narrow" w:hAnsi="Arial Narrow" w:cs="Arial"/>
          <w:sz w:val="24"/>
          <w:szCs w:val="24"/>
        </w:rPr>
      </w:pPr>
      <w:r w:rsidRPr="00E81938">
        <w:rPr>
          <w:rFonts w:ascii="Arial Narrow" w:hAnsi="Arial Narrow" w:cs="Arial"/>
          <w:sz w:val="24"/>
          <w:szCs w:val="24"/>
        </w:rPr>
        <w:t xml:space="preserve">En santé mentale, 60 services sont </w:t>
      </w:r>
      <w:r>
        <w:rPr>
          <w:rFonts w:ascii="Arial Narrow" w:hAnsi="Arial Narrow" w:cs="Arial"/>
          <w:sz w:val="24"/>
          <w:szCs w:val="24"/>
        </w:rPr>
        <w:t xml:space="preserve">disponibles, </w:t>
      </w:r>
      <w:r w:rsidRPr="00E81938">
        <w:rPr>
          <w:rFonts w:ascii="Arial Narrow" w:hAnsi="Arial Narrow" w:cs="Arial"/>
          <w:sz w:val="24"/>
          <w:szCs w:val="24"/>
        </w:rPr>
        <w:t>répartis sur les 10 PRES, dont 65% au PRES d’Abidjan, 10% à Yamoussoukro et 5% à Bouaké.</w:t>
      </w:r>
    </w:p>
    <w:p w14:paraId="3E166D95" w14:textId="77777777" w:rsidR="004330B0" w:rsidRDefault="004330B0" w:rsidP="004330B0">
      <w:pPr>
        <w:pStyle w:val="Paragraphedeliste"/>
        <w:numPr>
          <w:ilvl w:val="0"/>
          <w:numId w:val="77"/>
        </w:numPr>
        <w:ind w:left="709" w:hanging="283"/>
        <w:jc w:val="both"/>
        <w:rPr>
          <w:rFonts w:ascii="Arial Narrow" w:hAnsi="Arial Narrow" w:cs="Arial"/>
          <w:sz w:val="24"/>
          <w:szCs w:val="24"/>
        </w:rPr>
      </w:pPr>
      <w:r w:rsidRPr="00E81938">
        <w:rPr>
          <w:rFonts w:ascii="Arial Narrow" w:hAnsi="Arial Narrow" w:cs="Arial"/>
          <w:sz w:val="24"/>
          <w:szCs w:val="24"/>
        </w:rPr>
        <w:t>La proportion des régions sanitaires équipées d’unités de prise en charge pour le diabète et l’HTA est passée de 54,5% en 2020 à 66,67% en 2023.</w:t>
      </w:r>
    </w:p>
    <w:p w14:paraId="7D76C9A9" w14:textId="77777777" w:rsidR="004330B0" w:rsidRDefault="004330B0" w:rsidP="004330B0">
      <w:pPr>
        <w:pStyle w:val="Paragraphedeliste"/>
        <w:numPr>
          <w:ilvl w:val="0"/>
          <w:numId w:val="77"/>
        </w:numPr>
        <w:ind w:left="709" w:hanging="283"/>
        <w:jc w:val="both"/>
        <w:rPr>
          <w:rFonts w:ascii="Arial Narrow" w:hAnsi="Arial Narrow" w:cs="Arial"/>
          <w:sz w:val="24"/>
          <w:szCs w:val="24"/>
        </w:rPr>
      </w:pPr>
      <w:r w:rsidRPr="00E81938">
        <w:rPr>
          <w:rFonts w:ascii="Arial Narrow" w:hAnsi="Arial Narrow" w:cs="Arial"/>
          <w:sz w:val="24"/>
          <w:szCs w:val="24"/>
        </w:rPr>
        <w:t>Entre 2021 et 2023, 138</w:t>
      </w:r>
      <w:r w:rsidRPr="00E81938">
        <w:rPr>
          <w:rFonts w:ascii="Arial" w:hAnsi="Arial" w:cs="Arial"/>
          <w:sz w:val="24"/>
          <w:szCs w:val="24"/>
        </w:rPr>
        <w:t> </w:t>
      </w:r>
      <w:r w:rsidRPr="00E81938">
        <w:rPr>
          <w:rFonts w:ascii="Arial Narrow" w:hAnsi="Arial Narrow" w:cs="Arial"/>
          <w:sz w:val="24"/>
          <w:szCs w:val="24"/>
        </w:rPr>
        <w:t xml:space="preserve">162 femmes </w:t>
      </w:r>
      <w:r w:rsidRPr="00E81938">
        <w:rPr>
          <w:rFonts w:ascii="Arial Narrow" w:hAnsi="Arial Narrow" w:cs="Arial Narrow"/>
          <w:sz w:val="24"/>
          <w:szCs w:val="24"/>
        </w:rPr>
        <w:t>â</w:t>
      </w:r>
      <w:r w:rsidRPr="00E81938">
        <w:rPr>
          <w:rFonts w:ascii="Arial Narrow" w:hAnsi="Arial Narrow" w:cs="Arial"/>
          <w:sz w:val="24"/>
          <w:szCs w:val="24"/>
        </w:rPr>
        <w:t>g</w:t>
      </w:r>
      <w:r w:rsidRPr="00E81938">
        <w:rPr>
          <w:rFonts w:ascii="Arial Narrow" w:hAnsi="Arial Narrow" w:cs="Arial Narrow"/>
          <w:sz w:val="24"/>
          <w:szCs w:val="24"/>
        </w:rPr>
        <w:t>é</w:t>
      </w:r>
      <w:r w:rsidRPr="00E81938">
        <w:rPr>
          <w:rFonts w:ascii="Arial Narrow" w:hAnsi="Arial Narrow" w:cs="Arial"/>
          <w:sz w:val="24"/>
          <w:szCs w:val="24"/>
        </w:rPr>
        <w:t xml:space="preserve">es de 25 </w:t>
      </w:r>
      <w:r w:rsidRPr="00E81938">
        <w:rPr>
          <w:rFonts w:ascii="Arial Narrow" w:hAnsi="Arial Narrow" w:cs="Arial Narrow"/>
          <w:sz w:val="24"/>
          <w:szCs w:val="24"/>
        </w:rPr>
        <w:t>à</w:t>
      </w:r>
      <w:r w:rsidRPr="00E81938">
        <w:rPr>
          <w:rFonts w:ascii="Arial Narrow" w:hAnsi="Arial Narrow" w:cs="Arial"/>
          <w:sz w:val="24"/>
          <w:szCs w:val="24"/>
        </w:rPr>
        <w:t xml:space="preserve"> 49 ans ont </w:t>
      </w:r>
      <w:r w:rsidRPr="00E81938">
        <w:rPr>
          <w:rFonts w:ascii="Arial Narrow" w:hAnsi="Arial Narrow" w:cs="Arial Narrow"/>
          <w:sz w:val="24"/>
          <w:szCs w:val="24"/>
        </w:rPr>
        <w:t>é</w:t>
      </w:r>
      <w:r w:rsidRPr="00E81938">
        <w:rPr>
          <w:rFonts w:ascii="Arial Narrow" w:hAnsi="Arial Narrow" w:cs="Arial"/>
          <w:sz w:val="24"/>
          <w:szCs w:val="24"/>
        </w:rPr>
        <w:t>t</w:t>
      </w:r>
      <w:r w:rsidRPr="00E81938">
        <w:rPr>
          <w:rFonts w:ascii="Arial Narrow" w:hAnsi="Arial Narrow" w:cs="Arial Narrow"/>
          <w:sz w:val="24"/>
          <w:szCs w:val="24"/>
        </w:rPr>
        <w:t>é</w:t>
      </w:r>
      <w:r w:rsidRPr="00E81938">
        <w:rPr>
          <w:rFonts w:ascii="Arial Narrow" w:hAnsi="Arial Narrow" w:cs="Arial"/>
          <w:sz w:val="24"/>
          <w:szCs w:val="24"/>
        </w:rPr>
        <w:t xml:space="preserve"> d</w:t>
      </w:r>
      <w:r w:rsidRPr="00E81938">
        <w:rPr>
          <w:rFonts w:ascii="Arial Narrow" w:hAnsi="Arial Narrow" w:cs="Arial Narrow"/>
          <w:sz w:val="24"/>
          <w:szCs w:val="24"/>
        </w:rPr>
        <w:t>é</w:t>
      </w:r>
      <w:r w:rsidRPr="00E81938">
        <w:rPr>
          <w:rFonts w:ascii="Arial Narrow" w:hAnsi="Arial Narrow" w:cs="Arial"/>
          <w:sz w:val="24"/>
          <w:szCs w:val="24"/>
        </w:rPr>
        <w:t>pist</w:t>
      </w:r>
      <w:r w:rsidRPr="00E81938">
        <w:rPr>
          <w:rFonts w:ascii="Arial Narrow" w:hAnsi="Arial Narrow" w:cs="Arial Narrow"/>
          <w:sz w:val="24"/>
          <w:szCs w:val="24"/>
        </w:rPr>
        <w:t>é</w:t>
      </w:r>
      <w:r w:rsidRPr="00E81938">
        <w:rPr>
          <w:rFonts w:ascii="Arial Narrow" w:hAnsi="Arial Narrow" w:cs="Arial"/>
          <w:sz w:val="24"/>
          <w:szCs w:val="24"/>
        </w:rPr>
        <w:t>es pour le cancer du col de l</w:t>
      </w:r>
      <w:r w:rsidRPr="00E81938">
        <w:rPr>
          <w:rFonts w:ascii="Arial Narrow" w:hAnsi="Arial Narrow" w:cs="Arial Narrow"/>
          <w:sz w:val="24"/>
          <w:szCs w:val="24"/>
        </w:rPr>
        <w:t>’</w:t>
      </w:r>
      <w:r w:rsidRPr="00E81938">
        <w:rPr>
          <w:rFonts w:ascii="Arial Narrow" w:hAnsi="Arial Narrow" w:cs="Arial"/>
          <w:sz w:val="24"/>
          <w:szCs w:val="24"/>
        </w:rPr>
        <w:t>ut</w:t>
      </w:r>
      <w:r w:rsidRPr="00E81938">
        <w:rPr>
          <w:rFonts w:ascii="Arial Narrow" w:hAnsi="Arial Narrow" w:cs="Arial Narrow"/>
          <w:sz w:val="24"/>
          <w:szCs w:val="24"/>
        </w:rPr>
        <w:t>é</w:t>
      </w:r>
      <w:r w:rsidRPr="00E81938">
        <w:rPr>
          <w:rFonts w:ascii="Arial Narrow" w:hAnsi="Arial Narrow" w:cs="Arial"/>
          <w:sz w:val="24"/>
          <w:szCs w:val="24"/>
        </w:rPr>
        <w:t>rus, et 66,7% des cas positifs ont re</w:t>
      </w:r>
      <w:r w:rsidRPr="00E81938">
        <w:rPr>
          <w:rFonts w:ascii="Arial Narrow" w:hAnsi="Arial Narrow" w:cs="Arial Narrow"/>
          <w:sz w:val="24"/>
          <w:szCs w:val="24"/>
        </w:rPr>
        <w:t>ç</w:t>
      </w:r>
      <w:r w:rsidRPr="00E81938">
        <w:rPr>
          <w:rFonts w:ascii="Arial Narrow" w:hAnsi="Arial Narrow" w:cs="Arial"/>
          <w:sz w:val="24"/>
          <w:szCs w:val="24"/>
        </w:rPr>
        <w:t xml:space="preserve">u un traitement. Le taux de survie </w:t>
      </w:r>
      <w:r w:rsidRPr="00E81938">
        <w:rPr>
          <w:rFonts w:ascii="Arial Narrow" w:hAnsi="Arial Narrow" w:cs="Arial Narrow"/>
          <w:sz w:val="24"/>
          <w:szCs w:val="24"/>
        </w:rPr>
        <w:t>à</w:t>
      </w:r>
      <w:r w:rsidRPr="00E81938">
        <w:rPr>
          <w:rFonts w:ascii="Arial Narrow" w:hAnsi="Arial Narrow" w:cs="Arial"/>
          <w:sz w:val="24"/>
          <w:szCs w:val="24"/>
        </w:rPr>
        <w:t xml:space="preserve"> 5 ans pour les femmes atteintes de cancer du sein a progress</w:t>
      </w:r>
      <w:r w:rsidRPr="00E81938">
        <w:rPr>
          <w:rFonts w:ascii="Arial Narrow" w:hAnsi="Arial Narrow" w:cs="Arial Narrow"/>
          <w:sz w:val="24"/>
          <w:szCs w:val="24"/>
        </w:rPr>
        <w:t>é</w:t>
      </w:r>
      <w:r w:rsidRPr="00E81938">
        <w:rPr>
          <w:rFonts w:ascii="Arial Narrow" w:hAnsi="Arial Narrow" w:cs="Arial"/>
          <w:sz w:val="24"/>
          <w:szCs w:val="24"/>
        </w:rPr>
        <w:t xml:space="preserve"> de 30% en 2017 à 63% en 2023.</w:t>
      </w:r>
    </w:p>
    <w:p w14:paraId="5123651C" w14:textId="77777777" w:rsidR="004330B0" w:rsidRDefault="004330B0" w:rsidP="004330B0">
      <w:pPr>
        <w:pStyle w:val="Paragraphedeliste"/>
        <w:numPr>
          <w:ilvl w:val="0"/>
          <w:numId w:val="77"/>
        </w:numPr>
        <w:ind w:left="709" w:hanging="283"/>
        <w:jc w:val="both"/>
        <w:rPr>
          <w:rFonts w:ascii="Arial Narrow" w:hAnsi="Arial Narrow" w:cs="Arial"/>
          <w:sz w:val="24"/>
          <w:szCs w:val="24"/>
        </w:rPr>
      </w:pPr>
      <w:r>
        <w:rPr>
          <w:rFonts w:ascii="Arial Narrow" w:hAnsi="Arial Narrow" w:cs="Arial"/>
          <w:sz w:val="24"/>
          <w:szCs w:val="24"/>
        </w:rPr>
        <w:t>L</w:t>
      </w:r>
      <w:r w:rsidRPr="00E81938">
        <w:rPr>
          <w:rFonts w:ascii="Arial Narrow" w:hAnsi="Arial Narrow" w:cs="Arial"/>
          <w:sz w:val="24"/>
          <w:szCs w:val="24"/>
        </w:rPr>
        <w:t xml:space="preserve">e taux moyen de contrôle des hypertendus sur six mois a atteint 51%, dépassant la cible de 50%. </w:t>
      </w:r>
    </w:p>
    <w:p w14:paraId="55EAC1CE" w14:textId="77777777" w:rsidR="004330B0" w:rsidRDefault="004330B0" w:rsidP="004330B0">
      <w:pPr>
        <w:pStyle w:val="Paragraphedeliste"/>
        <w:numPr>
          <w:ilvl w:val="0"/>
          <w:numId w:val="77"/>
        </w:numPr>
        <w:ind w:left="709" w:hanging="283"/>
        <w:jc w:val="both"/>
        <w:rPr>
          <w:rFonts w:ascii="Arial Narrow" w:hAnsi="Arial Narrow" w:cs="Arial"/>
          <w:sz w:val="24"/>
          <w:szCs w:val="24"/>
        </w:rPr>
      </w:pPr>
      <w:r w:rsidRPr="00E81938">
        <w:rPr>
          <w:rFonts w:ascii="Arial Narrow" w:hAnsi="Arial Narrow" w:cs="Arial"/>
          <w:sz w:val="24"/>
          <w:szCs w:val="24"/>
        </w:rPr>
        <w:t>Pour l’insuffisance rénale, trois nouveaux centres ont été ouverts à Aboisso, Adzopé et Man, avec 59 générateurs d’hémodialyse.</w:t>
      </w:r>
    </w:p>
    <w:p w14:paraId="2A19E57D" w14:textId="77777777" w:rsidR="004330B0" w:rsidRDefault="004330B0" w:rsidP="004330B0">
      <w:pPr>
        <w:pStyle w:val="Paragraphedeliste"/>
        <w:numPr>
          <w:ilvl w:val="0"/>
          <w:numId w:val="77"/>
        </w:numPr>
        <w:ind w:left="709" w:hanging="283"/>
        <w:jc w:val="both"/>
        <w:rPr>
          <w:rFonts w:ascii="Arial Narrow" w:hAnsi="Arial Narrow" w:cs="Arial"/>
          <w:sz w:val="24"/>
          <w:szCs w:val="24"/>
        </w:rPr>
      </w:pPr>
      <w:r>
        <w:rPr>
          <w:rFonts w:ascii="Arial Narrow" w:hAnsi="Arial Narrow" w:cs="Arial"/>
          <w:sz w:val="24"/>
          <w:szCs w:val="24"/>
        </w:rPr>
        <w:t>L</w:t>
      </w:r>
      <w:r w:rsidRPr="00E81938">
        <w:rPr>
          <w:rFonts w:ascii="Arial Narrow" w:hAnsi="Arial Narrow" w:cs="Arial"/>
          <w:sz w:val="24"/>
          <w:szCs w:val="24"/>
        </w:rPr>
        <w:t>a prévalence du tabagisme en milieu scolaire a chuté de 19,1% en 2020 à 4,7% en 2023</w:t>
      </w:r>
      <w:r>
        <w:rPr>
          <w:rFonts w:ascii="Arial Narrow" w:hAnsi="Arial Narrow" w:cs="Arial"/>
          <w:sz w:val="24"/>
          <w:szCs w:val="24"/>
        </w:rPr>
        <w:t>.</w:t>
      </w:r>
    </w:p>
    <w:p w14:paraId="3E85A43B" w14:textId="77777777" w:rsidR="004330B0" w:rsidRPr="00E81938" w:rsidRDefault="004330B0" w:rsidP="004330B0">
      <w:pPr>
        <w:pStyle w:val="Paragraphedeliste"/>
        <w:ind w:left="709" w:hanging="283"/>
        <w:jc w:val="both"/>
        <w:rPr>
          <w:rFonts w:ascii="Arial Narrow" w:hAnsi="Arial Narrow" w:cs="Arial"/>
          <w:sz w:val="24"/>
          <w:szCs w:val="24"/>
        </w:rPr>
      </w:pPr>
    </w:p>
    <w:p w14:paraId="27FA51A3" w14:textId="77777777" w:rsidR="004330B0" w:rsidRPr="00E81938" w:rsidRDefault="004330B0" w:rsidP="004330B0">
      <w:pPr>
        <w:pStyle w:val="Paragraphedeliste"/>
        <w:numPr>
          <w:ilvl w:val="0"/>
          <w:numId w:val="67"/>
        </w:numPr>
        <w:ind w:left="567" w:hanging="283"/>
        <w:jc w:val="both"/>
        <w:rPr>
          <w:rFonts w:ascii="Arial Narrow" w:eastAsia="Times New Roman" w:hAnsi="Arial Narrow" w:cs="Arial"/>
          <w:kern w:val="0"/>
          <w:sz w:val="24"/>
          <w:szCs w:val="24"/>
          <w:lang w:eastAsia="fr-FR"/>
          <w14:ligatures w14:val="none"/>
        </w:rPr>
      </w:pPr>
      <w:r w:rsidRPr="00E81938">
        <w:rPr>
          <w:rFonts w:ascii="Arial Narrow" w:eastAsia="Times New Roman" w:hAnsi="Arial Narrow" w:cs="Arial"/>
          <w:kern w:val="0"/>
          <w:sz w:val="24"/>
          <w:szCs w:val="24"/>
          <w:lang w:eastAsia="fr-FR"/>
          <w14:ligatures w14:val="none"/>
        </w:rPr>
        <w:t>Gestion des déchets sanitaires</w:t>
      </w:r>
    </w:p>
    <w:p w14:paraId="491AAAC3" w14:textId="77777777" w:rsidR="004330B0" w:rsidRDefault="004330B0" w:rsidP="004330B0">
      <w:pPr>
        <w:pStyle w:val="Textebrut"/>
        <w:jc w:val="both"/>
        <w:rPr>
          <w:rFonts w:ascii="Arial Narrow" w:hAnsi="Arial Narrow" w:cs="Courier New"/>
          <w:sz w:val="24"/>
          <w:szCs w:val="24"/>
        </w:rPr>
      </w:pPr>
      <w:r w:rsidRPr="0059399A">
        <w:rPr>
          <w:rFonts w:ascii="Arial Narrow" w:hAnsi="Arial Narrow" w:cs="Arial"/>
          <w:sz w:val="24"/>
          <w:szCs w:val="24"/>
        </w:rPr>
        <w:t xml:space="preserve"> </w:t>
      </w:r>
      <w:r w:rsidRPr="007E7C5B">
        <w:rPr>
          <w:rFonts w:ascii="Arial Narrow" w:hAnsi="Arial Narrow" w:cs="Courier New"/>
          <w:sz w:val="24"/>
          <w:szCs w:val="24"/>
        </w:rPr>
        <w:t>Les actions menées notamment la contractualisation et la polarisation de la gestion des déchets sanitair</w:t>
      </w:r>
      <w:r>
        <w:rPr>
          <w:rFonts w:ascii="Arial Narrow" w:hAnsi="Arial Narrow" w:cs="Courier New"/>
          <w:sz w:val="24"/>
          <w:szCs w:val="24"/>
        </w:rPr>
        <w:t>es</w:t>
      </w:r>
      <w:r w:rsidRPr="007E7C5B">
        <w:rPr>
          <w:rFonts w:ascii="Arial Narrow" w:hAnsi="Arial Narrow" w:cs="Courier New"/>
          <w:sz w:val="24"/>
          <w:szCs w:val="24"/>
        </w:rPr>
        <w:t xml:space="preserve"> en 2023 ont permis d’améliorer les performances et la généralisation de la pratique de la gestion écologiquement rationnelle des déchets en mutualisant les ressources, faisant passer la proportion de déchet sanitaires détruits de 64% en 2020 à 71% en 2023</w:t>
      </w:r>
      <w:r>
        <w:rPr>
          <w:rFonts w:ascii="Arial Narrow" w:hAnsi="Arial Narrow" w:cs="Courier New"/>
          <w:sz w:val="24"/>
          <w:szCs w:val="24"/>
        </w:rPr>
        <w:t>.</w:t>
      </w:r>
    </w:p>
    <w:p w14:paraId="1F15DECC" w14:textId="77777777" w:rsidR="004330B0" w:rsidRPr="007E7C5B" w:rsidRDefault="004330B0" w:rsidP="004330B0">
      <w:pPr>
        <w:pStyle w:val="Textebrut"/>
        <w:jc w:val="both"/>
        <w:rPr>
          <w:rFonts w:ascii="Arial Narrow" w:hAnsi="Arial Narrow" w:cs="Courier New"/>
          <w:sz w:val="24"/>
          <w:szCs w:val="24"/>
        </w:rPr>
      </w:pPr>
    </w:p>
    <w:p w14:paraId="2510F76D" w14:textId="77777777" w:rsidR="004330B0" w:rsidRPr="0059399A" w:rsidRDefault="004330B0" w:rsidP="004330B0">
      <w:pPr>
        <w:pStyle w:val="Paragraphedeliste"/>
        <w:numPr>
          <w:ilvl w:val="0"/>
          <w:numId w:val="71"/>
        </w:numPr>
        <w:tabs>
          <w:tab w:val="left" w:pos="851"/>
        </w:tabs>
        <w:ind w:left="567" w:hanging="283"/>
        <w:jc w:val="both"/>
        <w:rPr>
          <w:rFonts w:ascii="Arial Narrow" w:hAnsi="Arial Narrow"/>
          <w:sz w:val="24"/>
          <w:szCs w:val="24"/>
        </w:rPr>
      </w:pPr>
      <w:r w:rsidRPr="0059399A">
        <w:rPr>
          <w:rFonts w:ascii="Arial Narrow" w:hAnsi="Arial Narrow"/>
          <w:sz w:val="24"/>
          <w:szCs w:val="24"/>
        </w:rPr>
        <w:t>Nutrition</w:t>
      </w:r>
    </w:p>
    <w:p w14:paraId="16F0D6BC" w14:textId="77777777" w:rsidR="004330B0" w:rsidRPr="00A63166" w:rsidRDefault="004330B0" w:rsidP="004330B0">
      <w:pPr>
        <w:tabs>
          <w:tab w:val="left" w:pos="1800"/>
        </w:tabs>
        <w:jc w:val="both"/>
      </w:pPr>
      <w:r w:rsidRPr="00F036D1">
        <w:rPr>
          <w:rFonts w:ascii="Arial Narrow" w:hAnsi="Arial Narrow"/>
          <w:sz w:val="24"/>
          <w:szCs w:val="24"/>
        </w:rPr>
        <w:t>La disponibilité des services de prise en charge nutritionnelle a s’est améliorée, avec une augmentation du pourcentage d’enfants de moins de cinq ans ayant bénéficié d’une évaluation nutritionnelle, passant de 26% en 2020 à 93% en 2023. Parallèlement, la prévalence de la malnutrition chronique chez cette tranche d’âge a diminué de 5 points, passant de 30% en 2019 à 25% en 2023.</w:t>
      </w:r>
    </w:p>
    <w:p w14:paraId="306A9E60" w14:textId="77777777" w:rsidR="004330B0" w:rsidRPr="00A63166" w:rsidRDefault="004330B0" w:rsidP="004330B0">
      <w:pPr>
        <w:pStyle w:val="Paragraphedeliste"/>
        <w:numPr>
          <w:ilvl w:val="0"/>
          <w:numId w:val="71"/>
        </w:numPr>
        <w:ind w:left="284" w:hanging="284"/>
        <w:jc w:val="both"/>
        <w:rPr>
          <w:rFonts w:ascii="Arial Narrow" w:hAnsi="Arial Narrow" w:cs="Arial"/>
          <w:sz w:val="24"/>
          <w:szCs w:val="24"/>
        </w:rPr>
      </w:pPr>
      <w:r w:rsidRPr="00F036D1">
        <w:rPr>
          <w:rFonts w:ascii="Arial Narrow" w:hAnsi="Arial Narrow" w:cs="Arial"/>
          <w:sz w:val="24"/>
          <w:szCs w:val="24"/>
        </w:rPr>
        <w:t xml:space="preserve">Gestion des urgences sanitaires : </w:t>
      </w:r>
    </w:p>
    <w:p w14:paraId="054A8592" w14:textId="77777777" w:rsidR="004330B0" w:rsidRPr="007B206C" w:rsidRDefault="004330B0" w:rsidP="004330B0">
      <w:pPr>
        <w:pStyle w:val="Paragraphedeliste"/>
        <w:numPr>
          <w:ilvl w:val="0"/>
          <w:numId w:val="74"/>
        </w:numPr>
        <w:ind w:left="567" w:hanging="284"/>
        <w:jc w:val="both"/>
        <w:rPr>
          <w:rFonts w:ascii="Arial Narrow" w:hAnsi="Arial Narrow" w:cs="Arial"/>
          <w:color w:val="000000" w:themeColor="text1"/>
          <w:sz w:val="24"/>
          <w:szCs w:val="24"/>
        </w:rPr>
      </w:pPr>
      <w:r w:rsidRPr="00D67F75">
        <w:rPr>
          <w:rFonts w:ascii="Arial Narrow" w:hAnsi="Arial Narrow" w:cs="Arial"/>
          <w:color w:val="000000" w:themeColor="text1"/>
          <w:sz w:val="24"/>
          <w:szCs w:val="24"/>
        </w:rPr>
        <w:t>Afin d’améliorer la réponse aux épidémies et urgences de santé publique, le pays s’est engagé dans la décentralisation</w:t>
      </w:r>
      <w:r>
        <w:rPr>
          <w:rFonts w:ascii="Arial Narrow" w:hAnsi="Arial Narrow" w:cs="Arial"/>
          <w:color w:val="000000" w:themeColor="text1"/>
          <w:sz w:val="24"/>
          <w:szCs w:val="24"/>
        </w:rPr>
        <w:t xml:space="preserve"> du </w:t>
      </w:r>
      <w:r w:rsidRPr="00D67F75">
        <w:rPr>
          <w:rFonts w:ascii="Arial Narrow" w:hAnsi="Arial Narrow" w:cs="Arial"/>
          <w:color w:val="000000" w:themeColor="text1"/>
          <w:sz w:val="24"/>
          <w:szCs w:val="24"/>
        </w:rPr>
        <w:t xml:space="preserve">COUSP au niveau des pôles régionaux d’excellence avec la mise en place des COUSP régionaux. Ainsi, le pays dispose de 06 COUSP régionaux fonctionnels, soit un taux de couverture 46%. </w:t>
      </w:r>
    </w:p>
    <w:p w14:paraId="16F2EA77" w14:textId="77777777" w:rsidR="004330B0" w:rsidRPr="005F3C78" w:rsidRDefault="004330B0" w:rsidP="004330B0">
      <w:pPr>
        <w:pStyle w:val="Paragraphedeliste"/>
        <w:numPr>
          <w:ilvl w:val="0"/>
          <w:numId w:val="74"/>
        </w:numPr>
        <w:ind w:left="567" w:hanging="284"/>
        <w:jc w:val="both"/>
      </w:pPr>
      <w:r w:rsidRPr="00F036D1">
        <w:rPr>
          <w:rFonts w:ascii="Arial Narrow" w:eastAsia="Times New Roman" w:hAnsi="Arial Narrow" w:cs="Times New Roman"/>
          <w:sz w:val="24"/>
          <w:szCs w:val="24"/>
          <w:lang w:eastAsia="fr-FR"/>
        </w:rPr>
        <w:t>Pour répondre à l'urgence sanitaire de la COVID-19, des capacités de soins supplémentaires ont été mises en place. L</w:t>
      </w:r>
      <w:r w:rsidRPr="00F036D1">
        <w:rPr>
          <w:rFonts w:ascii="Arial Narrow" w:hAnsi="Arial Narrow"/>
          <w:sz w:val="24"/>
          <w:szCs w:val="24"/>
        </w:rPr>
        <w:t>a vaccination ayant été adoptée comme une stratégie majeure de lutte contre le virus,13 390 396 personnes ont été complètement vaccinées, représentant 64,3% de cette population cible.</w:t>
      </w:r>
      <w:r w:rsidRPr="00F036D1">
        <w:rPr>
          <w:rFonts w:ascii="Arial Narrow" w:eastAsia="Times New Roman" w:hAnsi="Arial Narrow" w:cs="Times New Roman"/>
          <w:sz w:val="24"/>
          <w:szCs w:val="24"/>
          <w:lang w:eastAsia="fr-FR"/>
        </w:rPr>
        <w:t xml:space="preserve"> La Côte d'Ivoire a été reconnue comme un modèle dans la sous-région pour sa gestion exemplaire de la pandémie à </w:t>
      </w:r>
      <w:r w:rsidRPr="00F036D1">
        <w:rPr>
          <w:rFonts w:ascii="Arial Narrow" w:hAnsi="Arial Narrow" w:cs="Arial"/>
          <w:sz w:val="24"/>
          <w:szCs w:val="24"/>
        </w:rPr>
        <w:t>COVID-19.</w:t>
      </w:r>
    </w:p>
    <w:p w14:paraId="00198218" w14:textId="77777777" w:rsidR="004330B0" w:rsidRPr="00CE4FE1" w:rsidRDefault="004330B0" w:rsidP="004330B0">
      <w:pPr>
        <w:pStyle w:val="Paragraphedeliste"/>
        <w:jc w:val="both"/>
      </w:pPr>
    </w:p>
    <w:p w14:paraId="6DA0824C" w14:textId="77777777" w:rsidR="004330B0" w:rsidRPr="002629E2" w:rsidRDefault="004330B0" w:rsidP="004330B0">
      <w:pPr>
        <w:jc w:val="both"/>
        <w:rPr>
          <w:rFonts w:ascii="Arial Narrow" w:hAnsi="Arial Narrow" w:cs="Arial"/>
          <w:b/>
          <w:sz w:val="24"/>
          <w:szCs w:val="24"/>
        </w:rPr>
      </w:pPr>
      <w:r w:rsidRPr="002629E2">
        <w:rPr>
          <w:rFonts w:ascii="Arial Narrow" w:hAnsi="Arial Narrow" w:cs="Arial"/>
          <w:b/>
          <w:sz w:val="24"/>
          <w:szCs w:val="24"/>
        </w:rPr>
        <w:lastRenderedPageBreak/>
        <w:t>Axe 3 : Promotion de la santé et lutte contre les maladies</w:t>
      </w:r>
    </w:p>
    <w:p w14:paraId="41B38490" w14:textId="77777777" w:rsidR="004330B0" w:rsidRPr="00F036D1" w:rsidRDefault="004330B0" w:rsidP="004330B0">
      <w:pPr>
        <w:pStyle w:val="Paragraphedeliste"/>
        <w:numPr>
          <w:ilvl w:val="0"/>
          <w:numId w:val="71"/>
        </w:numPr>
        <w:ind w:left="426" w:hanging="284"/>
        <w:rPr>
          <w:rFonts w:ascii="Arial Narrow" w:hAnsi="Arial Narrow" w:cs="Arial"/>
          <w:sz w:val="24"/>
          <w:szCs w:val="24"/>
        </w:rPr>
      </w:pPr>
      <w:r w:rsidRPr="00F036D1">
        <w:rPr>
          <w:rFonts w:ascii="Arial Narrow" w:hAnsi="Arial Narrow" w:cs="Arial"/>
          <w:sz w:val="24"/>
          <w:szCs w:val="24"/>
        </w:rPr>
        <w:t>Santé communautaire</w:t>
      </w:r>
    </w:p>
    <w:p w14:paraId="1EF15F9B" w14:textId="77777777" w:rsidR="004330B0" w:rsidRPr="00F036D1" w:rsidRDefault="004330B0" w:rsidP="004330B0">
      <w:pPr>
        <w:rPr>
          <w:rFonts w:ascii="Arial Narrow" w:eastAsia="Times New Roman" w:hAnsi="Arial Narrow" w:cs="Arial"/>
          <w:kern w:val="0"/>
          <w:sz w:val="24"/>
          <w:szCs w:val="24"/>
          <w:lang w:val="fr-CI" w:eastAsia="fr-FR"/>
          <w14:ligatures w14:val="none"/>
        </w:rPr>
      </w:pPr>
      <w:r w:rsidRPr="00F036D1">
        <w:rPr>
          <w:rFonts w:ascii="Arial Narrow" w:eastAsia="Times New Roman" w:hAnsi="Arial Narrow" w:cs="Arial"/>
          <w:kern w:val="0"/>
          <w:sz w:val="24"/>
          <w:szCs w:val="24"/>
          <w:lang w:val="fr-CI" w:eastAsia="fr-FR"/>
          <w14:ligatures w14:val="none"/>
        </w:rPr>
        <w:t>Le ratio ASC par habitant a connu une nette progression</w:t>
      </w:r>
      <w:r>
        <w:rPr>
          <w:rFonts w:ascii="Arial Narrow" w:eastAsia="Times New Roman" w:hAnsi="Arial Narrow" w:cs="Arial"/>
          <w:kern w:val="0"/>
          <w:sz w:val="24"/>
          <w:szCs w:val="24"/>
          <w:lang w:val="fr-CI" w:eastAsia="fr-FR"/>
          <w14:ligatures w14:val="none"/>
        </w:rPr>
        <w:t>, passant</w:t>
      </w:r>
      <w:r w:rsidRPr="00F036D1">
        <w:rPr>
          <w:rFonts w:ascii="Arial Narrow" w:eastAsia="Times New Roman" w:hAnsi="Arial Narrow" w:cs="Arial"/>
          <w:kern w:val="0"/>
          <w:sz w:val="24"/>
          <w:szCs w:val="24"/>
          <w:lang w:val="fr-CI" w:eastAsia="fr-FR"/>
          <w14:ligatures w14:val="none"/>
        </w:rPr>
        <w:t xml:space="preserve"> de 1 ASC pour 2 034 habitants en 2020 à 1 ASC pour 1 798 habitants en 2023, contribuant ainsi à l’amélioration de la proportion de ménages éligibles adoptant les Pratiques Familiales Essentiels (PFE), qui est passée de 35,10% en 2020 à 70% en 2023</w:t>
      </w:r>
      <w:r>
        <w:rPr>
          <w:rFonts w:ascii="Arial Narrow" w:eastAsia="Times New Roman" w:hAnsi="Arial Narrow" w:cs="Arial"/>
          <w:kern w:val="0"/>
          <w:sz w:val="24"/>
          <w:szCs w:val="24"/>
          <w:lang w:val="fr-CI" w:eastAsia="fr-FR"/>
          <w14:ligatures w14:val="none"/>
        </w:rPr>
        <w:t>.</w:t>
      </w:r>
    </w:p>
    <w:p w14:paraId="2CED883D" w14:textId="77777777" w:rsidR="004330B0" w:rsidRPr="00E81938" w:rsidRDefault="004330B0" w:rsidP="004330B0">
      <w:pPr>
        <w:pStyle w:val="Paragraphedeliste"/>
        <w:numPr>
          <w:ilvl w:val="0"/>
          <w:numId w:val="71"/>
        </w:numPr>
        <w:ind w:left="284"/>
        <w:jc w:val="both"/>
        <w:rPr>
          <w:rFonts w:ascii="Arial Narrow" w:hAnsi="Arial Narrow" w:cs="Arial"/>
          <w:bCs/>
          <w:sz w:val="24"/>
          <w:szCs w:val="24"/>
          <w:highlight w:val="yellow"/>
        </w:rPr>
      </w:pPr>
      <w:r w:rsidRPr="00D9052D">
        <w:rPr>
          <w:rFonts w:ascii="Arial Narrow" w:hAnsi="Arial Narrow"/>
          <w:bCs/>
          <w:sz w:val="24"/>
          <w:szCs w:val="24"/>
        </w:rPr>
        <w:t>M</w:t>
      </w:r>
      <w:r w:rsidRPr="00CE4FE1">
        <w:rPr>
          <w:rFonts w:ascii="Arial Narrow" w:hAnsi="Arial Narrow"/>
          <w:bCs/>
          <w:sz w:val="24"/>
          <w:szCs w:val="24"/>
        </w:rPr>
        <w:t>écanismes et instruments de</w:t>
      </w:r>
      <w:r w:rsidRPr="00E81938">
        <w:rPr>
          <w:rFonts w:ascii="Arial Narrow" w:hAnsi="Arial Narrow"/>
          <w:bCs/>
          <w:sz w:val="24"/>
          <w:szCs w:val="24"/>
        </w:rPr>
        <w:t xml:space="preserve"> protection sociale</w:t>
      </w:r>
    </w:p>
    <w:p w14:paraId="2F905837" w14:textId="1796E2BA" w:rsidR="004330B0" w:rsidRDefault="004330B0" w:rsidP="004330B0">
      <w:pPr>
        <w:ind w:left="-76"/>
        <w:jc w:val="both"/>
        <w:rPr>
          <w:rFonts w:ascii="Arial Narrow" w:hAnsi="Arial Narrow" w:cs="Arial"/>
          <w:sz w:val="24"/>
          <w:szCs w:val="24"/>
        </w:rPr>
      </w:pPr>
      <w:r>
        <w:rPr>
          <w:rFonts w:ascii="Arial Narrow" w:hAnsi="Arial Narrow" w:cs="Arial"/>
          <w:sz w:val="24"/>
          <w:szCs w:val="24"/>
        </w:rPr>
        <w:t>Relativement</w:t>
      </w:r>
      <w:r w:rsidRPr="00F036D1">
        <w:rPr>
          <w:rFonts w:ascii="Arial Narrow" w:hAnsi="Arial Narrow" w:cs="Arial"/>
          <w:sz w:val="24"/>
          <w:szCs w:val="24"/>
        </w:rPr>
        <w:t xml:space="preserve"> </w:t>
      </w:r>
      <w:r>
        <w:rPr>
          <w:rFonts w:ascii="Arial Narrow" w:hAnsi="Arial Narrow" w:cs="Arial"/>
          <w:sz w:val="24"/>
          <w:szCs w:val="24"/>
        </w:rPr>
        <w:t>à</w:t>
      </w:r>
      <w:r w:rsidRPr="00F036D1">
        <w:rPr>
          <w:rFonts w:ascii="Arial Narrow" w:hAnsi="Arial Narrow" w:cs="Arial"/>
          <w:sz w:val="24"/>
          <w:szCs w:val="24"/>
        </w:rPr>
        <w:t xml:space="preserve"> la gratuité ciblée</w:t>
      </w:r>
      <w:r>
        <w:rPr>
          <w:rFonts w:ascii="Arial Narrow" w:hAnsi="Arial Narrow" w:cs="Arial"/>
          <w:sz w:val="24"/>
          <w:szCs w:val="24"/>
        </w:rPr>
        <w:t xml:space="preserve"> en ciblée</w:t>
      </w:r>
      <w:r w:rsidRPr="00F036D1">
        <w:rPr>
          <w:rFonts w:ascii="Arial Narrow" w:hAnsi="Arial Narrow" w:cs="Arial"/>
          <w:sz w:val="24"/>
          <w:szCs w:val="24"/>
        </w:rPr>
        <w:t>,</w:t>
      </w:r>
      <w:r>
        <w:rPr>
          <w:rFonts w:ascii="Arial Narrow" w:hAnsi="Arial Narrow" w:cs="Arial"/>
          <w:sz w:val="24"/>
          <w:szCs w:val="24"/>
        </w:rPr>
        <w:t xml:space="preserve"> en 2023,</w:t>
      </w:r>
      <w:r w:rsidRPr="00F036D1">
        <w:rPr>
          <w:rFonts w:ascii="Arial Narrow" w:hAnsi="Arial Narrow" w:cs="Arial"/>
          <w:sz w:val="24"/>
          <w:szCs w:val="24"/>
        </w:rPr>
        <w:t xml:space="preserve"> </w:t>
      </w:r>
      <w:r w:rsidRPr="007E7C5B">
        <w:rPr>
          <w:rFonts w:ascii="Arial Narrow" w:hAnsi="Arial Narrow" w:cs="Arial"/>
          <w:sz w:val="24"/>
          <w:szCs w:val="24"/>
        </w:rPr>
        <w:t>492 071 kits d’accouchement</w:t>
      </w:r>
      <w:r w:rsidR="007D4F84">
        <w:rPr>
          <w:rFonts w:ascii="Arial Narrow" w:hAnsi="Arial Narrow" w:cs="Arial"/>
          <w:sz w:val="24"/>
          <w:szCs w:val="24"/>
        </w:rPr>
        <w:t xml:space="preserve">, </w:t>
      </w:r>
      <w:r w:rsidRPr="007E7C5B">
        <w:rPr>
          <w:rFonts w:ascii="Arial Narrow" w:hAnsi="Arial Narrow" w:cs="Arial"/>
          <w:sz w:val="24"/>
          <w:szCs w:val="24"/>
        </w:rPr>
        <w:t>53 095 kits de césarienne, 28 867 kits d’épisiotomie, 21 292 kits d’anesthésie générale, 28 087 kits de rachianesthésie, et 1 664 295 produits antipaludiques</w:t>
      </w:r>
      <w:r>
        <w:rPr>
          <w:rFonts w:ascii="Arial Narrow" w:hAnsi="Arial Narrow" w:cs="Arial"/>
          <w:sz w:val="24"/>
          <w:szCs w:val="24"/>
        </w:rPr>
        <w:t xml:space="preserve"> ont été</w:t>
      </w:r>
      <w:r w:rsidRPr="007E7C5B">
        <w:rPr>
          <w:rFonts w:ascii="Arial Narrow" w:hAnsi="Arial Narrow" w:cs="Arial"/>
          <w:sz w:val="24"/>
          <w:szCs w:val="24"/>
        </w:rPr>
        <w:t xml:space="preserve"> distribué dans les établissements sanitaires publics</w:t>
      </w:r>
      <w:r>
        <w:rPr>
          <w:rFonts w:ascii="Arial Narrow" w:hAnsi="Arial Narrow" w:cs="Arial"/>
          <w:sz w:val="24"/>
          <w:szCs w:val="24"/>
        </w:rPr>
        <w:t xml:space="preserve">. Aussi, </w:t>
      </w:r>
      <w:r w:rsidRPr="0059399A">
        <w:rPr>
          <w:rFonts w:ascii="Arial Narrow" w:hAnsi="Arial Narrow" w:cs="Arial"/>
          <w:sz w:val="24"/>
          <w:szCs w:val="24"/>
        </w:rPr>
        <w:t>2 746 189 enfants de moins de cinq ans et 334 033 femmes enceintes atteintes de paludisme ont bénéficié gratuitement d’un traitement antipaludique.</w:t>
      </w:r>
    </w:p>
    <w:p w14:paraId="567925A4" w14:textId="35B9B195" w:rsidR="00D9052D" w:rsidRPr="00F036D1" w:rsidRDefault="00D9052D" w:rsidP="007A001B">
      <w:pPr>
        <w:pStyle w:val="Paragraphedeliste"/>
        <w:ind w:left="-36" w:right="177"/>
        <w:jc w:val="both"/>
        <w:rPr>
          <w:rFonts w:ascii="Arial Narrow" w:hAnsi="Arial Narrow" w:cs="Arial"/>
          <w:sz w:val="24"/>
          <w:szCs w:val="24"/>
        </w:rPr>
      </w:pPr>
      <w:r w:rsidRPr="007A001B">
        <w:rPr>
          <w:rFonts w:ascii="Arial Narrow" w:hAnsi="Arial Narrow" w:cs="Arial"/>
          <w:sz w:val="24"/>
          <w:szCs w:val="24"/>
        </w:rPr>
        <w:t>En collaboration avec le Ministère en charge de la sécurité sociale, le MSHPCMU a entrepris des initiatives afin d'accélérer la généralisation de la C</w:t>
      </w:r>
      <w:r>
        <w:rPr>
          <w:rFonts w:ascii="Arial Narrow" w:hAnsi="Arial Narrow" w:cs="Arial"/>
          <w:sz w:val="24"/>
          <w:szCs w:val="24"/>
        </w:rPr>
        <w:t>ouverture Maladie Universelle (CMU)</w:t>
      </w:r>
      <w:r w:rsidRPr="007A001B">
        <w:rPr>
          <w:rFonts w:ascii="Arial Narrow" w:hAnsi="Arial Narrow" w:cs="Arial"/>
          <w:sz w:val="24"/>
          <w:szCs w:val="24"/>
        </w:rPr>
        <w:t>. Ces actions visent à simplifier les procédures d'enrôlement, à utiliser les structures de santé comme les centres d'enrôlement et à améliorer l'organisation ainsi que l'effectivité des prestations de la CMU dans la majorité des centres de santé. Au 30 Septembre 2024, environ 15 millions des personnes ont été enrôlées avec 5 millions de cartes produites et 4 082 068 de cartes distribuées avec environ 1,8 million de personnes à jour de leur cotisation.</w:t>
      </w:r>
    </w:p>
    <w:p w14:paraId="4F94F778" w14:textId="77777777" w:rsidR="004330B0" w:rsidRDefault="004330B0" w:rsidP="004330B0">
      <w:pPr>
        <w:ind w:left="-76"/>
        <w:jc w:val="both"/>
        <w:rPr>
          <w:rFonts w:ascii="Arial Narrow" w:hAnsi="Arial Narrow" w:cs="Arial"/>
          <w:sz w:val="24"/>
          <w:szCs w:val="24"/>
        </w:rPr>
      </w:pPr>
    </w:p>
    <w:p w14:paraId="20E686FE" w14:textId="77777777" w:rsidR="004330B0" w:rsidRPr="00E81938" w:rsidRDefault="004330B0" w:rsidP="004330B0">
      <w:pPr>
        <w:jc w:val="both"/>
        <w:rPr>
          <w:rFonts w:ascii="Arial Narrow" w:hAnsi="Arial Narrow" w:cs="Arial"/>
          <w:b/>
          <w:bCs/>
          <w:sz w:val="24"/>
          <w:szCs w:val="24"/>
        </w:rPr>
      </w:pPr>
      <w:r w:rsidRPr="00E81938">
        <w:rPr>
          <w:rFonts w:ascii="Arial Narrow" w:hAnsi="Arial Narrow" w:cs="Arial"/>
          <w:b/>
          <w:bCs/>
          <w:sz w:val="24"/>
          <w:szCs w:val="24"/>
        </w:rPr>
        <w:t>Réformes prioritaires</w:t>
      </w:r>
    </w:p>
    <w:p w14:paraId="46D5944B" w14:textId="77777777" w:rsidR="004330B0" w:rsidRPr="00F036D1" w:rsidRDefault="004330B0" w:rsidP="004330B0">
      <w:pPr>
        <w:pStyle w:val="Paragraphedeliste"/>
        <w:numPr>
          <w:ilvl w:val="0"/>
          <w:numId w:val="71"/>
        </w:numPr>
        <w:ind w:left="142" w:hanging="142"/>
        <w:jc w:val="both"/>
        <w:rPr>
          <w:rFonts w:ascii="Arial Narrow" w:hAnsi="Arial Narrow" w:cs="Arial"/>
          <w:sz w:val="24"/>
          <w:szCs w:val="24"/>
        </w:rPr>
      </w:pPr>
      <w:r w:rsidRPr="00F036D1">
        <w:rPr>
          <w:rFonts w:ascii="Arial Narrow" w:hAnsi="Arial Narrow" w:cs="Arial"/>
          <w:sz w:val="24"/>
          <w:szCs w:val="24"/>
        </w:rPr>
        <w:t>L’achat stratégique en santé incluant le financement basé sur la performance (FBP)</w:t>
      </w:r>
    </w:p>
    <w:p w14:paraId="0AA6C8CE" w14:textId="77777777" w:rsidR="004330B0" w:rsidRDefault="004330B0" w:rsidP="004330B0">
      <w:pPr>
        <w:jc w:val="both"/>
        <w:rPr>
          <w:rFonts w:ascii="Arial Narrow" w:eastAsia="Times New Roman" w:hAnsi="Arial Narrow" w:cs="Arial"/>
          <w:kern w:val="0"/>
          <w:sz w:val="24"/>
          <w:szCs w:val="24"/>
          <w:lang w:val="fr-CI" w:eastAsia="fr-FR"/>
          <w14:ligatures w14:val="none"/>
        </w:rPr>
      </w:pPr>
      <w:r w:rsidRPr="003F13B0">
        <w:rPr>
          <w:rFonts w:ascii="Arial Narrow" w:eastAsia="Times New Roman" w:hAnsi="Arial Narrow" w:cs="Arial"/>
          <w:kern w:val="0"/>
          <w:sz w:val="24"/>
          <w:szCs w:val="24"/>
          <w:lang w:val="fr-CI" w:eastAsia="fr-FR"/>
          <w14:ligatures w14:val="none"/>
        </w:rPr>
        <w:t>L</w:t>
      </w:r>
      <w:r>
        <w:rPr>
          <w:rFonts w:ascii="Arial Narrow" w:eastAsia="Times New Roman" w:hAnsi="Arial Narrow" w:cs="Arial"/>
          <w:kern w:val="0"/>
          <w:sz w:val="24"/>
          <w:szCs w:val="24"/>
          <w:lang w:val="fr-CI" w:eastAsia="fr-FR"/>
          <w14:ligatures w14:val="none"/>
        </w:rPr>
        <w:t xml:space="preserve">e </w:t>
      </w:r>
      <w:r w:rsidRPr="003F13B0">
        <w:rPr>
          <w:rFonts w:ascii="Arial Narrow" w:eastAsia="Times New Roman" w:hAnsi="Arial Narrow" w:cs="Arial"/>
          <w:kern w:val="0"/>
          <w:sz w:val="24"/>
          <w:szCs w:val="24"/>
          <w:lang w:val="fr-CI" w:eastAsia="fr-FR"/>
          <w14:ligatures w14:val="none"/>
        </w:rPr>
        <w:t xml:space="preserve">FBP </w:t>
      </w:r>
      <w:r>
        <w:rPr>
          <w:rFonts w:ascii="Arial Narrow" w:eastAsia="Times New Roman" w:hAnsi="Arial Narrow" w:cs="Arial"/>
          <w:kern w:val="0"/>
          <w:sz w:val="24"/>
          <w:szCs w:val="24"/>
          <w:lang w:val="fr-CI" w:eastAsia="fr-FR"/>
          <w14:ligatures w14:val="none"/>
        </w:rPr>
        <w:t xml:space="preserve">a été </w:t>
      </w:r>
      <w:r w:rsidRPr="003F13B0">
        <w:rPr>
          <w:rFonts w:ascii="Arial Narrow" w:eastAsia="Times New Roman" w:hAnsi="Arial Narrow" w:cs="Arial"/>
          <w:kern w:val="0"/>
          <w:sz w:val="24"/>
          <w:szCs w:val="24"/>
          <w:lang w:val="fr-CI" w:eastAsia="fr-FR"/>
          <w14:ligatures w14:val="none"/>
        </w:rPr>
        <w:t>a favorisé l’autonomisation des établissements, les compétences en planification et l’implication des communautés dans la gestion des structures sanitaires</w:t>
      </w:r>
      <w:r>
        <w:rPr>
          <w:rFonts w:ascii="Arial Narrow" w:eastAsia="Times New Roman" w:hAnsi="Arial Narrow" w:cs="Arial"/>
          <w:kern w:val="0"/>
          <w:sz w:val="24"/>
          <w:szCs w:val="24"/>
          <w:lang w:val="fr-CI" w:eastAsia="fr-FR"/>
          <w14:ligatures w14:val="none"/>
        </w:rPr>
        <w:t>. La</w:t>
      </w:r>
      <w:r w:rsidRPr="003F13B0">
        <w:rPr>
          <w:rFonts w:ascii="Arial Narrow" w:eastAsia="Times New Roman" w:hAnsi="Arial Narrow" w:cs="Arial"/>
          <w:kern w:val="0"/>
          <w:sz w:val="24"/>
          <w:szCs w:val="24"/>
          <w:lang w:val="fr-CI" w:eastAsia="fr-FR"/>
          <w14:ligatures w14:val="none"/>
        </w:rPr>
        <w:t xml:space="preserve"> qualité des services fournis par les hôpitaux et les régulateurs a nettement progressé, comme en témoignent les scores moyens de qualité. Dans les ESPC, ce score a évolué de 40,5% à 65%, tandis que pour les EPH, il est passé de 38,0% à 55,8%. S’agissant des DRS et DDS, ce score est passé respectivement de 24,8% à 44,4% et de 34,1% à 54,4%.</w:t>
      </w:r>
    </w:p>
    <w:p w14:paraId="3B724C38" w14:textId="77777777" w:rsidR="004330B0" w:rsidRPr="00E81938" w:rsidRDefault="004330B0" w:rsidP="004330B0">
      <w:pPr>
        <w:pStyle w:val="Paragraphedeliste"/>
        <w:numPr>
          <w:ilvl w:val="0"/>
          <w:numId w:val="76"/>
        </w:numPr>
        <w:jc w:val="both"/>
        <w:rPr>
          <w:rFonts w:ascii="Arial Narrow" w:hAnsi="Arial Narrow" w:cs="Arial"/>
          <w:sz w:val="24"/>
          <w:szCs w:val="24"/>
        </w:rPr>
      </w:pPr>
      <w:r w:rsidRPr="00E81938">
        <w:rPr>
          <w:rFonts w:ascii="Arial Narrow" w:hAnsi="Arial Narrow" w:cs="Arial"/>
          <w:sz w:val="24"/>
          <w:szCs w:val="24"/>
        </w:rPr>
        <w:t>La Couverture Maladie Universelle</w:t>
      </w:r>
    </w:p>
    <w:p w14:paraId="2AE2E1D4" w14:textId="77777777" w:rsidR="004330B0" w:rsidRDefault="004330B0" w:rsidP="004330B0">
      <w:pPr>
        <w:jc w:val="both"/>
        <w:rPr>
          <w:rFonts w:ascii="Arial Narrow" w:hAnsi="Arial Narrow" w:cs="Arial"/>
          <w:sz w:val="24"/>
          <w:szCs w:val="24"/>
        </w:rPr>
      </w:pPr>
      <w:r w:rsidRPr="003F13B0">
        <w:rPr>
          <w:rFonts w:ascii="Arial Narrow" w:hAnsi="Arial Narrow" w:cs="Arial"/>
          <w:sz w:val="24"/>
          <w:szCs w:val="24"/>
        </w:rPr>
        <w:t>La couverture de la CMU au sein des établissements de santé a connu une progression significative depuis 2020. 1 976 établissements de santé publics</w:t>
      </w:r>
      <w:r>
        <w:rPr>
          <w:rFonts w:ascii="Arial Narrow" w:hAnsi="Arial Narrow" w:cs="Arial"/>
          <w:sz w:val="24"/>
          <w:szCs w:val="24"/>
        </w:rPr>
        <w:t xml:space="preserve"> sont conventionnés, </w:t>
      </w:r>
      <w:r w:rsidRPr="003F13B0">
        <w:rPr>
          <w:rFonts w:ascii="Arial Narrow" w:hAnsi="Arial Narrow" w:cs="Arial"/>
          <w:sz w:val="24"/>
          <w:szCs w:val="24"/>
        </w:rPr>
        <w:t>soit 60% en 2023 contre 30% en 2020</w:t>
      </w:r>
      <w:r>
        <w:rPr>
          <w:rFonts w:ascii="Arial Narrow" w:hAnsi="Arial Narrow" w:cs="Arial"/>
          <w:sz w:val="24"/>
          <w:szCs w:val="24"/>
        </w:rPr>
        <w:t xml:space="preserve">. </w:t>
      </w:r>
      <w:r w:rsidRPr="003F13B0">
        <w:rPr>
          <w:rFonts w:ascii="Arial Narrow" w:hAnsi="Arial Narrow" w:cs="Arial"/>
          <w:sz w:val="24"/>
          <w:szCs w:val="24"/>
        </w:rPr>
        <w:t>A ce jour, le taux d’utilisation de la carte CMU se situe à près de 10% des actes médicaux et 84% des usagers à jour de leur cotisation ont bénéficié de l’offre de service CMU</w:t>
      </w:r>
      <w:r>
        <w:rPr>
          <w:rFonts w:ascii="Arial Narrow" w:hAnsi="Arial Narrow" w:cs="Arial"/>
          <w:sz w:val="24"/>
          <w:szCs w:val="24"/>
        </w:rPr>
        <w:t>.</w:t>
      </w:r>
      <w:r w:rsidRPr="003F13B0">
        <w:rPr>
          <w:rFonts w:ascii="Arial Narrow" w:hAnsi="Arial Narrow" w:cs="Arial"/>
          <w:sz w:val="24"/>
          <w:szCs w:val="24"/>
        </w:rPr>
        <w:t xml:space="preserve"> De plus, 170 pathologies y compris l’HTA et le diabète </w:t>
      </w:r>
      <w:r>
        <w:rPr>
          <w:rFonts w:ascii="Arial Narrow" w:hAnsi="Arial Narrow" w:cs="Arial"/>
          <w:sz w:val="24"/>
          <w:szCs w:val="24"/>
        </w:rPr>
        <w:t xml:space="preserve">non compliqué </w:t>
      </w:r>
      <w:r w:rsidRPr="003F13B0">
        <w:rPr>
          <w:rFonts w:ascii="Arial Narrow" w:hAnsi="Arial Narrow" w:cs="Arial"/>
          <w:sz w:val="24"/>
          <w:szCs w:val="24"/>
        </w:rPr>
        <w:t xml:space="preserve">sont prises en charge. </w:t>
      </w:r>
    </w:p>
    <w:p w14:paraId="5CFE418E" w14:textId="77777777" w:rsidR="004330B0" w:rsidRPr="00E81938" w:rsidRDefault="004330B0" w:rsidP="004330B0">
      <w:pPr>
        <w:pStyle w:val="Paragraphedeliste"/>
        <w:numPr>
          <w:ilvl w:val="0"/>
          <w:numId w:val="76"/>
        </w:numPr>
        <w:jc w:val="both"/>
        <w:rPr>
          <w:rFonts w:ascii="Arial Narrow" w:hAnsi="Arial Narrow" w:cs="Arial"/>
          <w:b/>
          <w:bCs/>
          <w:sz w:val="24"/>
          <w:szCs w:val="24"/>
        </w:rPr>
      </w:pPr>
      <w:r>
        <w:rPr>
          <w:rFonts w:ascii="Arial Narrow" w:hAnsi="Arial Narrow" w:cs="Arial"/>
          <w:sz w:val="24"/>
          <w:szCs w:val="24"/>
        </w:rPr>
        <w:t xml:space="preserve">L’intégration et le développement </w:t>
      </w:r>
      <w:r w:rsidRPr="00E81938">
        <w:rPr>
          <w:rFonts w:ascii="Arial Narrow" w:hAnsi="Arial Narrow" w:cs="Arial"/>
          <w:sz w:val="24"/>
          <w:szCs w:val="24"/>
        </w:rPr>
        <w:t>du secteur privé de la santé</w:t>
      </w:r>
    </w:p>
    <w:p w14:paraId="2125BFA0" w14:textId="77777777" w:rsidR="004330B0" w:rsidRDefault="004330B0" w:rsidP="004330B0">
      <w:pPr>
        <w:rPr>
          <w:rFonts w:cs="Arial"/>
        </w:rPr>
      </w:pPr>
      <w:r w:rsidRPr="00F036D1">
        <w:rPr>
          <w:rFonts w:ascii="Arial Narrow" w:hAnsi="Arial Narrow" w:cstheme="minorHAnsi"/>
          <w:sz w:val="24"/>
          <w:szCs w:val="24"/>
        </w:rPr>
        <w:t xml:space="preserve">Dans le cadre de la régulation du secteur privé de la santé, 21 décrets et arrêtés sur les 30 prévus, soit 70%, ont été adoptés et diffusés. </w:t>
      </w:r>
      <w:r>
        <w:rPr>
          <w:rFonts w:ascii="Arial Narrow" w:hAnsi="Arial Narrow" w:cstheme="minorHAnsi"/>
          <w:sz w:val="24"/>
          <w:szCs w:val="24"/>
        </w:rPr>
        <w:t>L</w:t>
      </w:r>
      <w:r w:rsidRPr="00F036D1">
        <w:rPr>
          <w:rFonts w:ascii="Arial Narrow" w:hAnsi="Arial Narrow" w:cstheme="minorHAnsi"/>
          <w:sz w:val="24"/>
          <w:szCs w:val="24"/>
        </w:rPr>
        <w:t>’opération « Zéro clinique illégale d’ici 2025 », lancée en octobre 2022 pour assainir le secteur, a permis à 879 établissements d’obtenir leurs arrêtés d’ouverture et d’exploitation à juillet 2024.</w:t>
      </w:r>
      <w:r w:rsidRPr="00E81938">
        <w:rPr>
          <w:rFonts w:cs="Arial"/>
        </w:rPr>
        <w:t xml:space="preserve"> </w:t>
      </w:r>
    </w:p>
    <w:p w14:paraId="40352B33" w14:textId="77777777" w:rsidR="004330B0" w:rsidRPr="00F036D1" w:rsidRDefault="004330B0" w:rsidP="004330B0">
      <w:pPr>
        <w:pStyle w:val="Paragraphedeliste"/>
        <w:numPr>
          <w:ilvl w:val="0"/>
          <w:numId w:val="76"/>
        </w:numPr>
        <w:rPr>
          <w:rFonts w:ascii="Arial Narrow" w:hAnsi="Arial Narrow" w:cs="Arial"/>
          <w:sz w:val="24"/>
          <w:szCs w:val="24"/>
        </w:rPr>
      </w:pPr>
      <w:r w:rsidRPr="00F036D1">
        <w:rPr>
          <w:rFonts w:ascii="Arial Narrow" w:hAnsi="Arial Narrow" w:cs="Arial"/>
          <w:sz w:val="24"/>
          <w:szCs w:val="24"/>
        </w:rPr>
        <w:lastRenderedPageBreak/>
        <w:t>La Réforme Hospitalière</w:t>
      </w:r>
    </w:p>
    <w:p w14:paraId="52C727B5" w14:textId="77777777" w:rsidR="004330B0" w:rsidRPr="00855AB7" w:rsidRDefault="004330B0" w:rsidP="004330B0">
      <w:pPr>
        <w:jc w:val="both"/>
        <w:rPr>
          <w:rFonts w:ascii="Arial Narrow" w:hAnsi="Arial Narrow" w:cs="Arial"/>
          <w:sz w:val="24"/>
          <w:szCs w:val="24"/>
        </w:rPr>
      </w:pPr>
      <w:r w:rsidRPr="003F13B0">
        <w:rPr>
          <w:rFonts w:ascii="Arial Narrow" w:hAnsi="Arial Narrow" w:cs="Arial"/>
          <w:sz w:val="24"/>
          <w:szCs w:val="24"/>
        </w:rPr>
        <w:t>A fin 2023,</w:t>
      </w:r>
      <w:r w:rsidRPr="003F13B0">
        <w:rPr>
          <w:rFonts w:ascii="Arial Narrow" w:hAnsi="Arial Narrow" w:cs="Arial"/>
          <w:b/>
          <w:sz w:val="24"/>
          <w:szCs w:val="24"/>
        </w:rPr>
        <w:t xml:space="preserve"> </w:t>
      </w:r>
      <w:r w:rsidRPr="00A918AC">
        <w:rPr>
          <w:rFonts w:ascii="Arial Narrow" w:hAnsi="Arial Narrow" w:cs="Arial"/>
          <w:sz w:val="24"/>
          <w:szCs w:val="24"/>
        </w:rPr>
        <w:t>27 décrets</w:t>
      </w:r>
      <w:r w:rsidRPr="003F13B0">
        <w:rPr>
          <w:rFonts w:ascii="Arial Narrow" w:hAnsi="Arial Narrow" w:cs="Arial"/>
          <w:b/>
          <w:sz w:val="24"/>
          <w:szCs w:val="24"/>
        </w:rPr>
        <w:t xml:space="preserve"> </w:t>
      </w:r>
      <w:r w:rsidRPr="003F13B0">
        <w:rPr>
          <w:rFonts w:ascii="Arial Narrow" w:hAnsi="Arial Narrow" w:cs="Arial"/>
          <w:bCs/>
          <w:sz w:val="24"/>
          <w:szCs w:val="24"/>
        </w:rPr>
        <w:t>de</w:t>
      </w:r>
      <w:r w:rsidRPr="003F13B0">
        <w:rPr>
          <w:rFonts w:ascii="Arial Narrow" w:hAnsi="Arial Narrow" w:cs="Arial"/>
          <w:b/>
          <w:sz w:val="24"/>
          <w:szCs w:val="24"/>
        </w:rPr>
        <w:t xml:space="preserve"> </w:t>
      </w:r>
      <w:r w:rsidRPr="003F13B0">
        <w:rPr>
          <w:rFonts w:ascii="Arial Narrow" w:hAnsi="Arial Narrow" w:cs="Arial"/>
          <w:sz w:val="24"/>
          <w:szCs w:val="24"/>
        </w:rPr>
        <w:t>la loi n°2019-678 du 23 juillet 2019, ont été pris sur un total de 51</w:t>
      </w:r>
      <w:r>
        <w:rPr>
          <w:rFonts w:ascii="Arial Narrow" w:hAnsi="Arial Narrow" w:cs="Arial"/>
          <w:sz w:val="24"/>
          <w:szCs w:val="24"/>
        </w:rPr>
        <w:t xml:space="preserve">. </w:t>
      </w:r>
      <w:r w:rsidRPr="003F13B0">
        <w:rPr>
          <w:rFonts w:ascii="Arial Narrow" w:hAnsi="Arial Narrow" w:cs="Arial"/>
          <w:sz w:val="24"/>
          <w:szCs w:val="24"/>
        </w:rPr>
        <w:t xml:space="preserve">Les structures </w:t>
      </w:r>
      <w:r>
        <w:rPr>
          <w:rFonts w:ascii="Arial Narrow" w:hAnsi="Arial Narrow" w:cs="Arial"/>
          <w:sz w:val="24"/>
          <w:szCs w:val="24"/>
        </w:rPr>
        <w:t xml:space="preserve">du deuxième et troisième niveau de la pyramide </w:t>
      </w:r>
      <w:r w:rsidRPr="003F13B0">
        <w:rPr>
          <w:rFonts w:ascii="Arial Narrow" w:hAnsi="Arial Narrow" w:cs="Arial"/>
          <w:sz w:val="24"/>
          <w:szCs w:val="24"/>
        </w:rPr>
        <w:t>sanitaire</w:t>
      </w:r>
      <w:r>
        <w:rPr>
          <w:rFonts w:ascii="Arial Narrow" w:hAnsi="Arial Narrow" w:cs="Arial"/>
          <w:sz w:val="24"/>
          <w:szCs w:val="24"/>
        </w:rPr>
        <w:t xml:space="preserve"> </w:t>
      </w:r>
      <w:r w:rsidRPr="003F13B0">
        <w:rPr>
          <w:rFonts w:ascii="Arial Narrow" w:hAnsi="Arial Narrow" w:cs="Arial"/>
          <w:sz w:val="24"/>
          <w:szCs w:val="24"/>
        </w:rPr>
        <w:t>ont été érigées en Établissements Publics</w:t>
      </w:r>
      <w:r>
        <w:rPr>
          <w:rFonts w:ascii="Arial Narrow" w:hAnsi="Arial Narrow" w:cs="Arial"/>
          <w:sz w:val="24"/>
          <w:szCs w:val="24"/>
        </w:rPr>
        <w:t xml:space="preserve"> Hospitalier (EPH)</w:t>
      </w:r>
      <w:r w:rsidRPr="003F13B0">
        <w:rPr>
          <w:rFonts w:ascii="Arial Narrow" w:hAnsi="Arial Narrow" w:cs="Arial"/>
          <w:sz w:val="24"/>
          <w:szCs w:val="24"/>
        </w:rPr>
        <w:t>, avec une personnalité morale et une autonomie de gestion, afin d’accroitre leurs capacités à dispenser des prestations</w:t>
      </w:r>
      <w:r>
        <w:rPr>
          <w:rFonts w:ascii="Arial Narrow" w:hAnsi="Arial Narrow" w:cs="Arial"/>
          <w:bCs/>
          <w:sz w:val="24"/>
          <w:szCs w:val="24"/>
        </w:rPr>
        <w:t xml:space="preserve">. De plus, les </w:t>
      </w:r>
      <w:r w:rsidRPr="003F13B0">
        <w:rPr>
          <w:rFonts w:ascii="Arial Narrow" w:hAnsi="Arial Narrow" w:cs="Arial"/>
          <w:bCs/>
          <w:sz w:val="24"/>
          <w:szCs w:val="24"/>
        </w:rPr>
        <w:t xml:space="preserve">134 EPH </w:t>
      </w:r>
      <w:r>
        <w:rPr>
          <w:rFonts w:ascii="Arial Narrow" w:hAnsi="Arial Narrow" w:cs="Arial"/>
          <w:bCs/>
          <w:sz w:val="24"/>
          <w:szCs w:val="24"/>
        </w:rPr>
        <w:t>disposent</w:t>
      </w:r>
      <w:r w:rsidRPr="003F13B0">
        <w:rPr>
          <w:rFonts w:ascii="Arial Narrow" w:hAnsi="Arial Narrow" w:cs="Arial"/>
          <w:bCs/>
          <w:sz w:val="24"/>
          <w:szCs w:val="24"/>
        </w:rPr>
        <w:t xml:space="preserve"> désormais des comptes à la Banque du Trésor</w:t>
      </w:r>
      <w:r>
        <w:rPr>
          <w:rFonts w:ascii="Arial Narrow" w:hAnsi="Arial Narrow" w:cs="Arial"/>
          <w:bCs/>
          <w:sz w:val="24"/>
          <w:szCs w:val="24"/>
        </w:rPr>
        <w:t>,</w:t>
      </w:r>
      <w:r w:rsidRPr="003F13B0">
        <w:rPr>
          <w:rFonts w:ascii="Arial Narrow" w:hAnsi="Arial Narrow" w:cs="Arial"/>
          <w:bCs/>
          <w:sz w:val="24"/>
          <w:szCs w:val="24"/>
        </w:rPr>
        <w:t xml:space="preserve"> une avancée en matière de gestion financière des EPH.</w:t>
      </w:r>
    </w:p>
    <w:p w14:paraId="3D4B1EF9" w14:textId="77777777" w:rsidR="004330B0" w:rsidRPr="00F036D1" w:rsidRDefault="004330B0" w:rsidP="004330B0">
      <w:pPr>
        <w:pStyle w:val="Paragraphedeliste"/>
        <w:numPr>
          <w:ilvl w:val="0"/>
          <w:numId w:val="76"/>
        </w:numPr>
        <w:rPr>
          <w:rFonts w:ascii="Arial Narrow" w:hAnsi="Arial Narrow" w:cs="Arial"/>
          <w:sz w:val="24"/>
          <w:szCs w:val="24"/>
        </w:rPr>
      </w:pPr>
      <w:r w:rsidRPr="00F036D1">
        <w:rPr>
          <w:rFonts w:ascii="Arial Narrow" w:hAnsi="Arial Narrow" w:cs="Arial"/>
          <w:sz w:val="24"/>
          <w:szCs w:val="24"/>
        </w:rPr>
        <w:t>Les Pôles Régionaux d’Excellence Santé (PRES)</w:t>
      </w:r>
    </w:p>
    <w:p w14:paraId="05F01698" w14:textId="0B7A34BF" w:rsidR="004330B0" w:rsidRDefault="004330B0" w:rsidP="004330B0">
      <w:pPr>
        <w:jc w:val="both"/>
        <w:rPr>
          <w:rFonts w:ascii="Arial Narrow" w:hAnsi="Arial Narrow" w:cs="Arial"/>
          <w:sz w:val="24"/>
          <w:szCs w:val="24"/>
        </w:rPr>
      </w:pPr>
      <w:r w:rsidRPr="003F13B0">
        <w:rPr>
          <w:rFonts w:ascii="Arial Narrow" w:hAnsi="Arial Narrow" w:cs="Arial"/>
          <w:sz w:val="24"/>
          <w:szCs w:val="24"/>
        </w:rPr>
        <w:t>La stratégie de mise en place de 10 PRES a été institutionnalisée à travers la prise de l’arrêté n°00203 MSHPCMU/CAB du 2 mai 2023 portant création, attribution, organisation et fonctionnement des PRES.</w:t>
      </w:r>
      <w:r w:rsidRPr="00B04800">
        <w:rPr>
          <w:rFonts w:ascii="Arial Narrow" w:hAnsi="Arial Narrow" w:cs="Arial"/>
          <w:sz w:val="24"/>
          <w:szCs w:val="24"/>
        </w:rPr>
        <w:t xml:space="preserve"> </w:t>
      </w:r>
    </w:p>
    <w:p w14:paraId="34347858" w14:textId="053696F5" w:rsidR="00D9052D" w:rsidRPr="003F13B0" w:rsidRDefault="00B85923" w:rsidP="004330B0">
      <w:pPr>
        <w:jc w:val="both"/>
        <w:rPr>
          <w:rFonts w:ascii="Arial Narrow" w:hAnsi="Arial Narrow" w:cs="Arial"/>
          <w:sz w:val="24"/>
          <w:szCs w:val="24"/>
        </w:rPr>
      </w:pPr>
      <w:r w:rsidRPr="003F13B0">
        <w:rPr>
          <w:rFonts w:ascii="Arial Narrow" w:hAnsi="Arial Narrow" w:cs="Arial"/>
          <w:sz w:val="24"/>
          <w:szCs w:val="24"/>
        </w:rPr>
        <w:t>Afin de rendre disponible les services hospitaliers, dispos</w:t>
      </w:r>
      <w:r>
        <w:rPr>
          <w:rFonts w:ascii="Arial Narrow" w:hAnsi="Arial Narrow" w:cs="Arial"/>
          <w:sz w:val="24"/>
          <w:szCs w:val="24"/>
        </w:rPr>
        <w:t>ant</w:t>
      </w:r>
      <w:r w:rsidRPr="003F13B0">
        <w:rPr>
          <w:rFonts w:ascii="Arial Narrow" w:hAnsi="Arial Narrow" w:cs="Arial"/>
          <w:sz w:val="24"/>
          <w:szCs w:val="24"/>
        </w:rPr>
        <w:t xml:space="preserve"> de plateaux techniques de qualité dans </w:t>
      </w:r>
      <w:proofErr w:type="gramStart"/>
      <w:r w:rsidRPr="003F13B0">
        <w:rPr>
          <w:rFonts w:ascii="Arial Narrow" w:hAnsi="Arial Narrow" w:cs="Arial"/>
          <w:sz w:val="24"/>
          <w:szCs w:val="24"/>
        </w:rPr>
        <w:t>les différents PRES</w:t>
      </w:r>
      <w:proofErr w:type="gramEnd"/>
      <w:r w:rsidRPr="003F13B0">
        <w:rPr>
          <w:rFonts w:ascii="Arial Narrow" w:hAnsi="Arial Narrow" w:cs="Arial"/>
          <w:sz w:val="24"/>
          <w:szCs w:val="24"/>
        </w:rPr>
        <w:t>, plusieurs interventions ont été ont été réalisé dans les régions sanitaires.</w:t>
      </w:r>
      <w:r>
        <w:rPr>
          <w:rFonts w:ascii="Arial Narrow" w:hAnsi="Arial Narrow" w:cs="Arial"/>
          <w:sz w:val="24"/>
          <w:szCs w:val="24"/>
        </w:rPr>
        <w:t xml:space="preserve"> A ce jour</w:t>
      </w:r>
      <w:r w:rsidRPr="003F13B0">
        <w:rPr>
          <w:rFonts w:ascii="Arial Narrow" w:hAnsi="Arial Narrow" w:cs="Arial"/>
          <w:sz w:val="24"/>
          <w:szCs w:val="24"/>
        </w:rPr>
        <w:t>, les PRES d’</w:t>
      </w:r>
      <w:r>
        <w:rPr>
          <w:rFonts w:ascii="Arial Narrow" w:hAnsi="Arial Narrow" w:cs="Arial"/>
          <w:sz w:val="24"/>
          <w:szCs w:val="24"/>
        </w:rPr>
        <w:t>A</w:t>
      </w:r>
      <w:r w:rsidRPr="003F13B0">
        <w:rPr>
          <w:rFonts w:ascii="Arial Narrow" w:hAnsi="Arial Narrow" w:cs="Arial"/>
          <w:sz w:val="24"/>
          <w:szCs w:val="24"/>
        </w:rPr>
        <w:t>bidjan</w:t>
      </w:r>
      <w:r>
        <w:rPr>
          <w:rFonts w:ascii="Arial Narrow" w:hAnsi="Arial Narrow" w:cs="Arial"/>
          <w:sz w:val="24"/>
          <w:szCs w:val="24"/>
        </w:rPr>
        <w:t xml:space="preserve">, </w:t>
      </w:r>
      <w:r w:rsidRPr="003F13B0">
        <w:rPr>
          <w:rFonts w:ascii="Arial Narrow" w:hAnsi="Arial Narrow" w:cs="Arial"/>
          <w:sz w:val="24"/>
          <w:szCs w:val="24"/>
        </w:rPr>
        <w:t xml:space="preserve">de Bouaké </w:t>
      </w:r>
      <w:r>
        <w:rPr>
          <w:rFonts w:ascii="Arial Narrow" w:hAnsi="Arial Narrow" w:cs="Arial"/>
          <w:sz w:val="24"/>
          <w:szCs w:val="24"/>
        </w:rPr>
        <w:t>et San Pedro sont</w:t>
      </w:r>
      <w:r w:rsidRPr="003F13B0">
        <w:rPr>
          <w:rFonts w:ascii="Arial Narrow" w:hAnsi="Arial Narrow" w:cs="Arial"/>
          <w:sz w:val="24"/>
          <w:szCs w:val="24"/>
        </w:rPr>
        <w:t xml:space="preserve"> fonctionnel</w:t>
      </w:r>
      <w:r>
        <w:rPr>
          <w:rFonts w:ascii="Arial Narrow" w:hAnsi="Arial Narrow" w:cs="Arial"/>
          <w:sz w:val="24"/>
          <w:szCs w:val="24"/>
        </w:rPr>
        <w:t>s</w:t>
      </w:r>
    </w:p>
    <w:p w14:paraId="669F7A6A" w14:textId="77777777" w:rsidR="004330B0" w:rsidRPr="00E81938" w:rsidRDefault="004330B0" w:rsidP="004330B0">
      <w:pPr>
        <w:pStyle w:val="Paragraphedeliste"/>
        <w:numPr>
          <w:ilvl w:val="0"/>
          <w:numId w:val="75"/>
        </w:numPr>
        <w:jc w:val="both"/>
        <w:rPr>
          <w:rFonts w:ascii="Arial Narrow" w:hAnsi="Arial Narrow" w:cs="Arial"/>
          <w:sz w:val="24"/>
          <w:szCs w:val="24"/>
        </w:rPr>
      </w:pPr>
      <w:r w:rsidRPr="00E81938">
        <w:rPr>
          <w:rFonts w:ascii="Arial Narrow" w:hAnsi="Arial Narrow" w:cs="Arial"/>
          <w:sz w:val="24"/>
          <w:szCs w:val="24"/>
        </w:rPr>
        <w:t xml:space="preserve">La Digitalisation </w:t>
      </w:r>
    </w:p>
    <w:p w14:paraId="0F28335D" w14:textId="77777777" w:rsidR="004330B0" w:rsidRPr="00E81938" w:rsidRDefault="004330B0" w:rsidP="004330B0">
      <w:pPr>
        <w:tabs>
          <w:tab w:val="left" w:pos="1085"/>
        </w:tabs>
        <w:jc w:val="both"/>
        <w:rPr>
          <w:rFonts w:ascii="Arial Narrow" w:hAnsi="Arial Narrow"/>
          <w:sz w:val="24"/>
          <w:szCs w:val="24"/>
        </w:rPr>
      </w:pPr>
      <w:r>
        <w:rPr>
          <w:rFonts w:ascii="Arial Narrow" w:eastAsia="Times New Roman" w:hAnsi="Arial Narrow" w:cs="Arial"/>
          <w:kern w:val="0"/>
          <w:sz w:val="24"/>
          <w:szCs w:val="24"/>
          <w:lang w:eastAsia="fr-FR"/>
          <w14:ligatures w14:val="none"/>
        </w:rPr>
        <w:t>L</w:t>
      </w:r>
      <w:r w:rsidRPr="00C44C3A">
        <w:rPr>
          <w:rFonts w:ascii="Arial Narrow" w:eastAsia="Times New Roman" w:hAnsi="Arial Narrow" w:cs="Arial"/>
          <w:kern w:val="0"/>
          <w:sz w:val="24"/>
          <w:szCs w:val="24"/>
          <w:lang w:eastAsia="fr-FR"/>
          <w14:ligatures w14:val="none"/>
        </w:rPr>
        <w:t>e décret n° 2021-763 du 1er décembre 2021 déterminant les modalités de mise en place d’un système d’information hospitalier (SIH) pour les EPH et les Etablissements Hospitaliers Privés (EHP) a été pris afin d’améliorer le système d’information hospitalier par l’informatisation et l’interconnexion (e-santé).</w:t>
      </w:r>
      <w:r>
        <w:rPr>
          <w:rFonts w:ascii="Arial Narrow" w:eastAsia="Times New Roman" w:hAnsi="Arial Narrow" w:cs="Arial"/>
          <w:kern w:val="0"/>
          <w:sz w:val="24"/>
          <w:szCs w:val="24"/>
          <w:lang w:eastAsia="fr-FR"/>
          <w14:ligatures w14:val="none"/>
        </w:rPr>
        <w:t xml:space="preserve"> </w:t>
      </w:r>
      <w:r>
        <w:rPr>
          <w:rFonts w:ascii="Arial Narrow" w:hAnsi="Arial Narrow" w:cs="Arial"/>
          <w:sz w:val="24"/>
          <w:szCs w:val="24"/>
        </w:rPr>
        <w:t xml:space="preserve">En 2023, </w:t>
      </w:r>
      <w:r w:rsidRPr="00E81938">
        <w:rPr>
          <w:rFonts w:ascii="Arial Narrow" w:hAnsi="Arial Narrow" w:cs="Arial"/>
          <w:sz w:val="24"/>
          <w:szCs w:val="24"/>
        </w:rPr>
        <w:t>202 établissements de santé (5 EPHN, 22 EPHR, 99 EPHD, 76 ESPC) ont été connectés au Système d'Information Hospitalier (SIH)/Dossier patient informatisé (DPI), soit une couverture de 88% des EPHR et EPHD. Le SIH-DPI a permis d’accroître les ressources financières générées de l’ordre de 40% à 135% par rapport à 2021.</w:t>
      </w:r>
      <w:r>
        <w:rPr>
          <w:rFonts w:ascii="Arial Narrow" w:hAnsi="Arial Narrow" w:cs="Arial"/>
          <w:sz w:val="24"/>
          <w:szCs w:val="24"/>
        </w:rPr>
        <w:t xml:space="preserve"> Également, </w:t>
      </w:r>
      <w:r w:rsidRPr="00F036D1">
        <w:rPr>
          <w:rFonts w:ascii="Arial Narrow" w:hAnsi="Arial Narrow" w:cs="Arial"/>
          <w:bCs/>
          <w:lang w:eastAsia="fr-FR"/>
        </w:rPr>
        <w:t>39 structures sanitaires</w:t>
      </w:r>
      <w:r w:rsidRPr="00C44C3A">
        <w:rPr>
          <w:rFonts w:ascii="Arial Narrow" w:hAnsi="Arial Narrow" w:cs="Arial"/>
          <w:lang w:eastAsia="fr-FR"/>
        </w:rPr>
        <w:t xml:space="preserve"> </w:t>
      </w:r>
      <w:r w:rsidRPr="00AA3ED0">
        <w:rPr>
          <w:rFonts w:ascii="Arial Narrow" w:hAnsi="Arial Narrow" w:cs="Arial"/>
          <w:sz w:val="24"/>
          <w:szCs w:val="24"/>
          <w:lang w:val="fr-CI"/>
        </w:rPr>
        <w:t>sur les 1 114</w:t>
      </w:r>
      <w:r>
        <w:rPr>
          <w:rFonts w:ascii="Arial Narrow" w:hAnsi="Arial Narrow" w:cs="Arial"/>
          <w:lang w:val="fr-CI"/>
        </w:rPr>
        <w:t xml:space="preserve"> </w:t>
      </w:r>
      <w:r w:rsidRPr="00AA3ED0">
        <w:rPr>
          <w:rFonts w:ascii="Arial Narrow" w:hAnsi="Arial Narrow" w:cs="Arial"/>
          <w:sz w:val="24"/>
          <w:szCs w:val="24"/>
          <w:lang w:val="fr-CI"/>
        </w:rPr>
        <w:t xml:space="preserve">au total </w:t>
      </w:r>
      <w:r>
        <w:rPr>
          <w:rFonts w:ascii="Arial Narrow" w:hAnsi="Arial Narrow" w:cs="Arial"/>
          <w:lang w:val="fr-CI"/>
        </w:rPr>
        <w:t xml:space="preserve">réalisent la télémédecine, </w:t>
      </w:r>
      <w:r w:rsidRPr="00C44C3A">
        <w:rPr>
          <w:rFonts w:ascii="Arial Narrow" w:hAnsi="Arial Narrow" w:cs="Arial"/>
          <w:lang w:eastAsia="fr-FR"/>
        </w:rPr>
        <w:t>renforçant ainsi l'accès aux soins de proximité et réduisant le recours systématique à des références médicales</w:t>
      </w:r>
    </w:p>
    <w:p w14:paraId="14473E1F" w14:textId="77777777" w:rsidR="004330B0" w:rsidRPr="00E81938" w:rsidRDefault="004330B0" w:rsidP="004330B0">
      <w:pPr>
        <w:jc w:val="both"/>
        <w:rPr>
          <w:rFonts w:ascii="Arial Narrow" w:hAnsi="Arial Narrow" w:cs="Arial"/>
          <w:b/>
          <w:bCs/>
          <w:sz w:val="24"/>
          <w:szCs w:val="24"/>
        </w:rPr>
      </w:pPr>
      <w:r w:rsidRPr="00E81938">
        <w:rPr>
          <w:rFonts w:ascii="Arial Narrow" w:hAnsi="Arial Narrow" w:cs="Arial"/>
          <w:b/>
          <w:bCs/>
          <w:sz w:val="24"/>
          <w:szCs w:val="24"/>
        </w:rPr>
        <w:t>Défis et recommandations</w:t>
      </w:r>
    </w:p>
    <w:p w14:paraId="0C26DBBE" w14:textId="77777777" w:rsidR="004330B0" w:rsidRDefault="004330B0" w:rsidP="004330B0">
      <w:pPr>
        <w:jc w:val="both"/>
        <w:rPr>
          <w:rFonts w:ascii="Arial Narrow" w:hAnsi="Arial Narrow" w:cs="Arial"/>
          <w:sz w:val="24"/>
          <w:szCs w:val="24"/>
        </w:rPr>
      </w:pPr>
      <w:r w:rsidRPr="005F3C78">
        <w:rPr>
          <w:rFonts w:ascii="Arial Narrow" w:hAnsi="Arial Narrow" w:cs="Arial"/>
          <w:sz w:val="24"/>
          <w:szCs w:val="24"/>
        </w:rPr>
        <w:t>Les efforts réalisés dans les infrastructures, la digitalisation et la réponse aux urgences, notamment en lien avec la CAN et la pandémie de COVID-19, reflètent une modernisation ambitieuse du système de santé ivoirien. Ces réalisations positionnent la Côte d'Ivoire comme un exemple de résilience et d'adaptation face aux défis contemporains.</w:t>
      </w:r>
      <w:r>
        <w:rPr>
          <w:rFonts w:ascii="Arial Narrow" w:hAnsi="Arial Narrow" w:cs="Arial"/>
          <w:sz w:val="24"/>
          <w:szCs w:val="24"/>
        </w:rPr>
        <w:t xml:space="preserve"> </w:t>
      </w:r>
      <w:r w:rsidRPr="00CE4FE1">
        <w:rPr>
          <w:rFonts w:ascii="Arial Narrow" w:hAnsi="Arial Narrow" w:cs="Arial"/>
          <w:sz w:val="24"/>
          <w:szCs w:val="24"/>
        </w:rPr>
        <w:t xml:space="preserve">Cependant, des défis </w:t>
      </w:r>
      <w:r>
        <w:rPr>
          <w:rFonts w:ascii="Arial Narrow" w:hAnsi="Arial Narrow" w:cs="Arial"/>
          <w:sz w:val="24"/>
          <w:szCs w:val="24"/>
        </w:rPr>
        <w:t>restent à relever</w:t>
      </w:r>
      <w:r w:rsidRPr="00CE4FE1">
        <w:rPr>
          <w:rFonts w:ascii="Arial Narrow" w:hAnsi="Arial Narrow" w:cs="Arial"/>
          <w:sz w:val="24"/>
          <w:szCs w:val="24"/>
        </w:rPr>
        <w:t xml:space="preserve">, notamment la réduction des </w:t>
      </w:r>
      <w:r>
        <w:rPr>
          <w:rFonts w:ascii="Arial Narrow" w:hAnsi="Arial Narrow" w:cs="Arial"/>
          <w:sz w:val="24"/>
          <w:szCs w:val="24"/>
        </w:rPr>
        <w:t>disparités</w:t>
      </w:r>
      <w:r w:rsidRPr="00CE4FE1">
        <w:rPr>
          <w:rFonts w:ascii="Arial Narrow" w:hAnsi="Arial Narrow" w:cs="Arial"/>
          <w:sz w:val="24"/>
          <w:szCs w:val="24"/>
        </w:rPr>
        <w:t xml:space="preserve"> en matière d’infrastructures et de ressources humaines, l’amélioration des mécanismes de financement pérennes, le renforcement de la chaîne d’approvisionnement ainsi que la disponibilité de données de qualité.</w:t>
      </w:r>
    </w:p>
    <w:p w14:paraId="49C8CF81" w14:textId="6A4638F5" w:rsidR="004330B0" w:rsidRDefault="004330B0" w:rsidP="004330B0">
      <w:r w:rsidRPr="003309CD">
        <w:rPr>
          <w:rFonts w:ascii="Arial Narrow" w:hAnsi="Arial Narrow" w:cs="Arial"/>
          <w:sz w:val="24"/>
          <w:szCs w:val="24"/>
        </w:rPr>
        <w:t>Pour maximiser l’impact du PNDS, il est crucial d’améliorer les mécanismes de suivi-évaluation, d’assurer une meilleure diffusion des plans stratégiques et de combler les lacunes dans les dotations budgétaires. Renforcer la synergie entre les acteurs du système de santé et intégrer de nouvelles priorités comme la santé mentale et le changement climatique s’avère également essentiel.</w:t>
      </w:r>
      <w:r>
        <w:rPr>
          <w:rFonts w:ascii="Arial Narrow" w:hAnsi="Arial Narrow" w:cs="Arial"/>
          <w:sz w:val="24"/>
          <w:szCs w:val="24"/>
        </w:rPr>
        <w:t xml:space="preserve"> </w:t>
      </w:r>
      <w:r w:rsidRPr="003309CD">
        <w:rPr>
          <w:rFonts w:ascii="Arial Narrow" w:hAnsi="Arial Narrow" w:cs="Arial"/>
          <w:sz w:val="24"/>
          <w:szCs w:val="24"/>
        </w:rPr>
        <w:t xml:space="preserve">En combinant une méthodologie rigoureuse, une implication inclusive des parties prenantes et une analyse critique des limites, cette </w:t>
      </w:r>
      <w:r w:rsidR="00B635D8">
        <w:rPr>
          <w:rFonts w:ascii="Arial Narrow" w:hAnsi="Arial Narrow" w:cs="Arial"/>
          <w:sz w:val="24"/>
          <w:szCs w:val="24"/>
        </w:rPr>
        <w:t>revue</w:t>
      </w:r>
      <w:r w:rsidRPr="003309CD">
        <w:rPr>
          <w:rFonts w:ascii="Arial Narrow" w:hAnsi="Arial Narrow" w:cs="Arial"/>
          <w:sz w:val="24"/>
          <w:szCs w:val="24"/>
        </w:rPr>
        <w:t xml:space="preserve"> fournit une base solide pour orienter les efforts à venir, afin de garantir un système de santé performant et résilient</w:t>
      </w:r>
      <w:r>
        <w:rPr>
          <w:rFonts w:ascii="Arial Narrow" w:hAnsi="Arial Narrow" w:cs="Arial"/>
          <w:sz w:val="24"/>
          <w:szCs w:val="24"/>
        </w:rPr>
        <w:t>.</w:t>
      </w:r>
    </w:p>
    <w:bookmarkEnd w:id="14"/>
    <w:p w14:paraId="7796543B" w14:textId="40D01989" w:rsidR="002E0CC5" w:rsidRPr="007E7C5B" w:rsidRDefault="002E0CC5" w:rsidP="00855AB7">
      <w:pPr>
        <w:jc w:val="both"/>
        <w:rPr>
          <w:rFonts w:ascii="Arial Narrow" w:hAnsi="Arial Narrow" w:cs="Arial"/>
          <w:sz w:val="24"/>
          <w:szCs w:val="24"/>
        </w:rPr>
        <w:sectPr w:rsidR="002E0CC5" w:rsidRPr="007E7C5B" w:rsidSect="008206D6">
          <w:headerReference w:type="even" r:id="rId29"/>
          <w:headerReference w:type="default" r:id="rId30"/>
          <w:headerReference w:type="first" r:id="rId31"/>
          <w:pgSz w:w="11906" w:h="16838"/>
          <w:pgMar w:top="1440" w:right="1440" w:bottom="1440" w:left="1440" w:header="709" w:footer="708" w:gutter="0"/>
          <w:cols w:space="708"/>
          <w:docGrid w:linePitch="360"/>
        </w:sectPr>
      </w:pPr>
    </w:p>
    <w:p w14:paraId="2055663F" w14:textId="77777777" w:rsidR="001626AE" w:rsidRPr="00A17C6D" w:rsidRDefault="001626AE" w:rsidP="001626AE">
      <w:pPr>
        <w:pStyle w:val="Titre1"/>
        <w:jc w:val="both"/>
        <w:rPr>
          <w:rFonts w:ascii="Arial Narrow" w:hAnsi="Arial Narrow" w:cs="Arial"/>
          <w:b/>
          <w:color w:val="auto"/>
          <w:sz w:val="24"/>
          <w:szCs w:val="24"/>
        </w:rPr>
      </w:pPr>
      <w:bookmarkStart w:id="15" w:name="_Toc180522042"/>
      <w:bookmarkStart w:id="16" w:name="_Toc190677463"/>
      <w:bookmarkStart w:id="17" w:name="_Toc178699540"/>
      <w:r w:rsidRPr="00A17C6D">
        <w:rPr>
          <w:rFonts w:ascii="Arial Narrow" w:hAnsi="Arial Narrow" w:cs="Arial"/>
          <w:b/>
          <w:color w:val="auto"/>
          <w:sz w:val="24"/>
          <w:szCs w:val="24"/>
        </w:rPr>
        <w:lastRenderedPageBreak/>
        <w:t>Introduction</w:t>
      </w:r>
      <w:bookmarkEnd w:id="15"/>
      <w:bookmarkEnd w:id="16"/>
    </w:p>
    <w:p w14:paraId="07403058" w14:textId="77777777" w:rsidR="001626AE" w:rsidRPr="001D043B" w:rsidRDefault="001626AE" w:rsidP="001626AE">
      <w:pPr>
        <w:jc w:val="both"/>
        <w:rPr>
          <w:rFonts w:ascii="Arial Narrow" w:hAnsi="Arial Narrow" w:cs="Arial"/>
          <w:sz w:val="24"/>
          <w:szCs w:val="24"/>
        </w:rPr>
      </w:pPr>
      <w:r w:rsidRPr="000978E7">
        <w:rPr>
          <w:rFonts w:ascii="Arial Narrow" w:hAnsi="Arial Narrow" w:cs="Arial"/>
          <w:sz w:val="24"/>
          <w:szCs w:val="24"/>
        </w:rPr>
        <w:t>La Côte d'Ivoire s'est engagée dans une dynamique de développement sanitaire visant à améliorer la santé et le bien-être de sa population. Cet engagement se concrétise à travers le Plan National de Développement Sanitaire (PNDS) 2021-2025, élaboré par le Ministère de la Santé, de l’Hygiène Publique et de la Couverture Maladie Universelle (MSHPCMU)</w:t>
      </w:r>
      <w:r w:rsidRPr="001D043B">
        <w:rPr>
          <w:rFonts w:ascii="Arial Narrow" w:hAnsi="Arial Narrow" w:cs="Arial"/>
          <w:sz w:val="24"/>
          <w:szCs w:val="24"/>
        </w:rPr>
        <w:t>. Alors qu'il reste une année pour atteindre les objectifs ambitieux de ce plan, l’urgence est de faire un bilan clair et exhaustif des avancées et des défis restants pour guider les derniers efforts nécessaires à sa pleine réalisation.</w:t>
      </w:r>
    </w:p>
    <w:p w14:paraId="448B4EF3" w14:textId="77777777" w:rsidR="001626AE" w:rsidRPr="001D043B" w:rsidRDefault="001626AE" w:rsidP="001626AE">
      <w:pPr>
        <w:jc w:val="both"/>
        <w:rPr>
          <w:rFonts w:ascii="Arial Narrow" w:hAnsi="Arial Narrow" w:cs="Arial"/>
          <w:sz w:val="24"/>
          <w:szCs w:val="24"/>
        </w:rPr>
      </w:pPr>
      <w:r w:rsidRPr="001D043B">
        <w:rPr>
          <w:rFonts w:ascii="Arial Narrow" w:hAnsi="Arial Narrow" w:cs="Arial"/>
          <w:sz w:val="24"/>
          <w:szCs w:val="24"/>
        </w:rPr>
        <w:t>Le PNDS 2021-2025 représente l'engagement résolu du Ministère de la Santé, de l’Hygiène Publique et de la Couverture Maladie Universelle (MSHPCMU) à construire un système de santé performant, accessible à tous, et résilient face aux crises. En alignement avec l'Objectif de Développement Durable 3 (ODD 3), ce plan stratégique a été conçu pour garantir à chaque citoyen un accès équitable à des soins de qualité. Ses trois axes majeurs – l’amélioration de la gouvernance et du financement de la santé, le renforcement de l’accessibilité et de la qualité des soins, et la promotion de la santé et la lutte contre les maladies – tracent la voie vers un système de santé plus inclusif et durable.</w:t>
      </w:r>
    </w:p>
    <w:p w14:paraId="2F6095D9" w14:textId="253105A9" w:rsidR="001626AE" w:rsidRPr="001D043B" w:rsidRDefault="002F740A" w:rsidP="001626AE">
      <w:pPr>
        <w:jc w:val="both"/>
        <w:rPr>
          <w:rFonts w:ascii="Arial Narrow" w:hAnsi="Arial Narrow" w:cs="Arial"/>
          <w:sz w:val="24"/>
          <w:szCs w:val="24"/>
        </w:rPr>
      </w:pPr>
      <w:r>
        <w:rPr>
          <w:rFonts w:ascii="Arial Narrow" w:hAnsi="Arial Narrow" w:cs="Arial"/>
          <w:sz w:val="24"/>
          <w:szCs w:val="24"/>
        </w:rPr>
        <w:t xml:space="preserve">Conformément au plan de suivi-évaluation du PNDS, une </w:t>
      </w:r>
      <w:r w:rsidR="00B635D8">
        <w:rPr>
          <w:rFonts w:ascii="Arial Narrow" w:hAnsi="Arial Narrow" w:cs="Arial"/>
          <w:sz w:val="24"/>
          <w:szCs w:val="24"/>
        </w:rPr>
        <w:t>revue</w:t>
      </w:r>
      <w:r>
        <w:rPr>
          <w:rFonts w:ascii="Arial Narrow" w:hAnsi="Arial Narrow" w:cs="Arial"/>
          <w:sz w:val="24"/>
          <w:szCs w:val="24"/>
        </w:rPr>
        <w:t xml:space="preserve"> a été entreprise. </w:t>
      </w:r>
      <w:r w:rsidR="001626AE" w:rsidRPr="001D043B">
        <w:rPr>
          <w:rFonts w:ascii="Arial Narrow" w:hAnsi="Arial Narrow" w:cs="Arial"/>
          <w:sz w:val="24"/>
          <w:szCs w:val="24"/>
        </w:rPr>
        <w:t>Cette revue, qui couvre la période 2021-2024, vise à évaluer de manière critique le niveau d’atteinte des cibles fixées et l’efficacité des réformes clés. Des mesures structurelles telles que la Couverture Maladie Universelle (CMU) et le financement basé sur la performance (FBP) sont au cœur de cette analyse, qui s'appuie sur une approche participative impliquant les structures sanitaires publiques et privées, les partenaires techniques et financiers (PTF), ainsi que la société civile. Cette démarche inclusive permet de recueillir des perspectives variées et de dresser un tableau objectif des progrès réalisés.</w:t>
      </w:r>
    </w:p>
    <w:p w14:paraId="276169F2" w14:textId="77777777" w:rsidR="001626AE" w:rsidRDefault="001626AE" w:rsidP="001626AE">
      <w:pPr>
        <w:jc w:val="both"/>
        <w:rPr>
          <w:rFonts w:ascii="Arial Narrow" w:hAnsi="Arial Narrow" w:cs="Arial"/>
          <w:sz w:val="24"/>
          <w:szCs w:val="24"/>
        </w:rPr>
      </w:pPr>
      <w:r w:rsidRPr="001D043B">
        <w:rPr>
          <w:rFonts w:ascii="Arial Narrow" w:hAnsi="Arial Narrow" w:cs="Arial"/>
          <w:sz w:val="24"/>
          <w:szCs w:val="24"/>
        </w:rPr>
        <w:t xml:space="preserve">Les enseignements tirés de cette </w:t>
      </w:r>
      <w:r>
        <w:rPr>
          <w:rFonts w:ascii="Arial Narrow" w:hAnsi="Arial Narrow" w:cs="Arial"/>
          <w:sz w:val="24"/>
          <w:szCs w:val="24"/>
        </w:rPr>
        <w:t>analyse</w:t>
      </w:r>
      <w:r w:rsidRPr="001D043B">
        <w:rPr>
          <w:rFonts w:ascii="Arial Narrow" w:hAnsi="Arial Narrow" w:cs="Arial"/>
          <w:sz w:val="24"/>
          <w:szCs w:val="24"/>
        </w:rPr>
        <w:t xml:space="preserve"> sont déterminants pour la dernière phase d'exécution du PNDS. Ils guideront les priorités du MSHPCMU et des partenaires dans l’optimisation des interventions pour consolider les acquis et atteindre les objectifs fixés. Dans ce contexte, la Côte d'Ivoire réaffirme sa volonté de progresser vers la couverture sanitaire universelle et de garantir un système de santé accessible et durable, permettant ainsi d’améliorer le bien-être de toute sa population, quel que soit son statut ou sa localisation.</w:t>
      </w:r>
    </w:p>
    <w:p w14:paraId="5F2A20A9" w14:textId="77777777" w:rsidR="001626AE" w:rsidRPr="001D043B" w:rsidRDefault="001626AE" w:rsidP="001626AE">
      <w:pPr>
        <w:jc w:val="both"/>
        <w:rPr>
          <w:rFonts w:ascii="Arial Narrow" w:hAnsi="Arial Narrow" w:cs="Arial"/>
          <w:sz w:val="24"/>
          <w:szCs w:val="24"/>
        </w:rPr>
      </w:pPr>
      <w:r w:rsidRPr="00E0322A">
        <w:rPr>
          <w:rFonts w:ascii="Arial Narrow" w:hAnsi="Arial Narrow" w:cs="Arial"/>
          <w:sz w:val="24"/>
          <w:szCs w:val="24"/>
        </w:rPr>
        <w:t xml:space="preserve">Le présent rapport, structuré en trois sections, aborde successivement le </w:t>
      </w:r>
      <w:r>
        <w:rPr>
          <w:rFonts w:ascii="Arial Narrow" w:hAnsi="Arial Narrow" w:cs="Arial"/>
          <w:sz w:val="24"/>
          <w:szCs w:val="24"/>
        </w:rPr>
        <w:t xml:space="preserve">cadre de la revue en n’oubliant pas les limites, le </w:t>
      </w:r>
      <w:r w:rsidRPr="00E0322A">
        <w:rPr>
          <w:rFonts w:ascii="Arial Narrow" w:hAnsi="Arial Narrow" w:cs="Arial"/>
          <w:sz w:val="24"/>
          <w:szCs w:val="24"/>
        </w:rPr>
        <w:t>contexte global de la mise en œuvre du PNDS, les principaux résultats de la revue par axe du plan et les perspectives pour l’élaboration du PNDS 2026-2030 sous forme de recommandations. Ces éléments guideront les ajustements nécessaires pour optimiser la performance du PNDS durant sa dernière année et au-delà.</w:t>
      </w:r>
    </w:p>
    <w:p w14:paraId="12115493" w14:textId="77777777" w:rsidR="001626AE" w:rsidRPr="00A17C6D" w:rsidRDefault="001626AE" w:rsidP="001626AE">
      <w:pPr>
        <w:pStyle w:val="Titre1"/>
        <w:jc w:val="both"/>
        <w:rPr>
          <w:rFonts w:ascii="Arial Narrow" w:hAnsi="Arial Narrow" w:cs="Arial"/>
          <w:b/>
          <w:sz w:val="24"/>
          <w:szCs w:val="24"/>
        </w:rPr>
      </w:pPr>
      <w:bookmarkStart w:id="18" w:name="_Toc190677464"/>
      <w:bookmarkStart w:id="19" w:name="_Toc178699542"/>
      <w:bookmarkEnd w:id="17"/>
      <w:r w:rsidRPr="00A17C6D">
        <w:rPr>
          <w:rFonts w:ascii="Arial Narrow" w:hAnsi="Arial Narrow" w:cs="Arial"/>
          <w:b/>
          <w:sz w:val="24"/>
          <w:szCs w:val="24"/>
        </w:rPr>
        <w:t xml:space="preserve">Section I : </w:t>
      </w:r>
      <w:r>
        <w:rPr>
          <w:rFonts w:ascii="Arial Narrow" w:hAnsi="Arial Narrow" w:cs="Arial"/>
          <w:b/>
          <w:sz w:val="24"/>
          <w:szCs w:val="24"/>
        </w:rPr>
        <w:t>cadre de la revue et limites</w:t>
      </w:r>
      <w:bookmarkEnd w:id="18"/>
    </w:p>
    <w:p w14:paraId="3DE63536" w14:textId="77777777" w:rsidR="001626AE" w:rsidRPr="00A17C6D" w:rsidRDefault="001626AE" w:rsidP="001626AE">
      <w:pPr>
        <w:pStyle w:val="Titre2"/>
        <w:jc w:val="both"/>
        <w:rPr>
          <w:rFonts w:ascii="Arial Narrow" w:eastAsia="Calibri" w:hAnsi="Arial Narrow" w:cs="Arial"/>
          <w:sz w:val="24"/>
          <w:szCs w:val="24"/>
        </w:rPr>
      </w:pPr>
      <w:bookmarkStart w:id="20" w:name="_Toc180522044"/>
      <w:bookmarkStart w:id="21" w:name="_Toc190677465"/>
      <w:r>
        <w:rPr>
          <w:rFonts w:ascii="Arial Narrow" w:eastAsia="Calibri" w:hAnsi="Arial Narrow" w:cs="Arial"/>
          <w:sz w:val="24"/>
          <w:szCs w:val="24"/>
        </w:rPr>
        <w:t xml:space="preserve">I.1 </w:t>
      </w:r>
      <w:r w:rsidRPr="00A17C6D">
        <w:rPr>
          <w:rFonts w:ascii="Arial Narrow" w:eastAsia="Calibri" w:hAnsi="Arial Narrow" w:cs="Arial"/>
          <w:sz w:val="24"/>
          <w:szCs w:val="24"/>
        </w:rPr>
        <w:t>Approche méthodologique</w:t>
      </w:r>
      <w:bookmarkEnd w:id="20"/>
      <w:bookmarkEnd w:id="21"/>
      <w:r w:rsidRPr="00A17C6D">
        <w:rPr>
          <w:rFonts w:ascii="Arial Narrow" w:eastAsia="Calibri" w:hAnsi="Arial Narrow" w:cs="Arial"/>
          <w:sz w:val="24"/>
          <w:szCs w:val="24"/>
        </w:rPr>
        <w:t xml:space="preserve"> </w:t>
      </w:r>
    </w:p>
    <w:p w14:paraId="43944018" w14:textId="1BA92284" w:rsidR="001626AE" w:rsidRPr="00844BBE" w:rsidRDefault="001626AE" w:rsidP="001626AE">
      <w:pPr>
        <w:jc w:val="both"/>
        <w:rPr>
          <w:rFonts w:ascii="Arial Narrow" w:hAnsi="Arial Narrow" w:cs="Arial"/>
          <w:bCs/>
          <w:sz w:val="24"/>
          <w:szCs w:val="24"/>
        </w:rPr>
      </w:pPr>
      <w:r w:rsidRPr="00844BBE">
        <w:rPr>
          <w:rFonts w:ascii="Arial Narrow" w:hAnsi="Arial Narrow" w:cs="Arial"/>
          <w:bCs/>
          <w:sz w:val="24"/>
          <w:szCs w:val="24"/>
        </w:rPr>
        <w:t xml:space="preserve">La revue du Plan National de Développement Sanitaire (PNDS) 2021-2025 a été menée selon une méthodologie rigoureuse, participative et inclusive, impliquant l'ensemble des parties prenantes à chaque étape. Cette approche visait à obtenir </w:t>
      </w:r>
      <w:r w:rsidR="00AD2127">
        <w:rPr>
          <w:rFonts w:ascii="Arial Narrow" w:hAnsi="Arial Narrow" w:cs="Arial"/>
          <w:bCs/>
          <w:sz w:val="24"/>
          <w:szCs w:val="24"/>
        </w:rPr>
        <w:t xml:space="preserve">le bilan </w:t>
      </w:r>
      <w:r w:rsidRPr="00844BBE">
        <w:rPr>
          <w:rFonts w:ascii="Arial Narrow" w:hAnsi="Arial Narrow" w:cs="Arial"/>
          <w:bCs/>
          <w:sz w:val="24"/>
          <w:szCs w:val="24"/>
        </w:rPr>
        <w:t>de la mise en œuvre du plan, en accordant une importance particulière à la perception des acteurs de terrain, ainsi qu’à l’efficacité des interventions et réformes structurelles.</w:t>
      </w:r>
    </w:p>
    <w:p w14:paraId="296BACA4" w14:textId="77777777" w:rsidR="001626AE" w:rsidRDefault="001626AE" w:rsidP="001626AE">
      <w:pPr>
        <w:jc w:val="both"/>
        <w:rPr>
          <w:rFonts w:ascii="Arial Narrow" w:hAnsi="Arial Narrow" w:cs="Arial"/>
          <w:bCs/>
          <w:sz w:val="24"/>
          <w:szCs w:val="24"/>
        </w:rPr>
      </w:pPr>
      <w:r w:rsidRPr="00844BBE">
        <w:rPr>
          <w:rFonts w:ascii="Arial Narrow" w:hAnsi="Arial Narrow" w:cs="Arial"/>
          <w:bCs/>
          <w:sz w:val="24"/>
          <w:szCs w:val="24"/>
        </w:rPr>
        <w:lastRenderedPageBreak/>
        <w:t xml:space="preserve">Le processus de revue s'est déroulé en quatre phases principales, sous la coordination technique de la Direction de la Prospective, de la Planification et des Stratégies (DPPS) et avec l'appui de l’Institut Tony Blair (TBI) en tant qu'assistant technique. </w:t>
      </w:r>
    </w:p>
    <w:p w14:paraId="0FFB2373" w14:textId="64B2EE92" w:rsidR="007E2A22" w:rsidRPr="007E7C5B" w:rsidRDefault="007E2A22" w:rsidP="00DC5897">
      <w:pPr>
        <w:pStyle w:val="Lgende"/>
      </w:pPr>
      <w:bookmarkStart w:id="22" w:name="_Toc183686783"/>
      <w:bookmarkEnd w:id="19"/>
      <w:r w:rsidRPr="007E7C5B">
        <w:t xml:space="preserve">Figure </w:t>
      </w:r>
      <w:r w:rsidR="008D75CE">
        <w:fldChar w:fldCharType="begin"/>
      </w:r>
      <w:r w:rsidR="008D75CE">
        <w:instrText xml:space="preserve"> SEQ Figure \* ARABIC </w:instrText>
      </w:r>
      <w:r w:rsidR="008D75CE">
        <w:fldChar w:fldCharType="separate"/>
      </w:r>
      <w:r w:rsidR="008D75CE">
        <w:rPr>
          <w:noProof/>
        </w:rPr>
        <w:t>1</w:t>
      </w:r>
      <w:r w:rsidR="008D75CE">
        <w:fldChar w:fldCharType="end"/>
      </w:r>
      <w:r w:rsidRPr="007E7C5B">
        <w:t xml:space="preserve"> : Phases de la </w:t>
      </w:r>
      <w:r w:rsidR="00B635D8">
        <w:t>revue</w:t>
      </w:r>
      <w:r w:rsidRPr="007E7C5B">
        <w:t xml:space="preserve"> du PNDS 2021-2025</w:t>
      </w:r>
      <w:bookmarkEnd w:id="22"/>
    </w:p>
    <w:p w14:paraId="6023342B" w14:textId="6A9463C8" w:rsidR="00367783" w:rsidRDefault="003240D9" w:rsidP="00990CA4">
      <w:pPr>
        <w:keepNext/>
        <w:spacing w:after="0"/>
        <w:jc w:val="center"/>
        <w:rPr>
          <w:rFonts w:ascii="Arial Narrow" w:hAnsi="Arial Narrow" w:cs="Arial"/>
          <w:sz w:val="24"/>
          <w:szCs w:val="24"/>
        </w:rPr>
      </w:pPr>
      <w:r w:rsidRPr="003240D9">
        <w:rPr>
          <w:rFonts w:ascii="Arial Narrow" w:hAnsi="Arial Narrow" w:cs="Arial"/>
          <w:noProof/>
          <w:sz w:val="24"/>
          <w:szCs w:val="24"/>
        </w:rPr>
        <w:drawing>
          <wp:inline distT="0" distB="0" distL="0" distR="0" wp14:anchorId="59C4F2DB" wp14:editId="19C1FCAD">
            <wp:extent cx="5048250" cy="2628714"/>
            <wp:effectExtent l="0" t="0" r="0" b="635"/>
            <wp:docPr id="21" name="Picture 20" descr="A white rectangular table with black text&#10;&#10;Description automatically generated with medium confidence">
              <a:extLst xmlns:a="http://schemas.openxmlformats.org/drawingml/2006/main">
                <a:ext uri="{FF2B5EF4-FFF2-40B4-BE49-F238E27FC236}">
                  <a16:creationId xmlns:a16="http://schemas.microsoft.com/office/drawing/2014/main" id="{CBAAC50B-BA69-344C-3963-720F61B6B3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white rectangular table with black text&#10;&#10;Description automatically generated with medium confidence">
                      <a:extLst>
                        <a:ext uri="{FF2B5EF4-FFF2-40B4-BE49-F238E27FC236}">
                          <a16:creationId xmlns:a16="http://schemas.microsoft.com/office/drawing/2014/main" id="{CBAAC50B-BA69-344C-3963-720F61B6B333}"/>
                        </a:ext>
                      </a:extLst>
                    </pic:cNvPr>
                    <pic:cNvPicPr>
                      <a:picLocks noChangeAspect="1"/>
                    </pic:cNvPicPr>
                  </pic:nvPicPr>
                  <pic:blipFill>
                    <a:blip r:embed="rId32"/>
                    <a:stretch>
                      <a:fillRect/>
                    </a:stretch>
                  </pic:blipFill>
                  <pic:spPr>
                    <a:xfrm>
                      <a:off x="0" y="0"/>
                      <a:ext cx="5055912" cy="2632704"/>
                    </a:xfrm>
                    <a:prstGeom prst="rect">
                      <a:avLst/>
                    </a:prstGeom>
                  </pic:spPr>
                </pic:pic>
              </a:graphicData>
            </a:graphic>
          </wp:inline>
        </w:drawing>
      </w:r>
    </w:p>
    <w:p w14:paraId="5FBDA154" w14:textId="491C5CDC" w:rsidR="00A20968" w:rsidRPr="007E7C5B" w:rsidRDefault="00A20968" w:rsidP="003240D9">
      <w:pPr>
        <w:keepNext/>
        <w:spacing w:after="0"/>
        <w:rPr>
          <w:rFonts w:ascii="Arial Narrow" w:hAnsi="Arial Narrow" w:cs="Arial"/>
          <w:sz w:val="24"/>
          <w:szCs w:val="24"/>
        </w:rPr>
      </w:pPr>
    </w:p>
    <w:p w14:paraId="2240108A" w14:textId="5D4F6534" w:rsidR="001626AE" w:rsidRDefault="00A20968" w:rsidP="0044167B">
      <w:pPr>
        <w:pStyle w:val="Lgende"/>
        <w:tabs>
          <w:tab w:val="left" w:pos="2940"/>
        </w:tabs>
      </w:pPr>
      <w:r w:rsidRPr="007E7C5B">
        <w:t xml:space="preserve">Source : </w:t>
      </w:r>
      <w:r w:rsidR="00682255" w:rsidRPr="007E7C5B">
        <w:t>Equipe projet de la RAMP</w:t>
      </w:r>
      <w:r w:rsidR="001626AE">
        <w:tab/>
      </w:r>
    </w:p>
    <w:p w14:paraId="7FC2768F" w14:textId="70BF93B6" w:rsidR="001626AE" w:rsidRPr="0044167B" w:rsidRDefault="001626AE" w:rsidP="0044167B">
      <w:pPr>
        <w:pStyle w:val="Paragraphedeliste"/>
        <w:numPr>
          <w:ilvl w:val="0"/>
          <w:numId w:val="62"/>
        </w:numPr>
        <w:jc w:val="both"/>
        <w:rPr>
          <w:rFonts w:ascii="Arial Narrow" w:hAnsi="Arial Narrow" w:cs="Arial"/>
          <w:sz w:val="24"/>
          <w:szCs w:val="24"/>
        </w:rPr>
      </w:pPr>
      <w:r w:rsidRPr="001D043B">
        <w:rPr>
          <w:rFonts w:ascii="Arial Narrow" w:hAnsi="Arial Narrow" w:cs="Arial"/>
          <w:b/>
          <w:sz w:val="24"/>
          <w:szCs w:val="24"/>
        </w:rPr>
        <w:t>Le cadrage</w:t>
      </w:r>
      <w:r w:rsidRPr="001D043B">
        <w:rPr>
          <w:rFonts w:ascii="Arial Narrow" w:hAnsi="Arial Narrow" w:cs="Arial"/>
          <w:bCs/>
          <w:sz w:val="24"/>
          <w:szCs w:val="24"/>
        </w:rPr>
        <w:t xml:space="preserve"> initial a permis de définir les orientations de la mission à travers des réunions de consultation avec les acteurs clés du Ministère de la Santé, de l’Hygiène Publique et de la Couverture Maladie Universelle (MSHPCMU). Cette étape a permis de cerner les attentes du Ministère, d'affiner la méthodologie et de valider les outils de collecte de données, en garantissant ainsi la pertinence des résultats obtenus.</w:t>
      </w:r>
      <w:r w:rsidRPr="001D043B">
        <w:rPr>
          <w:rFonts w:ascii="Arial Narrow" w:hAnsi="Arial Narrow" w:cs="Arial"/>
          <w:sz w:val="24"/>
          <w:szCs w:val="24"/>
        </w:rPr>
        <w:t xml:space="preserve"> La revue a été conduite par une équipe-projet constituée de l’équipe de Consultants et du personnel de la DPPS. Le suivi de la mission a été effectué par le Comité Technique de Coordination, présidé par le Directeur Général de la Santé. </w:t>
      </w:r>
    </w:p>
    <w:p w14:paraId="624B48C7" w14:textId="77777777" w:rsidR="001626AE" w:rsidRPr="00844BBE" w:rsidRDefault="001626AE" w:rsidP="001626AE">
      <w:pPr>
        <w:pStyle w:val="Paragraphedeliste"/>
        <w:numPr>
          <w:ilvl w:val="0"/>
          <w:numId w:val="62"/>
        </w:numPr>
        <w:jc w:val="both"/>
        <w:rPr>
          <w:rFonts w:ascii="Arial Narrow" w:hAnsi="Arial Narrow" w:cs="Arial"/>
          <w:sz w:val="24"/>
          <w:szCs w:val="24"/>
        </w:rPr>
      </w:pPr>
      <w:r w:rsidRPr="001D043B">
        <w:rPr>
          <w:rFonts w:ascii="Arial Narrow" w:hAnsi="Arial Narrow" w:cs="Arial"/>
          <w:b/>
          <w:bCs/>
          <w:sz w:val="24"/>
          <w:szCs w:val="24"/>
        </w:rPr>
        <w:t>La collecte des données</w:t>
      </w:r>
      <w:r w:rsidRPr="00844BBE">
        <w:rPr>
          <w:rFonts w:ascii="Arial Narrow" w:hAnsi="Arial Narrow" w:cs="Arial"/>
          <w:sz w:val="24"/>
          <w:szCs w:val="24"/>
        </w:rPr>
        <w:t>, effectuée entre mai et septembre 2024, s'est concentrée sur l’évaluation des indicateurs de santé, le suivi des interventions du PNDS, et le niveau d’appropriation des réformes. Cette collecte s'est déroulée en trois étapes :</w:t>
      </w:r>
    </w:p>
    <w:p w14:paraId="7D33EBCE" w14:textId="77777777" w:rsidR="001626AE" w:rsidRDefault="001626AE" w:rsidP="001626AE">
      <w:pPr>
        <w:pStyle w:val="Paragraphedeliste"/>
        <w:numPr>
          <w:ilvl w:val="1"/>
          <w:numId w:val="63"/>
        </w:numPr>
        <w:ind w:left="1559" w:hanging="425"/>
        <w:contextualSpacing w:val="0"/>
        <w:jc w:val="both"/>
        <w:rPr>
          <w:rFonts w:ascii="Arial Narrow" w:hAnsi="Arial Narrow" w:cs="Arial"/>
          <w:sz w:val="24"/>
          <w:szCs w:val="24"/>
        </w:rPr>
      </w:pPr>
      <w:r w:rsidRPr="001D043B">
        <w:rPr>
          <w:rFonts w:ascii="Arial Narrow" w:hAnsi="Arial Narrow" w:cs="Arial"/>
          <w:b/>
          <w:bCs/>
          <w:i/>
          <w:iCs/>
          <w:sz w:val="24"/>
          <w:szCs w:val="24"/>
        </w:rPr>
        <w:t>Revue documentaire</w:t>
      </w:r>
      <w:r w:rsidRPr="001D043B">
        <w:rPr>
          <w:rFonts w:ascii="Arial Narrow" w:hAnsi="Arial Narrow" w:cs="Arial"/>
          <w:sz w:val="24"/>
          <w:szCs w:val="24"/>
        </w:rPr>
        <w:t xml:space="preserve"> : Cette première étape a impliqué l’analyse approfondie des rapports bilans des structures techniques, des textes réglementaires, et des rapports internationaux et nationaux pertinents pour le secteur de la santé ivoirien. Cette revue documentaire a permis de collecter des informations de base sur l’état d'avancement des actions et des indicateurs du PNDS.</w:t>
      </w:r>
    </w:p>
    <w:p w14:paraId="4BEA4528" w14:textId="77777777" w:rsidR="001626AE" w:rsidRPr="001D043B" w:rsidRDefault="001626AE" w:rsidP="001626AE">
      <w:pPr>
        <w:pStyle w:val="Paragraphedeliste"/>
        <w:numPr>
          <w:ilvl w:val="1"/>
          <w:numId w:val="63"/>
        </w:numPr>
        <w:ind w:left="1559" w:hanging="425"/>
        <w:contextualSpacing w:val="0"/>
        <w:jc w:val="both"/>
        <w:rPr>
          <w:rFonts w:ascii="Arial Narrow" w:hAnsi="Arial Narrow" w:cs="Arial"/>
          <w:sz w:val="24"/>
          <w:szCs w:val="24"/>
        </w:rPr>
      </w:pPr>
      <w:r w:rsidRPr="001D043B">
        <w:rPr>
          <w:rFonts w:ascii="Arial Narrow" w:hAnsi="Arial Narrow" w:cs="Arial"/>
          <w:b/>
          <w:bCs/>
          <w:i/>
          <w:iCs/>
          <w:sz w:val="24"/>
          <w:szCs w:val="24"/>
        </w:rPr>
        <w:t>Entretiens et ateliers au niveau central</w:t>
      </w:r>
      <w:r w:rsidRPr="00844BBE">
        <w:rPr>
          <w:rFonts w:ascii="Arial Narrow" w:hAnsi="Arial Narrow" w:cs="Arial"/>
          <w:sz w:val="24"/>
          <w:szCs w:val="24"/>
        </w:rPr>
        <w:t xml:space="preserve"> : Des entretiens avec 37 structures du MSHPCMU (directions techniques, programmes de santé et Etablissements Publics Hospitaliers Nationaux) et six Partenaires Techniques et Financiers (PTF), ainsi que des représentants de la société civile</w:t>
      </w:r>
      <w:r>
        <w:rPr>
          <w:rFonts w:ascii="Arial Narrow" w:hAnsi="Arial Narrow" w:cs="Arial"/>
          <w:sz w:val="24"/>
          <w:szCs w:val="24"/>
        </w:rPr>
        <w:t xml:space="preserve"> (01)</w:t>
      </w:r>
      <w:r w:rsidRPr="00844BBE">
        <w:rPr>
          <w:rFonts w:ascii="Arial Narrow" w:hAnsi="Arial Narrow" w:cs="Arial"/>
          <w:sz w:val="24"/>
          <w:szCs w:val="24"/>
        </w:rPr>
        <w:t xml:space="preserve"> et du secteur privé</w:t>
      </w:r>
      <w:r>
        <w:rPr>
          <w:rFonts w:ascii="Arial Narrow" w:hAnsi="Arial Narrow" w:cs="Arial"/>
          <w:sz w:val="24"/>
          <w:szCs w:val="24"/>
        </w:rPr>
        <w:t xml:space="preserve"> (01)</w:t>
      </w:r>
      <w:r w:rsidRPr="00844BBE">
        <w:rPr>
          <w:rFonts w:ascii="Arial Narrow" w:hAnsi="Arial Narrow" w:cs="Arial"/>
          <w:sz w:val="24"/>
          <w:szCs w:val="24"/>
        </w:rPr>
        <w:t>, ont permis de recueillir des perspectives variées. Un atelier regroupant 54 participants a ensuite consolidé les informations issues des entretiens et permis de peaufiner les résultats.</w:t>
      </w:r>
    </w:p>
    <w:p w14:paraId="756BEB2A" w14:textId="77777777" w:rsidR="001626AE" w:rsidRPr="00844BBE" w:rsidRDefault="001626AE" w:rsidP="001626AE">
      <w:pPr>
        <w:pStyle w:val="Paragraphedeliste"/>
        <w:numPr>
          <w:ilvl w:val="1"/>
          <w:numId w:val="63"/>
        </w:numPr>
        <w:ind w:left="1560" w:hanging="426"/>
        <w:jc w:val="both"/>
        <w:rPr>
          <w:rFonts w:ascii="Arial Narrow" w:hAnsi="Arial Narrow" w:cs="Arial"/>
          <w:sz w:val="24"/>
          <w:szCs w:val="24"/>
        </w:rPr>
      </w:pPr>
      <w:r w:rsidRPr="001D043B">
        <w:rPr>
          <w:rFonts w:ascii="Arial Narrow" w:hAnsi="Arial Narrow" w:cs="Arial"/>
          <w:b/>
          <w:bCs/>
          <w:i/>
          <w:iCs/>
          <w:sz w:val="24"/>
          <w:szCs w:val="24"/>
        </w:rPr>
        <w:t>Collecte de données au niveau déconcentré</w:t>
      </w:r>
      <w:r w:rsidRPr="00844BBE">
        <w:rPr>
          <w:rFonts w:ascii="Arial Narrow" w:hAnsi="Arial Narrow" w:cs="Arial"/>
          <w:sz w:val="24"/>
          <w:szCs w:val="24"/>
        </w:rPr>
        <w:t xml:space="preserve"> : Cette phase, réalisée dans cinq Pôles Régionaux d’Excellence en Santé (Abidjan, Bouaké, Daloa, Yamoussoukro et San-</w:t>
      </w:r>
      <w:r w:rsidRPr="00844BBE">
        <w:rPr>
          <w:rFonts w:ascii="Arial Narrow" w:hAnsi="Arial Narrow" w:cs="Arial"/>
          <w:sz w:val="24"/>
          <w:szCs w:val="24"/>
        </w:rPr>
        <w:lastRenderedPageBreak/>
        <w:t>Pedro), a impliqué des entretiens avec 14 Directions Régionales de Santé, 14 Directions Départementales et 14 hôpitaux de référence. La phase a également inclus des ateliers régionaux de restitution impliquant 209 structures pour valider les conclusions.</w:t>
      </w:r>
    </w:p>
    <w:p w14:paraId="4829B014" w14:textId="77777777" w:rsidR="001626AE" w:rsidRPr="00844BBE" w:rsidRDefault="001626AE" w:rsidP="001626AE">
      <w:pPr>
        <w:jc w:val="both"/>
        <w:rPr>
          <w:rFonts w:ascii="Arial Narrow" w:hAnsi="Arial Narrow" w:cs="Arial"/>
          <w:sz w:val="24"/>
          <w:szCs w:val="24"/>
        </w:rPr>
      </w:pPr>
    </w:p>
    <w:p w14:paraId="0254D8FE" w14:textId="77777777" w:rsidR="001626AE" w:rsidRPr="00844BBE" w:rsidRDefault="001626AE" w:rsidP="001626AE">
      <w:pPr>
        <w:pStyle w:val="Paragraphedeliste"/>
        <w:numPr>
          <w:ilvl w:val="0"/>
          <w:numId w:val="62"/>
        </w:numPr>
        <w:jc w:val="both"/>
        <w:rPr>
          <w:rFonts w:ascii="Arial Narrow" w:hAnsi="Arial Narrow" w:cs="Arial"/>
          <w:sz w:val="24"/>
          <w:szCs w:val="24"/>
        </w:rPr>
      </w:pPr>
      <w:r w:rsidRPr="001D043B">
        <w:rPr>
          <w:rFonts w:ascii="Arial Narrow" w:hAnsi="Arial Narrow" w:cs="Arial"/>
          <w:b/>
          <w:bCs/>
          <w:sz w:val="24"/>
          <w:szCs w:val="24"/>
        </w:rPr>
        <w:t>Le Traitement et l’analyse des Données</w:t>
      </w:r>
      <w:r>
        <w:rPr>
          <w:rFonts w:ascii="Arial Narrow" w:hAnsi="Arial Narrow" w:cs="Arial"/>
          <w:sz w:val="24"/>
          <w:szCs w:val="24"/>
        </w:rPr>
        <w:t xml:space="preserve"> : </w:t>
      </w:r>
      <w:r w:rsidRPr="00844BBE">
        <w:rPr>
          <w:rFonts w:ascii="Arial Narrow" w:hAnsi="Arial Narrow" w:cs="Arial"/>
          <w:sz w:val="24"/>
          <w:szCs w:val="24"/>
        </w:rPr>
        <w:t>Après la collecte, les données ont été consolidées dans des matrices d'analyse, permettant une comparaison systématique de l'évolution des indicateurs et des résultats obtenus. Les perceptions des acteurs ont été synthétisées dans des matrices spécifiques, regroupant des informations clés par axes d’analyse définis pour évaluer :</w:t>
      </w:r>
    </w:p>
    <w:p w14:paraId="0C154711" w14:textId="77777777" w:rsidR="001626AE" w:rsidRPr="00844BBE" w:rsidRDefault="001626AE" w:rsidP="001626AE">
      <w:pPr>
        <w:spacing w:after="0"/>
        <w:ind w:left="720"/>
        <w:jc w:val="both"/>
        <w:rPr>
          <w:rFonts w:ascii="Arial Narrow" w:hAnsi="Arial Narrow" w:cs="Arial"/>
          <w:sz w:val="24"/>
          <w:szCs w:val="24"/>
        </w:rPr>
      </w:pPr>
      <w:r w:rsidRPr="00844BBE">
        <w:rPr>
          <w:rFonts w:ascii="Arial Narrow" w:hAnsi="Arial Narrow" w:cs="Arial"/>
          <w:sz w:val="24"/>
          <w:szCs w:val="24"/>
        </w:rPr>
        <w:t>- La pertinence et l’alignement du PNDS avec les priorités sanitaires,</w:t>
      </w:r>
    </w:p>
    <w:p w14:paraId="275412E6" w14:textId="77777777" w:rsidR="001626AE" w:rsidRPr="00844BBE" w:rsidRDefault="001626AE" w:rsidP="001626AE">
      <w:pPr>
        <w:spacing w:after="0"/>
        <w:ind w:left="720"/>
        <w:jc w:val="both"/>
        <w:rPr>
          <w:rFonts w:ascii="Arial Narrow" w:hAnsi="Arial Narrow" w:cs="Arial"/>
          <w:sz w:val="24"/>
          <w:szCs w:val="24"/>
        </w:rPr>
      </w:pPr>
      <w:r w:rsidRPr="00844BBE">
        <w:rPr>
          <w:rFonts w:ascii="Arial Narrow" w:hAnsi="Arial Narrow" w:cs="Arial"/>
          <w:sz w:val="24"/>
          <w:szCs w:val="24"/>
        </w:rPr>
        <w:t>- Le niveau de mobilisation et d’utilisation des financements,</w:t>
      </w:r>
    </w:p>
    <w:p w14:paraId="5F65C31B" w14:textId="77777777" w:rsidR="001626AE" w:rsidRPr="00844BBE" w:rsidRDefault="001626AE" w:rsidP="001626AE">
      <w:pPr>
        <w:spacing w:after="0"/>
        <w:ind w:left="720"/>
        <w:jc w:val="both"/>
        <w:rPr>
          <w:rFonts w:ascii="Arial Narrow" w:hAnsi="Arial Narrow" w:cs="Arial"/>
          <w:sz w:val="24"/>
          <w:szCs w:val="24"/>
        </w:rPr>
      </w:pPr>
      <w:r w:rsidRPr="00844BBE">
        <w:rPr>
          <w:rFonts w:ascii="Arial Narrow" w:hAnsi="Arial Narrow" w:cs="Arial"/>
          <w:sz w:val="24"/>
          <w:szCs w:val="24"/>
        </w:rPr>
        <w:t>- La coordination et l’efficacité du suivi-évaluation,</w:t>
      </w:r>
    </w:p>
    <w:p w14:paraId="5DFAD14A" w14:textId="77777777" w:rsidR="001626AE" w:rsidRPr="00844BBE" w:rsidRDefault="001626AE" w:rsidP="001626AE">
      <w:pPr>
        <w:spacing w:after="0"/>
        <w:ind w:left="720"/>
        <w:jc w:val="both"/>
        <w:rPr>
          <w:rFonts w:ascii="Arial Narrow" w:hAnsi="Arial Narrow" w:cs="Arial"/>
          <w:sz w:val="24"/>
          <w:szCs w:val="24"/>
        </w:rPr>
      </w:pPr>
      <w:r w:rsidRPr="00844BBE">
        <w:rPr>
          <w:rFonts w:ascii="Arial Narrow" w:hAnsi="Arial Narrow" w:cs="Arial"/>
          <w:sz w:val="24"/>
          <w:szCs w:val="24"/>
        </w:rPr>
        <w:t>- L’appropriation des réformes par les acteurs de santé,</w:t>
      </w:r>
    </w:p>
    <w:p w14:paraId="7A3BEA62" w14:textId="77777777" w:rsidR="001626AE" w:rsidRPr="00844BBE" w:rsidRDefault="001626AE" w:rsidP="001626AE">
      <w:pPr>
        <w:ind w:left="720"/>
        <w:jc w:val="both"/>
        <w:rPr>
          <w:rFonts w:ascii="Arial Narrow" w:hAnsi="Arial Narrow" w:cs="Arial"/>
          <w:sz w:val="24"/>
          <w:szCs w:val="24"/>
        </w:rPr>
      </w:pPr>
      <w:r w:rsidRPr="00844BBE">
        <w:rPr>
          <w:rFonts w:ascii="Arial Narrow" w:hAnsi="Arial Narrow" w:cs="Arial"/>
          <w:sz w:val="24"/>
          <w:szCs w:val="24"/>
        </w:rPr>
        <w:t>- Les défis persistants et les obstacles à surmonter pour une mise en œuvre optimale.</w:t>
      </w:r>
    </w:p>
    <w:p w14:paraId="679B9E05" w14:textId="77777777" w:rsidR="001626AE" w:rsidRDefault="001626AE" w:rsidP="001626AE">
      <w:pPr>
        <w:jc w:val="both"/>
        <w:rPr>
          <w:rFonts w:ascii="Arial Narrow" w:hAnsi="Arial Narrow" w:cs="Arial"/>
          <w:sz w:val="24"/>
          <w:szCs w:val="24"/>
        </w:rPr>
      </w:pPr>
      <w:r>
        <w:rPr>
          <w:rFonts w:ascii="Arial Narrow" w:hAnsi="Arial Narrow" w:cs="Arial"/>
          <w:sz w:val="24"/>
          <w:szCs w:val="24"/>
        </w:rPr>
        <w:t>L</w:t>
      </w:r>
      <w:r w:rsidRPr="004D5EF3">
        <w:rPr>
          <w:rFonts w:ascii="Arial Narrow" w:hAnsi="Arial Narrow" w:cs="Arial"/>
          <w:sz w:val="24"/>
          <w:szCs w:val="24"/>
        </w:rPr>
        <w:t xml:space="preserve">es </w:t>
      </w:r>
      <w:r>
        <w:rPr>
          <w:rFonts w:ascii="Arial Narrow" w:hAnsi="Arial Narrow" w:cs="Arial"/>
          <w:sz w:val="24"/>
          <w:szCs w:val="24"/>
        </w:rPr>
        <w:t xml:space="preserve">données collectées ont été </w:t>
      </w:r>
      <w:r w:rsidRPr="004D5EF3">
        <w:rPr>
          <w:rFonts w:ascii="Arial Narrow" w:hAnsi="Arial Narrow" w:cs="Arial"/>
          <w:sz w:val="24"/>
          <w:szCs w:val="24"/>
        </w:rPr>
        <w:t>analys</w:t>
      </w:r>
      <w:r>
        <w:rPr>
          <w:rFonts w:ascii="Arial Narrow" w:hAnsi="Arial Narrow" w:cs="Arial"/>
          <w:sz w:val="24"/>
          <w:szCs w:val="24"/>
        </w:rPr>
        <w:t>ées</w:t>
      </w:r>
      <w:r w:rsidRPr="001D3031">
        <w:rPr>
          <w:rFonts w:ascii="Arial Narrow" w:hAnsi="Arial Narrow" w:cs="Arial"/>
          <w:sz w:val="24"/>
          <w:szCs w:val="24"/>
        </w:rPr>
        <w:t xml:space="preserve"> </w:t>
      </w:r>
      <w:r w:rsidRPr="00A17C6D">
        <w:rPr>
          <w:rFonts w:ascii="Arial Narrow" w:hAnsi="Arial Narrow" w:cs="Arial"/>
          <w:sz w:val="24"/>
          <w:szCs w:val="24"/>
        </w:rPr>
        <w:t>suivant le</w:t>
      </w:r>
      <w:r>
        <w:rPr>
          <w:rFonts w:ascii="Arial Narrow" w:hAnsi="Arial Narrow" w:cs="Arial"/>
          <w:sz w:val="24"/>
          <w:szCs w:val="24"/>
        </w:rPr>
        <w:t>s objectifs de la revue, à savoir</w:t>
      </w:r>
      <w:r w:rsidRPr="00A17C6D">
        <w:rPr>
          <w:rFonts w:ascii="Arial Narrow" w:hAnsi="Arial Narrow" w:cs="Arial"/>
          <w:sz w:val="24"/>
          <w:szCs w:val="24"/>
        </w:rPr>
        <w:t xml:space="preserve"> </w:t>
      </w:r>
      <w:r>
        <w:rPr>
          <w:rFonts w:ascii="Arial Narrow" w:hAnsi="Arial Narrow" w:cs="Arial"/>
          <w:sz w:val="24"/>
          <w:szCs w:val="24"/>
        </w:rPr>
        <w:t>l’évaluation</w:t>
      </w:r>
      <w:r w:rsidRPr="00A17C6D">
        <w:rPr>
          <w:rFonts w:ascii="Arial Narrow" w:hAnsi="Arial Narrow" w:cs="Arial"/>
          <w:sz w:val="24"/>
          <w:szCs w:val="24"/>
        </w:rPr>
        <w:t xml:space="preserve"> </w:t>
      </w:r>
      <w:r>
        <w:rPr>
          <w:rFonts w:ascii="Arial Narrow" w:hAnsi="Arial Narrow" w:cs="Arial"/>
          <w:b/>
          <w:sz w:val="24"/>
          <w:szCs w:val="24"/>
        </w:rPr>
        <w:t>d</w:t>
      </w:r>
      <w:r w:rsidRPr="00A17C6D">
        <w:rPr>
          <w:rFonts w:ascii="Arial Narrow" w:hAnsi="Arial Narrow" w:cs="Arial"/>
          <w:b/>
          <w:sz w:val="24"/>
          <w:szCs w:val="24"/>
        </w:rPr>
        <w:t xml:space="preserve">es </w:t>
      </w:r>
      <w:r w:rsidRPr="00A17C6D">
        <w:rPr>
          <w:rFonts w:ascii="Arial Narrow" w:hAnsi="Arial Narrow" w:cs="Arial"/>
          <w:b/>
          <w:bCs/>
          <w:sz w:val="24"/>
          <w:szCs w:val="24"/>
        </w:rPr>
        <w:t>processus</w:t>
      </w:r>
      <w:r w:rsidRPr="00A17C6D">
        <w:rPr>
          <w:rStyle w:val="Appelnotedebasdep"/>
          <w:rFonts w:ascii="Arial Narrow" w:hAnsi="Arial Narrow" w:cs="Arial"/>
          <w:b/>
          <w:sz w:val="24"/>
          <w:szCs w:val="24"/>
        </w:rPr>
        <w:footnoteReference w:id="2"/>
      </w:r>
      <w:r w:rsidRPr="00A17C6D">
        <w:rPr>
          <w:rFonts w:ascii="Arial Narrow" w:hAnsi="Arial Narrow" w:cs="Arial"/>
          <w:sz w:val="24"/>
          <w:szCs w:val="24"/>
        </w:rPr>
        <w:t xml:space="preserve">, </w:t>
      </w:r>
      <w:r>
        <w:rPr>
          <w:rFonts w:ascii="Arial Narrow" w:hAnsi="Arial Narrow" w:cs="Arial"/>
          <w:sz w:val="24"/>
          <w:szCs w:val="24"/>
        </w:rPr>
        <w:t>d</w:t>
      </w:r>
      <w:r w:rsidRPr="00A17C6D">
        <w:rPr>
          <w:rFonts w:ascii="Arial Narrow" w:hAnsi="Arial Narrow" w:cs="Arial"/>
          <w:sz w:val="24"/>
          <w:szCs w:val="24"/>
        </w:rPr>
        <w:t xml:space="preserve">es </w:t>
      </w:r>
      <w:r w:rsidRPr="00A17C6D">
        <w:rPr>
          <w:rFonts w:ascii="Arial Narrow" w:hAnsi="Arial Narrow" w:cs="Arial"/>
          <w:b/>
          <w:sz w:val="24"/>
          <w:szCs w:val="24"/>
        </w:rPr>
        <w:t>résultats</w:t>
      </w:r>
      <w:r w:rsidRPr="00A17C6D">
        <w:rPr>
          <w:rStyle w:val="Appelnotedebasdep"/>
          <w:rFonts w:ascii="Arial Narrow" w:hAnsi="Arial Narrow" w:cs="Arial"/>
          <w:b/>
          <w:sz w:val="24"/>
          <w:szCs w:val="24"/>
        </w:rPr>
        <w:footnoteReference w:id="3"/>
      </w:r>
      <w:r w:rsidRPr="00A17C6D">
        <w:rPr>
          <w:rFonts w:ascii="Arial Narrow" w:hAnsi="Arial Narrow" w:cs="Arial"/>
          <w:b/>
          <w:sz w:val="24"/>
          <w:szCs w:val="24"/>
        </w:rPr>
        <w:t xml:space="preserve"> obtenus à mi-parcours</w:t>
      </w:r>
      <w:r w:rsidRPr="00A17C6D">
        <w:rPr>
          <w:rFonts w:ascii="Arial Narrow" w:hAnsi="Arial Narrow" w:cs="Arial"/>
          <w:sz w:val="24"/>
          <w:szCs w:val="24"/>
        </w:rPr>
        <w:t xml:space="preserve"> et </w:t>
      </w:r>
      <w:r>
        <w:rPr>
          <w:rFonts w:ascii="Arial Narrow" w:hAnsi="Arial Narrow" w:cs="Arial"/>
          <w:sz w:val="24"/>
          <w:szCs w:val="24"/>
        </w:rPr>
        <w:t>d</w:t>
      </w:r>
      <w:r w:rsidRPr="00A17C6D">
        <w:rPr>
          <w:rFonts w:ascii="Arial Narrow" w:hAnsi="Arial Narrow" w:cs="Arial"/>
          <w:sz w:val="24"/>
          <w:szCs w:val="24"/>
        </w:rPr>
        <w:t xml:space="preserve">es </w:t>
      </w:r>
      <w:r w:rsidRPr="00A17C6D">
        <w:rPr>
          <w:rFonts w:ascii="Arial Narrow" w:hAnsi="Arial Narrow" w:cs="Arial"/>
          <w:b/>
          <w:sz w:val="24"/>
          <w:szCs w:val="24"/>
        </w:rPr>
        <w:t>défis persistants du système de santé</w:t>
      </w:r>
      <w:r>
        <w:rPr>
          <w:rFonts w:ascii="Arial Narrow" w:hAnsi="Arial Narrow" w:cs="Arial"/>
          <w:sz w:val="24"/>
          <w:szCs w:val="24"/>
        </w:rPr>
        <w:t>, à travers le cadre ci-après :</w:t>
      </w:r>
    </w:p>
    <w:p w14:paraId="580A1FB9" w14:textId="7FAD173D" w:rsidR="001626AE" w:rsidRPr="007E7C5B" w:rsidRDefault="001626AE" w:rsidP="001626AE">
      <w:pPr>
        <w:pStyle w:val="Lgende"/>
      </w:pPr>
      <w:r w:rsidRPr="007E7C5B">
        <w:t xml:space="preserve">Figure </w:t>
      </w:r>
      <w:r w:rsidRPr="007E7C5B">
        <w:fldChar w:fldCharType="begin"/>
      </w:r>
      <w:r w:rsidRPr="007E7C5B">
        <w:instrText xml:space="preserve"> SEQ Figure \* ARABIC </w:instrText>
      </w:r>
      <w:r w:rsidRPr="007E7C5B">
        <w:fldChar w:fldCharType="separate"/>
      </w:r>
      <w:r w:rsidRPr="007E7C5B">
        <w:rPr>
          <w:noProof/>
        </w:rPr>
        <w:t>2</w:t>
      </w:r>
      <w:r w:rsidRPr="007E7C5B">
        <w:fldChar w:fldCharType="end"/>
      </w:r>
      <w:r w:rsidRPr="007E7C5B">
        <w:t xml:space="preserve"> : Cadre d’analyse de la </w:t>
      </w:r>
      <w:r w:rsidR="00B635D8">
        <w:t>revue</w:t>
      </w:r>
      <w:r w:rsidRPr="007E7C5B">
        <w:t xml:space="preserve"> du PNDS 2021-2025</w:t>
      </w:r>
    </w:p>
    <w:p w14:paraId="176FEA5B" w14:textId="77777777" w:rsidR="001626AE" w:rsidRPr="007E7C5B" w:rsidRDefault="001626AE" w:rsidP="001626AE">
      <w:pPr>
        <w:keepNext/>
        <w:jc w:val="center"/>
        <w:rPr>
          <w:rFonts w:ascii="Arial Narrow" w:hAnsi="Arial Narrow" w:cs="Arial"/>
          <w:sz w:val="24"/>
          <w:szCs w:val="24"/>
        </w:rPr>
      </w:pPr>
      <w:r w:rsidRPr="00990CA4">
        <w:rPr>
          <w:noProof/>
        </w:rPr>
        <w:t xml:space="preserve"> </w:t>
      </w:r>
      <w:r w:rsidRPr="00990CA4">
        <w:rPr>
          <w:rFonts w:ascii="Arial Narrow" w:hAnsi="Arial Narrow" w:cs="Arial"/>
          <w:noProof/>
          <w:sz w:val="24"/>
          <w:szCs w:val="24"/>
        </w:rPr>
        <w:drawing>
          <wp:inline distT="0" distB="0" distL="0" distR="0" wp14:anchorId="16439D26" wp14:editId="3AF08476">
            <wp:extent cx="5092700" cy="2240540"/>
            <wp:effectExtent l="0" t="0" r="0" b="7620"/>
            <wp:docPr id="990569637" name="Picture 34" descr="A screenshot of a video game&#10;&#10;Description automatically generated">
              <a:extLst xmlns:a="http://schemas.openxmlformats.org/drawingml/2006/main">
                <a:ext uri="{FF2B5EF4-FFF2-40B4-BE49-F238E27FC236}">
                  <a16:creationId xmlns:a16="http://schemas.microsoft.com/office/drawing/2014/main" id="{6F9D97E1-E5AD-C456-6584-2A3A4E9CE8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descr="A screenshot of a video game&#10;&#10;Description automatically generated">
                      <a:extLst>
                        <a:ext uri="{FF2B5EF4-FFF2-40B4-BE49-F238E27FC236}">
                          <a16:creationId xmlns:a16="http://schemas.microsoft.com/office/drawing/2014/main" id="{6F9D97E1-E5AD-C456-6584-2A3A4E9CE8E0}"/>
                        </a:ext>
                      </a:extLst>
                    </pic:cNvPr>
                    <pic:cNvPicPr>
                      <a:picLocks noChangeAspect="1"/>
                    </pic:cNvPicPr>
                  </pic:nvPicPr>
                  <pic:blipFill>
                    <a:blip r:embed="rId33"/>
                    <a:stretch>
                      <a:fillRect/>
                    </a:stretch>
                  </pic:blipFill>
                  <pic:spPr>
                    <a:xfrm>
                      <a:off x="0" y="0"/>
                      <a:ext cx="5117547" cy="2251471"/>
                    </a:xfrm>
                    <a:prstGeom prst="rect">
                      <a:avLst/>
                    </a:prstGeom>
                  </pic:spPr>
                </pic:pic>
              </a:graphicData>
            </a:graphic>
          </wp:inline>
        </w:drawing>
      </w:r>
    </w:p>
    <w:p w14:paraId="3B7E58FC" w14:textId="2E618416" w:rsidR="001626AE" w:rsidRPr="007E7C5B" w:rsidRDefault="001626AE" w:rsidP="001626AE">
      <w:pPr>
        <w:pStyle w:val="Lgende"/>
      </w:pPr>
      <w:r w:rsidRPr="007E7C5B">
        <w:t xml:space="preserve">Sources : Consultants </w:t>
      </w:r>
      <w:r w:rsidR="00B635D8">
        <w:t>Revue</w:t>
      </w:r>
      <w:r w:rsidRPr="007E7C5B">
        <w:t xml:space="preserve"> du PNDS 2021-2025 </w:t>
      </w:r>
    </w:p>
    <w:p w14:paraId="792890AA" w14:textId="77777777" w:rsidR="001626AE" w:rsidRPr="00844BBE" w:rsidRDefault="001626AE" w:rsidP="001626AE">
      <w:pPr>
        <w:jc w:val="both"/>
        <w:rPr>
          <w:rFonts w:ascii="Arial Narrow" w:hAnsi="Arial Narrow" w:cs="Arial"/>
          <w:sz w:val="24"/>
          <w:szCs w:val="24"/>
        </w:rPr>
      </w:pPr>
      <w:r w:rsidRPr="00844BBE">
        <w:rPr>
          <w:rFonts w:ascii="Arial Narrow" w:hAnsi="Arial Narrow" w:cs="Arial"/>
          <w:sz w:val="24"/>
          <w:szCs w:val="24"/>
        </w:rPr>
        <w:t>Les résultats consolidés ont permis d’identifier des avancées ainsi que des lacunes nécessitant des ajustements stratégiques pour atteindre les objectifs du PNDS dans sa phase finale. Les recommandations formulées à partir de cette analyse visent à renforcer la gouvernance, à optimiser la coordination intersectorielle et à améliorer la mobilisation des ressources financières.</w:t>
      </w:r>
    </w:p>
    <w:p w14:paraId="2442B0C9" w14:textId="77777777" w:rsidR="001626AE" w:rsidRPr="00DC241E" w:rsidRDefault="001626AE" w:rsidP="001626AE">
      <w:pPr>
        <w:pStyle w:val="Paragraphedeliste"/>
        <w:numPr>
          <w:ilvl w:val="0"/>
          <w:numId w:val="62"/>
        </w:numPr>
        <w:jc w:val="both"/>
        <w:rPr>
          <w:rFonts w:ascii="Arial Narrow" w:hAnsi="Arial Narrow" w:cs="Arial"/>
          <w:bCs/>
          <w:sz w:val="24"/>
          <w:szCs w:val="24"/>
        </w:rPr>
      </w:pPr>
      <w:r w:rsidRPr="001D043B">
        <w:rPr>
          <w:rFonts w:ascii="Arial Narrow" w:hAnsi="Arial Narrow" w:cs="Arial"/>
          <w:b/>
          <w:sz w:val="24"/>
          <w:szCs w:val="24"/>
        </w:rPr>
        <w:t>L’</w:t>
      </w:r>
      <w:r w:rsidRPr="00DC241E">
        <w:rPr>
          <w:rFonts w:ascii="Arial Narrow" w:hAnsi="Arial Narrow" w:cs="Arial"/>
          <w:b/>
          <w:sz w:val="24"/>
          <w:szCs w:val="24"/>
        </w:rPr>
        <w:t xml:space="preserve">élaboration du rapport </w:t>
      </w:r>
      <w:r w:rsidRPr="001D043B">
        <w:rPr>
          <w:rFonts w:ascii="Arial Narrow" w:hAnsi="Arial Narrow" w:cs="Arial"/>
          <w:b/>
          <w:sz w:val="24"/>
          <w:szCs w:val="24"/>
        </w:rPr>
        <w:t xml:space="preserve">de la revue </w:t>
      </w:r>
      <w:r w:rsidRPr="00DC241E">
        <w:rPr>
          <w:rFonts w:ascii="Arial Narrow" w:hAnsi="Arial Narrow" w:cs="Arial"/>
          <w:bCs/>
          <w:sz w:val="24"/>
          <w:szCs w:val="24"/>
        </w:rPr>
        <w:t>s’est faite par compilation des résultats des différentes analyses effectuées et des recommandations formulées.</w:t>
      </w:r>
    </w:p>
    <w:p w14:paraId="2D84DF92" w14:textId="77777777" w:rsidR="001626AE" w:rsidRPr="005D1AF8" w:rsidRDefault="001626AE" w:rsidP="001626AE">
      <w:pPr>
        <w:jc w:val="both"/>
        <w:rPr>
          <w:rFonts w:ascii="Arial Narrow" w:eastAsia="Calibri" w:hAnsi="Arial Narrow" w:cs="Arial"/>
          <w:color w:val="2F5496" w:themeColor="accent1" w:themeShade="BF"/>
          <w:sz w:val="24"/>
          <w:szCs w:val="24"/>
        </w:rPr>
      </w:pPr>
    </w:p>
    <w:p w14:paraId="5D81A1A1" w14:textId="77777777" w:rsidR="001626AE" w:rsidRPr="005D1AF8" w:rsidRDefault="001626AE" w:rsidP="001626AE">
      <w:pPr>
        <w:pStyle w:val="Titre2"/>
        <w:jc w:val="both"/>
        <w:rPr>
          <w:rFonts w:ascii="Arial Narrow" w:eastAsia="Calibri" w:hAnsi="Arial Narrow" w:cs="Arial"/>
          <w:sz w:val="24"/>
          <w:szCs w:val="24"/>
        </w:rPr>
      </w:pPr>
      <w:bookmarkStart w:id="23" w:name="_Toc190677466"/>
      <w:r>
        <w:rPr>
          <w:rFonts w:ascii="Arial Narrow" w:eastAsia="Calibri" w:hAnsi="Arial Narrow" w:cs="Arial"/>
          <w:sz w:val="24"/>
          <w:szCs w:val="24"/>
        </w:rPr>
        <w:lastRenderedPageBreak/>
        <w:t xml:space="preserve">I.2 </w:t>
      </w:r>
      <w:r w:rsidRPr="005D1AF8">
        <w:rPr>
          <w:rFonts w:ascii="Arial Narrow" w:eastAsia="Calibri" w:hAnsi="Arial Narrow" w:cs="Arial"/>
          <w:sz w:val="24"/>
          <w:szCs w:val="24"/>
        </w:rPr>
        <w:t>Limites</w:t>
      </w:r>
      <w:bookmarkEnd w:id="23"/>
    </w:p>
    <w:p w14:paraId="5122832A" w14:textId="77777777" w:rsidR="001626AE" w:rsidRPr="001D043B" w:rsidRDefault="001626AE" w:rsidP="001626AE">
      <w:pPr>
        <w:jc w:val="both"/>
        <w:rPr>
          <w:rFonts w:ascii="Arial Narrow" w:hAnsi="Arial Narrow" w:cs="Arial"/>
          <w:sz w:val="24"/>
          <w:szCs w:val="24"/>
        </w:rPr>
      </w:pPr>
      <w:r w:rsidRPr="001D043B">
        <w:rPr>
          <w:rFonts w:ascii="Arial Narrow" w:hAnsi="Arial Narrow" w:cs="Arial"/>
          <w:sz w:val="24"/>
          <w:szCs w:val="24"/>
        </w:rPr>
        <w:t xml:space="preserve">La rédaction de ce rapport s’appuie sur une approche participative, avec une implication étendue des parties prenantes. Toutefois, plusieurs facteurs ont imposé certaines limites aux analyses présentées. </w:t>
      </w:r>
    </w:p>
    <w:p w14:paraId="340ECEC1" w14:textId="563DF1F4" w:rsidR="001626AE" w:rsidRPr="001D043B" w:rsidRDefault="001626AE" w:rsidP="001626AE">
      <w:pPr>
        <w:jc w:val="both"/>
        <w:rPr>
          <w:rFonts w:ascii="Arial Narrow" w:hAnsi="Arial Narrow" w:cs="Arial"/>
          <w:sz w:val="24"/>
          <w:szCs w:val="24"/>
        </w:rPr>
      </w:pPr>
      <w:r w:rsidRPr="001D043B">
        <w:rPr>
          <w:rFonts w:ascii="Arial Narrow" w:hAnsi="Arial Narrow" w:cs="Arial"/>
          <w:sz w:val="24"/>
          <w:szCs w:val="24"/>
        </w:rPr>
        <w:t>Tout d’abord, les résultats reposent sur l’analyse des informations disponibles au moment de la revue. Ces informations, issues des documents de référence du secteur de la santé et des entretiens menés sur le terrain, ont été croisées pour assurer une cohérence et une représentativité maximale. Cependant, les données recueillies au cours des entretiens ont été obtenues sur une base déclarative et volontaire.</w:t>
      </w:r>
    </w:p>
    <w:p w14:paraId="371E9C8D" w14:textId="77777777" w:rsidR="001626AE" w:rsidRPr="001D043B" w:rsidRDefault="001626AE" w:rsidP="001626AE">
      <w:pPr>
        <w:jc w:val="both"/>
        <w:rPr>
          <w:rFonts w:ascii="Arial Narrow" w:hAnsi="Arial Narrow" w:cs="Arial"/>
          <w:sz w:val="24"/>
          <w:szCs w:val="24"/>
        </w:rPr>
      </w:pPr>
      <w:r w:rsidRPr="001D043B">
        <w:rPr>
          <w:rFonts w:ascii="Arial Narrow" w:hAnsi="Arial Narrow" w:cs="Arial"/>
          <w:sz w:val="24"/>
          <w:szCs w:val="24"/>
        </w:rPr>
        <w:t>Par ailleurs, il est important de souligner que :</w:t>
      </w:r>
    </w:p>
    <w:p w14:paraId="2C68B048" w14:textId="77777777" w:rsidR="001626AE" w:rsidRPr="001D043B" w:rsidRDefault="001626AE" w:rsidP="001626AE">
      <w:pPr>
        <w:jc w:val="both"/>
        <w:rPr>
          <w:rFonts w:ascii="Arial Narrow" w:hAnsi="Arial Narrow" w:cs="Arial"/>
          <w:sz w:val="24"/>
          <w:szCs w:val="24"/>
        </w:rPr>
      </w:pPr>
      <w:r w:rsidRPr="001D043B">
        <w:rPr>
          <w:rFonts w:ascii="Arial Narrow" w:hAnsi="Arial Narrow" w:cs="Arial"/>
          <w:sz w:val="24"/>
          <w:szCs w:val="24"/>
        </w:rPr>
        <w:t xml:space="preserve">- </w:t>
      </w:r>
      <w:r w:rsidRPr="001D043B">
        <w:rPr>
          <w:rFonts w:ascii="Arial Narrow" w:hAnsi="Arial Narrow" w:cs="Arial"/>
          <w:b/>
          <w:bCs/>
          <w:i/>
          <w:iCs/>
          <w:sz w:val="24"/>
          <w:szCs w:val="24"/>
        </w:rPr>
        <w:t>Portée de la revue</w:t>
      </w:r>
      <w:r w:rsidRPr="001D043B">
        <w:rPr>
          <w:rFonts w:ascii="Arial Narrow" w:hAnsi="Arial Narrow" w:cs="Arial"/>
          <w:sz w:val="24"/>
          <w:szCs w:val="24"/>
        </w:rPr>
        <w:t xml:space="preserve"> : Cette revue ne vise pas à être exhaustive. Elle se concentre principalement sur les points les plus significatifs définis dans les termes de référence, et certaines problématiques secondaires peuvent ne pas être couvertes en détail.</w:t>
      </w:r>
    </w:p>
    <w:p w14:paraId="7D9C0FDB" w14:textId="6B90F11F" w:rsidR="000D64F3" w:rsidRPr="007A001B" w:rsidRDefault="001626AE" w:rsidP="001626AE">
      <w:pPr>
        <w:jc w:val="both"/>
        <w:rPr>
          <w:rFonts w:ascii="Arial Narrow" w:hAnsi="Arial Narrow" w:cs="Arial"/>
          <w:sz w:val="24"/>
          <w:szCs w:val="24"/>
        </w:rPr>
      </w:pPr>
      <w:r w:rsidRPr="001D043B">
        <w:rPr>
          <w:rFonts w:ascii="Arial Narrow" w:hAnsi="Arial Narrow" w:cs="Arial"/>
          <w:sz w:val="24"/>
          <w:szCs w:val="24"/>
        </w:rPr>
        <w:t xml:space="preserve">- </w:t>
      </w:r>
      <w:r w:rsidRPr="001D043B">
        <w:rPr>
          <w:rFonts w:ascii="Arial Narrow" w:hAnsi="Arial Narrow" w:cs="Arial"/>
          <w:b/>
          <w:bCs/>
          <w:i/>
          <w:iCs/>
          <w:sz w:val="24"/>
          <w:szCs w:val="24"/>
        </w:rPr>
        <w:t>Accès limité à certaines informations</w:t>
      </w:r>
      <w:r w:rsidRPr="001D043B">
        <w:rPr>
          <w:rFonts w:ascii="Arial Narrow" w:hAnsi="Arial Narrow" w:cs="Arial"/>
          <w:sz w:val="24"/>
          <w:szCs w:val="24"/>
        </w:rPr>
        <w:t xml:space="preserve"> : La revue a rencontré des difficultés liées </w:t>
      </w:r>
      <w:r w:rsidR="002F740A">
        <w:rPr>
          <w:rFonts w:ascii="Arial Narrow" w:hAnsi="Arial Narrow" w:cs="Arial"/>
          <w:sz w:val="24"/>
          <w:szCs w:val="24"/>
        </w:rPr>
        <w:t>aux</w:t>
      </w:r>
      <w:r w:rsidRPr="001D043B">
        <w:rPr>
          <w:rFonts w:ascii="Arial Narrow" w:hAnsi="Arial Narrow" w:cs="Arial"/>
          <w:sz w:val="24"/>
          <w:szCs w:val="24"/>
        </w:rPr>
        <w:t xml:space="preserve"> retards dans la transmission des informations </w:t>
      </w:r>
      <w:r w:rsidRPr="007D4F84">
        <w:rPr>
          <w:rFonts w:ascii="Arial Narrow" w:hAnsi="Arial Narrow" w:cs="Arial"/>
          <w:sz w:val="24"/>
          <w:szCs w:val="24"/>
        </w:rPr>
        <w:t xml:space="preserve">sur </w:t>
      </w:r>
      <w:r w:rsidR="00AD2127" w:rsidRPr="007D4F84">
        <w:rPr>
          <w:rFonts w:ascii="Arial Narrow" w:hAnsi="Arial Narrow" w:cs="Arial"/>
          <w:sz w:val="24"/>
          <w:szCs w:val="24"/>
        </w:rPr>
        <w:t>les valeurs</w:t>
      </w:r>
      <w:r w:rsidRPr="007D4F84">
        <w:rPr>
          <w:rFonts w:ascii="Arial Narrow" w:hAnsi="Arial Narrow" w:cs="Arial"/>
          <w:sz w:val="24"/>
          <w:szCs w:val="24"/>
        </w:rPr>
        <w:t xml:space="preserve"> des indicateurs de santé et sur les activités menées </w:t>
      </w:r>
      <w:r w:rsidR="007D4F84">
        <w:rPr>
          <w:rFonts w:ascii="Arial Narrow" w:hAnsi="Arial Narrow" w:cs="Arial"/>
          <w:sz w:val="24"/>
          <w:szCs w:val="24"/>
        </w:rPr>
        <w:t>ainsi que l’incomplétude des données fournies</w:t>
      </w:r>
      <w:r w:rsidR="00D13E12" w:rsidRPr="007D4F84">
        <w:rPr>
          <w:rFonts w:ascii="Arial Narrow" w:hAnsi="Arial Narrow" w:cs="Arial"/>
          <w:sz w:val="24"/>
          <w:szCs w:val="24"/>
        </w:rPr>
        <w:t xml:space="preserve">. </w:t>
      </w:r>
      <w:r w:rsidRPr="007D4F84">
        <w:rPr>
          <w:rFonts w:ascii="Arial Narrow" w:hAnsi="Arial Narrow" w:cs="Arial"/>
          <w:sz w:val="24"/>
          <w:szCs w:val="24"/>
        </w:rPr>
        <w:t>De plus</w:t>
      </w:r>
      <w:r w:rsidR="007D4F84">
        <w:rPr>
          <w:rFonts w:ascii="Arial Narrow" w:hAnsi="Arial Narrow" w:cs="Arial"/>
          <w:sz w:val="24"/>
          <w:szCs w:val="24"/>
        </w:rPr>
        <w:t xml:space="preserve"> </w:t>
      </w:r>
      <w:r w:rsidR="000D64F3" w:rsidRPr="007A001B">
        <w:rPr>
          <w:rFonts w:ascii="Arial Narrow" w:hAnsi="Arial Narrow" w:cs="Arial"/>
          <w:sz w:val="24"/>
          <w:szCs w:val="24"/>
        </w:rPr>
        <w:t>l’analyse de la mobilisation et de l’exécution budgétaire dans le cadre de la mise en œuvre du PNDS a été limitée en raison de l’absence de données financières complètes.</w:t>
      </w:r>
    </w:p>
    <w:p w14:paraId="681B68FC" w14:textId="36E04456" w:rsidR="001626AE" w:rsidRPr="001D043B" w:rsidRDefault="001626AE" w:rsidP="001626AE">
      <w:pPr>
        <w:jc w:val="both"/>
        <w:rPr>
          <w:rFonts w:ascii="Arial Narrow" w:hAnsi="Arial Narrow" w:cs="Arial"/>
          <w:sz w:val="24"/>
          <w:szCs w:val="24"/>
        </w:rPr>
      </w:pPr>
      <w:r w:rsidRPr="001D043B">
        <w:rPr>
          <w:rFonts w:ascii="Arial Narrow" w:hAnsi="Arial Narrow" w:cs="Arial"/>
          <w:sz w:val="24"/>
          <w:szCs w:val="24"/>
        </w:rPr>
        <w:t xml:space="preserve">- </w:t>
      </w:r>
      <w:r w:rsidRPr="001D043B">
        <w:rPr>
          <w:rFonts w:ascii="Arial Narrow" w:hAnsi="Arial Narrow" w:cs="Arial"/>
          <w:b/>
          <w:bCs/>
          <w:i/>
          <w:iCs/>
          <w:sz w:val="24"/>
          <w:szCs w:val="24"/>
        </w:rPr>
        <w:t>Couverture régionale incomplète</w:t>
      </w:r>
      <w:r w:rsidRPr="001D043B">
        <w:rPr>
          <w:rFonts w:ascii="Arial Narrow" w:hAnsi="Arial Narrow" w:cs="Arial"/>
          <w:sz w:val="24"/>
          <w:szCs w:val="24"/>
        </w:rPr>
        <w:t xml:space="preserve"> : </w:t>
      </w:r>
      <w:r>
        <w:rPr>
          <w:rFonts w:ascii="Arial Narrow" w:hAnsi="Arial Narrow" w:cs="Arial"/>
          <w:sz w:val="24"/>
          <w:szCs w:val="24"/>
        </w:rPr>
        <w:t>L</w:t>
      </w:r>
      <w:r w:rsidRPr="001D043B">
        <w:rPr>
          <w:rFonts w:ascii="Arial Narrow" w:hAnsi="Arial Narrow" w:cs="Arial"/>
          <w:sz w:val="24"/>
          <w:szCs w:val="24"/>
        </w:rPr>
        <w:t>ors de la phase de collecte</w:t>
      </w:r>
      <w:r w:rsidR="00D13E12">
        <w:rPr>
          <w:rFonts w:ascii="Arial Narrow" w:hAnsi="Arial Narrow" w:cs="Arial"/>
          <w:sz w:val="24"/>
          <w:szCs w:val="24"/>
        </w:rPr>
        <w:t xml:space="preserve">, </w:t>
      </w:r>
      <w:r>
        <w:rPr>
          <w:rFonts w:ascii="Arial Narrow" w:hAnsi="Arial Narrow" w:cs="Arial"/>
          <w:sz w:val="24"/>
          <w:szCs w:val="24"/>
        </w:rPr>
        <w:t>cinq PRES sur 10 ont été visités</w:t>
      </w:r>
      <w:r w:rsidRPr="001D043B">
        <w:rPr>
          <w:rFonts w:ascii="Arial Narrow" w:hAnsi="Arial Narrow" w:cs="Arial"/>
          <w:sz w:val="24"/>
          <w:szCs w:val="24"/>
        </w:rPr>
        <w:t>, le faible taux de réponse et le caractère incomplet de certaines informations transmises</w:t>
      </w:r>
      <w:r>
        <w:rPr>
          <w:rFonts w:ascii="Arial Narrow" w:hAnsi="Arial Narrow" w:cs="Arial"/>
          <w:sz w:val="24"/>
          <w:szCs w:val="24"/>
        </w:rPr>
        <w:t xml:space="preserve"> de l’ensemble des 10 PRES</w:t>
      </w:r>
      <w:r w:rsidRPr="001D043B">
        <w:rPr>
          <w:rFonts w:ascii="Arial Narrow" w:hAnsi="Arial Narrow" w:cs="Arial"/>
          <w:sz w:val="24"/>
          <w:szCs w:val="24"/>
        </w:rPr>
        <w:t xml:space="preserve"> n’ont pas permis de capturer les spécificités locales de manière optimale. Ces insuffisances dans le retour d’information limitent la représentation détaillée des contextes régionaux.</w:t>
      </w:r>
    </w:p>
    <w:p w14:paraId="7E9787D9" w14:textId="77777777" w:rsidR="001626AE" w:rsidRPr="009A0168" w:rsidRDefault="001626AE" w:rsidP="001626AE"/>
    <w:p w14:paraId="6D8C4F19" w14:textId="4C51A97A" w:rsidR="0094076D" w:rsidRPr="007E7C5B" w:rsidRDefault="00487582" w:rsidP="00761F55">
      <w:pPr>
        <w:pStyle w:val="Titre1"/>
        <w:jc w:val="both"/>
        <w:rPr>
          <w:rFonts w:ascii="Arial Narrow" w:hAnsi="Arial Narrow" w:cs="Arial"/>
          <w:b/>
          <w:sz w:val="24"/>
          <w:szCs w:val="24"/>
        </w:rPr>
      </w:pPr>
      <w:bookmarkStart w:id="24" w:name="_Toc178699544"/>
      <w:bookmarkStart w:id="25" w:name="_Toc190677467"/>
      <w:r w:rsidRPr="007E7C5B">
        <w:rPr>
          <w:rFonts w:ascii="Arial Narrow" w:hAnsi="Arial Narrow" w:cs="Arial"/>
          <w:b/>
          <w:sz w:val="24"/>
          <w:szCs w:val="24"/>
        </w:rPr>
        <w:t>Section I</w:t>
      </w:r>
      <w:r w:rsidR="001626AE">
        <w:rPr>
          <w:rFonts w:ascii="Arial Narrow" w:hAnsi="Arial Narrow" w:cs="Arial"/>
          <w:b/>
          <w:sz w:val="24"/>
          <w:szCs w:val="24"/>
        </w:rPr>
        <w:t>I</w:t>
      </w:r>
      <w:r w:rsidRPr="007E7C5B">
        <w:rPr>
          <w:rFonts w:ascii="Arial Narrow" w:hAnsi="Arial Narrow" w:cs="Arial"/>
          <w:b/>
          <w:sz w:val="24"/>
          <w:szCs w:val="24"/>
        </w:rPr>
        <w:t> :</w:t>
      </w:r>
      <w:r w:rsidR="0094076D" w:rsidRPr="007E7C5B">
        <w:rPr>
          <w:rFonts w:ascii="Arial Narrow" w:hAnsi="Arial Narrow" w:cs="Arial"/>
          <w:b/>
          <w:sz w:val="24"/>
          <w:szCs w:val="24"/>
        </w:rPr>
        <w:t xml:space="preserve"> Contexte global de mise en œuvre du PNDS </w:t>
      </w:r>
      <w:bookmarkEnd w:id="24"/>
      <w:r w:rsidR="009E3475" w:rsidRPr="007E7C5B">
        <w:rPr>
          <w:rFonts w:ascii="Arial Narrow" w:hAnsi="Arial Narrow" w:cs="Arial"/>
          <w:b/>
          <w:sz w:val="24"/>
          <w:szCs w:val="24"/>
        </w:rPr>
        <w:t>2021-2025</w:t>
      </w:r>
      <w:bookmarkEnd w:id="25"/>
    </w:p>
    <w:p w14:paraId="394D431F" w14:textId="262C2828" w:rsidR="00DA469C" w:rsidRPr="007E7C5B" w:rsidRDefault="00DA469C" w:rsidP="00761F55">
      <w:pPr>
        <w:jc w:val="both"/>
        <w:rPr>
          <w:rFonts w:ascii="Arial Narrow" w:hAnsi="Arial Narrow" w:cs="Arial"/>
          <w:sz w:val="24"/>
          <w:szCs w:val="24"/>
        </w:rPr>
      </w:pPr>
      <w:r w:rsidRPr="007E7C5B">
        <w:rPr>
          <w:rFonts w:ascii="Arial Narrow" w:hAnsi="Arial Narrow" w:cs="Arial"/>
          <w:sz w:val="24"/>
          <w:szCs w:val="24"/>
        </w:rPr>
        <w:t>Cette section</w:t>
      </w:r>
      <w:r w:rsidRPr="007E7C5B" w:rsidDel="00CB2A55">
        <w:rPr>
          <w:rFonts w:ascii="Arial Narrow" w:hAnsi="Arial Narrow" w:cs="Arial"/>
          <w:sz w:val="24"/>
          <w:szCs w:val="24"/>
        </w:rPr>
        <w:t xml:space="preserve"> </w:t>
      </w:r>
      <w:r w:rsidRPr="007E7C5B">
        <w:rPr>
          <w:rFonts w:ascii="Arial Narrow" w:hAnsi="Arial Narrow" w:cs="Arial"/>
          <w:sz w:val="24"/>
          <w:szCs w:val="24"/>
        </w:rPr>
        <w:t xml:space="preserve">vise à présenter </w:t>
      </w:r>
      <w:r w:rsidR="00053925" w:rsidRPr="007E7C5B">
        <w:rPr>
          <w:rFonts w:ascii="Arial Narrow" w:hAnsi="Arial Narrow" w:cs="Arial"/>
          <w:sz w:val="24"/>
          <w:szCs w:val="24"/>
        </w:rPr>
        <w:t xml:space="preserve">le contexte </w:t>
      </w:r>
      <w:r w:rsidR="00B6335A" w:rsidRPr="007E7C5B">
        <w:rPr>
          <w:rFonts w:ascii="Arial Narrow" w:hAnsi="Arial Narrow" w:cs="Arial"/>
          <w:sz w:val="24"/>
          <w:szCs w:val="24"/>
        </w:rPr>
        <w:t xml:space="preserve">de </w:t>
      </w:r>
      <w:r w:rsidR="00FC7BBD" w:rsidRPr="007E7C5B">
        <w:rPr>
          <w:rFonts w:ascii="Arial Narrow" w:hAnsi="Arial Narrow" w:cs="Arial"/>
          <w:sz w:val="24"/>
          <w:szCs w:val="24"/>
        </w:rPr>
        <w:t>l</w:t>
      </w:r>
      <w:r w:rsidR="00F2318E" w:rsidRPr="007E7C5B">
        <w:rPr>
          <w:rFonts w:ascii="Arial Narrow" w:hAnsi="Arial Narrow" w:cs="Arial"/>
          <w:sz w:val="24"/>
          <w:szCs w:val="24"/>
        </w:rPr>
        <w:t>’élaboration</w:t>
      </w:r>
      <w:r w:rsidR="00B36D7B" w:rsidRPr="007E7C5B">
        <w:rPr>
          <w:rFonts w:ascii="Arial Narrow" w:hAnsi="Arial Narrow" w:cs="Arial"/>
          <w:sz w:val="24"/>
          <w:szCs w:val="24"/>
        </w:rPr>
        <w:t xml:space="preserve"> et</w:t>
      </w:r>
      <w:r w:rsidR="00F2318E" w:rsidRPr="007E7C5B">
        <w:rPr>
          <w:rFonts w:ascii="Arial Narrow" w:hAnsi="Arial Narrow" w:cs="Arial"/>
          <w:sz w:val="24"/>
          <w:szCs w:val="24"/>
        </w:rPr>
        <w:t xml:space="preserve"> </w:t>
      </w:r>
      <w:r w:rsidR="00077820" w:rsidRPr="007E7C5B">
        <w:rPr>
          <w:rFonts w:ascii="Arial Narrow" w:hAnsi="Arial Narrow" w:cs="Arial"/>
          <w:sz w:val="24"/>
          <w:szCs w:val="24"/>
        </w:rPr>
        <w:t xml:space="preserve">de </w:t>
      </w:r>
      <w:r w:rsidR="00FC7BBD" w:rsidRPr="007E7C5B">
        <w:rPr>
          <w:rFonts w:ascii="Arial Narrow" w:hAnsi="Arial Narrow" w:cs="Arial"/>
          <w:sz w:val="24"/>
          <w:szCs w:val="24"/>
        </w:rPr>
        <w:t>la</w:t>
      </w:r>
      <w:r w:rsidR="00F2318E" w:rsidRPr="007E7C5B">
        <w:rPr>
          <w:rFonts w:ascii="Arial Narrow" w:hAnsi="Arial Narrow" w:cs="Arial"/>
          <w:sz w:val="24"/>
          <w:szCs w:val="24"/>
        </w:rPr>
        <w:t xml:space="preserve"> mise en œuvre </w:t>
      </w:r>
      <w:r w:rsidR="00B36D7B" w:rsidRPr="007E7C5B">
        <w:rPr>
          <w:rFonts w:ascii="Arial Narrow" w:hAnsi="Arial Narrow" w:cs="Arial"/>
          <w:sz w:val="24"/>
          <w:szCs w:val="24"/>
        </w:rPr>
        <w:t>du Plan National</w:t>
      </w:r>
      <w:r w:rsidR="00FC7BBD" w:rsidRPr="007E7C5B">
        <w:rPr>
          <w:rFonts w:ascii="Arial Narrow" w:hAnsi="Arial Narrow" w:cs="Arial"/>
          <w:sz w:val="24"/>
          <w:szCs w:val="24"/>
        </w:rPr>
        <w:t xml:space="preserve"> de Développement Sanitaire (PNDS </w:t>
      </w:r>
      <w:r w:rsidR="009E3475" w:rsidRPr="007E7C5B">
        <w:rPr>
          <w:rFonts w:ascii="Arial Narrow" w:hAnsi="Arial Narrow" w:cs="Arial"/>
          <w:sz w:val="24"/>
          <w:szCs w:val="24"/>
        </w:rPr>
        <w:t>2021-2025</w:t>
      </w:r>
      <w:r w:rsidR="00FC7BBD" w:rsidRPr="007E7C5B">
        <w:rPr>
          <w:rFonts w:ascii="Arial Narrow" w:hAnsi="Arial Narrow" w:cs="Arial"/>
          <w:sz w:val="24"/>
          <w:szCs w:val="24"/>
        </w:rPr>
        <w:t xml:space="preserve">). </w:t>
      </w:r>
      <w:r w:rsidR="00066038" w:rsidRPr="007E7C5B">
        <w:rPr>
          <w:rFonts w:ascii="Arial Narrow" w:hAnsi="Arial Narrow" w:cs="Arial"/>
          <w:sz w:val="24"/>
          <w:szCs w:val="24"/>
        </w:rPr>
        <w:t>Elle</w:t>
      </w:r>
      <w:r w:rsidR="00066038" w:rsidRPr="007E7C5B" w:rsidDel="00667794">
        <w:rPr>
          <w:rFonts w:ascii="Arial Narrow" w:hAnsi="Arial Narrow" w:cs="Arial"/>
          <w:sz w:val="24"/>
          <w:szCs w:val="24"/>
        </w:rPr>
        <w:t xml:space="preserve"> </w:t>
      </w:r>
      <w:r w:rsidR="00667794" w:rsidRPr="007E7C5B">
        <w:rPr>
          <w:rFonts w:ascii="Arial Narrow" w:hAnsi="Arial Narrow" w:cs="Arial"/>
          <w:sz w:val="24"/>
          <w:szCs w:val="24"/>
        </w:rPr>
        <w:t xml:space="preserve">présente </w:t>
      </w:r>
      <w:r w:rsidR="00B6335A" w:rsidRPr="007E7C5B">
        <w:rPr>
          <w:rFonts w:ascii="Arial Narrow" w:hAnsi="Arial Narrow" w:cs="Arial"/>
          <w:sz w:val="24"/>
          <w:szCs w:val="24"/>
        </w:rPr>
        <w:t>l</w:t>
      </w:r>
      <w:r w:rsidR="00066038" w:rsidRPr="007E7C5B">
        <w:rPr>
          <w:rFonts w:ascii="Arial Narrow" w:hAnsi="Arial Narrow" w:cs="Arial"/>
          <w:sz w:val="24"/>
          <w:szCs w:val="24"/>
        </w:rPr>
        <w:t xml:space="preserve">es performances macroéconomiques de la Côte d’Ivoire, </w:t>
      </w:r>
      <w:r w:rsidR="00D9574B" w:rsidRPr="007E7C5B">
        <w:rPr>
          <w:rFonts w:ascii="Arial Narrow" w:hAnsi="Arial Narrow" w:cs="Arial"/>
          <w:sz w:val="24"/>
          <w:szCs w:val="24"/>
        </w:rPr>
        <w:t xml:space="preserve">les </w:t>
      </w:r>
      <w:r w:rsidR="004C1D4C" w:rsidRPr="007E7C5B">
        <w:rPr>
          <w:rFonts w:ascii="Arial Narrow" w:hAnsi="Arial Narrow" w:cs="Arial"/>
          <w:sz w:val="24"/>
          <w:szCs w:val="24"/>
        </w:rPr>
        <w:t xml:space="preserve">engagements internationaux du pays en matière de </w:t>
      </w:r>
      <w:r w:rsidR="00BC1673" w:rsidRPr="007E7C5B">
        <w:rPr>
          <w:rFonts w:ascii="Arial Narrow" w:hAnsi="Arial Narrow" w:cs="Arial"/>
          <w:sz w:val="24"/>
          <w:szCs w:val="24"/>
        </w:rPr>
        <w:t>santé</w:t>
      </w:r>
      <w:r w:rsidR="00630806" w:rsidRPr="007E7C5B">
        <w:rPr>
          <w:rFonts w:ascii="Arial Narrow" w:hAnsi="Arial Narrow" w:cs="Arial"/>
          <w:sz w:val="24"/>
          <w:szCs w:val="24"/>
        </w:rPr>
        <w:t>,</w:t>
      </w:r>
      <w:r w:rsidR="00B6335A" w:rsidRPr="007E7C5B">
        <w:rPr>
          <w:rFonts w:ascii="Arial Narrow" w:hAnsi="Arial Narrow" w:cs="Arial"/>
          <w:sz w:val="24"/>
          <w:szCs w:val="24"/>
        </w:rPr>
        <w:t xml:space="preserve"> </w:t>
      </w:r>
      <w:r w:rsidR="0032170A" w:rsidRPr="007E7C5B">
        <w:rPr>
          <w:rFonts w:ascii="Arial Narrow" w:hAnsi="Arial Narrow" w:cs="Arial"/>
          <w:sz w:val="24"/>
          <w:szCs w:val="24"/>
        </w:rPr>
        <w:t>précise les enjeux sociaux préval</w:t>
      </w:r>
      <w:r w:rsidR="00085567" w:rsidRPr="007E7C5B">
        <w:rPr>
          <w:rFonts w:ascii="Arial Narrow" w:hAnsi="Arial Narrow" w:cs="Arial"/>
          <w:sz w:val="24"/>
          <w:szCs w:val="24"/>
        </w:rPr>
        <w:t>a</w:t>
      </w:r>
      <w:r w:rsidR="0032170A" w:rsidRPr="007E7C5B">
        <w:rPr>
          <w:rFonts w:ascii="Arial Narrow" w:hAnsi="Arial Narrow" w:cs="Arial"/>
          <w:sz w:val="24"/>
          <w:szCs w:val="24"/>
        </w:rPr>
        <w:t>nt dans le pays</w:t>
      </w:r>
      <w:r w:rsidR="00A24668" w:rsidRPr="007E7C5B">
        <w:rPr>
          <w:rFonts w:ascii="Arial Narrow" w:hAnsi="Arial Narrow" w:cs="Arial"/>
          <w:sz w:val="24"/>
          <w:szCs w:val="24"/>
        </w:rPr>
        <w:t xml:space="preserve">, </w:t>
      </w:r>
      <w:r w:rsidR="00587164" w:rsidRPr="007E7C5B">
        <w:rPr>
          <w:rFonts w:ascii="Arial Narrow" w:hAnsi="Arial Narrow" w:cs="Arial"/>
          <w:sz w:val="24"/>
          <w:szCs w:val="24"/>
        </w:rPr>
        <w:t>présente</w:t>
      </w:r>
      <w:r w:rsidR="00D67440" w:rsidRPr="007E7C5B">
        <w:rPr>
          <w:rFonts w:ascii="Arial Narrow" w:hAnsi="Arial Narrow" w:cs="Arial"/>
          <w:sz w:val="24"/>
          <w:szCs w:val="24"/>
        </w:rPr>
        <w:t xml:space="preserve"> le contexte sanitaire </w:t>
      </w:r>
      <w:r w:rsidR="00587164" w:rsidRPr="007E7C5B">
        <w:rPr>
          <w:rFonts w:ascii="Arial Narrow" w:hAnsi="Arial Narrow" w:cs="Arial"/>
          <w:sz w:val="24"/>
          <w:szCs w:val="24"/>
        </w:rPr>
        <w:t xml:space="preserve">actuel </w:t>
      </w:r>
      <w:r w:rsidR="007328F5" w:rsidRPr="007E7C5B">
        <w:rPr>
          <w:rFonts w:ascii="Arial Narrow" w:hAnsi="Arial Narrow" w:cs="Arial"/>
          <w:sz w:val="24"/>
          <w:szCs w:val="24"/>
        </w:rPr>
        <w:t xml:space="preserve">et </w:t>
      </w:r>
      <w:r w:rsidR="008E5DE0" w:rsidRPr="007E7C5B">
        <w:rPr>
          <w:rFonts w:ascii="Arial Narrow" w:hAnsi="Arial Narrow" w:cs="Arial"/>
          <w:sz w:val="24"/>
          <w:szCs w:val="24"/>
        </w:rPr>
        <w:t>décrit l</w:t>
      </w:r>
      <w:r w:rsidR="00F0198F" w:rsidRPr="00A918AC">
        <w:rPr>
          <w:rFonts w:ascii="Arial Narrow" w:hAnsi="Arial Narrow" w:cs="Arial"/>
          <w:sz w:val="24"/>
          <w:szCs w:val="24"/>
        </w:rPr>
        <w:t xml:space="preserve">es </w:t>
      </w:r>
      <w:r w:rsidR="00860F2D" w:rsidRPr="007E7C5B">
        <w:rPr>
          <w:rFonts w:ascii="Arial Narrow" w:hAnsi="Arial Narrow" w:cs="Arial"/>
          <w:sz w:val="24"/>
          <w:szCs w:val="24"/>
        </w:rPr>
        <w:t>engagements</w:t>
      </w:r>
      <w:r w:rsidR="00F0198F" w:rsidRPr="00A918AC">
        <w:rPr>
          <w:rFonts w:ascii="Arial Narrow" w:hAnsi="Arial Narrow" w:cs="Arial"/>
          <w:sz w:val="24"/>
          <w:szCs w:val="24"/>
        </w:rPr>
        <w:t xml:space="preserve"> du Gouvernement</w:t>
      </w:r>
      <w:r w:rsidR="002A7229" w:rsidRPr="007E7C5B">
        <w:rPr>
          <w:rFonts w:ascii="Arial Narrow" w:hAnsi="Arial Narrow" w:cs="Arial"/>
          <w:sz w:val="24"/>
          <w:szCs w:val="24"/>
        </w:rPr>
        <w:t xml:space="preserve"> Ivoirien</w:t>
      </w:r>
      <w:r w:rsidR="00F0198F" w:rsidRPr="00A918AC">
        <w:rPr>
          <w:rFonts w:ascii="Arial Narrow" w:hAnsi="Arial Narrow" w:cs="Arial"/>
          <w:sz w:val="24"/>
          <w:szCs w:val="24"/>
        </w:rPr>
        <w:t xml:space="preserve"> à travers le PNDS 2021-</w:t>
      </w:r>
      <w:r w:rsidR="009E3475" w:rsidRPr="007E7C5B" w:rsidDel="00667794">
        <w:rPr>
          <w:rFonts w:ascii="Arial Narrow" w:hAnsi="Arial Narrow" w:cs="Arial"/>
          <w:sz w:val="24"/>
          <w:szCs w:val="24"/>
        </w:rPr>
        <w:t>2025</w:t>
      </w:r>
      <w:r w:rsidR="00D338D3" w:rsidRPr="007E7C5B">
        <w:rPr>
          <w:rFonts w:ascii="Arial Narrow" w:hAnsi="Arial Narrow" w:cs="Arial"/>
          <w:sz w:val="24"/>
          <w:szCs w:val="24"/>
        </w:rPr>
        <w:t>.</w:t>
      </w:r>
    </w:p>
    <w:p w14:paraId="33816BCD" w14:textId="034B08C3" w:rsidR="00602E57" w:rsidRPr="007E7C5B" w:rsidRDefault="001626AE" w:rsidP="00761F55">
      <w:pPr>
        <w:pStyle w:val="Titre2"/>
        <w:jc w:val="both"/>
        <w:rPr>
          <w:rFonts w:ascii="Arial Narrow" w:eastAsia="Calibri" w:hAnsi="Arial Narrow" w:cs="Arial"/>
          <w:sz w:val="24"/>
          <w:szCs w:val="24"/>
        </w:rPr>
      </w:pPr>
      <w:bookmarkStart w:id="26" w:name="_Toc178699545"/>
      <w:bookmarkStart w:id="27" w:name="_Toc190677468"/>
      <w:r>
        <w:rPr>
          <w:rFonts w:ascii="Arial Narrow" w:eastAsia="Calibri" w:hAnsi="Arial Narrow" w:cs="Arial"/>
          <w:sz w:val="24"/>
          <w:szCs w:val="24"/>
        </w:rPr>
        <w:t>I</w:t>
      </w:r>
      <w:r w:rsidR="00497F16" w:rsidRPr="007E7C5B">
        <w:rPr>
          <w:rFonts w:ascii="Arial Narrow" w:eastAsia="Calibri" w:hAnsi="Arial Narrow" w:cs="Arial"/>
          <w:sz w:val="24"/>
          <w:szCs w:val="24"/>
        </w:rPr>
        <w:t xml:space="preserve">I.1. </w:t>
      </w:r>
      <w:r w:rsidR="00602E57" w:rsidRPr="007E7C5B">
        <w:rPr>
          <w:rFonts w:ascii="Arial Narrow" w:eastAsia="Calibri" w:hAnsi="Arial Narrow" w:cs="Arial"/>
          <w:sz w:val="24"/>
          <w:szCs w:val="24"/>
        </w:rPr>
        <w:t xml:space="preserve">Contexte </w:t>
      </w:r>
      <w:r w:rsidR="0061480E" w:rsidRPr="007E7C5B">
        <w:rPr>
          <w:rFonts w:ascii="Arial Narrow" w:eastAsia="Calibri" w:hAnsi="Arial Narrow" w:cs="Arial"/>
          <w:sz w:val="24"/>
          <w:szCs w:val="24"/>
        </w:rPr>
        <w:t>économique e</w:t>
      </w:r>
      <w:r w:rsidR="00C05358" w:rsidRPr="007E7C5B">
        <w:rPr>
          <w:rFonts w:ascii="Arial Narrow" w:eastAsia="Calibri" w:hAnsi="Arial Narrow" w:cs="Arial"/>
          <w:sz w:val="24"/>
          <w:szCs w:val="24"/>
        </w:rPr>
        <w:t>t</w:t>
      </w:r>
      <w:r w:rsidR="0061480E" w:rsidRPr="007E7C5B">
        <w:rPr>
          <w:rFonts w:ascii="Arial Narrow" w:eastAsia="Calibri" w:hAnsi="Arial Narrow" w:cs="Arial"/>
          <w:sz w:val="24"/>
          <w:szCs w:val="24"/>
        </w:rPr>
        <w:t xml:space="preserve"> social </w:t>
      </w:r>
      <w:r w:rsidR="00602E57" w:rsidRPr="007E7C5B">
        <w:rPr>
          <w:rFonts w:ascii="Arial Narrow" w:eastAsia="Calibri" w:hAnsi="Arial Narrow" w:cs="Arial"/>
          <w:sz w:val="24"/>
          <w:szCs w:val="24"/>
        </w:rPr>
        <w:t>de la Côte d’Ivoire</w:t>
      </w:r>
      <w:bookmarkEnd w:id="26"/>
      <w:bookmarkEnd w:id="27"/>
    </w:p>
    <w:p w14:paraId="77C273D7" w14:textId="77777777" w:rsidR="00635C71" w:rsidRPr="007E7C5B" w:rsidRDefault="00635C71" w:rsidP="00635C71">
      <w:pPr>
        <w:spacing w:line="276" w:lineRule="auto"/>
        <w:jc w:val="both"/>
        <w:rPr>
          <w:rFonts w:ascii="Arial Narrow" w:hAnsi="Arial Narrow" w:cs="Arial"/>
          <w:sz w:val="24"/>
          <w:szCs w:val="24"/>
        </w:rPr>
      </w:pPr>
      <w:r w:rsidRPr="007E7C5B">
        <w:rPr>
          <w:rFonts w:ascii="Arial Narrow" w:hAnsi="Arial Narrow" w:cs="Arial"/>
          <w:sz w:val="24"/>
          <w:szCs w:val="24"/>
        </w:rPr>
        <w:t>Depuis 2016, la Côte d'Ivoire se distingue parmi les économies à forte croissance au niveau mondial, avec une croissance moyenne de 5,8% entre 2016 et 2023. Ce dynamisme économique est alimenté par une résilience face aux crises, notamment la récession due à la COVID-19, et par une attractivité croissante pour les investisseurs internationaux. En dépit de la hausse de la dette publique, qui a atteint 58,1% du PIB en 2023, la confiance des marchés demeure solide, comme en témoignent les récentes émissions d'Eurobonds, dont la plus importante en 2024 (2,6 milliards USD).</w:t>
      </w:r>
    </w:p>
    <w:p w14:paraId="6598E96A" w14:textId="2020CAFC" w:rsidR="00635C71" w:rsidRPr="007E7C5B" w:rsidRDefault="00635C71" w:rsidP="00635C71">
      <w:pPr>
        <w:spacing w:line="276" w:lineRule="auto"/>
        <w:jc w:val="both"/>
        <w:rPr>
          <w:rFonts w:ascii="Arial Narrow" w:hAnsi="Arial Narrow" w:cs="Arial"/>
          <w:sz w:val="24"/>
          <w:szCs w:val="24"/>
        </w:rPr>
      </w:pPr>
      <w:r w:rsidRPr="007E7C5B">
        <w:rPr>
          <w:rFonts w:ascii="Arial Narrow" w:hAnsi="Arial Narrow" w:cs="Arial"/>
          <w:sz w:val="24"/>
          <w:szCs w:val="24"/>
        </w:rPr>
        <w:t xml:space="preserve">Cependant, cette croissance s'accompagne de défis sociaux persistants. Le taux de pauvreté, bien qu'en baisse, reste à 37,5% en 2021. Le gouvernement a investi dans des programmes sociaux, triplant les dépenses pro-pauvres entre 2012 et 2023, mais l'accès aux services de base, notamment l’éducation et la santé, demeure insuffisant. Le taux d’analphabétisme, qui était de 47% en 2021, limite l'accès aux informations essentielles, notamment dans le domaine des soins de santé. Les défis structurels liés à la </w:t>
      </w:r>
      <w:r w:rsidRPr="007E7C5B">
        <w:rPr>
          <w:rFonts w:ascii="Arial Narrow" w:hAnsi="Arial Narrow" w:cs="Arial"/>
          <w:sz w:val="24"/>
          <w:szCs w:val="24"/>
        </w:rPr>
        <w:lastRenderedPageBreak/>
        <w:t xml:space="preserve">pauvreté, à l'accès aux services de santé et à la qualité des infrastructures restent centraux pour les objectifs de développement </w:t>
      </w:r>
      <w:r w:rsidR="000B27A1" w:rsidRPr="007E7C5B">
        <w:rPr>
          <w:rFonts w:ascii="Arial Narrow" w:hAnsi="Arial Narrow" w:cs="Arial"/>
          <w:sz w:val="24"/>
          <w:szCs w:val="24"/>
        </w:rPr>
        <w:t xml:space="preserve">de la Côte d’Ivoire </w:t>
      </w:r>
      <w:r w:rsidRPr="007E7C5B">
        <w:rPr>
          <w:rFonts w:ascii="Arial Narrow" w:hAnsi="Arial Narrow" w:cs="Arial"/>
          <w:sz w:val="24"/>
          <w:szCs w:val="24"/>
        </w:rPr>
        <w:t>à moyen terme.</w:t>
      </w:r>
    </w:p>
    <w:p w14:paraId="5030450A" w14:textId="4A034AA8" w:rsidR="2DF60237" w:rsidRPr="007E7C5B" w:rsidRDefault="1EAAE50E" w:rsidP="00761F55">
      <w:pPr>
        <w:spacing w:line="276" w:lineRule="auto"/>
        <w:jc w:val="both"/>
        <w:rPr>
          <w:rFonts w:ascii="Arial Narrow" w:eastAsia="Aptos" w:hAnsi="Arial Narrow" w:cs="Arial"/>
          <w:sz w:val="24"/>
          <w:szCs w:val="24"/>
        </w:rPr>
      </w:pPr>
      <w:r w:rsidRPr="007E7C5B">
        <w:rPr>
          <w:rFonts w:ascii="Arial Narrow" w:eastAsia="Calibri" w:hAnsi="Arial Narrow" w:cs="Arial"/>
          <w:sz w:val="24"/>
          <w:szCs w:val="24"/>
        </w:rPr>
        <w:t xml:space="preserve"> </w:t>
      </w:r>
    </w:p>
    <w:p w14:paraId="0001AC75" w14:textId="0B243591" w:rsidR="00F00C3F" w:rsidRPr="007E7C5B" w:rsidRDefault="00297B1D" w:rsidP="00761F55">
      <w:pPr>
        <w:pStyle w:val="Titre2"/>
        <w:jc w:val="both"/>
        <w:rPr>
          <w:rFonts w:ascii="Arial Narrow" w:eastAsia="Calibri" w:hAnsi="Arial Narrow" w:cs="Arial"/>
          <w:sz w:val="24"/>
          <w:szCs w:val="24"/>
        </w:rPr>
      </w:pPr>
      <w:bookmarkStart w:id="28" w:name="_Toc178699547"/>
      <w:bookmarkStart w:id="29" w:name="_Toc190677469"/>
      <w:r w:rsidRPr="007E7C5B">
        <w:rPr>
          <w:rFonts w:ascii="Arial Narrow" w:eastAsia="Calibri" w:hAnsi="Arial Narrow" w:cs="Arial"/>
          <w:sz w:val="24"/>
          <w:szCs w:val="24"/>
        </w:rPr>
        <w:t>I</w:t>
      </w:r>
      <w:r w:rsidR="001626AE">
        <w:rPr>
          <w:rFonts w:ascii="Arial Narrow" w:eastAsia="Calibri" w:hAnsi="Arial Narrow" w:cs="Arial"/>
          <w:sz w:val="24"/>
          <w:szCs w:val="24"/>
        </w:rPr>
        <w:t>I</w:t>
      </w:r>
      <w:r w:rsidRPr="007E7C5B">
        <w:rPr>
          <w:rFonts w:ascii="Arial Narrow" w:eastAsia="Calibri" w:hAnsi="Arial Narrow" w:cs="Arial"/>
          <w:sz w:val="24"/>
          <w:szCs w:val="24"/>
        </w:rPr>
        <w:t>.</w:t>
      </w:r>
      <w:r w:rsidR="001626AE">
        <w:rPr>
          <w:rFonts w:ascii="Arial Narrow" w:eastAsia="Calibri" w:hAnsi="Arial Narrow" w:cs="Arial"/>
          <w:sz w:val="24"/>
          <w:szCs w:val="24"/>
        </w:rPr>
        <w:t>2</w:t>
      </w:r>
      <w:r w:rsidRPr="007E7C5B">
        <w:rPr>
          <w:rFonts w:ascii="Arial Narrow" w:eastAsia="Calibri" w:hAnsi="Arial Narrow" w:cs="Arial"/>
          <w:sz w:val="24"/>
          <w:szCs w:val="24"/>
        </w:rPr>
        <w:t xml:space="preserve">. </w:t>
      </w:r>
      <w:r w:rsidR="00F00C3F" w:rsidRPr="007E7C5B">
        <w:rPr>
          <w:rFonts w:ascii="Arial Narrow" w:eastAsia="Calibri" w:hAnsi="Arial Narrow" w:cs="Arial"/>
          <w:sz w:val="24"/>
          <w:szCs w:val="24"/>
        </w:rPr>
        <w:t>Contexte sanitaire en Côte d’Ivoire</w:t>
      </w:r>
      <w:bookmarkEnd w:id="28"/>
      <w:bookmarkEnd w:id="29"/>
    </w:p>
    <w:p w14:paraId="436855F8" w14:textId="7A8267A5" w:rsidR="00B11E19" w:rsidRPr="007E7C5B" w:rsidRDefault="01BFFAC2" w:rsidP="00761F55">
      <w:pPr>
        <w:spacing w:line="276" w:lineRule="auto"/>
        <w:jc w:val="both"/>
        <w:rPr>
          <w:rFonts w:ascii="Arial Narrow" w:eastAsiaTheme="minorEastAsia" w:hAnsi="Arial Narrow" w:cs="Arial"/>
          <w:sz w:val="24"/>
          <w:szCs w:val="24"/>
        </w:rPr>
      </w:pPr>
      <w:r w:rsidRPr="007E7C5B">
        <w:rPr>
          <w:rFonts w:ascii="Arial Narrow" w:eastAsiaTheme="minorEastAsia" w:hAnsi="Arial Narrow" w:cs="Arial"/>
          <w:b/>
          <w:sz w:val="24"/>
          <w:szCs w:val="24"/>
        </w:rPr>
        <w:t xml:space="preserve">Le système de </w:t>
      </w:r>
      <w:r w:rsidR="000F5952" w:rsidRPr="007E7C5B">
        <w:rPr>
          <w:rFonts w:ascii="Arial Narrow" w:eastAsiaTheme="minorEastAsia" w:hAnsi="Arial Narrow" w:cs="Arial"/>
          <w:b/>
          <w:sz w:val="24"/>
          <w:szCs w:val="24"/>
        </w:rPr>
        <w:t>s</w:t>
      </w:r>
      <w:r w:rsidR="006E6068" w:rsidRPr="007E7C5B">
        <w:rPr>
          <w:rFonts w:ascii="Arial Narrow" w:eastAsiaTheme="minorEastAsia" w:hAnsi="Arial Narrow" w:cs="Arial"/>
          <w:b/>
          <w:sz w:val="24"/>
          <w:szCs w:val="24"/>
        </w:rPr>
        <w:t>anté</w:t>
      </w:r>
      <w:r w:rsidRPr="007E7C5B">
        <w:rPr>
          <w:rFonts w:ascii="Arial Narrow" w:eastAsiaTheme="minorEastAsia" w:hAnsi="Arial Narrow" w:cs="Arial"/>
          <w:sz w:val="24"/>
          <w:szCs w:val="24"/>
        </w:rPr>
        <w:t xml:space="preserve"> en Côte d'Ivoire</w:t>
      </w:r>
      <w:r w:rsidR="009B26F4" w:rsidRPr="007E7C5B">
        <w:rPr>
          <w:rFonts w:ascii="Arial Narrow" w:eastAsiaTheme="minorEastAsia" w:hAnsi="Arial Narrow" w:cs="Arial"/>
          <w:sz w:val="24"/>
          <w:szCs w:val="24"/>
        </w:rPr>
        <w:t xml:space="preserve"> </w:t>
      </w:r>
      <w:r w:rsidRPr="007E7C5B">
        <w:rPr>
          <w:rFonts w:ascii="Arial Narrow" w:eastAsiaTheme="minorEastAsia" w:hAnsi="Arial Narrow" w:cs="Arial"/>
          <w:sz w:val="24"/>
          <w:szCs w:val="24"/>
        </w:rPr>
        <w:t xml:space="preserve">est organisé en une structure pyramidale avec des composants administratifs et de soins. </w:t>
      </w:r>
      <w:r w:rsidR="005A29FA" w:rsidRPr="007E7C5B">
        <w:rPr>
          <w:rFonts w:ascii="Arial Narrow" w:eastAsiaTheme="minorEastAsia" w:hAnsi="Arial Narrow" w:cs="Arial"/>
          <w:b/>
          <w:sz w:val="24"/>
          <w:szCs w:val="24"/>
        </w:rPr>
        <w:t>Le versant admi</w:t>
      </w:r>
      <w:r w:rsidR="00A463E1" w:rsidRPr="007E7C5B">
        <w:rPr>
          <w:rFonts w:ascii="Arial Narrow" w:eastAsiaTheme="minorEastAsia" w:hAnsi="Arial Narrow" w:cs="Arial"/>
          <w:b/>
          <w:sz w:val="24"/>
          <w:szCs w:val="24"/>
        </w:rPr>
        <w:t>n</w:t>
      </w:r>
      <w:r w:rsidR="005A29FA" w:rsidRPr="007E7C5B">
        <w:rPr>
          <w:rFonts w:ascii="Arial Narrow" w:eastAsiaTheme="minorEastAsia" w:hAnsi="Arial Narrow" w:cs="Arial"/>
          <w:b/>
          <w:sz w:val="24"/>
          <w:szCs w:val="24"/>
        </w:rPr>
        <w:t xml:space="preserve">istratif est </w:t>
      </w:r>
      <w:r w:rsidR="00A463E1" w:rsidRPr="007E7C5B">
        <w:rPr>
          <w:rFonts w:ascii="Arial Narrow" w:eastAsiaTheme="minorEastAsia" w:hAnsi="Arial Narrow" w:cs="Arial"/>
          <w:b/>
          <w:sz w:val="24"/>
          <w:szCs w:val="24"/>
        </w:rPr>
        <w:t xml:space="preserve">subdivisé en </w:t>
      </w:r>
      <w:r w:rsidR="00020FBE" w:rsidRPr="007E7C5B">
        <w:rPr>
          <w:rFonts w:ascii="Arial Narrow" w:eastAsiaTheme="minorEastAsia" w:hAnsi="Arial Narrow" w:cs="Arial"/>
          <w:b/>
          <w:sz w:val="24"/>
          <w:szCs w:val="24"/>
        </w:rPr>
        <w:t>trois</w:t>
      </w:r>
      <w:r w:rsidR="00A463E1" w:rsidRPr="007E7C5B">
        <w:rPr>
          <w:rFonts w:ascii="Arial Narrow" w:eastAsiaTheme="minorEastAsia" w:hAnsi="Arial Narrow" w:cs="Arial"/>
          <w:b/>
          <w:sz w:val="24"/>
          <w:szCs w:val="24"/>
        </w:rPr>
        <w:t xml:space="preserve"> niveaux : </w:t>
      </w:r>
      <w:r w:rsidRPr="007E7C5B">
        <w:rPr>
          <w:rFonts w:ascii="Arial Narrow" w:eastAsiaTheme="minorEastAsia" w:hAnsi="Arial Narrow" w:cs="Arial"/>
          <w:b/>
          <w:sz w:val="24"/>
          <w:szCs w:val="24"/>
        </w:rPr>
        <w:t xml:space="preserve">central, </w:t>
      </w:r>
      <w:r w:rsidR="00A463E1" w:rsidRPr="007E7C5B">
        <w:rPr>
          <w:rFonts w:ascii="Arial Narrow" w:eastAsiaTheme="minorEastAsia" w:hAnsi="Arial Narrow" w:cs="Arial"/>
          <w:b/>
          <w:sz w:val="24"/>
          <w:szCs w:val="24"/>
        </w:rPr>
        <w:t>intermédiaire et périphérique.</w:t>
      </w:r>
      <w:r w:rsidR="00A463E1" w:rsidRPr="007E7C5B">
        <w:rPr>
          <w:rFonts w:ascii="Arial Narrow" w:eastAsiaTheme="minorEastAsia" w:hAnsi="Arial Narrow" w:cs="Arial"/>
          <w:sz w:val="24"/>
          <w:szCs w:val="24"/>
        </w:rPr>
        <w:t xml:space="preserve"> </w:t>
      </w:r>
      <w:r w:rsidR="00B11E19" w:rsidRPr="007E7C5B">
        <w:rPr>
          <w:rFonts w:ascii="Arial Narrow" w:eastAsiaTheme="minorEastAsia" w:hAnsi="Arial Narrow" w:cs="Arial"/>
          <w:sz w:val="24"/>
          <w:szCs w:val="24"/>
        </w:rPr>
        <w:t>Le niveau central est composé du</w:t>
      </w:r>
      <w:r w:rsidRPr="007E7C5B">
        <w:rPr>
          <w:rFonts w:ascii="Arial Narrow" w:eastAsiaTheme="minorEastAsia" w:hAnsi="Arial Narrow" w:cs="Arial"/>
          <w:sz w:val="24"/>
          <w:szCs w:val="24"/>
        </w:rPr>
        <w:t xml:space="preserve"> Cabinet du Ministre, </w:t>
      </w:r>
      <w:r w:rsidR="006A0FB0" w:rsidRPr="007E7C5B">
        <w:rPr>
          <w:rFonts w:ascii="Arial Narrow" w:eastAsiaTheme="minorEastAsia" w:hAnsi="Arial Narrow" w:cs="Arial"/>
          <w:sz w:val="24"/>
          <w:szCs w:val="24"/>
        </w:rPr>
        <w:t xml:space="preserve">des directions générales, </w:t>
      </w:r>
      <w:r w:rsidR="00B11E19" w:rsidRPr="007E7C5B">
        <w:rPr>
          <w:rFonts w:ascii="Arial Narrow" w:eastAsiaTheme="minorEastAsia" w:hAnsi="Arial Narrow" w:cs="Arial"/>
          <w:sz w:val="24"/>
          <w:szCs w:val="24"/>
        </w:rPr>
        <w:t>d</w:t>
      </w:r>
      <w:r w:rsidRPr="007E7C5B">
        <w:rPr>
          <w:rFonts w:ascii="Arial Narrow" w:eastAsiaTheme="minorEastAsia" w:hAnsi="Arial Narrow" w:cs="Arial"/>
          <w:sz w:val="24"/>
          <w:szCs w:val="24"/>
        </w:rPr>
        <w:t xml:space="preserve">es </w:t>
      </w:r>
      <w:r w:rsidR="000F5952" w:rsidRPr="007E7C5B">
        <w:rPr>
          <w:rFonts w:ascii="Arial Narrow" w:eastAsiaTheme="minorEastAsia" w:hAnsi="Arial Narrow" w:cs="Arial"/>
          <w:sz w:val="24"/>
          <w:szCs w:val="24"/>
        </w:rPr>
        <w:t>directions centrales</w:t>
      </w:r>
      <w:r w:rsidRPr="007E7C5B">
        <w:rPr>
          <w:rFonts w:ascii="Arial Narrow" w:eastAsiaTheme="minorEastAsia" w:hAnsi="Arial Narrow" w:cs="Arial"/>
          <w:sz w:val="24"/>
          <w:szCs w:val="24"/>
        </w:rPr>
        <w:t xml:space="preserve"> et </w:t>
      </w:r>
      <w:r w:rsidR="00B11E19" w:rsidRPr="007E7C5B">
        <w:rPr>
          <w:rFonts w:ascii="Arial Narrow" w:eastAsiaTheme="minorEastAsia" w:hAnsi="Arial Narrow" w:cs="Arial"/>
          <w:sz w:val="24"/>
          <w:szCs w:val="24"/>
        </w:rPr>
        <w:t>d</w:t>
      </w:r>
      <w:r w:rsidRPr="007E7C5B">
        <w:rPr>
          <w:rFonts w:ascii="Arial Narrow" w:eastAsiaTheme="minorEastAsia" w:hAnsi="Arial Narrow" w:cs="Arial"/>
          <w:sz w:val="24"/>
          <w:szCs w:val="24"/>
        </w:rPr>
        <w:t xml:space="preserve">es </w:t>
      </w:r>
      <w:r w:rsidR="000F5952" w:rsidRPr="007E7C5B">
        <w:rPr>
          <w:rFonts w:ascii="Arial Narrow" w:eastAsiaTheme="minorEastAsia" w:hAnsi="Arial Narrow" w:cs="Arial"/>
          <w:sz w:val="24"/>
          <w:szCs w:val="24"/>
        </w:rPr>
        <w:t>programmes</w:t>
      </w:r>
      <w:r w:rsidRPr="007E7C5B">
        <w:rPr>
          <w:rFonts w:ascii="Arial Narrow" w:eastAsiaTheme="minorEastAsia" w:hAnsi="Arial Narrow" w:cs="Arial"/>
          <w:sz w:val="24"/>
          <w:szCs w:val="24"/>
        </w:rPr>
        <w:t xml:space="preserve"> de </w:t>
      </w:r>
      <w:r w:rsidR="000F5952" w:rsidRPr="007E7C5B">
        <w:rPr>
          <w:rFonts w:ascii="Arial Narrow" w:eastAsiaTheme="minorEastAsia" w:hAnsi="Arial Narrow" w:cs="Arial"/>
          <w:sz w:val="24"/>
          <w:szCs w:val="24"/>
        </w:rPr>
        <w:t>santé</w:t>
      </w:r>
      <w:r w:rsidRPr="007E7C5B">
        <w:rPr>
          <w:rFonts w:ascii="Arial Narrow" w:eastAsiaTheme="minorEastAsia" w:hAnsi="Arial Narrow" w:cs="Arial"/>
          <w:sz w:val="24"/>
          <w:szCs w:val="24"/>
        </w:rPr>
        <w:t xml:space="preserve"> responsables de la définition des politiques et de la coordination générale. </w:t>
      </w:r>
    </w:p>
    <w:p w14:paraId="2C96B07E" w14:textId="2517F1AD" w:rsidR="00CF33C0" w:rsidRPr="007E7C5B" w:rsidRDefault="01BFFAC2" w:rsidP="00761F55">
      <w:pPr>
        <w:spacing w:line="276" w:lineRule="auto"/>
        <w:jc w:val="both"/>
        <w:rPr>
          <w:rFonts w:ascii="Arial Narrow" w:eastAsiaTheme="minorEastAsia" w:hAnsi="Arial Narrow" w:cs="Arial"/>
          <w:sz w:val="24"/>
          <w:szCs w:val="24"/>
        </w:rPr>
      </w:pPr>
      <w:r w:rsidRPr="007E7C5B">
        <w:rPr>
          <w:rFonts w:ascii="Arial Narrow" w:eastAsiaTheme="minorEastAsia" w:hAnsi="Arial Narrow" w:cs="Arial"/>
          <w:sz w:val="24"/>
          <w:szCs w:val="24"/>
        </w:rPr>
        <w:t xml:space="preserve">Au niveau intermédiaire, </w:t>
      </w:r>
      <w:r w:rsidR="003D069F" w:rsidRPr="007E7C5B">
        <w:rPr>
          <w:rFonts w:ascii="Arial Narrow" w:eastAsiaTheme="minorEastAsia" w:hAnsi="Arial Narrow" w:cs="Arial"/>
          <w:sz w:val="24"/>
          <w:szCs w:val="24"/>
        </w:rPr>
        <w:t>on note</w:t>
      </w:r>
      <w:r w:rsidRPr="007E7C5B">
        <w:rPr>
          <w:rFonts w:ascii="Arial Narrow" w:eastAsiaTheme="minorEastAsia" w:hAnsi="Arial Narrow" w:cs="Arial"/>
          <w:sz w:val="24"/>
          <w:szCs w:val="24"/>
        </w:rPr>
        <w:t xml:space="preserve"> 33 Directions Régionales</w:t>
      </w:r>
      <w:r w:rsidR="00CF33C0" w:rsidRPr="007E7C5B">
        <w:rPr>
          <w:rFonts w:ascii="Arial Narrow" w:eastAsiaTheme="minorEastAsia" w:hAnsi="Arial Narrow" w:cs="Arial"/>
          <w:sz w:val="24"/>
          <w:szCs w:val="24"/>
        </w:rPr>
        <w:t>, chargées de</w:t>
      </w:r>
      <w:r w:rsidRPr="007E7C5B">
        <w:rPr>
          <w:rFonts w:ascii="Arial Narrow" w:eastAsiaTheme="minorEastAsia" w:hAnsi="Arial Narrow" w:cs="Arial"/>
          <w:sz w:val="24"/>
          <w:szCs w:val="24"/>
        </w:rPr>
        <w:t xml:space="preserve"> </w:t>
      </w:r>
      <w:r w:rsidR="00CF33C0" w:rsidRPr="007E7C5B">
        <w:rPr>
          <w:rFonts w:ascii="Arial Narrow" w:eastAsiaTheme="minorEastAsia" w:hAnsi="Arial Narrow" w:cs="Arial"/>
          <w:sz w:val="24"/>
          <w:szCs w:val="24"/>
        </w:rPr>
        <w:t>coordonner</w:t>
      </w:r>
      <w:r w:rsidRPr="007E7C5B">
        <w:rPr>
          <w:rFonts w:ascii="Arial Narrow" w:eastAsiaTheme="minorEastAsia" w:hAnsi="Arial Narrow" w:cs="Arial"/>
          <w:sz w:val="24"/>
          <w:szCs w:val="24"/>
        </w:rPr>
        <w:t xml:space="preserve"> les </w:t>
      </w:r>
      <w:r w:rsidR="00CF33C0" w:rsidRPr="007E7C5B">
        <w:rPr>
          <w:rFonts w:ascii="Arial Narrow" w:eastAsiaTheme="minorEastAsia" w:hAnsi="Arial Narrow" w:cs="Arial"/>
          <w:sz w:val="24"/>
          <w:szCs w:val="24"/>
        </w:rPr>
        <w:t>D</w:t>
      </w:r>
      <w:r w:rsidRPr="007E7C5B">
        <w:rPr>
          <w:rFonts w:ascii="Arial Narrow" w:eastAsiaTheme="minorEastAsia" w:hAnsi="Arial Narrow" w:cs="Arial"/>
          <w:sz w:val="24"/>
          <w:szCs w:val="24"/>
        </w:rPr>
        <w:t xml:space="preserve">istricts de </w:t>
      </w:r>
      <w:r w:rsidR="006E6068" w:rsidRPr="007E7C5B">
        <w:rPr>
          <w:rFonts w:ascii="Arial Narrow" w:eastAsiaTheme="minorEastAsia" w:hAnsi="Arial Narrow" w:cs="Arial"/>
          <w:sz w:val="24"/>
          <w:szCs w:val="24"/>
        </w:rPr>
        <w:t>Santé</w:t>
      </w:r>
      <w:r w:rsidR="00CF33C0" w:rsidRPr="007E7C5B">
        <w:rPr>
          <w:rFonts w:ascii="Arial Narrow" w:eastAsiaTheme="minorEastAsia" w:hAnsi="Arial Narrow" w:cs="Arial"/>
          <w:sz w:val="24"/>
          <w:szCs w:val="24"/>
        </w:rPr>
        <w:t xml:space="preserve"> au nombre de 113,</w:t>
      </w:r>
      <w:r w:rsidRPr="007E7C5B">
        <w:rPr>
          <w:rFonts w:ascii="Arial Narrow" w:eastAsiaTheme="minorEastAsia" w:hAnsi="Arial Narrow" w:cs="Arial"/>
          <w:sz w:val="24"/>
          <w:szCs w:val="24"/>
        </w:rPr>
        <w:t xml:space="preserve"> dans la mise en œuvre des politiques de </w:t>
      </w:r>
      <w:r w:rsidR="00127461" w:rsidRPr="007E7C5B">
        <w:rPr>
          <w:rFonts w:ascii="Arial Narrow" w:eastAsiaTheme="minorEastAsia" w:hAnsi="Arial Narrow" w:cs="Arial"/>
          <w:sz w:val="24"/>
          <w:szCs w:val="24"/>
        </w:rPr>
        <w:t>santé</w:t>
      </w:r>
      <w:r w:rsidRPr="007E7C5B">
        <w:rPr>
          <w:rFonts w:ascii="Arial Narrow" w:eastAsiaTheme="minorEastAsia" w:hAnsi="Arial Narrow" w:cs="Arial"/>
          <w:sz w:val="24"/>
          <w:szCs w:val="24"/>
        </w:rPr>
        <w:t xml:space="preserve">. </w:t>
      </w:r>
    </w:p>
    <w:p w14:paraId="2F98BA47" w14:textId="440E43BC" w:rsidR="2A5103A8" w:rsidRPr="007E7C5B" w:rsidRDefault="01BFFAC2" w:rsidP="00761F55">
      <w:pPr>
        <w:spacing w:line="276" w:lineRule="auto"/>
        <w:jc w:val="both"/>
        <w:rPr>
          <w:rFonts w:ascii="Arial Narrow" w:eastAsiaTheme="minorEastAsia" w:hAnsi="Arial Narrow" w:cs="Arial"/>
          <w:sz w:val="24"/>
          <w:szCs w:val="24"/>
        </w:rPr>
      </w:pPr>
      <w:r w:rsidRPr="007E7C5B">
        <w:rPr>
          <w:rFonts w:ascii="Arial Narrow" w:eastAsiaTheme="minorEastAsia" w:hAnsi="Arial Narrow" w:cs="Arial"/>
          <w:sz w:val="24"/>
          <w:szCs w:val="24"/>
        </w:rPr>
        <w:t xml:space="preserve">Au niveau périphérique, 113 Directions Départementales de la Santé </w:t>
      </w:r>
      <w:r w:rsidR="00AD0CC0" w:rsidRPr="007E7C5B">
        <w:rPr>
          <w:rFonts w:ascii="Arial Narrow" w:eastAsiaTheme="minorEastAsia" w:hAnsi="Arial Narrow" w:cs="Arial"/>
          <w:sz w:val="24"/>
          <w:szCs w:val="24"/>
        </w:rPr>
        <w:t xml:space="preserve">(DDS) </w:t>
      </w:r>
      <w:r w:rsidRPr="007E7C5B">
        <w:rPr>
          <w:rFonts w:ascii="Arial Narrow" w:eastAsiaTheme="minorEastAsia" w:hAnsi="Arial Narrow" w:cs="Arial"/>
          <w:sz w:val="24"/>
          <w:szCs w:val="24"/>
        </w:rPr>
        <w:t xml:space="preserve">ou Districts de Santé </w:t>
      </w:r>
      <w:r w:rsidR="00AD0CC0" w:rsidRPr="007E7C5B">
        <w:rPr>
          <w:rFonts w:ascii="Arial Narrow" w:eastAsiaTheme="minorEastAsia" w:hAnsi="Arial Narrow" w:cs="Arial"/>
          <w:sz w:val="24"/>
          <w:szCs w:val="24"/>
        </w:rPr>
        <w:t xml:space="preserve">(DS) </w:t>
      </w:r>
      <w:r w:rsidRPr="007E7C5B">
        <w:rPr>
          <w:rFonts w:ascii="Arial Narrow" w:eastAsiaTheme="minorEastAsia" w:hAnsi="Arial Narrow" w:cs="Arial"/>
          <w:sz w:val="24"/>
          <w:szCs w:val="24"/>
        </w:rPr>
        <w:t xml:space="preserve">coordonnent les actions locales de </w:t>
      </w:r>
      <w:r w:rsidR="00127461" w:rsidRPr="007E7C5B">
        <w:rPr>
          <w:rFonts w:ascii="Arial Narrow" w:eastAsiaTheme="minorEastAsia" w:hAnsi="Arial Narrow" w:cs="Arial"/>
          <w:sz w:val="24"/>
          <w:szCs w:val="24"/>
        </w:rPr>
        <w:t>santé</w:t>
      </w:r>
      <w:r w:rsidRPr="007E7C5B">
        <w:rPr>
          <w:rFonts w:ascii="Arial Narrow" w:eastAsiaTheme="minorEastAsia" w:hAnsi="Arial Narrow" w:cs="Arial"/>
          <w:sz w:val="24"/>
          <w:szCs w:val="24"/>
        </w:rPr>
        <w:t xml:space="preserve"> et fournissent un soutien opérationnel et logistique. Chaque district de </w:t>
      </w:r>
      <w:r w:rsidR="00ED0D59" w:rsidRPr="007E7C5B">
        <w:rPr>
          <w:rFonts w:ascii="Arial Narrow" w:eastAsiaTheme="minorEastAsia" w:hAnsi="Arial Narrow" w:cs="Arial"/>
          <w:sz w:val="24"/>
          <w:szCs w:val="24"/>
        </w:rPr>
        <w:t>santé</w:t>
      </w:r>
      <w:r w:rsidRPr="007E7C5B">
        <w:rPr>
          <w:rFonts w:ascii="Arial Narrow" w:eastAsiaTheme="minorEastAsia" w:hAnsi="Arial Narrow" w:cs="Arial"/>
          <w:sz w:val="24"/>
          <w:szCs w:val="24"/>
        </w:rPr>
        <w:t xml:space="preserve"> est subdivisé en zones </w:t>
      </w:r>
      <w:r w:rsidR="008239AD" w:rsidRPr="007E7C5B">
        <w:rPr>
          <w:rFonts w:ascii="Arial Narrow" w:eastAsiaTheme="minorEastAsia" w:hAnsi="Arial Narrow" w:cs="Arial"/>
          <w:sz w:val="24"/>
          <w:szCs w:val="24"/>
        </w:rPr>
        <w:t xml:space="preserve">sanitaires </w:t>
      </w:r>
      <w:r w:rsidRPr="007E7C5B">
        <w:rPr>
          <w:rFonts w:ascii="Arial Narrow" w:eastAsiaTheme="minorEastAsia" w:hAnsi="Arial Narrow" w:cs="Arial"/>
          <w:sz w:val="24"/>
          <w:szCs w:val="24"/>
        </w:rPr>
        <w:t xml:space="preserve">qui servent de points de contact principaux pour les services de </w:t>
      </w:r>
      <w:r w:rsidR="00ED0D59" w:rsidRPr="007E7C5B">
        <w:rPr>
          <w:rFonts w:ascii="Arial Narrow" w:eastAsiaTheme="minorEastAsia" w:hAnsi="Arial Narrow" w:cs="Arial"/>
          <w:sz w:val="24"/>
          <w:szCs w:val="24"/>
        </w:rPr>
        <w:t>santé</w:t>
      </w:r>
      <w:r w:rsidRPr="007E7C5B">
        <w:rPr>
          <w:rFonts w:ascii="Arial Narrow" w:eastAsiaTheme="minorEastAsia" w:hAnsi="Arial Narrow" w:cs="Arial"/>
          <w:sz w:val="24"/>
          <w:szCs w:val="24"/>
        </w:rPr>
        <w:t xml:space="preserve"> locaux.</w:t>
      </w:r>
    </w:p>
    <w:p w14:paraId="6DCC3C25" w14:textId="0BEF2B65" w:rsidR="2A5103A8" w:rsidRPr="007E7C5B" w:rsidRDefault="01BFFAC2" w:rsidP="00761F55">
      <w:pPr>
        <w:spacing w:line="276" w:lineRule="auto"/>
        <w:jc w:val="both"/>
        <w:rPr>
          <w:rFonts w:ascii="Arial Narrow" w:eastAsiaTheme="minorEastAsia" w:hAnsi="Arial Narrow" w:cs="Arial"/>
          <w:sz w:val="24"/>
          <w:szCs w:val="24"/>
        </w:rPr>
      </w:pPr>
      <w:r w:rsidRPr="007E7C5B">
        <w:rPr>
          <w:rFonts w:ascii="Arial Narrow" w:eastAsiaTheme="minorEastAsia" w:hAnsi="Arial Narrow" w:cs="Arial"/>
          <w:b/>
          <w:sz w:val="24"/>
          <w:szCs w:val="24"/>
        </w:rPr>
        <w:t xml:space="preserve">Le réseau de prestation de services de </w:t>
      </w:r>
      <w:r w:rsidR="008239AD" w:rsidRPr="007E7C5B">
        <w:rPr>
          <w:rFonts w:ascii="Arial Narrow" w:eastAsiaTheme="minorEastAsia" w:hAnsi="Arial Narrow" w:cs="Arial"/>
          <w:b/>
          <w:sz w:val="24"/>
          <w:szCs w:val="24"/>
        </w:rPr>
        <w:t>s</w:t>
      </w:r>
      <w:r w:rsidR="006E6068" w:rsidRPr="007E7C5B">
        <w:rPr>
          <w:rFonts w:ascii="Arial Narrow" w:eastAsiaTheme="minorEastAsia" w:hAnsi="Arial Narrow" w:cs="Arial"/>
          <w:b/>
          <w:sz w:val="24"/>
          <w:szCs w:val="24"/>
        </w:rPr>
        <w:t>anté</w:t>
      </w:r>
      <w:r w:rsidRPr="007E7C5B">
        <w:rPr>
          <w:rFonts w:ascii="Arial Narrow" w:eastAsiaTheme="minorEastAsia" w:hAnsi="Arial Narrow" w:cs="Arial"/>
          <w:b/>
          <w:sz w:val="24"/>
          <w:szCs w:val="24"/>
        </w:rPr>
        <w:t xml:space="preserve"> est également structuré en trois niveaux</w:t>
      </w:r>
      <w:r w:rsidR="00421D10" w:rsidRPr="007E7C5B">
        <w:rPr>
          <w:rFonts w:ascii="Arial Narrow" w:eastAsiaTheme="minorEastAsia" w:hAnsi="Arial Narrow" w:cs="Arial"/>
          <w:b/>
          <w:sz w:val="24"/>
          <w:szCs w:val="24"/>
        </w:rPr>
        <w:t> : primaire, secondaire, tertiaire</w:t>
      </w:r>
      <w:r w:rsidRPr="007E7C5B">
        <w:rPr>
          <w:rFonts w:ascii="Arial Narrow" w:eastAsiaTheme="minorEastAsia" w:hAnsi="Arial Narrow" w:cs="Arial"/>
          <w:sz w:val="24"/>
          <w:szCs w:val="24"/>
        </w:rPr>
        <w:t xml:space="preserve">. Le niveau primaire, composé de </w:t>
      </w:r>
      <w:r w:rsidRPr="00A918AC">
        <w:rPr>
          <w:rFonts w:ascii="Arial Narrow" w:eastAsiaTheme="minorEastAsia" w:hAnsi="Arial Narrow" w:cs="Arial"/>
          <w:sz w:val="24"/>
          <w:szCs w:val="24"/>
        </w:rPr>
        <w:t xml:space="preserve">3 </w:t>
      </w:r>
      <w:r w:rsidR="00336EBB" w:rsidRPr="00A918AC">
        <w:rPr>
          <w:rFonts w:ascii="Arial Narrow" w:eastAsiaTheme="minorEastAsia" w:hAnsi="Arial Narrow" w:cs="Arial"/>
          <w:sz w:val="24"/>
          <w:szCs w:val="24"/>
        </w:rPr>
        <w:t>4</w:t>
      </w:r>
      <w:r w:rsidR="00336EBB" w:rsidRPr="007E7C5B">
        <w:rPr>
          <w:rFonts w:ascii="Arial Narrow" w:eastAsiaTheme="minorEastAsia" w:hAnsi="Arial Narrow" w:cs="Arial"/>
          <w:sz w:val="24"/>
          <w:szCs w:val="24"/>
        </w:rPr>
        <w:t xml:space="preserve">37 </w:t>
      </w:r>
      <w:r w:rsidR="0022098C" w:rsidRPr="007E7C5B">
        <w:rPr>
          <w:rFonts w:ascii="Arial Narrow" w:eastAsiaTheme="minorEastAsia" w:hAnsi="Arial Narrow" w:cs="Arial"/>
          <w:sz w:val="24"/>
          <w:szCs w:val="24"/>
        </w:rPr>
        <w:t>E</w:t>
      </w:r>
      <w:r w:rsidR="00BD6C9F" w:rsidRPr="007E7C5B">
        <w:rPr>
          <w:rFonts w:ascii="Arial Narrow" w:eastAsiaTheme="minorEastAsia" w:hAnsi="Arial Narrow" w:cs="Arial"/>
          <w:sz w:val="24"/>
          <w:szCs w:val="24"/>
        </w:rPr>
        <w:t>tablissements</w:t>
      </w:r>
      <w:r w:rsidRPr="007E7C5B" w:rsidDel="0022098C">
        <w:rPr>
          <w:rFonts w:ascii="Arial Narrow" w:eastAsiaTheme="minorEastAsia" w:hAnsi="Arial Narrow" w:cs="Arial"/>
          <w:sz w:val="24"/>
          <w:szCs w:val="24"/>
        </w:rPr>
        <w:t xml:space="preserve"> </w:t>
      </w:r>
      <w:r w:rsidR="0022098C" w:rsidRPr="007E7C5B">
        <w:rPr>
          <w:rFonts w:ascii="Arial Narrow" w:eastAsiaTheme="minorEastAsia" w:hAnsi="Arial Narrow" w:cs="Arial"/>
          <w:sz w:val="24"/>
          <w:szCs w:val="24"/>
        </w:rPr>
        <w:t xml:space="preserve">Sanitaires de Premier Contact </w:t>
      </w:r>
      <w:r w:rsidRPr="007E7C5B">
        <w:rPr>
          <w:rFonts w:ascii="Arial Narrow" w:eastAsiaTheme="minorEastAsia" w:hAnsi="Arial Narrow" w:cs="Arial"/>
          <w:sz w:val="24"/>
          <w:szCs w:val="24"/>
        </w:rPr>
        <w:t>(</w:t>
      </w:r>
      <w:r w:rsidRPr="00A918AC">
        <w:rPr>
          <w:rFonts w:ascii="Arial Narrow" w:eastAsiaTheme="minorEastAsia" w:hAnsi="Arial Narrow" w:cs="Arial"/>
          <w:sz w:val="24"/>
          <w:szCs w:val="24"/>
        </w:rPr>
        <w:t>ESPC</w:t>
      </w:r>
      <w:r w:rsidRPr="007E7C5B">
        <w:rPr>
          <w:rFonts w:ascii="Arial Narrow" w:eastAsiaTheme="minorEastAsia" w:hAnsi="Arial Narrow" w:cs="Arial"/>
          <w:sz w:val="24"/>
          <w:szCs w:val="24"/>
        </w:rPr>
        <w:t xml:space="preserve">), inclut des établissements publics et privés offrant des services de soins curatifs, préventifs, éducatifs et de promotion de la </w:t>
      </w:r>
      <w:r w:rsidR="00415E4A" w:rsidRPr="007E7C5B">
        <w:rPr>
          <w:rFonts w:ascii="Arial Narrow" w:eastAsiaTheme="minorEastAsia" w:hAnsi="Arial Narrow" w:cs="Arial"/>
          <w:sz w:val="24"/>
          <w:szCs w:val="24"/>
        </w:rPr>
        <w:t>santé</w:t>
      </w:r>
      <w:r w:rsidRPr="007E7C5B">
        <w:rPr>
          <w:rFonts w:ascii="Arial Narrow" w:eastAsiaTheme="minorEastAsia" w:hAnsi="Arial Narrow" w:cs="Arial"/>
          <w:sz w:val="24"/>
          <w:szCs w:val="24"/>
        </w:rPr>
        <w:t xml:space="preserve"> de base. Le niveau secondaire comprend </w:t>
      </w:r>
      <w:r w:rsidR="00DA74EF" w:rsidRPr="00A918AC">
        <w:rPr>
          <w:rFonts w:ascii="Arial Narrow" w:eastAsiaTheme="minorEastAsia" w:hAnsi="Arial Narrow" w:cs="Arial"/>
          <w:sz w:val="24"/>
          <w:szCs w:val="24"/>
        </w:rPr>
        <w:t>13</w:t>
      </w:r>
      <w:r w:rsidR="00DA74EF" w:rsidRPr="007E7C5B">
        <w:rPr>
          <w:rFonts w:ascii="Arial Narrow" w:eastAsiaTheme="minorEastAsia" w:hAnsi="Arial Narrow" w:cs="Arial"/>
          <w:sz w:val="24"/>
          <w:szCs w:val="24"/>
        </w:rPr>
        <w:t xml:space="preserve">2 </w:t>
      </w:r>
      <w:r w:rsidRPr="007E7C5B">
        <w:rPr>
          <w:rFonts w:ascii="Arial Narrow" w:eastAsiaTheme="minorEastAsia" w:hAnsi="Arial Narrow" w:cs="Arial"/>
          <w:sz w:val="24"/>
          <w:szCs w:val="24"/>
        </w:rPr>
        <w:t xml:space="preserve">hôpitaux de référence, dont </w:t>
      </w:r>
      <w:r w:rsidRPr="00A918AC">
        <w:rPr>
          <w:rFonts w:ascii="Arial Narrow" w:eastAsiaTheme="minorEastAsia" w:hAnsi="Arial Narrow" w:cs="Arial"/>
          <w:sz w:val="24"/>
          <w:szCs w:val="24"/>
        </w:rPr>
        <w:t>20</w:t>
      </w:r>
      <w:r w:rsidRPr="007E7C5B">
        <w:rPr>
          <w:rFonts w:ascii="Arial Narrow" w:eastAsiaTheme="minorEastAsia" w:hAnsi="Arial Narrow" w:cs="Arial"/>
          <w:sz w:val="24"/>
          <w:szCs w:val="24"/>
        </w:rPr>
        <w:t xml:space="preserve"> </w:t>
      </w:r>
      <w:r w:rsidR="00DA74EF" w:rsidRPr="007E7C5B">
        <w:rPr>
          <w:rFonts w:ascii="Arial Narrow" w:eastAsiaTheme="minorEastAsia" w:hAnsi="Arial Narrow" w:cs="Arial"/>
          <w:sz w:val="24"/>
          <w:szCs w:val="24"/>
        </w:rPr>
        <w:t xml:space="preserve">Centres Hospitaliers Régionaux (CHR) </w:t>
      </w:r>
      <w:r w:rsidRPr="007E7C5B">
        <w:rPr>
          <w:rFonts w:ascii="Arial Narrow" w:eastAsiaTheme="minorEastAsia" w:hAnsi="Arial Narrow" w:cs="Arial"/>
          <w:sz w:val="24"/>
          <w:szCs w:val="24"/>
        </w:rPr>
        <w:t>et</w:t>
      </w:r>
      <w:r w:rsidRPr="007E7C5B" w:rsidDel="00AF40C6">
        <w:rPr>
          <w:rFonts w:ascii="Arial Narrow" w:eastAsiaTheme="minorEastAsia" w:hAnsi="Arial Narrow" w:cs="Arial"/>
          <w:sz w:val="24"/>
          <w:szCs w:val="24"/>
        </w:rPr>
        <w:t xml:space="preserve"> </w:t>
      </w:r>
      <w:r w:rsidR="00AF40C6" w:rsidRPr="007E7C5B">
        <w:rPr>
          <w:rFonts w:ascii="Arial Narrow" w:eastAsiaTheme="minorEastAsia" w:hAnsi="Arial Narrow" w:cs="Arial"/>
          <w:sz w:val="24"/>
          <w:szCs w:val="24"/>
        </w:rPr>
        <w:t xml:space="preserve">2 </w:t>
      </w:r>
      <w:r w:rsidRPr="007E7C5B">
        <w:rPr>
          <w:rFonts w:ascii="Arial Narrow" w:eastAsiaTheme="minorEastAsia" w:hAnsi="Arial Narrow" w:cs="Arial"/>
          <w:sz w:val="24"/>
          <w:szCs w:val="24"/>
        </w:rPr>
        <w:t>Hôpitaux Spécialisés (hôpitaux psychiatriques</w:t>
      </w:r>
      <w:r w:rsidR="00F640F8" w:rsidRPr="007E7C5B">
        <w:rPr>
          <w:rFonts w:ascii="Arial Narrow" w:eastAsiaTheme="minorEastAsia" w:hAnsi="Arial Narrow" w:cs="Arial"/>
          <w:sz w:val="24"/>
          <w:szCs w:val="24"/>
        </w:rPr>
        <w:t xml:space="preserve"> de Bingerville et de Bouaké</w:t>
      </w:r>
      <w:r w:rsidRPr="007E7C5B">
        <w:rPr>
          <w:rFonts w:ascii="Arial Narrow" w:eastAsiaTheme="minorEastAsia" w:hAnsi="Arial Narrow" w:cs="Arial"/>
          <w:sz w:val="24"/>
          <w:szCs w:val="24"/>
        </w:rPr>
        <w:t xml:space="preserve">). Le niveau tertiaire se compose de </w:t>
      </w:r>
      <w:r w:rsidR="00FC51A3" w:rsidRPr="007E7C5B" w:rsidDel="00E03917">
        <w:rPr>
          <w:rFonts w:ascii="Arial Narrow" w:eastAsiaTheme="minorEastAsia" w:hAnsi="Arial Narrow" w:cs="Arial"/>
          <w:sz w:val="24"/>
          <w:szCs w:val="24"/>
        </w:rPr>
        <w:t>5</w:t>
      </w:r>
      <w:r w:rsidRPr="007E7C5B" w:rsidDel="00E03917">
        <w:rPr>
          <w:rFonts w:ascii="Arial Narrow" w:eastAsiaTheme="minorEastAsia" w:hAnsi="Arial Narrow" w:cs="Arial"/>
          <w:sz w:val="24"/>
          <w:szCs w:val="24"/>
        </w:rPr>
        <w:t xml:space="preserve"> </w:t>
      </w:r>
      <w:r w:rsidRPr="007E7C5B">
        <w:rPr>
          <w:rFonts w:ascii="Arial Narrow" w:eastAsiaTheme="minorEastAsia" w:hAnsi="Arial Narrow" w:cs="Arial"/>
          <w:sz w:val="24"/>
          <w:szCs w:val="24"/>
        </w:rPr>
        <w:t>Centres Hospitaliers Universitaires</w:t>
      </w:r>
      <w:r w:rsidR="00BF741B" w:rsidRPr="007E7C5B">
        <w:rPr>
          <w:rFonts w:ascii="Arial Narrow" w:eastAsiaTheme="minorEastAsia" w:hAnsi="Arial Narrow" w:cs="Arial"/>
          <w:sz w:val="24"/>
          <w:szCs w:val="24"/>
        </w:rPr>
        <w:t xml:space="preserve"> (CHU)</w:t>
      </w:r>
      <w:r w:rsidRPr="007E7C5B">
        <w:rPr>
          <w:rFonts w:ascii="Arial Narrow" w:eastAsiaTheme="minorEastAsia" w:hAnsi="Arial Narrow" w:cs="Arial"/>
          <w:sz w:val="24"/>
          <w:szCs w:val="24"/>
        </w:rPr>
        <w:t xml:space="preserve"> et </w:t>
      </w:r>
      <w:r w:rsidR="00F640F8" w:rsidRPr="007E7C5B">
        <w:rPr>
          <w:rFonts w:ascii="Arial Narrow" w:eastAsiaTheme="minorEastAsia" w:hAnsi="Arial Narrow" w:cs="Arial"/>
          <w:sz w:val="24"/>
          <w:szCs w:val="24"/>
        </w:rPr>
        <w:t xml:space="preserve">de </w:t>
      </w:r>
      <w:r w:rsidR="0000370F" w:rsidRPr="007E7C5B">
        <w:rPr>
          <w:rFonts w:ascii="Arial Narrow" w:eastAsiaTheme="minorEastAsia" w:hAnsi="Arial Narrow" w:cs="Arial"/>
          <w:sz w:val="24"/>
          <w:szCs w:val="24"/>
        </w:rPr>
        <w:t>9</w:t>
      </w:r>
      <w:r w:rsidR="00F640F8" w:rsidRPr="007E7C5B">
        <w:rPr>
          <w:rFonts w:ascii="Arial Narrow" w:eastAsiaTheme="minorEastAsia" w:hAnsi="Arial Narrow" w:cs="Arial"/>
          <w:sz w:val="24"/>
          <w:szCs w:val="24"/>
        </w:rPr>
        <w:t xml:space="preserve"> instituts </w:t>
      </w:r>
      <w:r w:rsidRPr="007E7C5B">
        <w:rPr>
          <w:rFonts w:ascii="Arial Narrow" w:eastAsiaTheme="minorEastAsia" w:hAnsi="Arial Narrow" w:cs="Arial"/>
          <w:sz w:val="24"/>
          <w:szCs w:val="24"/>
        </w:rPr>
        <w:t>nationaux spécialisés qui s'occupent des diagnostics avancés, du traitement, de la formation et de la recherche.</w:t>
      </w:r>
    </w:p>
    <w:p w14:paraId="4F8A12B8" w14:textId="7B0B1C5B" w:rsidR="2A5103A8" w:rsidRPr="007E7C5B" w:rsidRDefault="01BFFAC2" w:rsidP="00761F55">
      <w:pPr>
        <w:spacing w:line="276" w:lineRule="auto"/>
        <w:jc w:val="both"/>
        <w:rPr>
          <w:rFonts w:ascii="Arial Narrow" w:eastAsiaTheme="minorEastAsia" w:hAnsi="Arial Narrow" w:cs="Arial"/>
          <w:sz w:val="24"/>
          <w:szCs w:val="24"/>
        </w:rPr>
      </w:pPr>
      <w:r w:rsidRPr="007E7C5B">
        <w:rPr>
          <w:rFonts w:ascii="Arial Narrow" w:eastAsiaTheme="minorEastAsia" w:hAnsi="Arial Narrow" w:cs="Arial"/>
          <w:sz w:val="24"/>
          <w:szCs w:val="24"/>
        </w:rPr>
        <w:t xml:space="preserve">En plus du secteur public, le secteur privé de la </w:t>
      </w:r>
      <w:r w:rsidR="00C6265B" w:rsidRPr="007E7C5B">
        <w:rPr>
          <w:rFonts w:ascii="Arial Narrow" w:eastAsiaTheme="minorEastAsia" w:hAnsi="Arial Narrow" w:cs="Arial"/>
          <w:sz w:val="24"/>
          <w:szCs w:val="24"/>
        </w:rPr>
        <w:t>santé</w:t>
      </w:r>
      <w:r w:rsidRPr="007E7C5B">
        <w:rPr>
          <w:rFonts w:ascii="Arial Narrow" w:eastAsiaTheme="minorEastAsia" w:hAnsi="Arial Narrow" w:cs="Arial"/>
          <w:sz w:val="24"/>
          <w:szCs w:val="24"/>
        </w:rPr>
        <w:t xml:space="preserve"> joue un rôle significatif, contribuant à environ </w:t>
      </w:r>
      <w:r w:rsidRPr="00A918AC">
        <w:rPr>
          <w:rFonts w:ascii="Arial Narrow" w:eastAsiaTheme="minorEastAsia" w:hAnsi="Arial Narrow" w:cs="Arial"/>
          <w:sz w:val="24"/>
          <w:szCs w:val="24"/>
        </w:rPr>
        <w:t>40%</w:t>
      </w:r>
      <w:r w:rsidRPr="007E7C5B">
        <w:rPr>
          <w:rFonts w:ascii="Arial Narrow" w:eastAsiaTheme="minorEastAsia" w:hAnsi="Arial Narrow" w:cs="Arial"/>
          <w:sz w:val="24"/>
          <w:szCs w:val="24"/>
        </w:rPr>
        <w:t xml:space="preserve"> des services de </w:t>
      </w:r>
      <w:r w:rsidR="003D5E7D" w:rsidRPr="007E7C5B">
        <w:rPr>
          <w:rFonts w:ascii="Arial Narrow" w:eastAsiaTheme="minorEastAsia" w:hAnsi="Arial Narrow" w:cs="Arial"/>
          <w:sz w:val="24"/>
          <w:szCs w:val="24"/>
        </w:rPr>
        <w:t>santé</w:t>
      </w:r>
      <w:r w:rsidRPr="007E7C5B">
        <w:rPr>
          <w:rFonts w:ascii="Arial Narrow" w:eastAsiaTheme="minorEastAsia" w:hAnsi="Arial Narrow" w:cs="Arial"/>
          <w:sz w:val="24"/>
          <w:szCs w:val="24"/>
        </w:rPr>
        <w:t xml:space="preserve"> nationaux</w:t>
      </w:r>
      <w:r w:rsidR="004F4178" w:rsidRPr="007E7C5B">
        <w:rPr>
          <w:rStyle w:val="Appelnotedebasdep"/>
          <w:rFonts w:ascii="Arial Narrow" w:eastAsiaTheme="minorEastAsia" w:hAnsi="Arial Narrow" w:cs="Arial"/>
          <w:sz w:val="24"/>
          <w:szCs w:val="24"/>
        </w:rPr>
        <w:footnoteReference w:id="4"/>
      </w:r>
      <w:r w:rsidRPr="007E7C5B">
        <w:rPr>
          <w:rFonts w:ascii="Arial Narrow" w:eastAsiaTheme="minorEastAsia" w:hAnsi="Arial Narrow" w:cs="Arial"/>
          <w:sz w:val="24"/>
          <w:szCs w:val="24"/>
        </w:rPr>
        <w:t xml:space="preserve">. </w:t>
      </w:r>
      <w:r w:rsidR="00313AC2" w:rsidRPr="007E7C5B">
        <w:rPr>
          <w:rFonts w:ascii="Arial Narrow" w:eastAsiaTheme="minorEastAsia" w:hAnsi="Arial Narrow" w:cs="Arial"/>
          <w:sz w:val="24"/>
          <w:szCs w:val="24"/>
        </w:rPr>
        <w:t>On note par ailleurs</w:t>
      </w:r>
      <w:r w:rsidRPr="007E7C5B">
        <w:rPr>
          <w:rFonts w:ascii="Arial Narrow" w:eastAsiaTheme="minorEastAsia" w:hAnsi="Arial Narrow" w:cs="Arial"/>
          <w:sz w:val="24"/>
          <w:szCs w:val="24"/>
        </w:rPr>
        <w:t xml:space="preserve"> un système de </w:t>
      </w:r>
      <w:r w:rsidR="003D5E7D" w:rsidRPr="007E7C5B">
        <w:rPr>
          <w:rFonts w:ascii="Arial Narrow" w:eastAsiaTheme="minorEastAsia" w:hAnsi="Arial Narrow" w:cs="Arial"/>
          <w:sz w:val="24"/>
          <w:szCs w:val="24"/>
        </w:rPr>
        <w:t>santé</w:t>
      </w:r>
      <w:r w:rsidRPr="007E7C5B">
        <w:rPr>
          <w:rFonts w:ascii="Arial Narrow" w:eastAsiaTheme="minorEastAsia" w:hAnsi="Arial Narrow" w:cs="Arial"/>
          <w:sz w:val="24"/>
          <w:szCs w:val="24"/>
        </w:rPr>
        <w:t xml:space="preserve"> communautaire en plein </w:t>
      </w:r>
      <w:r w:rsidR="00DA57EE" w:rsidRPr="007E7C5B">
        <w:rPr>
          <w:rFonts w:ascii="Arial Narrow" w:eastAsiaTheme="minorEastAsia" w:hAnsi="Arial Narrow" w:cs="Arial"/>
          <w:sz w:val="24"/>
          <w:szCs w:val="24"/>
        </w:rPr>
        <w:t>essor,</w:t>
      </w:r>
      <w:r w:rsidRPr="007E7C5B">
        <w:rPr>
          <w:rFonts w:ascii="Arial Narrow" w:eastAsiaTheme="minorEastAsia" w:hAnsi="Arial Narrow" w:cs="Arial"/>
          <w:sz w:val="24"/>
          <w:szCs w:val="24"/>
        </w:rPr>
        <w:t xml:space="preserve"> </w:t>
      </w:r>
      <w:r w:rsidR="00DA57EE" w:rsidRPr="007E7C5B">
        <w:rPr>
          <w:rFonts w:ascii="Arial Narrow" w:eastAsiaTheme="minorEastAsia" w:hAnsi="Arial Narrow" w:cs="Arial"/>
          <w:sz w:val="24"/>
          <w:szCs w:val="24"/>
        </w:rPr>
        <w:t xml:space="preserve">disposant d’un personnel </w:t>
      </w:r>
      <w:r w:rsidRPr="007E7C5B">
        <w:rPr>
          <w:rFonts w:ascii="Arial Narrow" w:eastAsiaTheme="minorEastAsia" w:hAnsi="Arial Narrow" w:cs="Arial"/>
          <w:sz w:val="24"/>
          <w:szCs w:val="24"/>
        </w:rPr>
        <w:t>fourniss</w:t>
      </w:r>
      <w:r w:rsidR="00E0327C" w:rsidRPr="007E7C5B">
        <w:rPr>
          <w:rFonts w:ascii="Arial Narrow" w:eastAsiaTheme="minorEastAsia" w:hAnsi="Arial Narrow" w:cs="Arial"/>
          <w:sz w:val="24"/>
          <w:szCs w:val="24"/>
        </w:rPr>
        <w:t>a</w:t>
      </w:r>
      <w:r w:rsidRPr="007E7C5B">
        <w:rPr>
          <w:rFonts w:ascii="Arial Narrow" w:eastAsiaTheme="minorEastAsia" w:hAnsi="Arial Narrow" w:cs="Arial"/>
          <w:sz w:val="24"/>
          <w:szCs w:val="24"/>
        </w:rPr>
        <w:t>nt des services d'éducation et de soins. Ces travailleurs</w:t>
      </w:r>
      <w:r w:rsidR="063F43D9" w:rsidRPr="007E7C5B">
        <w:rPr>
          <w:rFonts w:ascii="Arial Narrow" w:eastAsiaTheme="minorEastAsia" w:hAnsi="Arial Narrow" w:cs="Arial"/>
          <w:sz w:val="24"/>
          <w:szCs w:val="24"/>
        </w:rPr>
        <w:t xml:space="preserve"> </w:t>
      </w:r>
      <w:r w:rsidR="0FC77A3C" w:rsidRPr="007E7C5B">
        <w:rPr>
          <w:rFonts w:ascii="Arial Narrow" w:eastAsiaTheme="minorEastAsia" w:hAnsi="Arial Narrow" w:cs="Arial"/>
          <w:sz w:val="24"/>
          <w:szCs w:val="24"/>
        </w:rPr>
        <w:t>bénévoles</w:t>
      </w:r>
      <w:r w:rsidRPr="007E7C5B">
        <w:rPr>
          <w:rFonts w:ascii="Arial Narrow" w:eastAsiaTheme="minorEastAsia" w:hAnsi="Arial Narrow" w:cs="Arial"/>
          <w:sz w:val="24"/>
          <w:szCs w:val="24"/>
        </w:rPr>
        <w:t xml:space="preserve">, au nombre d'environ </w:t>
      </w:r>
      <w:r w:rsidR="00492BC7" w:rsidRPr="00A918AC">
        <w:rPr>
          <w:rFonts w:ascii="Arial Narrow" w:eastAsiaTheme="minorEastAsia" w:hAnsi="Arial Narrow" w:cs="Arial"/>
          <w:sz w:val="24"/>
          <w:szCs w:val="24"/>
        </w:rPr>
        <w:t>17 3</w:t>
      </w:r>
      <w:r w:rsidRPr="00A918AC">
        <w:rPr>
          <w:rFonts w:ascii="Arial Narrow" w:eastAsiaTheme="minorEastAsia" w:hAnsi="Arial Narrow" w:cs="Arial"/>
          <w:sz w:val="24"/>
          <w:szCs w:val="24"/>
        </w:rPr>
        <w:t>0</w:t>
      </w:r>
      <w:r w:rsidR="00492BC7" w:rsidRPr="00A918AC">
        <w:rPr>
          <w:rFonts w:ascii="Arial Narrow" w:eastAsiaTheme="minorEastAsia" w:hAnsi="Arial Narrow" w:cs="Arial"/>
          <w:sz w:val="24"/>
          <w:szCs w:val="24"/>
        </w:rPr>
        <w:t>8</w:t>
      </w:r>
      <w:r w:rsidRPr="007E7C5B">
        <w:rPr>
          <w:rFonts w:ascii="Arial Narrow" w:eastAsiaTheme="minorEastAsia" w:hAnsi="Arial Narrow" w:cs="Arial"/>
          <w:sz w:val="24"/>
          <w:szCs w:val="24"/>
        </w:rPr>
        <w:t xml:space="preserve">, sont supervisés par le personnel de </w:t>
      </w:r>
      <w:r w:rsidR="0013192C" w:rsidRPr="007E7C5B">
        <w:rPr>
          <w:rFonts w:ascii="Arial Narrow" w:eastAsiaTheme="minorEastAsia" w:hAnsi="Arial Narrow" w:cs="Arial"/>
          <w:sz w:val="24"/>
          <w:szCs w:val="24"/>
        </w:rPr>
        <w:t>santé</w:t>
      </w:r>
      <w:r w:rsidRPr="007E7C5B">
        <w:rPr>
          <w:rFonts w:ascii="Arial Narrow" w:eastAsiaTheme="minorEastAsia" w:hAnsi="Arial Narrow" w:cs="Arial"/>
          <w:sz w:val="24"/>
          <w:szCs w:val="24"/>
        </w:rPr>
        <w:t xml:space="preserve"> publique des </w:t>
      </w:r>
      <w:r w:rsidRPr="00A918AC">
        <w:rPr>
          <w:rFonts w:ascii="Arial Narrow" w:eastAsiaTheme="minorEastAsia" w:hAnsi="Arial Narrow" w:cs="Arial"/>
          <w:sz w:val="24"/>
          <w:szCs w:val="24"/>
        </w:rPr>
        <w:t>ESPC</w:t>
      </w:r>
      <w:r w:rsidRPr="007E7C5B">
        <w:rPr>
          <w:rFonts w:ascii="Arial Narrow" w:eastAsiaTheme="minorEastAsia" w:hAnsi="Arial Narrow" w:cs="Arial"/>
          <w:sz w:val="24"/>
          <w:szCs w:val="24"/>
        </w:rPr>
        <w:t xml:space="preserve">. La médecine traditionnelle se développe également, régulée par des lois et codes spécifiques, avec </w:t>
      </w:r>
      <w:r w:rsidRPr="00DA7312">
        <w:rPr>
          <w:rFonts w:ascii="Arial Narrow" w:eastAsiaTheme="minorEastAsia" w:hAnsi="Arial Narrow" w:cs="Arial"/>
          <w:sz w:val="24"/>
          <w:szCs w:val="24"/>
        </w:rPr>
        <w:t>7</w:t>
      </w:r>
      <w:r w:rsidR="005A590B" w:rsidRPr="00DA7312">
        <w:rPr>
          <w:rFonts w:ascii="Arial Narrow" w:eastAsiaTheme="minorEastAsia" w:hAnsi="Arial Narrow" w:cs="Arial"/>
          <w:sz w:val="24"/>
          <w:szCs w:val="24"/>
        </w:rPr>
        <w:t> </w:t>
      </w:r>
      <w:r w:rsidRPr="00DA7312">
        <w:rPr>
          <w:rFonts w:ascii="Arial Narrow" w:eastAsiaTheme="minorEastAsia" w:hAnsi="Arial Narrow" w:cs="Arial"/>
          <w:sz w:val="24"/>
          <w:szCs w:val="24"/>
        </w:rPr>
        <w:t>020</w:t>
      </w:r>
      <w:r w:rsidRPr="007E7C5B">
        <w:rPr>
          <w:rFonts w:ascii="Arial Narrow" w:eastAsiaTheme="minorEastAsia" w:hAnsi="Arial Narrow" w:cs="Arial"/>
          <w:sz w:val="24"/>
          <w:szCs w:val="24"/>
        </w:rPr>
        <w:t xml:space="preserve"> praticiens enregistrés en 2020. </w:t>
      </w:r>
    </w:p>
    <w:p w14:paraId="3E86379E" w14:textId="5BD83119" w:rsidR="00FB0258" w:rsidRPr="007E7C5B" w:rsidRDefault="01BFFAC2" w:rsidP="00761F55">
      <w:pPr>
        <w:spacing w:line="276" w:lineRule="auto"/>
        <w:jc w:val="both"/>
        <w:rPr>
          <w:rFonts w:ascii="Arial Narrow" w:eastAsiaTheme="minorEastAsia" w:hAnsi="Arial Narrow" w:cs="Arial"/>
          <w:sz w:val="24"/>
          <w:szCs w:val="24"/>
        </w:rPr>
      </w:pPr>
      <w:r w:rsidRPr="007E7C5B">
        <w:rPr>
          <w:rFonts w:ascii="Arial Narrow" w:eastAsiaTheme="minorEastAsia" w:hAnsi="Arial Narrow" w:cs="Arial"/>
          <w:b/>
          <w:sz w:val="24"/>
          <w:szCs w:val="24"/>
        </w:rPr>
        <w:t xml:space="preserve">Le profil épidémiologique </w:t>
      </w:r>
      <w:r w:rsidRPr="007E7C5B">
        <w:rPr>
          <w:rFonts w:ascii="Arial Narrow" w:eastAsiaTheme="minorEastAsia" w:hAnsi="Arial Narrow" w:cs="Arial"/>
          <w:sz w:val="24"/>
          <w:szCs w:val="24"/>
        </w:rPr>
        <w:t xml:space="preserve">de la Côte d'Ivoire révèle des défis de </w:t>
      </w:r>
      <w:r w:rsidR="0013192C" w:rsidRPr="007E7C5B">
        <w:rPr>
          <w:rFonts w:ascii="Arial Narrow" w:eastAsiaTheme="minorEastAsia" w:hAnsi="Arial Narrow" w:cs="Arial"/>
          <w:sz w:val="24"/>
          <w:szCs w:val="24"/>
        </w:rPr>
        <w:t>santé</w:t>
      </w:r>
      <w:r w:rsidRPr="007E7C5B">
        <w:rPr>
          <w:rFonts w:ascii="Arial Narrow" w:eastAsiaTheme="minorEastAsia" w:hAnsi="Arial Narrow" w:cs="Arial"/>
          <w:sz w:val="24"/>
          <w:szCs w:val="24"/>
        </w:rPr>
        <w:t xml:space="preserve"> persistants. Le pays fait face à des taux de morbidité élevés dus aux maladies transmissibles et non</w:t>
      </w:r>
      <w:r w:rsidR="00C43D75" w:rsidRPr="007E7C5B">
        <w:rPr>
          <w:rFonts w:ascii="Arial Narrow" w:eastAsiaTheme="minorEastAsia" w:hAnsi="Arial Narrow" w:cs="Arial"/>
          <w:sz w:val="24"/>
          <w:szCs w:val="24"/>
        </w:rPr>
        <w:t>-</w:t>
      </w:r>
      <w:r w:rsidRPr="007E7C5B">
        <w:rPr>
          <w:rFonts w:ascii="Arial Narrow" w:eastAsiaTheme="minorEastAsia" w:hAnsi="Arial Narrow" w:cs="Arial"/>
          <w:sz w:val="24"/>
          <w:szCs w:val="24"/>
        </w:rPr>
        <w:t xml:space="preserve">transmissibles, aux maladies tropicales négligées, aux grossesses précoces, aux problèmes de sécurité routière et au vieillissement de la population. Le taux de mortalité général était particulièrement élevé à </w:t>
      </w:r>
      <w:r w:rsidRPr="007E7C5B" w:rsidDel="008442E7">
        <w:rPr>
          <w:rFonts w:ascii="Arial Narrow" w:eastAsiaTheme="minorEastAsia" w:hAnsi="Arial Narrow" w:cs="Arial"/>
          <w:sz w:val="24"/>
          <w:szCs w:val="24"/>
        </w:rPr>
        <w:t>9</w:t>
      </w:r>
      <w:r w:rsidR="00A57C58" w:rsidRPr="007E7C5B">
        <w:rPr>
          <w:rFonts w:ascii="Arial Narrow" w:eastAsiaTheme="minorEastAsia" w:hAnsi="Arial Narrow" w:cs="Arial"/>
          <w:sz w:val="24"/>
          <w:szCs w:val="24"/>
        </w:rPr>
        <w:t>‰</w:t>
      </w:r>
      <w:r w:rsidRPr="007E7C5B" w:rsidDel="00A57C58">
        <w:rPr>
          <w:rFonts w:ascii="Arial Narrow" w:eastAsiaTheme="minorEastAsia" w:hAnsi="Arial Narrow" w:cs="Arial"/>
          <w:sz w:val="24"/>
          <w:szCs w:val="24"/>
        </w:rPr>
        <w:t xml:space="preserve"> </w:t>
      </w:r>
      <w:r w:rsidRPr="007E7C5B">
        <w:rPr>
          <w:rFonts w:ascii="Arial Narrow" w:eastAsiaTheme="minorEastAsia" w:hAnsi="Arial Narrow" w:cs="Arial"/>
          <w:sz w:val="24"/>
          <w:szCs w:val="24"/>
        </w:rPr>
        <w:t xml:space="preserve">en </w:t>
      </w:r>
      <w:r w:rsidR="00A91C45" w:rsidRPr="007E7C5B">
        <w:rPr>
          <w:rFonts w:ascii="Arial Narrow" w:eastAsiaTheme="minorEastAsia" w:hAnsi="Arial Narrow" w:cs="Arial"/>
          <w:sz w:val="24"/>
          <w:szCs w:val="24"/>
        </w:rPr>
        <w:t>2022</w:t>
      </w:r>
      <w:r w:rsidR="00A0277F" w:rsidRPr="007E7C5B">
        <w:rPr>
          <w:rStyle w:val="Appelnotedebasdep"/>
          <w:rFonts w:ascii="Arial Narrow" w:eastAsiaTheme="minorEastAsia" w:hAnsi="Arial Narrow" w:cs="Arial"/>
          <w:sz w:val="24"/>
          <w:szCs w:val="24"/>
        </w:rPr>
        <w:footnoteReference w:id="5"/>
      </w:r>
      <w:r w:rsidRPr="007E7C5B">
        <w:rPr>
          <w:rFonts w:ascii="Arial Narrow" w:eastAsiaTheme="minorEastAsia" w:hAnsi="Arial Narrow" w:cs="Arial"/>
          <w:sz w:val="24"/>
          <w:szCs w:val="24"/>
        </w:rPr>
        <w:t xml:space="preserve">, avec une </w:t>
      </w:r>
      <w:r w:rsidR="003434EA" w:rsidRPr="007E7C5B">
        <w:rPr>
          <w:rFonts w:ascii="Arial Narrow" w:eastAsiaTheme="minorEastAsia" w:hAnsi="Arial Narrow" w:cs="Arial"/>
          <w:sz w:val="24"/>
          <w:szCs w:val="24"/>
        </w:rPr>
        <w:t>morbi-</w:t>
      </w:r>
      <w:r w:rsidRPr="007E7C5B">
        <w:rPr>
          <w:rFonts w:ascii="Arial Narrow" w:eastAsiaTheme="minorEastAsia" w:hAnsi="Arial Narrow" w:cs="Arial"/>
          <w:sz w:val="24"/>
          <w:szCs w:val="24"/>
        </w:rPr>
        <w:t>mortalité significative parmi les femmes en âge de procréer</w:t>
      </w:r>
      <w:r w:rsidRPr="007E7C5B" w:rsidDel="00B64AF2">
        <w:rPr>
          <w:rFonts w:ascii="Arial Narrow" w:eastAsiaTheme="minorEastAsia" w:hAnsi="Arial Narrow" w:cs="Arial"/>
          <w:sz w:val="24"/>
          <w:szCs w:val="24"/>
        </w:rPr>
        <w:t xml:space="preserve">, </w:t>
      </w:r>
      <w:r w:rsidRPr="007E7C5B">
        <w:rPr>
          <w:rFonts w:ascii="Arial Narrow" w:eastAsiaTheme="minorEastAsia" w:hAnsi="Arial Narrow" w:cs="Arial"/>
          <w:sz w:val="24"/>
          <w:szCs w:val="24"/>
        </w:rPr>
        <w:t>les enfants de moins de cinq ans</w:t>
      </w:r>
      <w:r w:rsidR="003F0D34" w:rsidRPr="007E7C5B">
        <w:rPr>
          <w:rFonts w:ascii="Arial Narrow" w:eastAsiaTheme="minorEastAsia" w:hAnsi="Arial Narrow" w:cs="Arial"/>
          <w:sz w:val="24"/>
          <w:szCs w:val="24"/>
        </w:rPr>
        <w:t>, les adolescents et jeunes</w:t>
      </w:r>
      <w:r w:rsidR="003434EA" w:rsidRPr="007E7C5B">
        <w:rPr>
          <w:rFonts w:ascii="Arial Narrow" w:eastAsiaTheme="minorEastAsia" w:hAnsi="Arial Narrow" w:cs="Arial"/>
          <w:sz w:val="24"/>
          <w:szCs w:val="24"/>
        </w:rPr>
        <w:t xml:space="preserve"> </w:t>
      </w:r>
      <w:r w:rsidRPr="007E7C5B">
        <w:rPr>
          <w:rFonts w:ascii="Arial Narrow" w:eastAsiaTheme="minorEastAsia" w:hAnsi="Arial Narrow" w:cs="Arial"/>
          <w:sz w:val="24"/>
          <w:szCs w:val="24"/>
        </w:rPr>
        <w:t xml:space="preserve">et les personnes âgées. </w:t>
      </w:r>
    </w:p>
    <w:p w14:paraId="4B46921D" w14:textId="0FE08060" w:rsidR="2A5103A8" w:rsidRPr="007E7C5B" w:rsidRDefault="01BFFAC2" w:rsidP="00761F55">
      <w:pPr>
        <w:spacing w:line="276" w:lineRule="auto"/>
        <w:jc w:val="both"/>
        <w:rPr>
          <w:rFonts w:ascii="Arial Narrow" w:eastAsiaTheme="minorEastAsia" w:hAnsi="Arial Narrow" w:cs="Arial"/>
          <w:sz w:val="24"/>
          <w:szCs w:val="24"/>
        </w:rPr>
      </w:pPr>
      <w:r w:rsidRPr="00A918AC">
        <w:rPr>
          <w:rFonts w:ascii="Arial Narrow" w:eastAsiaTheme="minorEastAsia" w:hAnsi="Arial Narrow" w:cs="Arial"/>
          <w:b/>
          <w:sz w:val="24"/>
          <w:szCs w:val="24"/>
        </w:rPr>
        <w:lastRenderedPageBreak/>
        <w:t xml:space="preserve">La </w:t>
      </w:r>
      <w:r w:rsidR="000046E7" w:rsidRPr="00A918AC">
        <w:rPr>
          <w:rFonts w:ascii="Arial Narrow" w:eastAsiaTheme="minorEastAsia" w:hAnsi="Arial Narrow" w:cs="Arial"/>
          <w:b/>
          <w:sz w:val="24"/>
          <w:szCs w:val="24"/>
        </w:rPr>
        <w:t>santé</w:t>
      </w:r>
      <w:r w:rsidRPr="00A918AC">
        <w:rPr>
          <w:rFonts w:ascii="Arial Narrow" w:eastAsiaTheme="minorEastAsia" w:hAnsi="Arial Narrow" w:cs="Arial"/>
          <w:b/>
          <w:sz w:val="24"/>
          <w:szCs w:val="24"/>
        </w:rPr>
        <w:t xml:space="preserve"> maternelle</w:t>
      </w:r>
      <w:r w:rsidRPr="007E7C5B">
        <w:rPr>
          <w:rFonts w:ascii="Arial Narrow" w:eastAsiaTheme="minorEastAsia" w:hAnsi="Arial Narrow" w:cs="Arial"/>
          <w:sz w:val="24"/>
          <w:szCs w:val="24"/>
        </w:rPr>
        <w:t xml:space="preserve"> demeure une priorité, avec un taux de mortalité maternelle élevé de </w:t>
      </w:r>
      <w:r w:rsidR="00E448DE" w:rsidRPr="00A918AC">
        <w:rPr>
          <w:rFonts w:ascii="Arial Narrow" w:eastAsiaTheme="minorEastAsia" w:hAnsi="Arial Narrow" w:cs="Arial"/>
          <w:sz w:val="24"/>
          <w:szCs w:val="24"/>
        </w:rPr>
        <w:t xml:space="preserve">385 </w:t>
      </w:r>
      <w:r w:rsidRPr="007E7C5B">
        <w:rPr>
          <w:rFonts w:ascii="Arial Narrow" w:eastAsiaTheme="minorEastAsia" w:hAnsi="Arial Narrow" w:cs="Arial"/>
          <w:sz w:val="24"/>
          <w:szCs w:val="24"/>
        </w:rPr>
        <w:t>pour 100</w:t>
      </w:r>
      <w:r w:rsidR="00B92DD8" w:rsidRPr="007E7C5B">
        <w:rPr>
          <w:rFonts w:ascii="Arial Narrow" w:eastAsiaTheme="minorEastAsia" w:hAnsi="Arial Narrow" w:cs="Arial"/>
          <w:sz w:val="24"/>
          <w:szCs w:val="24"/>
        </w:rPr>
        <w:t> </w:t>
      </w:r>
      <w:r w:rsidRPr="007E7C5B">
        <w:rPr>
          <w:rFonts w:ascii="Arial Narrow" w:eastAsiaTheme="minorEastAsia" w:hAnsi="Arial Narrow" w:cs="Arial"/>
          <w:sz w:val="24"/>
          <w:szCs w:val="24"/>
        </w:rPr>
        <w:t>000 naissances vivantes</w:t>
      </w:r>
      <w:r w:rsidR="00597636" w:rsidRPr="007E7C5B">
        <w:rPr>
          <w:rFonts w:ascii="Arial Narrow" w:eastAsiaTheme="minorEastAsia" w:hAnsi="Arial Narrow" w:cs="Arial"/>
          <w:sz w:val="24"/>
          <w:szCs w:val="24"/>
        </w:rPr>
        <w:t xml:space="preserve"> en 202</w:t>
      </w:r>
      <w:r w:rsidR="00ED6D30" w:rsidRPr="007E7C5B">
        <w:rPr>
          <w:rFonts w:ascii="Arial Narrow" w:eastAsiaTheme="minorEastAsia" w:hAnsi="Arial Narrow" w:cs="Arial"/>
          <w:sz w:val="24"/>
          <w:szCs w:val="24"/>
        </w:rPr>
        <w:t>1</w:t>
      </w:r>
      <w:r w:rsidR="00F358B4" w:rsidRPr="007E7C5B">
        <w:rPr>
          <w:rFonts w:ascii="Arial Narrow" w:eastAsiaTheme="minorEastAsia" w:hAnsi="Arial Narrow" w:cs="Arial"/>
          <w:sz w:val="24"/>
          <w:szCs w:val="24"/>
        </w:rPr>
        <w:t xml:space="preserve"> (EDS)</w:t>
      </w:r>
      <w:r w:rsidRPr="007E7C5B">
        <w:rPr>
          <w:rFonts w:ascii="Arial Narrow" w:eastAsiaTheme="minorEastAsia" w:hAnsi="Arial Narrow" w:cs="Arial"/>
          <w:sz w:val="24"/>
          <w:szCs w:val="24"/>
        </w:rPr>
        <w:t xml:space="preserve">, principalement en raison des hémorragies </w:t>
      </w:r>
      <w:r w:rsidR="007E1FD2" w:rsidRPr="007E7C5B">
        <w:rPr>
          <w:rFonts w:ascii="Arial Narrow" w:eastAsiaTheme="minorEastAsia" w:hAnsi="Arial Narrow" w:cs="Arial"/>
          <w:sz w:val="24"/>
          <w:szCs w:val="24"/>
        </w:rPr>
        <w:t>(</w:t>
      </w:r>
      <w:r w:rsidR="007E1FD2" w:rsidRPr="00A918AC">
        <w:rPr>
          <w:rFonts w:ascii="Arial Narrow" w:eastAsiaTheme="minorEastAsia" w:hAnsi="Arial Narrow" w:cs="Arial"/>
          <w:sz w:val="24"/>
          <w:szCs w:val="24"/>
        </w:rPr>
        <w:t>51</w:t>
      </w:r>
      <w:r w:rsidR="007E1FD2" w:rsidRPr="007E7C5B">
        <w:rPr>
          <w:rFonts w:ascii="Arial Narrow" w:eastAsiaTheme="minorEastAsia" w:hAnsi="Arial Narrow" w:cs="Arial"/>
          <w:sz w:val="24"/>
          <w:szCs w:val="24"/>
        </w:rPr>
        <w:t xml:space="preserve">% des décès en 2023) </w:t>
      </w:r>
      <w:r w:rsidRPr="007E7C5B">
        <w:rPr>
          <w:rFonts w:ascii="Arial Narrow" w:eastAsiaTheme="minorEastAsia" w:hAnsi="Arial Narrow" w:cs="Arial"/>
          <w:sz w:val="24"/>
          <w:szCs w:val="24"/>
        </w:rPr>
        <w:t>et de l'hypertension</w:t>
      </w:r>
      <w:r w:rsidR="007E1FD2" w:rsidRPr="007E7C5B">
        <w:rPr>
          <w:rFonts w:ascii="Arial Narrow" w:eastAsiaTheme="minorEastAsia" w:hAnsi="Arial Narrow" w:cs="Arial"/>
          <w:sz w:val="24"/>
          <w:szCs w:val="24"/>
        </w:rPr>
        <w:t xml:space="preserve"> (</w:t>
      </w:r>
      <w:r w:rsidR="00A32286" w:rsidRPr="007E7C5B">
        <w:rPr>
          <w:rFonts w:ascii="Arial Narrow" w:eastAsiaTheme="minorEastAsia" w:hAnsi="Arial Narrow" w:cs="Arial"/>
          <w:sz w:val="24"/>
          <w:szCs w:val="24"/>
        </w:rPr>
        <w:t>13</w:t>
      </w:r>
      <w:r w:rsidR="007E1FD2" w:rsidRPr="007E7C5B">
        <w:rPr>
          <w:rFonts w:ascii="Arial Narrow" w:eastAsiaTheme="minorEastAsia" w:hAnsi="Arial Narrow" w:cs="Arial"/>
          <w:sz w:val="24"/>
          <w:szCs w:val="24"/>
        </w:rPr>
        <w:t>%)</w:t>
      </w:r>
      <w:r w:rsidRPr="007E7C5B">
        <w:rPr>
          <w:rFonts w:ascii="Arial Narrow" w:eastAsiaTheme="minorEastAsia" w:hAnsi="Arial Narrow" w:cs="Arial"/>
          <w:sz w:val="24"/>
          <w:szCs w:val="24"/>
        </w:rPr>
        <w:t xml:space="preserve">. </w:t>
      </w:r>
    </w:p>
    <w:p w14:paraId="081D037A" w14:textId="53916CC5" w:rsidR="2A5103A8" w:rsidRPr="007E7C5B" w:rsidRDefault="01BFFAC2" w:rsidP="00761F55">
      <w:pPr>
        <w:spacing w:line="276" w:lineRule="auto"/>
        <w:jc w:val="both"/>
        <w:rPr>
          <w:rFonts w:ascii="Arial Narrow" w:eastAsiaTheme="minorEastAsia" w:hAnsi="Arial Narrow" w:cs="Arial"/>
          <w:sz w:val="24"/>
          <w:szCs w:val="24"/>
        </w:rPr>
      </w:pPr>
      <w:r w:rsidRPr="007E7C5B">
        <w:rPr>
          <w:rFonts w:ascii="Arial Narrow" w:eastAsiaTheme="minorEastAsia" w:hAnsi="Arial Narrow" w:cs="Arial"/>
          <w:b/>
          <w:sz w:val="24"/>
          <w:szCs w:val="24"/>
        </w:rPr>
        <w:t xml:space="preserve">La </w:t>
      </w:r>
      <w:r w:rsidR="00F20BDD" w:rsidRPr="007E7C5B">
        <w:rPr>
          <w:rFonts w:ascii="Arial Narrow" w:eastAsiaTheme="minorEastAsia" w:hAnsi="Arial Narrow" w:cs="Arial"/>
          <w:b/>
          <w:sz w:val="24"/>
          <w:szCs w:val="24"/>
        </w:rPr>
        <w:t>s</w:t>
      </w:r>
      <w:r w:rsidR="006E6068" w:rsidRPr="007E7C5B">
        <w:rPr>
          <w:rFonts w:ascii="Arial Narrow" w:eastAsiaTheme="minorEastAsia" w:hAnsi="Arial Narrow" w:cs="Arial"/>
          <w:b/>
          <w:sz w:val="24"/>
          <w:szCs w:val="24"/>
        </w:rPr>
        <w:t>anté</w:t>
      </w:r>
      <w:r w:rsidRPr="007E7C5B">
        <w:rPr>
          <w:rFonts w:ascii="Arial Narrow" w:eastAsiaTheme="minorEastAsia" w:hAnsi="Arial Narrow" w:cs="Arial"/>
          <w:b/>
          <w:sz w:val="24"/>
          <w:szCs w:val="24"/>
        </w:rPr>
        <w:t xml:space="preserve"> infantile</w:t>
      </w:r>
      <w:r w:rsidRPr="007E7C5B">
        <w:rPr>
          <w:rFonts w:ascii="Arial Narrow" w:eastAsiaTheme="minorEastAsia" w:hAnsi="Arial Narrow" w:cs="Arial"/>
          <w:sz w:val="24"/>
          <w:szCs w:val="24"/>
        </w:rPr>
        <w:t xml:space="preserve"> est également une préoccupation majeure, avec </w:t>
      </w:r>
      <w:r w:rsidR="006B0869" w:rsidRPr="007E7C5B">
        <w:rPr>
          <w:rFonts w:ascii="Arial Narrow" w:eastAsiaTheme="minorEastAsia" w:hAnsi="Arial Narrow" w:cs="Arial"/>
          <w:sz w:val="24"/>
          <w:szCs w:val="24"/>
        </w:rPr>
        <w:t xml:space="preserve">un </w:t>
      </w:r>
      <w:r w:rsidRPr="007E7C5B">
        <w:rPr>
          <w:rFonts w:ascii="Arial Narrow" w:eastAsiaTheme="minorEastAsia" w:hAnsi="Arial Narrow" w:cs="Arial"/>
          <w:sz w:val="24"/>
          <w:szCs w:val="24"/>
        </w:rPr>
        <w:t xml:space="preserve">taux de mortalité </w:t>
      </w:r>
      <w:r w:rsidR="00E1643B" w:rsidRPr="007E7C5B">
        <w:rPr>
          <w:rFonts w:ascii="Arial Narrow" w:eastAsiaTheme="minorEastAsia" w:hAnsi="Arial Narrow" w:cs="Arial"/>
          <w:sz w:val="24"/>
          <w:szCs w:val="24"/>
        </w:rPr>
        <w:t>n</w:t>
      </w:r>
      <w:r w:rsidR="00635391" w:rsidRPr="007E7C5B">
        <w:rPr>
          <w:rFonts w:ascii="Arial Narrow" w:eastAsiaTheme="minorEastAsia" w:hAnsi="Arial Narrow" w:cs="Arial"/>
          <w:sz w:val="24"/>
          <w:szCs w:val="24"/>
        </w:rPr>
        <w:t>é</w:t>
      </w:r>
      <w:r w:rsidR="00E1643B" w:rsidRPr="007E7C5B">
        <w:rPr>
          <w:rFonts w:ascii="Arial Narrow" w:eastAsiaTheme="minorEastAsia" w:hAnsi="Arial Narrow" w:cs="Arial"/>
          <w:sz w:val="24"/>
          <w:szCs w:val="24"/>
        </w:rPr>
        <w:t xml:space="preserve">onatale </w:t>
      </w:r>
      <w:r w:rsidRPr="007E7C5B">
        <w:rPr>
          <w:rFonts w:ascii="Arial Narrow" w:eastAsiaTheme="minorEastAsia" w:hAnsi="Arial Narrow" w:cs="Arial"/>
          <w:sz w:val="24"/>
          <w:szCs w:val="24"/>
        </w:rPr>
        <w:t xml:space="preserve">et </w:t>
      </w:r>
      <w:r w:rsidR="0043739B" w:rsidRPr="007E7C5B">
        <w:rPr>
          <w:rFonts w:ascii="Arial Narrow" w:eastAsiaTheme="minorEastAsia" w:hAnsi="Arial Narrow" w:cs="Arial"/>
          <w:sz w:val="24"/>
          <w:szCs w:val="24"/>
        </w:rPr>
        <w:t xml:space="preserve">une </w:t>
      </w:r>
      <w:r w:rsidR="00635391" w:rsidRPr="007E7C5B">
        <w:rPr>
          <w:rFonts w:ascii="Arial Narrow" w:eastAsiaTheme="minorEastAsia" w:hAnsi="Arial Narrow" w:cs="Arial"/>
          <w:sz w:val="24"/>
          <w:szCs w:val="24"/>
        </w:rPr>
        <w:t>prévalence</w:t>
      </w:r>
      <w:r w:rsidR="0043739B" w:rsidRPr="007E7C5B">
        <w:rPr>
          <w:rFonts w:ascii="Arial Narrow" w:eastAsiaTheme="minorEastAsia" w:hAnsi="Arial Narrow" w:cs="Arial"/>
          <w:sz w:val="24"/>
          <w:szCs w:val="24"/>
        </w:rPr>
        <w:t xml:space="preserve"> du retard à la croissance chez les moins de 5 ans</w:t>
      </w:r>
      <w:r w:rsidRPr="007E7C5B">
        <w:rPr>
          <w:rFonts w:ascii="Arial Narrow" w:eastAsiaTheme="minorEastAsia" w:hAnsi="Arial Narrow" w:cs="Arial"/>
          <w:sz w:val="24"/>
          <w:szCs w:val="24"/>
        </w:rPr>
        <w:t xml:space="preserve"> élevés. </w:t>
      </w:r>
      <w:r w:rsidR="004A2F0C" w:rsidRPr="007E7C5B">
        <w:rPr>
          <w:rFonts w:ascii="Arial Narrow" w:eastAsiaTheme="minorEastAsia" w:hAnsi="Arial Narrow" w:cs="Arial"/>
          <w:sz w:val="24"/>
          <w:szCs w:val="24"/>
        </w:rPr>
        <w:t>Leurs valeurs respectives sont de 30</w:t>
      </w:r>
      <w:r w:rsidR="00D55055" w:rsidRPr="007E7C5B">
        <w:rPr>
          <w:rFonts w:ascii="Arial Narrow" w:eastAsiaTheme="minorEastAsia" w:hAnsi="Arial Narrow" w:cs="Arial"/>
          <w:sz w:val="24"/>
          <w:szCs w:val="24"/>
        </w:rPr>
        <w:t>‰</w:t>
      </w:r>
      <w:r w:rsidR="006600BC" w:rsidRPr="007E7C5B">
        <w:rPr>
          <w:rFonts w:ascii="Arial Narrow" w:eastAsiaTheme="minorEastAsia" w:hAnsi="Arial Narrow" w:cs="Arial"/>
          <w:sz w:val="24"/>
          <w:szCs w:val="24"/>
        </w:rPr>
        <w:t xml:space="preserve"> et 23% en </w:t>
      </w:r>
      <w:r w:rsidR="00894C2F" w:rsidRPr="007E7C5B">
        <w:rPr>
          <w:rFonts w:ascii="Arial Narrow" w:eastAsiaTheme="minorEastAsia" w:hAnsi="Arial Narrow" w:cs="Arial"/>
          <w:sz w:val="24"/>
          <w:szCs w:val="24"/>
        </w:rPr>
        <w:t>2021</w:t>
      </w:r>
      <w:r w:rsidR="00391440" w:rsidRPr="007E7C5B">
        <w:rPr>
          <w:rStyle w:val="Appelnotedebasdep"/>
          <w:rFonts w:ascii="Arial Narrow" w:eastAsiaTheme="minorEastAsia" w:hAnsi="Arial Narrow" w:cs="Arial"/>
          <w:sz w:val="24"/>
          <w:szCs w:val="24"/>
        </w:rPr>
        <w:footnoteReference w:id="6"/>
      </w:r>
      <w:r w:rsidR="006600BC" w:rsidRPr="007E7C5B">
        <w:rPr>
          <w:rFonts w:ascii="Arial Narrow" w:eastAsiaTheme="minorEastAsia" w:hAnsi="Arial Narrow" w:cs="Arial"/>
          <w:sz w:val="24"/>
          <w:szCs w:val="24"/>
        </w:rPr>
        <w:t>.</w:t>
      </w:r>
      <w:r w:rsidR="008840BF" w:rsidRPr="007E7C5B">
        <w:rPr>
          <w:rFonts w:ascii="Arial Narrow" w:eastAsiaTheme="minorEastAsia" w:hAnsi="Arial Narrow" w:cs="Arial"/>
          <w:sz w:val="24"/>
          <w:szCs w:val="24"/>
        </w:rPr>
        <w:t xml:space="preserve"> </w:t>
      </w:r>
      <w:r w:rsidR="00C04019" w:rsidRPr="007E7C5B">
        <w:rPr>
          <w:rFonts w:ascii="Arial Narrow" w:eastAsiaTheme="minorEastAsia" w:hAnsi="Arial Narrow" w:cs="Arial"/>
          <w:sz w:val="24"/>
          <w:szCs w:val="24"/>
        </w:rPr>
        <w:t xml:space="preserve">La mortalité </w:t>
      </w:r>
      <w:r w:rsidR="00306BD2" w:rsidRPr="007E7C5B">
        <w:rPr>
          <w:rFonts w:ascii="Arial Narrow" w:eastAsiaTheme="minorEastAsia" w:hAnsi="Arial Narrow" w:cs="Arial"/>
          <w:sz w:val="24"/>
          <w:szCs w:val="24"/>
        </w:rPr>
        <w:t xml:space="preserve">infanto-juvénile </w:t>
      </w:r>
      <w:r w:rsidR="00DA781D">
        <w:rPr>
          <w:rFonts w:ascii="Arial Narrow" w:eastAsiaTheme="minorEastAsia" w:hAnsi="Arial Narrow" w:cs="Arial"/>
          <w:sz w:val="24"/>
          <w:szCs w:val="24"/>
        </w:rPr>
        <w:t>était</w:t>
      </w:r>
      <w:r w:rsidR="0032626B" w:rsidRPr="007E7C5B">
        <w:rPr>
          <w:rFonts w:ascii="Arial Narrow" w:eastAsiaTheme="minorEastAsia" w:hAnsi="Arial Narrow" w:cs="Arial"/>
          <w:sz w:val="24"/>
          <w:szCs w:val="24"/>
        </w:rPr>
        <w:t xml:space="preserve"> 74</w:t>
      </w:r>
      <w:r w:rsidR="00C56D0E" w:rsidRPr="007E7C5B">
        <w:rPr>
          <w:rFonts w:ascii="Arial Narrow" w:eastAsiaTheme="minorEastAsia" w:hAnsi="Arial Narrow" w:cs="Arial"/>
          <w:sz w:val="24"/>
          <w:szCs w:val="24"/>
        </w:rPr>
        <w:t xml:space="preserve">‰ </w:t>
      </w:r>
      <w:r w:rsidR="0032626B" w:rsidRPr="007E7C5B">
        <w:rPr>
          <w:rFonts w:ascii="Arial Narrow" w:eastAsiaTheme="minorEastAsia" w:hAnsi="Arial Narrow" w:cs="Arial"/>
          <w:sz w:val="24"/>
          <w:szCs w:val="24"/>
        </w:rPr>
        <w:t>en 202</w:t>
      </w:r>
      <w:r w:rsidR="00D715A2" w:rsidRPr="007E7C5B">
        <w:rPr>
          <w:rFonts w:ascii="Arial Narrow" w:eastAsiaTheme="minorEastAsia" w:hAnsi="Arial Narrow" w:cs="Arial"/>
          <w:sz w:val="24"/>
          <w:szCs w:val="24"/>
        </w:rPr>
        <w:t>1 (EDS)</w:t>
      </w:r>
      <w:r w:rsidR="0032626B" w:rsidRPr="007E7C5B">
        <w:rPr>
          <w:rFonts w:ascii="Arial Narrow" w:eastAsiaTheme="minorEastAsia" w:hAnsi="Arial Narrow" w:cs="Arial"/>
          <w:sz w:val="24"/>
          <w:szCs w:val="24"/>
        </w:rPr>
        <w:t xml:space="preserve">, </w:t>
      </w:r>
      <w:r w:rsidR="00D0003D" w:rsidRPr="007E7C5B">
        <w:rPr>
          <w:rFonts w:ascii="Arial Narrow" w:eastAsiaTheme="minorEastAsia" w:hAnsi="Arial Narrow" w:cs="Arial"/>
          <w:sz w:val="24"/>
          <w:szCs w:val="24"/>
        </w:rPr>
        <w:t xml:space="preserve">une performance </w:t>
      </w:r>
      <w:r w:rsidR="00A463FE" w:rsidRPr="007E7C5B">
        <w:rPr>
          <w:rFonts w:ascii="Arial Narrow" w:eastAsiaTheme="minorEastAsia" w:hAnsi="Arial Narrow" w:cs="Arial"/>
          <w:sz w:val="24"/>
          <w:szCs w:val="24"/>
        </w:rPr>
        <w:t xml:space="preserve">positive au regard des </w:t>
      </w:r>
      <w:r w:rsidR="00635391" w:rsidRPr="007E7C5B">
        <w:rPr>
          <w:rFonts w:ascii="Arial Narrow" w:eastAsiaTheme="minorEastAsia" w:hAnsi="Arial Narrow" w:cs="Arial"/>
          <w:sz w:val="24"/>
          <w:szCs w:val="24"/>
        </w:rPr>
        <w:t>prévisions</w:t>
      </w:r>
      <w:r w:rsidR="00A463FE" w:rsidRPr="007E7C5B">
        <w:rPr>
          <w:rFonts w:ascii="Arial Narrow" w:eastAsiaTheme="minorEastAsia" w:hAnsi="Arial Narrow" w:cs="Arial"/>
          <w:sz w:val="24"/>
          <w:szCs w:val="24"/>
        </w:rPr>
        <w:t xml:space="preserve"> qui </w:t>
      </w:r>
      <w:r w:rsidR="00635391" w:rsidRPr="007E7C5B">
        <w:rPr>
          <w:rFonts w:ascii="Arial Narrow" w:eastAsiaTheme="minorEastAsia" w:hAnsi="Arial Narrow" w:cs="Arial"/>
          <w:sz w:val="24"/>
          <w:szCs w:val="24"/>
        </w:rPr>
        <w:t>étaient</w:t>
      </w:r>
      <w:r w:rsidR="00A463FE" w:rsidRPr="007E7C5B">
        <w:rPr>
          <w:rFonts w:ascii="Arial Narrow" w:eastAsiaTheme="minorEastAsia" w:hAnsi="Arial Narrow" w:cs="Arial"/>
          <w:sz w:val="24"/>
          <w:szCs w:val="24"/>
        </w:rPr>
        <w:t xml:space="preserve"> de </w:t>
      </w:r>
      <w:r w:rsidR="001F62A7" w:rsidRPr="007E7C5B">
        <w:rPr>
          <w:rFonts w:ascii="Arial Narrow" w:eastAsiaTheme="minorEastAsia" w:hAnsi="Arial Narrow" w:cs="Arial"/>
          <w:sz w:val="24"/>
          <w:szCs w:val="24"/>
        </w:rPr>
        <w:t>88,9</w:t>
      </w:r>
      <w:r w:rsidR="00A463FE" w:rsidRPr="007E7C5B">
        <w:rPr>
          <w:rFonts w:ascii="Arial Narrow" w:eastAsiaTheme="minorEastAsia" w:hAnsi="Arial Narrow" w:cs="Arial"/>
          <w:sz w:val="24"/>
          <w:szCs w:val="24"/>
        </w:rPr>
        <w:t xml:space="preserve">‰ pour cette </w:t>
      </w:r>
      <w:r w:rsidR="007E69E8" w:rsidRPr="007E7C5B">
        <w:rPr>
          <w:rFonts w:ascii="Arial Narrow" w:eastAsiaTheme="minorEastAsia" w:hAnsi="Arial Narrow" w:cs="Arial"/>
          <w:sz w:val="24"/>
          <w:szCs w:val="24"/>
        </w:rPr>
        <w:t xml:space="preserve">même </w:t>
      </w:r>
      <w:r w:rsidR="00A463FE" w:rsidRPr="007E7C5B">
        <w:rPr>
          <w:rFonts w:ascii="Arial Narrow" w:eastAsiaTheme="minorEastAsia" w:hAnsi="Arial Narrow" w:cs="Arial"/>
          <w:sz w:val="24"/>
          <w:szCs w:val="24"/>
        </w:rPr>
        <w:t>année.</w:t>
      </w:r>
      <w:r w:rsidRPr="007E7C5B">
        <w:rPr>
          <w:rFonts w:ascii="Arial Narrow" w:eastAsiaTheme="minorEastAsia" w:hAnsi="Arial Narrow" w:cs="Arial"/>
          <w:sz w:val="24"/>
          <w:szCs w:val="24"/>
        </w:rPr>
        <w:t xml:space="preserve"> </w:t>
      </w:r>
    </w:p>
    <w:p w14:paraId="0E9C8618" w14:textId="78891C34" w:rsidR="2A5103A8" w:rsidRPr="007E7C5B" w:rsidRDefault="01BFFAC2" w:rsidP="00761F55">
      <w:pPr>
        <w:spacing w:line="276" w:lineRule="auto"/>
        <w:jc w:val="both"/>
        <w:rPr>
          <w:rFonts w:ascii="Arial Narrow" w:eastAsiaTheme="minorEastAsia" w:hAnsi="Arial Narrow" w:cs="Arial"/>
          <w:sz w:val="24"/>
          <w:szCs w:val="24"/>
        </w:rPr>
      </w:pPr>
      <w:r w:rsidRPr="007E7C5B">
        <w:rPr>
          <w:rFonts w:ascii="Arial Narrow" w:eastAsiaTheme="minorEastAsia" w:hAnsi="Arial Narrow" w:cs="Arial"/>
          <w:b/>
          <w:sz w:val="24"/>
          <w:szCs w:val="24"/>
        </w:rPr>
        <w:t xml:space="preserve">La </w:t>
      </w:r>
      <w:r w:rsidR="00F20BDD" w:rsidRPr="007E7C5B">
        <w:rPr>
          <w:rFonts w:ascii="Arial Narrow" w:eastAsiaTheme="minorEastAsia" w:hAnsi="Arial Narrow" w:cs="Arial"/>
          <w:b/>
          <w:sz w:val="24"/>
          <w:szCs w:val="24"/>
        </w:rPr>
        <w:t>s</w:t>
      </w:r>
      <w:r w:rsidR="006E6068" w:rsidRPr="007E7C5B">
        <w:rPr>
          <w:rFonts w:ascii="Arial Narrow" w:eastAsiaTheme="minorEastAsia" w:hAnsi="Arial Narrow" w:cs="Arial"/>
          <w:b/>
          <w:sz w:val="24"/>
          <w:szCs w:val="24"/>
        </w:rPr>
        <w:t>anté</w:t>
      </w:r>
      <w:r w:rsidRPr="007E7C5B">
        <w:rPr>
          <w:rFonts w:ascii="Arial Narrow" w:eastAsiaTheme="minorEastAsia" w:hAnsi="Arial Narrow" w:cs="Arial"/>
          <w:b/>
          <w:sz w:val="24"/>
          <w:szCs w:val="24"/>
        </w:rPr>
        <w:t xml:space="preserve"> des adolescents et des jeunes adultes </w:t>
      </w:r>
      <w:r w:rsidRPr="007E7C5B">
        <w:rPr>
          <w:rFonts w:ascii="Arial Narrow" w:eastAsiaTheme="minorEastAsia" w:hAnsi="Arial Narrow" w:cs="Arial"/>
          <w:sz w:val="24"/>
          <w:szCs w:val="24"/>
        </w:rPr>
        <w:t>est marquée par une forte incidence d</w:t>
      </w:r>
      <w:r w:rsidR="002B1D92" w:rsidRPr="007E7C5B">
        <w:rPr>
          <w:rFonts w:ascii="Arial Narrow" w:eastAsiaTheme="minorEastAsia" w:hAnsi="Arial Narrow" w:cs="Arial"/>
          <w:sz w:val="24"/>
          <w:szCs w:val="24"/>
        </w:rPr>
        <w:t>u</w:t>
      </w:r>
      <w:r w:rsidRPr="007E7C5B">
        <w:rPr>
          <w:rFonts w:ascii="Arial Narrow" w:eastAsiaTheme="minorEastAsia" w:hAnsi="Arial Narrow" w:cs="Arial"/>
          <w:sz w:val="24"/>
          <w:szCs w:val="24"/>
        </w:rPr>
        <w:t xml:space="preserve"> paludisme, d'infections respiratoires, d'infections sexuellement transmissibles (IST) et d'anémie. </w:t>
      </w:r>
      <w:r w:rsidR="002F18CC" w:rsidRPr="007E7C5B">
        <w:rPr>
          <w:rFonts w:ascii="Arial Narrow" w:eastAsiaTheme="minorEastAsia" w:hAnsi="Arial Narrow" w:cs="Arial"/>
          <w:sz w:val="24"/>
          <w:szCs w:val="24"/>
        </w:rPr>
        <w:t xml:space="preserve">A titre d’illustration, l’incidence des IST chez les adolescents et jeunes connait une hausse ces dernières années passant de </w:t>
      </w:r>
      <w:r w:rsidR="00ED6045" w:rsidRPr="007E7C5B">
        <w:rPr>
          <w:rFonts w:ascii="Arial Narrow" w:eastAsiaTheme="minorEastAsia" w:hAnsi="Arial Narrow" w:cs="Arial"/>
          <w:sz w:val="24"/>
          <w:szCs w:val="24"/>
        </w:rPr>
        <w:t>1,22 en 2021 à 1,43 en 2023</w:t>
      </w:r>
      <w:r w:rsidR="00ED6045" w:rsidRPr="007E7C5B">
        <w:rPr>
          <w:rStyle w:val="Appelnotedebasdep"/>
          <w:rFonts w:ascii="Arial Narrow" w:eastAsiaTheme="minorEastAsia" w:hAnsi="Arial Narrow" w:cs="Arial"/>
          <w:sz w:val="24"/>
          <w:szCs w:val="24"/>
        </w:rPr>
        <w:footnoteReference w:id="7"/>
      </w:r>
      <w:r w:rsidR="00ED6045" w:rsidRPr="007E7C5B">
        <w:rPr>
          <w:rFonts w:ascii="Arial Narrow" w:eastAsiaTheme="minorEastAsia" w:hAnsi="Arial Narrow" w:cs="Arial"/>
          <w:sz w:val="24"/>
          <w:szCs w:val="24"/>
        </w:rPr>
        <w:t xml:space="preserve">. </w:t>
      </w:r>
      <w:r w:rsidR="009C7B3B" w:rsidRPr="007E7C5B">
        <w:rPr>
          <w:rFonts w:ascii="Arial Narrow" w:eastAsiaTheme="minorEastAsia" w:hAnsi="Arial Narrow" w:cs="Arial"/>
          <w:sz w:val="24"/>
          <w:szCs w:val="24"/>
        </w:rPr>
        <w:t>Le nombre de grossesses diagnostiquées chez les adolescentes et jeunes</w:t>
      </w:r>
      <w:r w:rsidR="00C32D6E" w:rsidRPr="007E7C5B">
        <w:rPr>
          <w:rFonts w:ascii="Arial Narrow" w:eastAsiaTheme="minorEastAsia" w:hAnsi="Arial Narrow" w:cs="Arial"/>
          <w:sz w:val="24"/>
          <w:szCs w:val="24"/>
        </w:rPr>
        <w:t xml:space="preserve">, </w:t>
      </w:r>
      <w:r w:rsidR="00C94C7C" w:rsidRPr="007E7C5B">
        <w:rPr>
          <w:rFonts w:ascii="Arial Narrow" w:eastAsiaTheme="minorEastAsia" w:hAnsi="Arial Narrow" w:cs="Arial"/>
          <w:sz w:val="24"/>
          <w:szCs w:val="24"/>
        </w:rPr>
        <w:t>en bais</w:t>
      </w:r>
      <w:r w:rsidR="00C32D6E" w:rsidRPr="007E7C5B">
        <w:rPr>
          <w:rFonts w:ascii="Arial Narrow" w:eastAsiaTheme="minorEastAsia" w:hAnsi="Arial Narrow" w:cs="Arial"/>
          <w:sz w:val="24"/>
          <w:szCs w:val="24"/>
        </w:rPr>
        <w:t>se depuis 2021, est tout de même de 4</w:t>
      </w:r>
      <w:r w:rsidR="00521316" w:rsidRPr="007E7C5B">
        <w:rPr>
          <w:rFonts w:ascii="Arial Narrow" w:eastAsiaTheme="minorEastAsia" w:hAnsi="Arial Narrow" w:cs="Arial"/>
          <w:sz w:val="24"/>
          <w:szCs w:val="24"/>
        </w:rPr>
        <w:t xml:space="preserve"> </w:t>
      </w:r>
      <w:r w:rsidR="00C32D6E" w:rsidRPr="007E7C5B">
        <w:rPr>
          <w:rFonts w:ascii="Arial Narrow" w:eastAsiaTheme="minorEastAsia" w:hAnsi="Arial Narrow" w:cs="Arial"/>
          <w:sz w:val="24"/>
          <w:szCs w:val="24"/>
        </w:rPr>
        <w:t>520 en 2023</w:t>
      </w:r>
      <w:r w:rsidR="003A2FE4" w:rsidRPr="007E7C5B">
        <w:rPr>
          <w:rFonts w:ascii="Arial Narrow" w:eastAsiaTheme="minorEastAsia" w:hAnsi="Arial Narrow" w:cs="Arial"/>
          <w:sz w:val="24"/>
          <w:szCs w:val="24"/>
        </w:rPr>
        <w:t>,</w:t>
      </w:r>
      <w:r w:rsidR="006B0395" w:rsidRPr="007E7C5B">
        <w:rPr>
          <w:rFonts w:ascii="Arial Narrow" w:eastAsiaTheme="minorEastAsia" w:hAnsi="Arial Narrow" w:cs="Arial"/>
          <w:sz w:val="24"/>
          <w:szCs w:val="24"/>
        </w:rPr>
        <w:t xml:space="preserve"> s’expliquant essentiellement par le faible usage des</w:t>
      </w:r>
      <w:r w:rsidR="00EC2D7F" w:rsidRPr="007E7C5B">
        <w:rPr>
          <w:rFonts w:ascii="Arial Narrow" w:eastAsiaTheme="minorEastAsia" w:hAnsi="Arial Narrow" w:cs="Arial"/>
          <w:sz w:val="24"/>
          <w:szCs w:val="24"/>
        </w:rPr>
        <w:t xml:space="preserve"> moyens contraceptifs par les jeunes</w:t>
      </w:r>
      <w:r w:rsidR="00AC2E2E" w:rsidRPr="007E7C5B">
        <w:rPr>
          <w:rStyle w:val="Appelnotedebasdep"/>
          <w:rFonts w:ascii="Arial Narrow" w:eastAsiaTheme="minorEastAsia" w:hAnsi="Arial Narrow" w:cs="Arial"/>
          <w:sz w:val="24"/>
          <w:szCs w:val="24"/>
        </w:rPr>
        <w:footnoteReference w:id="8"/>
      </w:r>
      <w:r w:rsidRPr="007E7C5B">
        <w:rPr>
          <w:rFonts w:ascii="Arial Narrow" w:eastAsiaTheme="minorEastAsia" w:hAnsi="Arial Narrow" w:cs="Arial"/>
          <w:sz w:val="24"/>
          <w:szCs w:val="24"/>
        </w:rPr>
        <w:t xml:space="preserve">. </w:t>
      </w:r>
      <w:r w:rsidR="004A4A79" w:rsidRPr="007E7C5B">
        <w:rPr>
          <w:rFonts w:ascii="Arial Narrow" w:eastAsiaTheme="minorEastAsia" w:hAnsi="Arial Narrow" w:cs="Arial"/>
          <w:sz w:val="24"/>
          <w:szCs w:val="24"/>
        </w:rPr>
        <w:t>La prévalence du tabagisme chez les jeunes en milieu scolaire est passée de 13</w:t>
      </w:r>
      <w:r w:rsidR="00213C39" w:rsidRPr="007E7C5B">
        <w:rPr>
          <w:rFonts w:ascii="Arial Narrow" w:eastAsiaTheme="minorEastAsia" w:hAnsi="Arial Narrow" w:cs="Arial"/>
          <w:sz w:val="24"/>
          <w:szCs w:val="24"/>
        </w:rPr>
        <w:t>,7% en 2011 à 4,5% en 2023.</w:t>
      </w:r>
    </w:p>
    <w:p w14:paraId="27A11CB1" w14:textId="10BB00EF" w:rsidR="00702FE2" w:rsidRPr="007E7C5B" w:rsidRDefault="00A47F32" w:rsidP="00702FE2">
      <w:pPr>
        <w:spacing w:line="276" w:lineRule="auto"/>
        <w:jc w:val="both"/>
        <w:rPr>
          <w:rFonts w:ascii="Arial Narrow" w:eastAsiaTheme="minorEastAsia" w:hAnsi="Arial Narrow" w:cs="Arial"/>
          <w:sz w:val="24"/>
          <w:szCs w:val="24"/>
        </w:rPr>
      </w:pPr>
      <w:r w:rsidRPr="0085003D">
        <w:rPr>
          <w:rFonts w:ascii="Arial Narrow" w:eastAsiaTheme="minorEastAsia" w:hAnsi="Arial Narrow" w:cs="Arial"/>
          <w:b/>
          <w:bCs/>
          <w:sz w:val="24"/>
          <w:szCs w:val="24"/>
        </w:rPr>
        <w:t>L</w:t>
      </w:r>
      <w:r w:rsidR="00702FE2" w:rsidRPr="0085003D">
        <w:rPr>
          <w:rFonts w:ascii="Arial Narrow" w:eastAsiaTheme="minorEastAsia" w:hAnsi="Arial Narrow" w:cs="Arial"/>
          <w:b/>
          <w:bCs/>
          <w:sz w:val="24"/>
          <w:szCs w:val="24"/>
        </w:rPr>
        <w:t>es</w:t>
      </w:r>
      <w:r w:rsidR="00702FE2" w:rsidRPr="00A918AC">
        <w:rPr>
          <w:rFonts w:ascii="Arial Narrow" w:eastAsiaTheme="minorEastAsia" w:hAnsi="Arial Narrow" w:cs="Arial"/>
          <w:b/>
          <w:sz w:val="24"/>
          <w:szCs w:val="24"/>
        </w:rPr>
        <w:t xml:space="preserve"> personnes âgées</w:t>
      </w:r>
      <w:r w:rsidR="00702FE2" w:rsidRPr="007E7C5B">
        <w:rPr>
          <w:rFonts w:ascii="Arial Narrow" w:eastAsiaTheme="minorEastAsia" w:hAnsi="Arial Narrow" w:cs="Arial"/>
          <w:sz w:val="24"/>
          <w:szCs w:val="24"/>
        </w:rPr>
        <w:t xml:space="preserve"> de plus de 60 ans représentent 4% de la population générale</w:t>
      </w:r>
      <w:r w:rsidRPr="007E7C5B">
        <w:rPr>
          <w:rStyle w:val="Appelnotedebasdep"/>
          <w:rFonts w:ascii="Arial Narrow" w:eastAsiaTheme="minorEastAsia" w:hAnsi="Arial Narrow" w:cs="Arial"/>
          <w:sz w:val="24"/>
          <w:szCs w:val="24"/>
        </w:rPr>
        <w:footnoteReference w:id="9"/>
      </w:r>
      <w:r w:rsidR="00702FE2" w:rsidRPr="007E7C5B">
        <w:rPr>
          <w:rFonts w:ascii="Arial Narrow" w:eastAsiaTheme="minorEastAsia" w:hAnsi="Arial Narrow" w:cs="Arial"/>
          <w:sz w:val="24"/>
          <w:szCs w:val="24"/>
        </w:rPr>
        <w:t xml:space="preserve">. Entre 1998 et 2020, le nombre de personnes âgées s’est accru de 2,6% en moyenne chaque année. En projetant cette accélération du rythme du fait de la baisse de la fécondité, il apparait nécessaire de mieux prendre en considération </w:t>
      </w:r>
      <w:r w:rsidR="00724381" w:rsidRPr="007E7C5B">
        <w:rPr>
          <w:rFonts w:ascii="Arial Narrow" w:eastAsiaTheme="minorEastAsia" w:hAnsi="Arial Narrow" w:cs="Arial"/>
          <w:sz w:val="24"/>
          <w:szCs w:val="24"/>
        </w:rPr>
        <w:t>les problèmes</w:t>
      </w:r>
      <w:r w:rsidR="00702FE2" w:rsidRPr="007E7C5B">
        <w:rPr>
          <w:rFonts w:ascii="Arial Narrow" w:eastAsiaTheme="minorEastAsia" w:hAnsi="Arial Narrow" w:cs="Arial"/>
          <w:sz w:val="24"/>
          <w:szCs w:val="24"/>
        </w:rPr>
        <w:t xml:space="preserve"> sanitaires relatifs au vieillissement actuel de la population de la Côte d’Ivoire de sorte à adopter les mesures idoines.</w:t>
      </w:r>
    </w:p>
    <w:p w14:paraId="39C39B98" w14:textId="645E4155" w:rsidR="2A5103A8" w:rsidRPr="007E7C5B" w:rsidRDefault="01BFFAC2" w:rsidP="00167E9E">
      <w:pPr>
        <w:spacing w:line="276" w:lineRule="auto"/>
        <w:jc w:val="both"/>
        <w:rPr>
          <w:rFonts w:ascii="Arial Narrow" w:eastAsiaTheme="minorEastAsia" w:hAnsi="Arial Narrow" w:cs="Arial"/>
          <w:sz w:val="24"/>
          <w:szCs w:val="24"/>
        </w:rPr>
      </w:pPr>
      <w:r w:rsidRPr="007E7C5B">
        <w:rPr>
          <w:rFonts w:ascii="Arial Narrow" w:eastAsiaTheme="minorEastAsia" w:hAnsi="Arial Narrow" w:cs="Arial"/>
          <w:b/>
          <w:sz w:val="24"/>
          <w:szCs w:val="24"/>
        </w:rPr>
        <w:t>Les problèmes nutritionnels</w:t>
      </w:r>
      <w:r w:rsidRPr="007E7C5B">
        <w:rPr>
          <w:rFonts w:ascii="Arial Narrow" w:eastAsiaTheme="minorEastAsia" w:hAnsi="Arial Narrow" w:cs="Arial"/>
          <w:sz w:val="24"/>
          <w:szCs w:val="24"/>
        </w:rPr>
        <w:t xml:space="preserve"> incluent à la fois la </w:t>
      </w:r>
      <w:r w:rsidR="00573A1C" w:rsidRPr="007E7C5B">
        <w:rPr>
          <w:rFonts w:ascii="Arial Narrow" w:eastAsiaTheme="minorEastAsia" w:hAnsi="Arial Narrow" w:cs="Arial"/>
          <w:sz w:val="24"/>
          <w:szCs w:val="24"/>
        </w:rPr>
        <w:t>sous-nutrition</w:t>
      </w:r>
      <w:r w:rsidR="00C77752" w:rsidRPr="007E7C5B">
        <w:rPr>
          <w:rFonts w:ascii="Arial Narrow" w:eastAsiaTheme="minorEastAsia" w:hAnsi="Arial Narrow" w:cs="Arial"/>
          <w:sz w:val="24"/>
          <w:szCs w:val="24"/>
        </w:rPr>
        <w:t>, l</w:t>
      </w:r>
      <w:r w:rsidR="00573A1C" w:rsidRPr="007E7C5B">
        <w:rPr>
          <w:rFonts w:ascii="Arial Narrow" w:eastAsiaTheme="minorEastAsia" w:hAnsi="Arial Narrow" w:cs="Arial"/>
          <w:sz w:val="24"/>
          <w:szCs w:val="24"/>
        </w:rPr>
        <w:t>es</w:t>
      </w:r>
      <w:r w:rsidR="00C77752" w:rsidRPr="007E7C5B">
        <w:rPr>
          <w:rFonts w:ascii="Arial Narrow" w:eastAsiaTheme="minorEastAsia" w:hAnsi="Arial Narrow" w:cs="Arial"/>
          <w:sz w:val="24"/>
          <w:szCs w:val="24"/>
        </w:rPr>
        <w:t xml:space="preserve"> carences en vitamines et micronutriments</w:t>
      </w:r>
      <w:r w:rsidRPr="007E7C5B">
        <w:rPr>
          <w:rFonts w:ascii="Arial Narrow" w:eastAsiaTheme="minorEastAsia" w:hAnsi="Arial Narrow" w:cs="Arial"/>
          <w:sz w:val="24"/>
          <w:szCs w:val="24"/>
        </w:rPr>
        <w:t xml:space="preserve"> et </w:t>
      </w:r>
      <w:r w:rsidR="003D0F93" w:rsidRPr="007E7C5B">
        <w:rPr>
          <w:rFonts w:ascii="Arial Narrow" w:eastAsiaTheme="minorEastAsia" w:hAnsi="Arial Narrow" w:cs="Arial"/>
          <w:sz w:val="24"/>
          <w:szCs w:val="24"/>
        </w:rPr>
        <w:t>la</w:t>
      </w:r>
      <w:r w:rsidRPr="007E7C5B">
        <w:rPr>
          <w:rFonts w:ascii="Arial Narrow" w:eastAsiaTheme="minorEastAsia" w:hAnsi="Arial Narrow" w:cs="Arial"/>
          <w:sz w:val="24"/>
          <w:szCs w:val="24"/>
        </w:rPr>
        <w:t xml:space="preserve"> </w:t>
      </w:r>
      <w:r w:rsidR="003D0F93" w:rsidRPr="007E7C5B">
        <w:rPr>
          <w:rFonts w:ascii="Arial Narrow" w:eastAsiaTheme="minorEastAsia" w:hAnsi="Arial Narrow" w:cs="Arial"/>
          <w:sz w:val="24"/>
          <w:szCs w:val="24"/>
        </w:rPr>
        <w:t>surnutrition</w:t>
      </w:r>
      <w:r w:rsidRPr="007E7C5B">
        <w:rPr>
          <w:rFonts w:ascii="Arial Narrow" w:eastAsiaTheme="minorEastAsia" w:hAnsi="Arial Narrow" w:cs="Arial"/>
          <w:sz w:val="24"/>
          <w:szCs w:val="24"/>
        </w:rPr>
        <w:t xml:space="preserve">. </w:t>
      </w:r>
      <w:r w:rsidR="00167E9E" w:rsidRPr="007E7C5B">
        <w:rPr>
          <w:rFonts w:ascii="Arial Narrow" w:eastAsiaTheme="minorEastAsia" w:hAnsi="Arial Narrow" w:cs="Arial"/>
          <w:sz w:val="24"/>
          <w:szCs w:val="24"/>
        </w:rPr>
        <w:t>La situation nationale en ce qui concerne la nutrition est décrite par l’EDS 2021. Il en ressort que 23% des enfants de moins de 5 ans présentent un retard de croissance ou sont atteints de malnutrition chronique et 8% ont un retard de croissance sévère, sont émaciés ou souffrent de malnutrition aiguë et 2% présentent une forme sévère. Par ailleurs, 3% des enfants sont en surcharge pondérale.</w:t>
      </w:r>
    </w:p>
    <w:p w14:paraId="7BEF680E" w14:textId="5A4CFEF4" w:rsidR="2A5103A8" w:rsidRPr="007E7C5B" w:rsidRDefault="00710365" w:rsidP="00761F55">
      <w:pPr>
        <w:spacing w:line="276" w:lineRule="auto"/>
        <w:jc w:val="both"/>
        <w:rPr>
          <w:rFonts w:ascii="Arial Narrow" w:eastAsiaTheme="minorEastAsia" w:hAnsi="Arial Narrow" w:cs="Arial"/>
          <w:sz w:val="24"/>
          <w:szCs w:val="24"/>
        </w:rPr>
      </w:pPr>
      <w:r w:rsidRPr="00A918AC">
        <w:rPr>
          <w:rFonts w:ascii="Arial Narrow" w:eastAsiaTheme="minorEastAsia" w:hAnsi="Arial Narrow" w:cs="Arial"/>
          <w:b/>
          <w:sz w:val="24"/>
          <w:szCs w:val="24"/>
        </w:rPr>
        <w:t>Concernant les maladies transmissibles,</w:t>
      </w:r>
      <w:r w:rsidRPr="007E7C5B">
        <w:rPr>
          <w:rFonts w:ascii="Arial Narrow" w:eastAsiaTheme="minorEastAsia" w:hAnsi="Arial Narrow" w:cs="Arial"/>
          <w:sz w:val="24"/>
          <w:szCs w:val="24"/>
        </w:rPr>
        <w:t xml:space="preserve"> l</w:t>
      </w:r>
      <w:r w:rsidR="01BFFAC2" w:rsidRPr="007E7C5B">
        <w:rPr>
          <w:rFonts w:ascii="Arial Narrow" w:eastAsiaTheme="minorEastAsia" w:hAnsi="Arial Narrow" w:cs="Arial"/>
          <w:sz w:val="24"/>
          <w:szCs w:val="24"/>
        </w:rPr>
        <w:t xml:space="preserve">a prévalence du VIH parmi les adultes était de </w:t>
      </w:r>
      <w:r w:rsidR="005D6996" w:rsidRPr="00A918AC">
        <w:rPr>
          <w:rFonts w:ascii="Arial Narrow" w:eastAsiaTheme="minorEastAsia" w:hAnsi="Arial Narrow" w:cs="Arial"/>
          <w:sz w:val="24"/>
          <w:szCs w:val="24"/>
        </w:rPr>
        <w:t>1</w:t>
      </w:r>
      <w:r w:rsidR="01BFFAC2" w:rsidRPr="00A918AC">
        <w:rPr>
          <w:rFonts w:ascii="Arial Narrow" w:eastAsiaTheme="minorEastAsia" w:hAnsi="Arial Narrow" w:cs="Arial"/>
          <w:sz w:val="24"/>
          <w:szCs w:val="24"/>
        </w:rPr>
        <w:t>,</w:t>
      </w:r>
      <w:r w:rsidR="005D6996" w:rsidRPr="00A918AC">
        <w:rPr>
          <w:rFonts w:ascii="Arial Narrow" w:eastAsiaTheme="minorEastAsia" w:hAnsi="Arial Narrow" w:cs="Arial"/>
          <w:sz w:val="24"/>
          <w:szCs w:val="24"/>
        </w:rPr>
        <w:t>82</w:t>
      </w:r>
      <w:r w:rsidR="01BFFAC2" w:rsidRPr="00A918AC">
        <w:rPr>
          <w:rFonts w:ascii="Arial Narrow" w:eastAsiaTheme="minorEastAsia" w:hAnsi="Arial Narrow" w:cs="Arial"/>
          <w:sz w:val="24"/>
          <w:szCs w:val="24"/>
        </w:rPr>
        <w:t>%</w:t>
      </w:r>
      <w:r w:rsidR="01BFFAC2" w:rsidRPr="007E7C5B">
        <w:rPr>
          <w:rFonts w:ascii="Arial Narrow" w:eastAsiaTheme="minorEastAsia" w:hAnsi="Arial Narrow" w:cs="Arial"/>
          <w:sz w:val="24"/>
          <w:szCs w:val="24"/>
        </w:rPr>
        <w:t xml:space="preserve"> en </w:t>
      </w:r>
      <w:r w:rsidR="005D6996" w:rsidRPr="007E7C5B">
        <w:rPr>
          <w:rFonts w:ascii="Arial Narrow" w:eastAsiaTheme="minorEastAsia" w:hAnsi="Arial Narrow" w:cs="Arial"/>
          <w:sz w:val="24"/>
          <w:szCs w:val="24"/>
        </w:rPr>
        <w:t>2022</w:t>
      </w:r>
      <w:r w:rsidR="01BFFAC2" w:rsidRPr="007E7C5B">
        <w:rPr>
          <w:rFonts w:ascii="Arial Narrow" w:eastAsiaTheme="minorEastAsia" w:hAnsi="Arial Narrow" w:cs="Arial"/>
          <w:sz w:val="24"/>
          <w:szCs w:val="24"/>
        </w:rPr>
        <w:t>, avec des taux plus élevés parmi les populations clés telles que les travailleus</w:t>
      </w:r>
      <w:r w:rsidR="00FB2981" w:rsidRPr="007E7C5B">
        <w:rPr>
          <w:rFonts w:ascii="Arial Narrow" w:eastAsiaTheme="minorEastAsia" w:hAnsi="Arial Narrow" w:cs="Arial"/>
          <w:sz w:val="24"/>
          <w:szCs w:val="24"/>
        </w:rPr>
        <w:t>es</w:t>
      </w:r>
      <w:r w:rsidR="01BFFAC2" w:rsidRPr="007E7C5B">
        <w:rPr>
          <w:rFonts w:ascii="Arial Narrow" w:eastAsiaTheme="minorEastAsia" w:hAnsi="Arial Narrow" w:cs="Arial"/>
          <w:sz w:val="24"/>
          <w:szCs w:val="24"/>
        </w:rPr>
        <w:t xml:space="preserve"> du sexe </w:t>
      </w:r>
      <w:r w:rsidR="001D040D" w:rsidRPr="007E7C5B">
        <w:rPr>
          <w:rFonts w:ascii="Arial Narrow" w:eastAsiaTheme="minorEastAsia" w:hAnsi="Arial Narrow" w:cs="Arial"/>
          <w:sz w:val="24"/>
          <w:szCs w:val="24"/>
        </w:rPr>
        <w:t>(</w:t>
      </w:r>
      <w:r w:rsidR="008C7AE8" w:rsidRPr="007E7C5B">
        <w:rPr>
          <w:rFonts w:ascii="Arial Narrow" w:eastAsiaTheme="minorEastAsia" w:hAnsi="Arial Narrow" w:cs="Arial"/>
          <w:sz w:val="24"/>
          <w:szCs w:val="24"/>
        </w:rPr>
        <w:t>10,2%</w:t>
      </w:r>
      <w:r w:rsidR="001D040D" w:rsidRPr="007E7C5B">
        <w:rPr>
          <w:rFonts w:ascii="Arial Narrow" w:eastAsiaTheme="minorEastAsia" w:hAnsi="Arial Narrow" w:cs="Arial"/>
          <w:sz w:val="24"/>
          <w:szCs w:val="24"/>
        </w:rPr>
        <w:t>)</w:t>
      </w:r>
      <w:r w:rsidR="00FB2981" w:rsidRPr="007E7C5B">
        <w:rPr>
          <w:rFonts w:ascii="Arial Narrow" w:eastAsiaTheme="minorEastAsia" w:hAnsi="Arial Narrow" w:cs="Arial"/>
          <w:sz w:val="24"/>
          <w:szCs w:val="24"/>
        </w:rPr>
        <w:t>,</w:t>
      </w:r>
      <w:r w:rsidR="01BFFAC2" w:rsidRPr="007E7C5B" w:rsidDel="00FB2981">
        <w:rPr>
          <w:rFonts w:ascii="Arial Narrow" w:eastAsiaTheme="minorEastAsia" w:hAnsi="Arial Narrow" w:cs="Arial"/>
          <w:sz w:val="24"/>
          <w:szCs w:val="24"/>
        </w:rPr>
        <w:t xml:space="preserve"> </w:t>
      </w:r>
      <w:r w:rsidR="01BFFAC2" w:rsidRPr="007E7C5B">
        <w:rPr>
          <w:rFonts w:ascii="Arial Narrow" w:eastAsiaTheme="minorEastAsia" w:hAnsi="Arial Narrow" w:cs="Arial"/>
          <w:sz w:val="24"/>
          <w:szCs w:val="24"/>
        </w:rPr>
        <w:t>les hommes ayant des relations sexuelles avec des hommes</w:t>
      </w:r>
      <w:r w:rsidR="001D040D" w:rsidRPr="007E7C5B">
        <w:rPr>
          <w:rFonts w:ascii="Arial Narrow" w:eastAsiaTheme="minorEastAsia" w:hAnsi="Arial Narrow" w:cs="Arial"/>
          <w:sz w:val="24"/>
          <w:szCs w:val="24"/>
        </w:rPr>
        <w:t xml:space="preserve"> (</w:t>
      </w:r>
      <w:r w:rsidR="00FB2981" w:rsidRPr="007E7C5B">
        <w:rPr>
          <w:rFonts w:ascii="Arial Narrow" w:eastAsiaTheme="minorEastAsia" w:hAnsi="Arial Narrow" w:cs="Arial"/>
          <w:sz w:val="24"/>
          <w:szCs w:val="24"/>
        </w:rPr>
        <w:t>10,7%</w:t>
      </w:r>
      <w:r w:rsidR="001D040D" w:rsidRPr="007E7C5B">
        <w:rPr>
          <w:rFonts w:ascii="Arial Narrow" w:eastAsiaTheme="minorEastAsia" w:hAnsi="Arial Narrow" w:cs="Arial"/>
          <w:sz w:val="24"/>
          <w:szCs w:val="24"/>
        </w:rPr>
        <w:t>)</w:t>
      </w:r>
      <w:r w:rsidR="00FB2981" w:rsidRPr="007E7C5B">
        <w:rPr>
          <w:rFonts w:ascii="Arial Narrow" w:eastAsiaTheme="minorEastAsia" w:hAnsi="Arial Narrow" w:cs="Arial"/>
          <w:sz w:val="24"/>
          <w:szCs w:val="24"/>
        </w:rPr>
        <w:t xml:space="preserve"> et les usagers de drogue (6,6%)</w:t>
      </w:r>
      <w:r w:rsidR="01BFFAC2" w:rsidRPr="007E7C5B">
        <w:rPr>
          <w:rFonts w:ascii="Arial Narrow" w:eastAsiaTheme="minorEastAsia" w:hAnsi="Arial Narrow" w:cs="Arial"/>
          <w:sz w:val="24"/>
          <w:szCs w:val="24"/>
        </w:rPr>
        <w:t xml:space="preserve">. L'incidence de la tuberculose </w:t>
      </w:r>
      <w:r w:rsidR="004F7613" w:rsidRPr="007E7C5B">
        <w:rPr>
          <w:rFonts w:ascii="Arial Narrow" w:eastAsiaTheme="minorEastAsia" w:hAnsi="Arial Narrow" w:cs="Arial"/>
          <w:sz w:val="24"/>
          <w:szCs w:val="24"/>
        </w:rPr>
        <w:t xml:space="preserve">était de </w:t>
      </w:r>
      <w:r w:rsidR="00B67641" w:rsidRPr="007E7C5B">
        <w:rPr>
          <w:rFonts w:ascii="Arial Narrow" w:eastAsiaTheme="minorEastAsia" w:hAnsi="Arial Narrow" w:cs="Arial"/>
          <w:sz w:val="24"/>
          <w:szCs w:val="24"/>
        </w:rPr>
        <w:t>123 pour 100 000 habitants</w:t>
      </w:r>
      <w:r w:rsidR="00BE6963" w:rsidRPr="007E7C5B">
        <w:rPr>
          <w:rFonts w:ascii="Arial Narrow" w:eastAsiaTheme="minorEastAsia" w:hAnsi="Arial Narrow" w:cs="Arial"/>
          <w:sz w:val="24"/>
          <w:szCs w:val="24"/>
        </w:rPr>
        <w:t xml:space="preserve"> en 2022</w:t>
      </w:r>
      <w:r w:rsidR="004F7613" w:rsidRPr="007E7C5B">
        <w:rPr>
          <w:rFonts w:ascii="Arial Narrow" w:eastAsiaTheme="minorEastAsia" w:hAnsi="Arial Narrow" w:cs="Arial"/>
          <w:sz w:val="24"/>
          <w:szCs w:val="24"/>
        </w:rPr>
        <w:t xml:space="preserve">. La </w:t>
      </w:r>
      <w:r w:rsidR="01BFFAC2" w:rsidRPr="007E7C5B">
        <w:rPr>
          <w:rFonts w:ascii="Arial Narrow" w:eastAsiaTheme="minorEastAsia" w:hAnsi="Arial Narrow" w:cs="Arial"/>
          <w:sz w:val="24"/>
          <w:szCs w:val="24"/>
        </w:rPr>
        <w:t xml:space="preserve">co-infection avec le VIH </w:t>
      </w:r>
      <w:r w:rsidR="00705B6E" w:rsidRPr="007E7C5B">
        <w:rPr>
          <w:rFonts w:ascii="Arial Narrow" w:eastAsiaTheme="minorEastAsia" w:hAnsi="Arial Narrow" w:cs="Arial"/>
          <w:sz w:val="24"/>
          <w:szCs w:val="24"/>
        </w:rPr>
        <w:t>s’</w:t>
      </w:r>
      <w:r w:rsidR="00724381" w:rsidRPr="007E7C5B">
        <w:rPr>
          <w:rFonts w:ascii="Arial Narrow" w:eastAsiaTheme="minorEastAsia" w:hAnsi="Arial Narrow" w:cs="Arial"/>
          <w:sz w:val="24"/>
          <w:szCs w:val="24"/>
        </w:rPr>
        <w:t>élevait</w:t>
      </w:r>
      <w:r w:rsidR="00705B6E" w:rsidRPr="007E7C5B">
        <w:rPr>
          <w:rFonts w:ascii="Arial Narrow" w:eastAsiaTheme="minorEastAsia" w:hAnsi="Arial Narrow" w:cs="Arial"/>
          <w:sz w:val="24"/>
          <w:szCs w:val="24"/>
        </w:rPr>
        <w:t xml:space="preserve"> à </w:t>
      </w:r>
      <w:r w:rsidR="00C50670" w:rsidRPr="007E7C5B">
        <w:rPr>
          <w:rFonts w:ascii="Arial Narrow" w:eastAsiaTheme="minorEastAsia" w:hAnsi="Arial Narrow" w:cs="Arial"/>
          <w:sz w:val="24"/>
          <w:szCs w:val="24"/>
        </w:rPr>
        <w:t>14% en 2022</w:t>
      </w:r>
      <w:r w:rsidR="01BFFAC2" w:rsidRPr="007E7C5B">
        <w:rPr>
          <w:rFonts w:ascii="Arial Narrow" w:eastAsiaTheme="minorEastAsia" w:hAnsi="Arial Narrow" w:cs="Arial"/>
          <w:sz w:val="24"/>
          <w:szCs w:val="24"/>
        </w:rPr>
        <w:t>. L'hépatite B et C restent sous-diagnostiquées et sous-traitées</w:t>
      </w:r>
      <w:r w:rsidR="00030FF0" w:rsidRPr="007E7C5B">
        <w:rPr>
          <w:rFonts w:ascii="Arial Narrow" w:eastAsiaTheme="minorEastAsia" w:hAnsi="Arial Narrow" w:cs="Arial"/>
          <w:sz w:val="24"/>
          <w:szCs w:val="24"/>
        </w:rPr>
        <w:t>.</w:t>
      </w:r>
    </w:p>
    <w:p w14:paraId="01C23F87" w14:textId="37002937" w:rsidR="00710365" w:rsidRPr="007E7C5B" w:rsidRDefault="01BFFAC2" w:rsidP="00761F55">
      <w:pPr>
        <w:spacing w:line="276" w:lineRule="auto"/>
        <w:jc w:val="both"/>
        <w:rPr>
          <w:rFonts w:ascii="Arial Narrow" w:eastAsiaTheme="minorEastAsia" w:hAnsi="Arial Narrow" w:cs="Arial"/>
          <w:sz w:val="24"/>
          <w:szCs w:val="24"/>
        </w:rPr>
      </w:pPr>
      <w:r w:rsidRPr="007E7C5B">
        <w:rPr>
          <w:rFonts w:ascii="Arial Narrow" w:eastAsiaTheme="minorEastAsia" w:hAnsi="Arial Narrow" w:cs="Arial"/>
          <w:b/>
          <w:sz w:val="24"/>
          <w:szCs w:val="24"/>
        </w:rPr>
        <w:t xml:space="preserve">Les maladies épidémiques et les urgences de </w:t>
      </w:r>
      <w:r w:rsidR="00F42107" w:rsidRPr="007E7C5B">
        <w:rPr>
          <w:rFonts w:ascii="Arial Narrow" w:eastAsiaTheme="minorEastAsia" w:hAnsi="Arial Narrow" w:cs="Arial"/>
          <w:b/>
          <w:sz w:val="24"/>
          <w:szCs w:val="24"/>
        </w:rPr>
        <w:t>s</w:t>
      </w:r>
      <w:r w:rsidR="006E6068" w:rsidRPr="007E7C5B">
        <w:rPr>
          <w:rFonts w:ascii="Arial Narrow" w:eastAsiaTheme="minorEastAsia" w:hAnsi="Arial Narrow" w:cs="Arial"/>
          <w:b/>
          <w:sz w:val="24"/>
          <w:szCs w:val="24"/>
        </w:rPr>
        <w:t>anté</w:t>
      </w:r>
      <w:r w:rsidRPr="007E7C5B">
        <w:rPr>
          <w:rFonts w:ascii="Arial Narrow" w:eastAsiaTheme="minorEastAsia" w:hAnsi="Arial Narrow" w:cs="Arial"/>
          <w:b/>
          <w:sz w:val="24"/>
          <w:szCs w:val="24"/>
        </w:rPr>
        <w:t xml:space="preserve"> publique</w:t>
      </w:r>
      <w:r w:rsidRPr="007E7C5B">
        <w:rPr>
          <w:rFonts w:ascii="Arial Narrow" w:eastAsiaTheme="minorEastAsia" w:hAnsi="Arial Narrow" w:cs="Arial"/>
          <w:sz w:val="24"/>
          <w:szCs w:val="24"/>
        </w:rPr>
        <w:t xml:space="preserve"> sont étroitement surveillées, avec des cas récents comprenant</w:t>
      </w:r>
      <w:r w:rsidR="00F06F93" w:rsidRPr="007E7C5B">
        <w:rPr>
          <w:rFonts w:ascii="Arial Narrow" w:eastAsiaTheme="minorEastAsia" w:hAnsi="Arial Narrow" w:cs="Arial"/>
          <w:sz w:val="24"/>
          <w:szCs w:val="24"/>
        </w:rPr>
        <w:t xml:space="preserve"> </w:t>
      </w:r>
      <w:r w:rsidR="00D87FC3" w:rsidRPr="007E7C5B">
        <w:rPr>
          <w:rFonts w:ascii="Arial Narrow" w:eastAsiaTheme="minorEastAsia" w:hAnsi="Arial Narrow" w:cs="Arial"/>
          <w:sz w:val="24"/>
          <w:szCs w:val="24"/>
        </w:rPr>
        <w:t xml:space="preserve">la fièvre épidémique </w:t>
      </w:r>
      <w:r w:rsidR="00573E99" w:rsidRPr="007E7C5B">
        <w:rPr>
          <w:rFonts w:ascii="Arial Narrow" w:eastAsiaTheme="minorEastAsia" w:hAnsi="Arial Narrow" w:cs="Arial"/>
          <w:sz w:val="24"/>
          <w:szCs w:val="24"/>
        </w:rPr>
        <w:t>Ebola</w:t>
      </w:r>
      <w:r w:rsidR="00D87FC3" w:rsidRPr="007E7C5B">
        <w:rPr>
          <w:rFonts w:ascii="Arial Narrow" w:eastAsiaTheme="minorEastAsia" w:hAnsi="Arial Narrow" w:cs="Arial"/>
          <w:sz w:val="24"/>
          <w:szCs w:val="24"/>
        </w:rPr>
        <w:t xml:space="preserve">, </w:t>
      </w:r>
      <w:r w:rsidR="00F06F93" w:rsidRPr="007E7C5B">
        <w:rPr>
          <w:rFonts w:ascii="Arial Narrow" w:eastAsiaTheme="minorEastAsia" w:hAnsi="Arial Narrow" w:cs="Arial"/>
          <w:sz w:val="24"/>
          <w:szCs w:val="24"/>
        </w:rPr>
        <w:t>la dengue,</w:t>
      </w:r>
      <w:r w:rsidRPr="007E7C5B">
        <w:rPr>
          <w:rFonts w:ascii="Arial Narrow" w:eastAsiaTheme="minorEastAsia" w:hAnsi="Arial Narrow" w:cs="Arial"/>
          <w:sz w:val="24"/>
          <w:szCs w:val="24"/>
        </w:rPr>
        <w:t xml:space="preserve"> </w:t>
      </w:r>
      <w:r w:rsidR="00F06F93" w:rsidRPr="007E7C5B">
        <w:rPr>
          <w:rFonts w:ascii="Arial Narrow" w:eastAsiaTheme="minorEastAsia" w:hAnsi="Arial Narrow" w:cs="Arial"/>
          <w:sz w:val="24"/>
          <w:szCs w:val="24"/>
        </w:rPr>
        <w:t xml:space="preserve">la variole du singe, </w:t>
      </w:r>
      <w:r w:rsidRPr="007E7C5B">
        <w:rPr>
          <w:rFonts w:ascii="Arial Narrow" w:eastAsiaTheme="minorEastAsia" w:hAnsi="Arial Narrow" w:cs="Arial"/>
          <w:sz w:val="24"/>
          <w:szCs w:val="24"/>
        </w:rPr>
        <w:t xml:space="preserve">la rougeole, la méningite, la fièvre jaune et la COVID-19. </w:t>
      </w:r>
    </w:p>
    <w:p w14:paraId="36D9B33C" w14:textId="56DDAAC9" w:rsidR="49E17DF8" w:rsidRPr="007E7C5B" w:rsidRDefault="01BFFAC2" w:rsidP="00761F55">
      <w:pPr>
        <w:spacing w:line="276" w:lineRule="auto"/>
        <w:jc w:val="both"/>
        <w:rPr>
          <w:rFonts w:ascii="Arial Narrow" w:eastAsiaTheme="minorEastAsia" w:hAnsi="Arial Narrow" w:cs="Arial"/>
          <w:sz w:val="24"/>
          <w:szCs w:val="24"/>
        </w:rPr>
      </w:pPr>
      <w:r w:rsidRPr="00A918AC">
        <w:rPr>
          <w:rFonts w:ascii="Arial Narrow" w:eastAsiaTheme="minorEastAsia" w:hAnsi="Arial Narrow" w:cs="Arial"/>
          <w:b/>
          <w:sz w:val="24"/>
          <w:szCs w:val="24"/>
        </w:rPr>
        <w:t>Les maladies non</w:t>
      </w:r>
      <w:r w:rsidR="00A30D42" w:rsidRPr="00A918AC">
        <w:rPr>
          <w:rFonts w:ascii="Arial Narrow" w:eastAsiaTheme="minorEastAsia" w:hAnsi="Arial Narrow" w:cs="Arial"/>
          <w:b/>
          <w:sz w:val="24"/>
          <w:szCs w:val="24"/>
        </w:rPr>
        <w:t>-</w:t>
      </w:r>
      <w:r w:rsidRPr="00A918AC">
        <w:rPr>
          <w:rFonts w:ascii="Arial Narrow" w:eastAsiaTheme="minorEastAsia" w:hAnsi="Arial Narrow" w:cs="Arial"/>
          <w:b/>
          <w:sz w:val="24"/>
          <w:szCs w:val="24"/>
        </w:rPr>
        <w:t>transmissibles</w:t>
      </w:r>
      <w:r w:rsidRPr="007E7C5B">
        <w:rPr>
          <w:rFonts w:ascii="Arial Narrow" w:eastAsiaTheme="minorEastAsia" w:hAnsi="Arial Narrow" w:cs="Arial"/>
          <w:sz w:val="24"/>
          <w:szCs w:val="24"/>
        </w:rPr>
        <w:t xml:space="preserve"> représentent </w:t>
      </w:r>
      <w:r w:rsidRPr="00A918AC">
        <w:rPr>
          <w:rFonts w:ascii="Arial Narrow" w:eastAsiaTheme="minorEastAsia" w:hAnsi="Arial Narrow" w:cs="Arial"/>
          <w:sz w:val="24"/>
          <w:szCs w:val="24"/>
        </w:rPr>
        <w:t>37%</w:t>
      </w:r>
      <w:r w:rsidRPr="007E7C5B">
        <w:rPr>
          <w:rFonts w:ascii="Arial Narrow" w:eastAsiaTheme="minorEastAsia" w:hAnsi="Arial Narrow" w:cs="Arial"/>
          <w:sz w:val="24"/>
          <w:szCs w:val="24"/>
        </w:rPr>
        <w:t xml:space="preserve"> des décès</w:t>
      </w:r>
      <w:r w:rsidR="000D51A4" w:rsidRPr="007E7C5B">
        <w:rPr>
          <w:rStyle w:val="Appelnotedebasdep"/>
          <w:rFonts w:ascii="Arial Narrow" w:eastAsiaTheme="minorEastAsia" w:hAnsi="Arial Narrow" w:cs="Arial"/>
          <w:sz w:val="24"/>
          <w:szCs w:val="24"/>
        </w:rPr>
        <w:footnoteReference w:id="10"/>
      </w:r>
      <w:r w:rsidRPr="007E7C5B">
        <w:rPr>
          <w:rFonts w:ascii="Arial Narrow" w:eastAsiaTheme="minorEastAsia" w:hAnsi="Arial Narrow" w:cs="Arial"/>
          <w:sz w:val="24"/>
          <w:szCs w:val="24"/>
        </w:rPr>
        <w:t xml:space="preserve">, les maladies cardiovasculaires, les accidents et le cancer étant les principales causes. La prévalence des maladies chroniques comme la maladie rénale chronique, le diabète et l'hypertension est significative, avec des facteurs de risque liés </w:t>
      </w:r>
      <w:r w:rsidRPr="007E7C5B">
        <w:rPr>
          <w:rFonts w:ascii="Arial Narrow" w:eastAsiaTheme="minorEastAsia" w:hAnsi="Arial Narrow" w:cs="Arial"/>
          <w:sz w:val="24"/>
          <w:szCs w:val="24"/>
        </w:rPr>
        <w:lastRenderedPageBreak/>
        <w:t xml:space="preserve">au mode de vie tels que le tabagisme et la consommation d'alcool. Les accidents de la route demeurent une préoccupation </w:t>
      </w:r>
      <w:r w:rsidR="00423046" w:rsidRPr="007E7C5B">
        <w:rPr>
          <w:rFonts w:ascii="Arial Narrow" w:eastAsiaTheme="minorEastAsia" w:hAnsi="Arial Narrow" w:cs="Arial"/>
          <w:sz w:val="24"/>
          <w:szCs w:val="24"/>
        </w:rPr>
        <w:t>majeure</w:t>
      </w:r>
      <w:r w:rsidRPr="007E7C5B">
        <w:rPr>
          <w:rFonts w:ascii="Arial Narrow" w:eastAsiaTheme="minorEastAsia" w:hAnsi="Arial Narrow" w:cs="Arial"/>
          <w:sz w:val="24"/>
          <w:szCs w:val="24"/>
        </w:rPr>
        <w:t>, avec des taux de mortalité élevés malgré les efforts pour améliorer la sécurité routière.</w:t>
      </w:r>
    </w:p>
    <w:p w14:paraId="63C31FE2" w14:textId="75B74928" w:rsidR="002F794D" w:rsidRPr="007E7C5B" w:rsidRDefault="00297B1D" w:rsidP="00761F55">
      <w:pPr>
        <w:pStyle w:val="Titre2"/>
        <w:jc w:val="both"/>
        <w:rPr>
          <w:rFonts w:ascii="Arial Narrow" w:eastAsia="Calibri" w:hAnsi="Arial Narrow" w:cs="Arial"/>
          <w:sz w:val="24"/>
          <w:szCs w:val="24"/>
        </w:rPr>
      </w:pPr>
      <w:bookmarkStart w:id="30" w:name="_Toc178699548"/>
      <w:bookmarkStart w:id="31" w:name="_Toc190677470"/>
      <w:r w:rsidRPr="007E7C5B">
        <w:rPr>
          <w:rFonts w:ascii="Arial Narrow" w:eastAsia="Calibri" w:hAnsi="Arial Narrow" w:cs="Arial"/>
          <w:sz w:val="24"/>
          <w:szCs w:val="24"/>
        </w:rPr>
        <w:t>I</w:t>
      </w:r>
      <w:r w:rsidR="001626AE">
        <w:rPr>
          <w:rFonts w:ascii="Arial Narrow" w:eastAsia="Calibri" w:hAnsi="Arial Narrow" w:cs="Arial"/>
          <w:sz w:val="24"/>
          <w:szCs w:val="24"/>
        </w:rPr>
        <w:t>I</w:t>
      </w:r>
      <w:r w:rsidRPr="007E7C5B">
        <w:rPr>
          <w:rFonts w:ascii="Arial Narrow" w:eastAsia="Calibri" w:hAnsi="Arial Narrow" w:cs="Arial"/>
          <w:sz w:val="24"/>
          <w:szCs w:val="24"/>
        </w:rPr>
        <w:t>.</w:t>
      </w:r>
      <w:r w:rsidR="001626AE">
        <w:rPr>
          <w:rFonts w:ascii="Arial Narrow" w:eastAsia="Calibri" w:hAnsi="Arial Narrow" w:cs="Arial"/>
          <w:sz w:val="24"/>
          <w:szCs w:val="24"/>
        </w:rPr>
        <w:t>3</w:t>
      </w:r>
      <w:r w:rsidRPr="007E7C5B">
        <w:rPr>
          <w:rFonts w:ascii="Arial Narrow" w:eastAsia="Calibri" w:hAnsi="Arial Narrow" w:cs="Arial"/>
          <w:sz w:val="24"/>
          <w:szCs w:val="24"/>
        </w:rPr>
        <w:t xml:space="preserve">. </w:t>
      </w:r>
      <w:r w:rsidR="001F738E" w:rsidRPr="007E7C5B">
        <w:rPr>
          <w:rFonts w:ascii="Arial Narrow" w:eastAsia="Calibri" w:hAnsi="Arial Narrow" w:cs="Arial"/>
          <w:sz w:val="24"/>
          <w:szCs w:val="24"/>
        </w:rPr>
        <w:t>A</w:t>
      </w:r>
      <w:r w:rsidR="00F00C3F" w:rsidRPr="007E7C5B">
        <w:rPr>
          <w:rFonts w:ascii="Arial Narrow" w:eastAsia="Calibri" w:hAnsi="Arial Narrow" w:cs="Arial"/>
          <w:sz w:val="24"/>
          <w:szCs w:val="24"/>
        </w:rPr>
        <w:t>gendas</w:t>
      </w:r>
      <w:r w:rsidR="00AB696C" w:rsidRPr="007E7C5B">
        <w:rPr>
          <w:rFonts w:ascii="Arial Narrow" w:eastAsia="Calibri" w:hAnsi="Arial Narrow" w:cs="Arial"/>
          <w:sz w:val="24"/>
          <w:szCs w:val="24"/>
        </w:rPr>
        <w:t xml:space="preserve"> globaux</w:t>
      </w:r>
      <w:r w:rsidR="00F00C3F" w:rsidRPr="007E7C5B">
        <w:rPr>
          <w:rFonts w:ascii="Arial Narrow" w:eastAsia="Calibri" w:hAnsi="Arial Narrow" w:cs="Arial"/>
          <w:sz w:val="24"/>
          <w:szCs w:val="24"/>
        </w:rPr>
        <w:t xml:space="preserve"> en matière de </w:t>
      </w:r>
      <w:r w:rsidR="00F42107" w:rsidRPr="007E7C5B">
        <w:rPr>
          <w:rFonts w:ascii="Arial Narrow" w:eastAsia="Calibri" w:hAnsi="Arial Narrow" w:cs="Arial"/>
          <w:sz w:val="24"/>
          <w:szCs w:val="24"/>
        </w:rPr>
        <w:t>s</w:t>
      </w:r>
      <w:r w:rsidR="006E6068" w:rsidRPr="007E7C5B">
        <w:rPr>
          <w:rFonts w:ascii="Arial Narrow" w:eastAsia="Calibri" w:hAnsi="Arial Narrow" w:cs="Arial"/>
          <w:sz w:val="24"/>
          <w:szCs w:val="24"/>
        </w:rPr>
        <w:t>anté</w:t>
      </w:r>
      <w:bookmarkEnd w:id="30"/>
      <w:bookmarkEnd w:id="31"/>
    </w:p>
    <w:p w14:paraId="6E60C8B5" w14:textId="791AF697" w:rsidR="001F4B73" w:rsidRPr="007E7C5B" w:rsidRDefault="353DA479" w:rsidP="00761F55">
      <w:pPr>
        <w:jc w:val="both"/>
        <w:rPr>
          <w:rFonts w:ascii="Arial Narrow" w:hAnsi="Arial Narrow" w:cs="Arial"/>
          <w:sz w:val="24"/>
          <w:szCs w:val="24"/>
        </w:rPr>
      </w:pPr>
      <w:r w:rsidRPr="007E7C5B">
        <w:rPr>
          <w:rFonts w:ascii="Arial Narrow" w:hAnsi="Arial Narrow" w:cs="Arial"/>
          <w:sz w:val="24"/>
          <w:szCs w:val="24"/>
        </w:rPr>
        <w:t>La C</w:t>
      </w:r>
      <w:r w:rsidR="67150EAA" w:rsidRPr="007E7C5B">
        <w:rPr>
          <w:rFonts w:ascii="Arial Narrow" w:hAnsi="Arial Narrow" w:cs="Arial"/>
          <w:sz w:val="24"/>
          <w:szCs w:val="24"/>
        </w:rPr>
        <w:t>ô</w:t>
      </w:r>
      <w:r w:rsidRPr="007E7C5B">
        <w:rPr>
          <w:rFonts w:ascii="Arial Narrow" w:hAnsi="Arial Narrow" w:cs="Arial"/>
          <w:sz w:val="24"/>
          <w:szCs w:val="24"/>
        </w:rPr>
        <w:t>te d’Ivoire</w:t>
      </w:r>
      <w:r w:rsidR="5720A05F" w:rsidRPr="007E7C5B">
        <w:rPr>
          <w:rFonts w:ascii="Arial Narrow" w:hAnsi="Arial Narrow" w:cs="Arial"/>
          <w:sz w:val="24"/>
          <w:szCs w:val="24"/>
        </w:rPr>
        <w:t>,</w:t>
      </w:r>
      <w:r w:rsidRPr="007E7C5B">
        <w:rPr>
          <w:rFonts w:ascii="Arial Narrow" w:hAnsi="Arial Narrow" w:cs="Arial"/>
          <w:sz w:val="24"/>
          <w:szCs w:val="24"/>
        </w:rPr>
        <w:t xml:space="preserve"> à l’instar des autres pays e</w:t>
      </w:r>
      <w:r w:rsidR="5720A05F" w:rsidRPr="007E7C5B">
        <w:rPr>
          <w:rFonts w:ascii="Arial Narrow" w:hAnsi="Arial Narrow" w:cs="Arial"/>
          <w:sz w:val="24"/>
          <w:szCs w:val="24"/>
        </w:rPr>
        <w:t>,</w:t>
      </w:r>
      <w:r w:rsidRPr="007E7C5B">
        <w:rPr>
          <w:rFonts w:ascii="Arial Narrow" w:hAnsi="Arial Narrow" w:cs="Arial"/>
          <w:sz w:val="24"/>
          <w:szCs w:val="24"/>
        </w:rPr>
        <w:t xml:space="preserve"> </w:t>
      </w:r>
      <w:r w:rsidR="06CAE879" w:rsidRPr="007E7C5B">
        <w:rPr>
          <w:rFonts w:ascii="Arial Narrow" w:hAnsi="Arial Narrow" w:cs="Arial"/>
          <w:sz w:val="24"/>
          <w:szCs w:val="24"/>
        </w:rPr>
        <w:t xml:space="preserve">a pris </w:t>
      </w:r>
      <w:r w:rsidR="440A1D67" w:rsidRPr="007E7C5B">
        <w:rPr>
          <w:rFonts w:ascii="Arial Narrow" w:hAnsi="Arial Narrow" w:cs="Arial"/>
          <w:sz w:val="24"/>
          <w:szCs w:val="24"/>
        </w:rPr>
        <w:t>différent</w:t>
      </w:r>
      <w:r w:rsidR="204212AE" w:rsidRPr="007E7C5B">
        <w:rPr>
          <w:rFonts w:ascii="Arial Narrow" w:hAnsi="Arial Narrow" w:cs="Arial"/>
          <w:sz w:val="24"/>
          <w:szCs w:val="24"/>
        </w:rPr>
        <w:t>s</w:t>
      </w:r>
      <w:r w:rsidR="06CAE879" w:rsidRPr="007E7C5B">
        <w:rPr>
          <w:rFonts w:ascii="Arial Narrow" w:hAnsi="Arial Narrow" w:cs="Arial"/>
          <w:sz w:val="24"/>
          <w:szCs w:val="24"/>
        </w:rPr>
        <w:t xml:space="preserve"> engagements sous-</w:t>
      </w:r>
      <w:r w:rsidR="440A1D67" w:rsidRPr="007E7C5B">
        <w:rPr>
          <w:rFonts w:ascii="Arial Narrow" w:hAnsi="Arial Narrow" w:cs="Arial"/>
          <w:sz w:val="24"/>
          <w:szCs w:val="24"/>
        </w:rPr>
        <w:t>régionaux</w:t>
      </w:r>
      <w:r w:rsidR="06CAE879" w:rsidRPr="007E7C5B">
        <w:rPr>
          <w:rFonts w:ascii="Arial Narrow" w:hAnsi="Arial Narrow" w:cs="Arial"/>
          <w:sz w:val="24"/>
          <w:szCs w:val="24"/>
        </w:rPr>
        <w:t xml:space="preserve">, </w:t>
      </w:r>
      <w:r w:rsidR="440A1D67" w:rsidRPr="007E7C5B">
        <w:rPr>
          <w:rFonts w:ascii="Arial Narrow" w:hAnsi="Arial Narrow" w:cs="Arial"/>
          <w:sz w:val="24"/>
          <w:szCs w:val="24"/>
        </w:rPr>
        <w:t>régionaux</w:t>
      </w:r>
      <w:r w:rsidR="06CAE879" w:rsidRPr="007E7C5B">
        <w:rPr>
          <w:rFonts w:ascii="Arial Narrow" w:hAnsi="Arial Narrow" w:cs="Arial"/>
          <w:sz w:val="24"/>
          <w:szCs w:val="24"/>
        </w:rPr>
        <w:t xml:space="preserve"> et internationaux en matière de santé.</w:t>
      </w:r>
    </w:p>
    <w:p w14:paraId="34689ACE" w14:textId="69477584" w:rsidR="00224561" w:rsidRPr="007E7C5B" w:rsidRDefault="00224561" w:rsidP="00761F55">
      <w:pPr>
        <w:jc w:val="both"/>
        <w:rPr>
          <w:rFonts w:ascii="Arial Narrow" w:hAnsi="Arial Narrow" w:cs="Arial"/>
          <w:b/>
          <w:sz w:val="24"/>
          <w:szCs w:val="24"/>
        </w:rPr>
      </w:pPr>
      <w:r w:rsidRPr="007E7C5B">
        <w:rPr>
          <w:rFonts w:ascii="Arial Narrow" w:hAnsi="Arial Narrow" w:cs="Arial"/>
          <w:b/>
          <w:sz w:val="24"/>
          <w:szCs w:val="24"/>
        </w:rPr>
        <w:t>Au niveau international</w:t>
      </w:r>
    </w:p>
    <w:p w14:paraId="3121B2BA" w14:textId="77777777" w:rsidR="00511B17" w:rsidRPr="007E7C5B" w:rsidRDefault="00511B17" w:rsidP="000A1A7B">
      <w:pPr>
        <w:pStyle w:val="Paragraphedeliste"/>
        <w:numPr>
          <w:ilvl w:val="0"/>
          <w:numId w:val="7"/>
        </w:numPr>
        <w:tabs>
          <w:tab w:val="left" w:pos="1100"/>
        </w:tabs>
        <w:jc w:val="both"/>
        <w:rPr>
          <w:rFonts w:ascii="Arial Narrow" w:hAnsi="Arial Narrow" w:cs="Arial"/>
          <w:b/>
          <w:sz w:val="24"/>
          <w:szCs w:val="24"/>
        </w:rPr>
      </w:pPr>
      <w:r w:rsidRPr="007E7C5B">
        <w:rPr>
          <w:rFonts w:ascii="Arial Narrow" w:hAnsi="Arial Narrow" w:cs="Arial"/>
          <w:b/>
          <w:sz w:val="24"/>
          <w:szCs w:val="24"/>
        </w:rPr>
        <w:t xml:space="preserve">Le Règlement Sanitaire International (RSI-2005) </w:t>
      </w:r>
      <w:r w:rsidRPr="007E7C5B">
        <w:rPr>
          <w:rFonts w:ascii="Arial Narrow" w:hAnsi="Arial Narrow" w:cs="Arial"/>
          <w:sz w:val="24"/>
          <w:szCs w:val="24"/>
        </w:rPr>
        <w:t>: induisant la participation du pays aux efforts internationaux pour sécuriser le monde contre les maladies infectieuses.</w:t>
      </w:r>
    </w:p>
    <w:p w14:paraId="4516FC3F" w14:textId="1A72F013" w:rsidR="00511B17" w:rsidRPr="007E7C5B" w:rsidRDefault="00511B17" w:rsidP="000A1A7B">
      <w:pPr>
        <w:pStyle w:val="Paragraphedeliste"/>
        <w:numPr>
          <w:ilvl w:val="0"/>
          <w:numId w:val="7"/>
        </w:numPr>
        <w:tabs>
          <w:tab w:val="left" w:pos="1100"/>
        </w:tabs>
        <w:jc w:val="both"/>
        <w:rPr>
          <w:rFonts w:ascii="Arial Narrow" w:hAnsi="Arial Narrow" w:cs="Arial"/>
          <w:sz w:val="24"/>
          <w:szCs w:val="24"/>
        </w:rPr>
      </w:pPr>
      <w:r w:rsidRPr="007E7C5B">
        <w:rPr>
          <w:rFonts w:ascii="Arial Narrow" w:hAnsi="Arial Narrow" w:cs="Arial"/>
          <w:b/>
          <w:sz w:val="24"/>
          <w:szCs w:val="24"/>
        </w:rPr>
        <w:t>La Déclaration de Paris sur l'efficacité de l'aide au développement (2005)</w:t>
      </w:r>
      <w:r w:rsidRPr="007E7C5B">
        <w:rPr>
          <w:rFonts w:ascii="Arial Narrow" w:hAnsi="Arial Narrow" w:cs="Arial"/>
          <w:sz w:val="24"/>
          <w:szCs w:val="24"/>
        </w:rPr>
        <w:t xml:space="preserve"> : </w:t>
      </w:r>
      <w:r w:rsidR="001D08A6" w:rsidRPr="007E7C5B">
        <w:rPr>
          <w:rFonts w:ascii="Arial Narrow" w:hAnsi="Arial Narrow" w:cs="Arial"/>
          <w:sz w:val="24"/>
          <w:szCs w:val="24"/>
        </w:rPr>
        <w:t>e</w:t>
      </w:r>
      <w:r w:rsidRPr="007E7C5B">
        <w:rPr>
          <w:rFonts w:ascii="Arial Narrow" w:hAnsi="Arial Narrow" w:cs="Arial"/>
          <w:sz w:val="24"/>
          <w:szCs w:val="24"/>
        </w:rPr>
        <w:t>ngagement à améliorer l'impact et l'efficacité de l'aide au développement en alignant les priorités nationales et les financements extérieurs.</w:t>
      </w:r>
    </w:p>
    <w:p w14:paraId="5C755330" w14:textId="709E0863" w:rsidR="00511B17" w:rsidRPr="007E7C5B" w:rsidRDefault="00511B17" w:rsidP="000A1A7B">
      <w:pPr>
        <w:pStyle w:val="Paragraphedeliste"/>
        <w:numPr>
          <w:ilvl w:val="0"/>
          <w:numId w:val="7"/>
        </w:numPr>
        <w:tabs>
          <w:tab w:val="left" w:pos="1100"/>
        </w:tabs>
        <w:jc w:val="both"/>
        <w:rPr>
          <w:rFonts w:ascii="Arial Narrow" w:hAnsi="Arial Narrow" w:cs="Arial"/>
          <w:sz w:val="24"/>
          <w:szCs w:val="24"/>
        </w:rPr>
      </w:pPr>
      <w:r w:rsidRPr="007E7C5B">
        <w:rPr>
          <w:rFonts w:ascii="Arial Narrow" w:hAnsi="Arial Narrow" w:cs="Arial"/>
          <w:b/>
          <w:sz w:val="24"/>
          <w:szCs w:val="24"/>
        </w:rPr>
        <w:t>La Déclaration de Ouagadougou sur les Soins de Santé Primaires (2008)</w:t>
      </w:r>
      <w:r w:rsidRPr="007E7C5B">
        <w:rPr>
          <w:rFonts w:ascii="Arial Narrow" w:hAnsi="Arial Narrow" w:cs="Arial"/>
          <w:sz w:val="24"/>
          <w:szCs w:val="24"/>
        </w:rPr>
        <w:t xml:space="preserve"> et </w:t>
      </w:r>
      <w:r w:rsidRPr="007E7C5B">
        <w:rPr>
          <w:rFonts w:ascii="Arial Narrow" w:hAnsi="Arial Narrow" w:cs="Arial"/>
          <w:b/>
          <w:sz w:val="24"/>
          <w:szCs w:val="24"/>
        </w:rPr>
        <w:t>Déclaration d’Astana (2018)</w:t>
      </w:r>
      <w:r w:rsidRPr="007E7C5B">
        <w:rPr>
          <w:rFonts w:ascii="Arial Narrow" w:hAnsi="Arial Narrow" w:cs="Arial"/>
          <w:sz w:val="24"/>
          <w:szCs w:val="24"/>
        </w:rPr>
        <w:t xml:space="preserve"> : </w:t>
      </w:r>
      <w:r w:rsidR="001D08A6" w:rsidRPr="007E7C5B">
        <w:rPr>
          <w:rFonts w:ascii="Arial Narrow" w:hAnsi="Arial Narrow" w:cs="Arial"/>
          <w:sz w:val="24"/>
          <w:szCs w:val="24"/>
        </w:rPr>
        <w:t xml:space="preserve">engagement </w:t>
      </w:r>
      <w:r w:rsidRPr="007E7C5B">
        <w:rPr>
          <w:rFonts w:ascii="Arial Narrow" w:hAnsi="Arial Narrow" w:cs="Arial"/>
          <w:sz w:val="24"/>
          <w:szCs w:val="24"/>
        </w:rPr>
        <w:t xml:space="preserve">à renforcer les soins de santé primaire dans le cadre de la Couverture </w:t>
      </w:r>
      <w:r w:rsidR="00FA3E3D" w:rsidRPr="007E7C5B">
        <w:rPr>
          <w:rFonts w:ascii="Arial Narrow" w:hAnsi="Arial Narrow" w:cs="Arial"/>
          <w:sz w:val="24"/>
          <w:szCs w:val="24"/>
        </w:rPr>
        <w:t xml:space="preserve">Sanitaire </w:t>
      </w:r>
      <w:r w:rsidRPr="007E7C5B">
        <w:rPr>
          <w:rFonts w:ascii="Arial Narrow" w:hAnsi="Arial Narrow" w:cs="Arial"/>
          <w:sz w:val="24"/>
          <w:szCs w:val="24"/>
        </w:rPr>
        <w:t>Universelle (CSU).</w:t>
      </w:r>
    </w:p>
    <w:p w14:paraId="2AF18732" w14:textId="6F128BEA" w:rsidR="00511B17" w:rsidRPr="007E7C5B" w:rsidRDefault="00511B17" w:rsidP="000A1A7B">
      <w:pPr>
        <w:pStyle w:val="Paragraphedeliste"/>
        <w:numPr>
          <w:ilvl w:val="0"/>
          <w:numId w:val="7"/>
        </w:numPr>
        <w:tabs>
          <w:tab w:val="left" w:pos="1100"/>
        </w:tabs>
        <w:jc w:val="both"/>
        <w:rPr>
          <w:rFonts w:ascii="Arial Narrow" w:hAnsi="Arial Narrow" w:cs="Arial"/>
          <w:sz w:val="24"/>
          <w:szCs w:val="24"/>
        </w:rPr>
      </w:pPr>
      <w:r w:rsidRPr="007E7C5B">
        <w:rPr>
          <w:rFonts w:ascii="Arial Narrow" w:hAnsi="Arial Narrow" w:cs="Arial"/>
          <w:b/>
          <w:sz w:val="24"/>
          <w:szCs w:val="24"/>
        </w:rPr>
        <w:t>Le Millennium Challenge Corporation (MCC)</w:t>
      </w:r>
      <w:r w:rsidRPr="007E7C5B" w:rsidDel="005729E1">
        <w:rPr>
          <w:rFonts w:ascii="Arial Narrow" w:hAnsi="Arial Narrow" w:cs="Arial"/>
          <w:sz w:val="24"/>
          <w:szCs w:val="24"/>
        </w:rPr>
        <w:t xml:space="preserve"> </w:t>
      </w:r>
      <w:r w:rsidR="001D08A6" w:rsidRPr="00A918AC">
        <w:rPr>
          <w:rFonts w:ascii="Arial Narrow" w:hAnsi="Arial Narrow" w:cs="Arial"/>
          <w:b/>
          <w:bCs/>
          <w:sz w:val="24"/>
          <w:szCs w:val="24"/>
        </w:rPr>
        <w:t>d</w:t>
      </w:r>
      <w:r w:rsidRPr="00A918AC">
        <w:rPr>
          <w:rFonts w:ascii="Arial Narrow" w:hAnsi="Arial Narrow" w:cs="Arial"/>
          <w:b/>
          <w:bCs/>
          <w:sz w:val="24"/>
          <w:szCs w:val="24"/>
        </w:rPr>
        <w:t>epuis</w:t>
      </w:r>
      <w:r w:rsidRPr="00A918AC">
        <w:rPr>
          <w:rFonts w:ascii="Arial Narrow" w:hAnsi="Arial Narrow" w:cs="Arial"/>
          <w:b/>
          <w:sz w:val="24"/>
          <w:szCs w:val="24"/>
        </w:rPr>
        <w:t xml:space="preserve"> 2015</w:t>
      </w:r>
      <w:r w:rsidR="005729E1" w:rsidRPr="00A918AC">
        <w:rPr>
          <w:rFonts w:ascii="Arial Narrow" w:hAnsi="Arial Narrow" w:cs="Arial"/>
          <w:b/>
          <w:sz w:val="24"/>
          <w:szCs w:val="24"/>
        </w:rPr>
        <w:t> </w:t>
      </w:r>
      <w:r w:rsidR="005729E1" w:rsidRPr="00A918AC">
        <w:rPr>
          <w:rFonts w:ascii="Arial Narrow" w:hAnsi="Arial Narrow" w:cs="Arial"/>
          <w:b/>
          <w:bCs/>
          <w:sz w:val="24"/>
          <w:szCs w:val="24"/>
        </w:rPr>
        <w:t>:</w:t>
      </w:r>
      <w:r w:rsidRPr="007E7C5B">
        <w:rPr>
          <w:rFonts w:ascii="Arial Narrow" w:hAnsi="Arial Narrow" w:cs="Arial"/>
          <w:sz w:val="24"/>
          <w:szCs w:val="24"/>
        </w:rPr>
        <w:t xml:space="preserve"> partenariat avec les États-Unis pour renforcer les dépenses de santé, notamment pour la vaccination et la santé infantile.</w:t>
      </w:r>
    </w:p>
    <w:p w14:paraId="41259A2C" w14:textId="4F0A6B4C" w:rsidR="006F15AC" w:rsidRPr="007E7C5B" w:rsidRDefault="006F15AC" w:rsidP="000A1A7B">
      <w:pPr>
        <w:pStyle w:val="Paragraphedeliste"/>
        <w:numPr>
          <w:ilvl w:val="0"/>
          <w:numId w:val="7"/>
        </w:numPr>
        <w:tabs>
          <w:tab w:val="left" w:pos="1100"/>
        </w:tabs>
        <w:jc w:val="both"/>
        <w:rPr>
          <w:rFonts w:ascii="Arial Narrow" w:hAnsi="Arial Narrow" w:cs="Arial"/>
          <w:sz w:val="24"/>
          <w:szCs w:val="24"/>
        </w:rPr>
      </w:pPr>
      <w:r w:rsidRPr="007E7C5B">
        <w:rPr>
          <w:rFonts w:ascii="Arial Narrow" w:hAnsi="Arial Narrow" w:cs="Arial"/>
          <w:b/>
          <w:sz w:val="24"/>
          <w:szCs w:val="24"/>
        </w:rPr>
        <w:t xml:space="preserve">Les Objectifs de Développement Durable (ODD) : </w:t>
      </w:r>
      <w:r w:rsidRPr="007E7C5B">
        <w:rPr>
          <w:rFonts w:ascii="Arial Narrow" w:hAnsi="Arial Narrow" w:cs="Arial"/>
          <w:sz w:val="24"/>
          <w:szCs w:val="24"/>
        </w:rPr>
        <w:t xml:space="preserve">la Côte d’Ivoire y a adhéré en 2015, souscrivant par la même occasion à 17 objectifs pour l’horizon 2030. Ces derniers visent l’éradication de la pauvreté, la lutte contre les inégalités et l’injustice et </w:t>
      </w:r>
      <w:r w:rsidR="00B31F12" w:rsidRPr="007E7C5B">
        <w:rPr>
          <w:rFonts w:ascii="Arial Narrow" w:hAnsi="Arial Narrow" w:cs="Arial"/>
          <w:sz w:val="24"/>
          <w:szCs w:val="24"/>
        </w:rPr>
        <w:t>la réponse</w:t>
      </w:r>
      <w:r w:rsidRPr="007E7C5B">
        <w:rPr>
          <w:rFonts w:ascii="Arial Narrow" w:hAnsi="Arial Narrow" w:cs="Arial"/>
          <w:sz w:val="24"/>
          <w:szCs w:val="24"/>
        </w:rPr>
        <w:t xml:space="preserve"> aux changements climatiques. Parmi ces objectifs, le troisième concerne la santé et en particulier la mise en place de la Couverture San</w:t>
      </w:r>
      <w:r w:rsidR="00FA3E3D" w:rsidRPr="007E7C5B">
        <w:rPr>
          <w:rFonts w:ascii="Arial Narrow" w:hAnsi="Arial Narrow" w:cs="Arial"/>
          <w:sz w:val="24"/>
          <w:szCs w:val="24"/>
        </w:rPr>
        <w:t>itaire</w:t>
      </w:r>
      <w:r w:rsidRPr="007E7C5B">
        <w:rPr>
          <w:rFonts w:ascii="Arial Narrow" w:hAnsi="Arial Narrow" w:cs="Arial"/>
          <w:sz w:val="24"/>
          <w:szCs w:val="24"/>
        </w:rPr>
        <w:t xml:space="preserve"> Universelle (CSU) à laquelle la Côte d’Ivoire s’est engagée. Cette cible engage en effet les Etats à </w:t>
      </w:r>
      <w:r w:rsidRPr="00A918AC">
        <w:rPr>
          <w:rFonts w:ascii="Arial Narrow" w:hAnsi="Arial Narrow" w:cs="Arial"/>
          <w:i/>
          <w:sz w:val="24"/>
          <w:szCs w:val="24"/>
        </w:rPr>
        <w:t>« faire en sorte que chacun bénéficie d’une couverture sanitaire universelle, comprenant une protection contre les risques financiers et donnant accès à des services de santé essentiels de qualité et à des médicaments et vaccins essentiels</w:t>
      </w:r>
      <w:r w:rsidR="00D31950" w:rsidRPr="00A918AC">
        <w:rPr>
          <w:rFonts w:ascii="Arial Narrow" w:hAnsi="Arial Narrow" w:cs="Arial"/>
          <w:i/>
          <w:sz w:val="24"/>
          <w:szCs w:val="24"/>
        </w:rPr>
        <w:t>,</w:t>
      </w:r>
      <w:r w:rsidRPr="00A918AC">
        <w:rPr>
          <w:rFonts w:ascii="Arial Narrow" w:hAnsi="Arial Narrow" w:cs="Arial"/>
          <w:i/>
          <w:sz w:val="24"/>
          <w:szCs w:val="24"/>
        </w:rPr>
        <w:t xml:space="preserve"> sûrs, efficaces, de qualité et d’un coût abordable »</w:t>
      </w:r>
      <w:r w:rsidRPr="007E7C5B">
        <w:rPr>
          <w:rFonts w:ascii="Arial Narrow" w:hAnsi="Arial Narrow" w:cs="Arial"/>
          <w:sz w:val="24"/>
          <w:szCs w:val="24"/>
        </w:rPr>
        <w:t xml:space="preserve">. </w:t>
      </w:r>
    </w:p>
    <w:p w14:paraId="20AE64D4" w14:textId="77777777" w:rsidR="00E6788A" w:rsidRPr="007E7C5B" w:rsidRDefault="00E6788A" w:rsidP="000A1A7B">
      <w:pPr>
        <w:pStyle w:val="Paragraphedeliste"/>
        <w:numPr>
          <w:ilvl w:val="0"/>
          <w:numId w:val="7"/>
        </w:numPr>
        <w:tabs>
          <w:tab w:val="left" w:pos="1100"/>
        </w:tabs>
        <w:jc w:val="both"/>
        <w:rPr>
          <w:rFonts w:ascii="Arial Narrow" w:hAnsi="Arial Narrow" w:cs="Arial"/>
          <w:sz w:val="24"/>
          <w:szCs w:val="24"/>
        </w:rPr>
      </w:pPr>
      <w:r w:rsidRPr="007E7C5B">
        <w:rPr>
          <w:rFonts w:ascii="Arial Narrow" w:hAnsi="Arial Narrow" w:cs="Arial"/>
          <w:b/>
          <w:sz w:val="24"/>
          <w:szCs w:val="24"/>
        </w:rPr>
        <w:t>L’initiative pour le Cofinancement pour la lutte contre le SIDA, la Tuberculose et le Paludisme (2016)</w:t>
      </w:r>
      <w:r w:rsidRPr="007E7C5B">
        <w:rPr>
          <w:rFonts w:ascii="Arial Narrow" w:hAnsi="Arial Narrow" w:cs="Arial"/>
          <w:sz w:val="24"/>
          <w:szCs w:val="24"/>
        </w:rPr>
        <w:t xml:space="preserve"> : La Côte d'Ivoire s'engage, aux côtés de partenaires techniques et financiers, à augmenter sa part de cofinancement de 20% puis progressivement à 40% pour maintenir les acquis de la lutte contre les trois maladies et envisager leur élimination.</w:t>
      </w:r>
    </w:p>
    <w:p w14:paraId="33F5CDF5" w14:textId="6C9FEE35" w:rsidR="00224561" w:rsidRPr="007E7C5B" w:rsidRDefault="00A045D0" w:rsidP="000A1A7B">
      <w:pPr>
        <w:pStyle w:val="Paragraphedeliste"/>
        <w:numPr>
          <w:ilvl w:val="0"/>
          <w:numId w:val="7"/>
        </w:numPr>
        <w:tabs>
          <w:tab w:val="left" w:pos="1100"/>
        </w:tabs>
        <w:jc w:val="both"/>
        <w:rPr>
          <w:rFonts w:ascii="Arial Narrow" w:hAnsi="Arial Narrow" w:cs="Arial"/>
          <w:sz w:val="24"/>
          <w:szCs w:val="24"/>
        </w:rPr>
      </w:pPr>
      <w:r w:rsidRPr="007E7C5B">
        <w:rPr>
          <w:rFonts w:ascii="Arial Narrow" w:hAnsi="Arial Narrow" w:cs="Arial"/>
          <w:b/>
          <w:sz w:val="24"/>
          <w:szCs w:val="24"/>
        </w:rPr>
        <w:t>L’</w:t>
      </w:r>
      <w:r w:rsidR="00224561" w:rsidRPr="007E7C5B">
        <w:rPr>
          <w:rFonts w:ascii="Arial Narrow" w:hAnsi="Arial Narrow" w:cs="Arial"/>
          <w:b/>
          <w:sz w:val="24"/>
          <w:szCs w:val="24"/>
        </w:rPr>
        <w:t>Adhésion au Mécanisme de Financement Mondial (GFF) en 2018</w:t>
      </w:r>
      <w:r w:rsidR="00224561" w:rsidRPr="007E7C5B">
        <w:rPr>
          <w:rFonts w:ascii="Arial Narrow" w:hAnsi="Arial Narrow" w:cs="Arial"/>
          <w:sz w:val="24"/>
          <w:szCs w:val="24"/>
        </w:rPr>
        <w:t xml:space="preserve"> : avec pour objectif d'accélérer les réformes pour mobiliser des fonds en faveur de la santé maternelle, néonatale, infantile et des adolescents. Le pays s’est engagé à augmenter chaque année le financement de la santé de 15%</w:t>
      </w:r>
      <w:r w:rsidR="009A20F7" w:rsidRPr="007E7C5B">
        <w:rPr>
          <w:rFonts w:ascii="Arial Narrow" w:hAnsi="Arial Narrow" w:cs="Arial"/>
          <w:sz w:val="24"/>
          <w:szCs w:val="24"/>
        </w:rPr>
        <w:t>.</w:t>
      </w:r>
    </w:p>
    <w:p w14:paraId="527EA2EC" w14:textId="77777777" w:rsidR="002E7FDA" w:rsidRPr="007E7C5B" w:rsidDel="00E6788A" w:rsidRDefault="002E7FDA" w:rsidP="000A1A7B">
      <w:pPr>
        <w:pStyle w:val="Paragraphedeliste"/>
        <w:numPr>
          <w:ilvl w:val="0"/>
          <w:numId w:val="7"/>
        </w:numPr>
        <w:tabs>
          <w:tab w:val="left" w:pos="1100"/>
        </w:tabs>
        <w:jc w:val="both"/>
        <w:rPr>
          <w:rFonts w:ascii="Arial Narrow" w:hAnsi="Arial Narrow" w:cs="Arial"/>
          <w:sz w:val="24"/>
          <w:szCs w:val="24"/>
        </w:rPr>
      </w:pPr>
      <w:r w:rsidRPr="007E7C5B" w:rsidDel="00E6788A">
        <w:rPr>
          <w:rFonts w:ascii="Arial Narrow" w:hAnsi="Arial Narrow" w:cs="Arial"/>
          <w:b/>
          <w:sz w:val="24"/>
          <w:szCs w:val="24"/>
        </w:rPr>
        <w:t>La Transition de financement pour la vaccination</w:t>
      </w:r>
      <w:r w:rsidRPr="007E7C5B">
        <w:rPr>
          <w:rFonts w:ascii="Arial Narrow" w:hAnsi="Arial Narrow" w:cs="Arial"/>
          <w:b/>
          <w:sz w:val="24"/>
          <w:szCs w:val="24"/>
        </w:rPr>
        <w:t xml:space="preserve"> (2019)</w:t>
      </w:r>
      <w:r w:rsidRPr="007E7C5B" w:rsidDel="00E6788A">
        <w:rPr>
          <w:rFonts w:ascii="Arial Narrow" w:hAnsi="Arial Narrow" w:cs="Arial"/>
          <w:sz w:val="24"/>
          <w:szCs w:val="24"/>
        </w:rPr>
        <w:t xml:space="preserve"> : Engagement à augmenter sa contribution pour atteindre 100% du financement de l’achat des vaccins et du soutien aux services de vaccination d'ici 2025, en partenariat avec GAVI.</w:t>
      </w:r>
    </w:p>
    <w:p w14:paraId="55F073B3" w14:textId="7F1F6BE1" w:rsidR="00224561" w:rsidRPr="007E7C5B" w:rsidRDefault="00224561" w:rsidP="00761F55">
      <w:pPr>
        <w:jc w:val="both"/>
        <w:rPr>
          <w:rFonts w:ascii="Arial Narrow" w:hAnsi="Arial Narrow" w:cs="Arial"/>
          <w:b/>
          <w:sz w:val="24"/>
          <w:szCs w:val="24"/>
        </w:rPr>
      </w:pPr>
      <w:r w:rsidRPr="007E7C5B">
        <w:rPr>
          <w:rFonts w:ascii="Arial Narrow" w:hAnsi="Arial Narrow" w:cs="Arial"/>
          <w:b/>
          <w:sz w:val="24"/>
          <w:szCs w:val="24"/>
        </w:rPr>
        <w:t xml:space="preserve">Au niveau continental </w:t>
      </w:r>
    </w:p>
    <w:p w14:paraId="4BC5A62E" w14:textId="00725995" w:rsidR="00E6788A" w:rsidRPr="007E7C5B" w:rsidRDefault="1E07420B" w:rsidP="000A1A7B">
      <w:pPr>
        <w:pStyle w:val="Paragraphedeliste"/>
        <w:numPr>
          <w:ilvl w:val="0"/>
          <w:numId w:val="8"/>
        </w:numPr>
        <w:tabs>
          <w:tab w:val="left" w:pos="1100"/>
        </w:tabs>
        <w:jc w:val="both"/>
        <w:rPr>
          <w:rFonts w:ascii="Arial Narrow" w:hAnsi="Arial Narrow" w:cs="Arial"/>
          <w:sz w:val="24"/>
          <w:szCs w:val="24"/>
        </w:rPr>
      </w:pPr>
      <w:r w:rsidRPr="007E7C5B">
        <w:rPr>
          <w:rFonts w:ascii="Arial Narrow" w:hAnsi="Arial Narrow" w:cs="Arial"/>
          <w:b/>
          <w:bCs/>
          <w:sz w:val="24"/>
          <w:szCs w:val="24"/>
        </w:rPr>
        <w:t>La Déclaration d'Abuja (2001)</w:t>
      </w:r>
      <w:r w:rsidRPr="007E7C5B">
        <w:rPr>
          <w:rFonts w:ascii="Arial Narrow" w:hAnsi="Arial Narrow" w:cs="Arial"/>
          <w:sz w:val="24"/>
          <w:szCs w:val="24"/>
        </w:rPr>
        <w:t xml:space="preserve"> : </w:t>
      </w:r>
      <w:r w:rsidR="482071A8" w:rsidRPr="007E7C5B">
        <w:rPr>
          <w:rFonts w:ascii="Arial Narrow" w:hAnsi="Arial Narrow" w:cs="Arial"/>
          <w:sz w:val="24"/>
          <w:szCs w:val="24"/>
        </w:rPr>
        <w:t>e</w:t>
      </w:r>
      <w:r w:rsidRPr="007E7C5B">
        <w:rPr>
          <w:rFonts w:ascii="Arial Narrow" w:hAnsi="Arial Narrow" w:cs="Arial"/>
          <w:sz w:val="24"/>
          <w:szCs w:val="24"/>
        </w:rPr>
        <w:t>ngagement à allouer 15% du budget national à la santé.</w:t>
      </w:r>
    </w:p>
    <w:p w14:paraId="47BB2DD2" w14:textId="29A34F42" w:rsidR="6E3111E3" w:rsidRPr="007E7C5B" w:rsidRDefault="6E3111E3" w:rsidP="000A1A7B">
      <w:pPr>
        <w:pStyle w:val="Paragraphedeliste"/>
        <w:numPr>
          <w:ilvl w:val="0"/>
          <w:numId w:val="8"/>
        </w:numPr>
        <w:tabs>
          <w:tab w:val="left" w:pos="1100"/>
        </w:tabs>
        <w:jc w:val="both"/>
        <w:rPr>
          <w:rFonts w:ascii="Arial Narrow" w:eastAsia="Arial Narrow" w:hAnsi="Arial Narrow" w:cs="Arial Narrow"/>
          <w:sz w:val="24"/>
          <w:szCs w:val="24"/>
        </w:rPr>
      </w:pPr>
      <w:r w:rsidRPr="007E7C5B">
        <w:rPr>
          <w:rFonts w:ascii="Arial Narrow" w:eastAsia="Arial Narrow" w:hAnsi="Arial Narrow" w:cs="Arial Narrow"/>
          <w:b/>
          <w:bCs/>
          <w:sz w:val="24"/>
          <w:szCs w:val="24"/>
        </w:rPr>
        <w:t xml:space="preserve">La Déclaration de Ouagadougou sur les Soins de Santé Primaires (2008) et les systèmes de soins : </w:t>
      </w:r>
      <w:r w:rsidRPr="007E7C5B">
        <w:rPr>
          <w:rFonts w:ascii="Arial Narrow" w:eastAsia="Arial Narrow" w:hAnsi="Arial Narrow" w:cs="Arial Narrow"/>
          <w:sz w:val="24"/>
          <w:szCs w:val="24"/>
        </w:rPr>
        <w:t>Améliorer la santé au cours du nouveau millénaire.</w:t>
      </w:r>
    </w:p>
    <w:p w14:paraId="04938AE0" w14:textId="3DE35C9B" w:rsidR="00224561" w:rsidRPr="00A918AC" w:rsidRDefault="00FE0659" w:rsidP="000A1A7B">
      <w:pPr>
        <w:pStyle w:val="Paragraphedeliste"/>
        <w:numPr>
          <w:ilvl w:val="0"/>
          <w:numId w:val="8"/>
        </w:numPr>
        <w:tabs>
          <w:tab w:val="left" w:pos="1100"/>
        </w:tabs>
        <w:jc w:val="both"/>
        <w:rPr>
          <w:rFonts w:ascii="Arial Narrow" w:hAnsi="Arial Narrow" w:cs="Arial"/>
          <w:i/>
          <w:sz w:val="24"/>
          <w:szCs w:val="24"/>
        </w:rPr>
      </w:pPr>
      <w:r w:rsidRPr="007E7C5B">
        <w:rPr>
          <w:rFonts w:ascii="Arial Narrow" w:hAnsi="Arial Narrow" w:cs="Arial"/>
          <w:b/>
          <w:sz w:val="24"/>
          <w:szCs w:val="24"/>
        </w:rPr>
        <w:t>L’</w:t>
      </w:r>
      <w:r w:rsidR="00224561" w:rsidRPr="007E7C5B">
        <w:rPr>
          <w:rFonts w:ascii="Arial Narrow" w:hAnsi="Arial Narrow" w:cs="Arial"/>
          <w:b/>
          <w:sz w:val="24"/>
          <w:szCs w:val="24"/>
        </w:rPr>
        <w:t>Agenda 2063 de l’Union Africaine (2013)</w:t>
      </w:r>
      <w:r w:rsidR="00224561" w:rsidRPr="007E7C5B">
        <w:rPr>
          <w:rFonts w:ascii="Arial Narrow" w:hAnsi="Arial Narrow" w:cs="Arial"/>
          <w:sz w:val="24"/>
          <w:szCs w:val="24"/>
        </w:rPr>
        <w:t xml:space="preserve"> : </w:t>
      </w:r>
      <w:r w:rsidR="000327B2" w:rsidRPr="007E7C5B">
        <w:rPr>
          <w:rFonts w:ascii="Arial Narrow" w:hAnsi="Arial Narrow" w:cs="Arial"/>
          <w:sz w:val="24"/>
          <w:szCs w:val="24"/>
        </w:rPr>
        <w:t>l</w:t>
      </w:r>
      <w:r w:rsidR="00224561" w:rsidRPr="007E7C5B">
        <w:rPr>
          <w:rFonts w:ascii="Arial Narrow" w:hAnsi="Arial Narrow" w:cs="Arial"/>
          <w:sz w:val="24"/>
          <w:szCs w:val="24"/>
        </w:rPr>
        <w:t xml:space="preserve">a Côte d'Ivoire s'engage sur les priorités sanitaires, notamment la nutrition, dans le cadre de cet agenda qui ambitionne </w:t>
      </w:r>
      <w:r w:rsidR="00224561" w:rsidRPr="00A918AC">
        <w:rPr>
          <w:rFonts w:ascii="Arial Narrow" w:hAnsi="Arial Narrow" w:cs="Arial"/>
          <w:sz w:val="24"/>
          <w:szCs w:val="24"/>
        </w:rPr>
        <w:t xml:space="preserve">une </w:t>
      </w:r>
      <w:r w:rsidR="00224561" w:rsidRPr="00A918AC">
        <w:rPr>
          <w:rFonts w:ascii="Arial Narrow" w:hAnsi="Arial Narrow" w:cs="Arial"/>
          <w:i/>
          <w:sz w:val="24"/>
          <w:szCs w:val="24"/>
        </w:rPr>
        <w:t xml:space="preserve">« Afrique </w:t>
      </w:r>
      <w:r w:rsidR="00224561" w:rsidRPr="00A918AC">
        <w:rPr>
          <w:rFonts w:ascii="Arial Narrow" w:hAnsi="Arial Narrow" w:cs="Arial"/>
          <w:i/>
          <w:sz w:val="24"/>
          <w:szCs w:val="24"/>
        </w:rPr>
        <w:lastRenderedPageBreak/>
        <w:t>intégrée, prospère et en paix, gérée par ses propres citoyens et représentant une force dynamique dans l’arène internationale ».</w:t>
      </w:r>
    </w:p>
    <w:p w14:paraId="1E90BDCA" w14:textId="6DB90D60" w:rsidR="001F4B73" w:rsidRPr="007E7C5B" w:rsidRDefault="001F4B73" w:rsidP="00761F55">
      <w:pPr>
        <w:jc w:val="both"/>
        <w:rPr>
          <w:rFonts w:ascii="Arial Narrow" w:hAnsi="Arial Narrow" w:cs="Arial"/>
          <w:b/>
          <w:sz w:val="24"/>
          <w:szCs w:val="24"/>
        </w:rPr>
      </w:pPr>
      <w:r w:rsidRPr="007E7C5B">
        <w:rPr>
          <w:rFonts w:ascii="Arial Narrow" w:hAnsi="Arial Narrow" w:cs="Arial"/>
          <w:b/>
          <w:bCs/>
          <w:sz w:val="24"/>
          <w:szCs w:val="24"/>
        </w:rPr>
        <w:t xml:space="preserve">Au niveau </w:t>
      </w:r>
      <w:r w:rsidR="00470A4F" w:rsidRPr="007E7C5B">
        <w:rPr>
          <w:rFonts w:ascii="Arial Narrow" w:hAnsi="Arial Narrow" w:cs="Arial"/>
          <w:b/>
          <w:bCs/>
          <w:sz w:val="24"/>
          <w:szCs w:val="24"/>
        </w:rPr>
        <w:t>sous-</w:t>
      </w:r>
      <w:r w:rsidRPr="007E7C5B">
        <w:rPr>
          <w:rFonts w:ascii="Arial Narrow" w:hAnsi="Arial Narrow" w:cs="Arial"/>
          <w:b/>
          <w:bCs/>
          <w:sz w:val="24"/>
          <w:szCs w:val="24"/>
        </w:rPr>
        <w:t>régional</w:t>
      </w:r>
    </w:p>
    <w:p w14:paraId="550D6F56" w14:textId="24BB0B6E" w:rsidR="00E6788A" w:rsidRPr="007E7C5B" w:rsidRDefault="00E6788A" w:rsidP="000A1A7B">
      <w:pPr>
        <w:pStyle w:val="Paragraphedeliste"/>
        <w:numPr>
          <w:ilvl w:val="0"/>
          <w:numId w:val="9"/>
        </w:numPr>
        <w:tabs>
          <w:tab w:val="left" w:pos="1100"/>
        </w:tabs>
        <w:jc w:val="both"/>
        <w:rPr>
          <w:rFonts w:ascii="Arial Narrow" w:hAnsi="Arial Narrow" w:cs="Arial"/>
          <w:sz w:val="24"/>
          <w:szCs w:val="24"/>
        </w:rPr>
      </w:pPr>
      <w:r w:rsidRPr="007E7C5B">
        <w:rPr>
          <w:rFonts w:ascii="Arial Narrow" w:hAnsi="Arial Narrow" w:cs="Arial"/>
          <w:b/>
          <w:sz w:val="24"/>
          <w:szCs w:val="24"/>
        </w:rPr>
        <w:t>La Directive n° 06/2002-CM-UEMOA</w:t>
      </w:r>
      <w:r w:rsidRPr="007E7C5B">
        <w:rPr>
          <w:rFonts w:ascii="Arial Narrow" w:hAnsi="Arial Narrow" w:cs="Arial"/>
          <w:sz w:val="24"/>
          <w:szCs w:val="24"/>
        </w:rPr>
        <w:t xml:space="preserve"> : </w:t>
      </w:r>
      <w:r w:rsidR="00A900BE" w:rsidRPr="007E7C5B">
        <w:rPr>
          <w:rFonts w:ascii="Arial Narrow" w:hAnsi="Arial Narrow" w:cs="Arial"/>
          <w:sz w:val="24"/>
          <w:szCs w:val="24"/>
        </w:rPr>
        <w:t>c</w:t>
      </w:r>
      <w:r w:rsidRPr="007E7C5B">
        <w:rPr>
          <w:rFonts w:ascii="Arial Narrow" w:hAnsi="Arial Narrow" w:cs="Arial"/>
          <w:sz w:val="24"/>
          <w:szCs w:val="24"/>
        </w:rPr>
        <w:t>ette directive exempte de TVA une liste commune de médicaments et produits pharmaceutiques dans l'UEMOA.</w:t>
      </w:r>
    </w:p>
    <w:p w14:paraId="31CDA1C9" w14:textId="36B23DDF" w:rsidR="001F4B73" w:rsidRPr="007E7C5B" w:rsidRDefault="00FE0659" w:rsidP="000A1A7B">
      <w:pPr>
        <w:pStyle w:val="Paragraphedeliste"/>
        <w:numPr>
          <w:ilvl w:val="0"/>
          <w:numId w:val="9"/>
        </w:numPr>
        <w:tabs>
          <w:tab w:val="left" w:pos="1100"/>
        </w:tabs>
        <w:jc w:val="both"/>
        <w:rPr>
          <w:rFonts w:ascii="Arial Narrow" w:hAnsi="Arial Narrow" w:cs="Arial"/>
          <w:sz w:val="24"/>
          <w:szCs w:val="24"/>
        </w:rPr>
      </w:pPr>
      <w:r w:rsidRPr="007E7C5B">
        <w:rPr>
          <w:rFonts w:ascii="Arial Narrow" w:hAnsi="Arial Narrow" w:cs="Arial"/>
          <w:b/>
          <w:sz w:val="24"/>
          <w:szCs w:val="24"/>
        </w:rPr>
        <w:t>L’</w:t>
      </w:r>
      <w:r w:rsidR="00BB5618" w:rsidRPr="007E7C5B">
        <w:rPr>
          <w:rFonts w:ascii="Arial Narrow" w:hAnsi="Arial Narrow" w:cs="Arial"/>
          <w:b/>
          <w:sz w:val="24"/>
          <w:szCs w:val="24"/>
        </w:rPr>
        <w:t>Engagement pour le f</w:t>
      </w:r>
      <w:r w:rsidR="001F4B73" w:rsidRPr="007E7C5B">
        <w:rPr>
          <w:rFonts w:ascii="Arial Narrow" w:hAnsi="Arial Narrow" w:cs="Arial"/>
          <w:b/>
          <w:sz w:val="24"/>
          <w:szCs w:val="24"/>
        </w:rPr>
        <w:t>inancement des produits contraceptifs (Partenariat de Ouagadougou) et Fonds Incitatif Double</w:t>
      </w:r>
      <w:r w:rsidR="001F4B73" w:rsidRPr="007E7C5B">
        <w:rPr>
          <w:rFonts w:ascii="Arial Narrow" w:hAnsi="Arial Narrow" w:cs="Arial"/>
          <w:sz w:val="24"/>
          <w:szCs w:val="24"/>
        </w:rPr>
        <w:t xml:space="preserve"> : </w:t>
      </w:r>
      <w:r w:rsidR="00A900BE" w:rsidRPr="007E7C5B">
        <w:rPr>
          <w:rFonts w:ascii="Arial Narrow" w:hAnsi="Arial Narrow" w:cs="Arial"/>
          <w:sz w:val="24"/>
          <w:szCs w:val="24"/>
        </w:rPr>
        <w:t>d</w:t>
      </w:r>
      <w:r w:rsidR="001F4B73" w:rsidRPr="007E7C5B">
        <w:rPr>
          <w:rFonts w:ascii="Arial Narrow" w:hAnsi="Arial Narrow" w:cs="Arial"/>
          <w:sz w:val="24"/>
          <w:szCs w:val="24"/>
        </w:rPr>
        <w:t xml:space="preserve">epuis l'engagement de la Côte d'Ivoire en 2017 à Londres (FP/2020, devenu FP/2030), le pays s'est engagé à augmenter de 10% par an ses contributions nationales pour l'achat de contraceptifs. Le </w:t>
      </w:r>
      <w:r w:rsidR="001F4B73" w:rsidRPr="007E7C5B">
        <w:rPr>
          <w:rFonts w:ascii="Arial Narrow" w:hAnsi="Arial Narrow" w:cs="Arial"/>
          <w:b/>
          <w:sz w:val="24"/>
          <w:szCs w:val="24"/>
        </w:rPr>
        <w:t>Fonds Incitatif de Contrepartie Double (FIx2)</w:t>
      </w:r>
      <w:r w:rsidR="001F4B73" w:rsidRPr="007E7C5B">
        <w:rPr>
          <w:rFonts w:ascii="Arial Narrow" w:hAnsi="Arial Narrow" w:cs="Arial"/>
          <w:sz w:val="24"/>
          <w:szCs w:val="24"/>
        </w:rPr>
        <w:t>, financé par l'UNFPA et la Fondation Bill &amp; Melinda Gates,</w:t>
      </w:r>
      <w:r w:rsidR="001F4B73" w:rsidRPr="007E7C5B" w:rsidDel="004846F4">
        <w:rPr>
          <w:rFonts w:ascii="Arial Narrow" w:hAnsi="Arial Narrow" w:cs="Arial"/>
          <w:sz w:val="24"/>
          <w:szCs w:val="24"/>
        </w:rPr>
        <w:t xml:space="preserve"> </w:t>
      </w:r>
      <w:r w:rsidR="001F4B73" w:rsidRPr="007E7C5B">
        <w:rPr>
          <w:rFonts w:ascii="Arial Narrow" w:hAnsi="Arial Narrow" w:cs="Arial"/>
          <w:sz w:val="24"/>
          <w:szCs w:val="24"/>
        </w:rPr>
        <w:t>renforce ce mécanisme en soutenant la sécurisation des contraceptifs.</w:t>
      </w:r>
    </w:p>
    <w:p w14:paraId="57AD0AEB" w14:textId="37238134" w:rsidR="007562A1" w:rsidRPr="007E7C5B" w:rsidRDefault="00E056B5" w:rsidP="00761F55">
      <w:pPr>
        <w:jc w:val="both"/>
        <w:rPr>
          <w:rFonts w:ascii="Arial Narrow" w:eastAsiaTheme="minorEastAsia" w:hAnsi="Arial Narrow" w:cs="Arial"/>
          <w:sz w:val="24"/>
          <w:szCs w:val="24"/>
        </w:rPr>
      </w:pPr>
      <w:r w:rsidRPr="007E7C5B">
        <w:rPr>
          <w:rFonts w:ascii="Arial Narrow" w:eastAsiaTheme="minorEastAsia" w:hAnsi="Arial Narrow" w:cs="Arial"/>
          <w:sz w:val="24"/>
          <w:szCs w:val="24"/>
        </w:rPr>
        <w:t xml:space="preserve">Les orientations et axes stratégiques de l’actuel PNDS s’alignent </w:t>
      </w:r>
      <w:r w:rsidR="0009273F" w:rsidRPr="007E7C5B">
        <w:rPr>
          <w:rFonts w:ascii="Arial Narrow" w:eastAsiaTheme="minorEastAsia" w:hAnsi="Arial Narrow" w:cs="Arial"/>
          <w:sz w:val="24"/>
          <w:szCs w:val="24"/>
        </w:rPr>
        <w:t xml:space="preserve">sur </w:t>
      </w:r>
      <w:r w:rsidR="00A926FA" w:rsidRPr="007E7C5B">
        <w:rPr>
          <w:rFonts w:ascii="Arial Narrow" w:eastAsiaTheme="minorEastAsia" w:hAnsi="Arial Narrow" w:cs="Arial"/>
          <w:sz w:val="24"/>
          <w:szCs w:val="24"/>
        </w:rPr>
        <w:t xml:space="preserve">les </w:t>
      </w:r>
      <w:r w:rsidR="004F50E0" w:rsidRPr="007E7C5B">
        <w:rPr>
          <w:rFonts w:ascii="Arial Narrow" w:eastAsiaTheme="minorEastAsia" w:hAnsi="Arial Narrow" w:cs="Arial"/>
          <w:sz w:val="24"/>
          <w:szCs w:val="24"/>
        </w:rPr>
        <w:t>engagements susmentionnés,</w:t>
      </w:r>
      <w:r w:rsidR="00DB558F" w:rsidRPr="007E7C5B">
        <w:rPr>
          <w:rFonts w:ascii="Arial Narrow" w:eastAsiaTheme="minorEastAsia" w:hAnsi="Arial Narrow" w:cs="Arial"/>
          <w:sz w:val="24"/>
          <w:szCs w:val="24"/>
        </w:rPr>
        <w:t xml:space="preserve"> </w:t>
      </w:r>
      <w:r w:rsidR="004F50E0" w:rsidRPr="007E7C5B">
        <w:rPr>
          <w:rFonts w:ascii="Arial Narrow" w:eastAsiaTheme="minorEastAsia" w:hAnsi="Arial Narrow" w:cs="Arial"/>
          <w:sz w:val="24"/>
          <w:szCs w:val="24"/>
        </w:rPr>
        <w:t>assurant une cohérence globale avec le</w:t>
      </w:r>
      <w:r w:rsidR="009D46B3" w:rsidRPr="007E7C5B">
        <w:rPr>
          <w:rFonts w:ascii="Arial Narrow" w:eastAsiaTheme="minorEastAsia" w:hAnsi="Arial Narrow" w:cs="Arial"/>
          <w:sz w:val="24"/>
          <w:szCs w:val="24"/>
        </w:rPr>
        <w:t xml:space="preserve">s stratégies </w:t>
      </w:r>
      <w:r w:rsidR="00E26382" w:rsidRPr="007E7C5B">
        <w:rPr>
          <w:rFonts w:ascii="Arial Narrow" w:eastAsiaTheme="minorEastAsia" w:hAnsi="Arial Narrow" w:cs="Arial"/>
          <w:sz w:val="24"/>
          <w:szCs w:val="24"/>
        </w:rPr>
        <w:t>globales de la santé.</w:t>
      </w:r>
    </w:p>
    <w:p w14:paraId="0B24635F" w14:textId="03966A68" w:rsidR="00F00C3F" w:rsidRPr="007E7C5B" w:rsidRDefault="00297B1D" w:rsidP="00761F55">
      <w:pPr>
        <w:pStyle w:val="Titre2"/>
        <w:jc w:val="both"/>
        <w:rPr>
          <w:rFonts w:ascii="Arial Narrow" w:eastAsia="Calibri" w:hAnsi="Arial Narrow" w:cs="Arial"/>
          <w:sz w:val="24"/>
          <w:szCs w:val="24"/>
        </w:rPr>
      </w:pPr>
      <w:bookmarkStart w:id="32" w:name="_Toc178699549"/>
      <w:bookmarkStart w:id="33" w:name="_Toc190677471"/>
      <w:r w:rsidRPr="007E7C5B">
        <w:rPr>
          <w:rFonts w:ascii="Arial Narrow" w:eastAsia="Calibri" w:hAnsi="Arial Narrow" w:cs="Arial"/>
          <w:sz w:val="24"/>
          <w:szCs w:val="24"/>
        </w:rPr>
        <w:t>I</w:t>
      </w:r>
      <w:r w:rsidR="001626AE">
        <w:rPr>
          <w:rFonts w:ascii="Arial Narrow" w:eastAsia="Calibri" w:hAnsi="Arial Narrow" w:cs="Arial"/>
          <w:sz w:val="24"/>
          <w:szCs w:val="24"/>
        </w:rPr>
        <w:t>I</w:t>
      </w:r>
      <w:r w:rsidRPr="007E7C5B">
        <w:rPr>
          <w:rFonts w:ascii="Arial Narrow" w:eastAsia="Calibri" w:hAnsi="Arial Narrow" w:cs="Arial"/>
          <w:sz w:val="24"/>
          <w:szCs w:val="24"/>
        </w:rPr>
        <w:t>.</w:t>
      </w:r>
      <w:r w:rsidR="001626AE">
        <w:rPr>
          <w:rFonts w:ascii="Arial Narrow" w:eastAsia="Calibri" w:hAnsi="Arial Narrow" w:cs="Arial"/>
          <w:sz w:val="24"/>
          <w:szCs w:val="24"/>
        </w:rPr>
        <w:t>4</w:t>
      </w:r>
      <w:r w:rsidRPr="007E7C5B">
        <w:rPr>
          <w:rFonts w:ascii="Arial Narrow" w:eastAsia="Calibri" w:hAnsi="Arial Narrow" w:cs="Arial"/>
          <w:sz w:val="24"/>
          <w:szCs w:val="24"/>
        </w:rPr>
        <w:t xml:space="preserve">. </w:t>
      </w:r>
      <w:r w:rsidR="002A3937" w:rsidRPr="007E7C5B">
        <w:rPr>
          <w:rFonts w:ascii="Arial Narrow" w:eastAsia="Calibri" w:hAnsi="Arial Narrow" w:cs="Arial"/>
          <w:sz w:val="24"/>
          <w:szCs w:val="24"/>
        </w:rPr>
        <w:t xml:space="preserve">Engagements </w:t>
      </w:r>
      <w:r w:rsidR="00F00C3F" w:rsidRPr="007E7C5B">
        <w:rPr>
          <w:rFonts w:ascii="Arial Narrow" w:eastAsia="Calibri" w:hAnsi="Arial Narrow" w:cs="Arial"/>
          <w:sz w:val="24"/>
          <w:szCs w:val="24"/>
        </w:rPr>
        <w:t xml:space="preserve">du Gouvernement Ivoirien </w:t>
      </w:r>
      <w:r w:rsidR="00E36F7F" w:rsidRPr="007E7C5B">
        <w:rPr>
          <w:rFonts w:ascii="Arial Narrow" w:eastAsia="Calibri" w:hAnsi="Arial Narrow" w:cs="Arial"/>
          <w:sz w:val="24"/>
          <w:szCs w:val="24"/>
        </w:rPr>
        <w:t xml:space="preserve">à travers le PNDS </w:t>
      </w:r>
      <w:bookmarkEnd w:id="32"/>
      <w:r w:rsidR="009E3475" w:rsidRPr="007E7C5B">
        <w:rPr>
          <w:rFonts w:ascii="Arial Narrow" w:eastAsia="Calibri" w:hAnsi="Arial Narrow" w:cs="Arial"/>
          <w:sz w:val="24"/>
          <w:szCs w:val="24"/>
        </w:rPr>
        <w:t>2021-2025</w:t>
      </w:r>
      <w:bookmarkEnd w:id="33"/>
    </w:p>
    <w:p w14:paraId="61CECC08" w14:textId="45FDCE2E" w:rsidR="00987658" w:rsidRPr="007E7C5B" w:rsidRDefault="00C2609F" w:rsidP="00761F55">
      <w:pPr>
        <w:spacing w:line="276" w:lineRule="auto"/>
        <w:jc w:val="both"/>
        <w:rPr>
          <w:rFonts w:ascii="Arial Narrow" w:eastAsia="Aptos" w:hAnsi="Arial Narrow" w:cs="Arial"/>
          <w:sz w:val="24"/>
          <w:szCs w:val="24"/>
        </w:rPr>
      </w:pPr>
      <w:r w:rsidRPr="007E7C5B">
        <w:rPr>
          <w:rFonts w:ascii="Arial Narrow" w:eastAsia="Aptos" w:hAnsi="Arial Narrow" w:cs="Arial"/>
          <w:sz w:val="24"/>
          <w:szCs w:val="24"/>
        </w:rPr>
        <w:t xml:space="preserve">A travers le </w:t>
      </w:r>
      <w:r w:rsidR="7112D6C1" w:rsidRPr="007E7C5B">
        <w:rPr>
          <w:rFonts w:ascii="Arial Narrow" w:eastAsia="Aptos" w:hAnsi="Arial Narrow" w:cs="Arial"/>
          <w:sz w:val="24"/>
          <w:szCs w:val="24"/>
        </w:rPr>
        <w:t xml:space="preserve">PNDS </w:t>
      </w:r>
      <w:r w:rsidR="009E3475" w:rsidRPr="007E7C5B">
        <w:rPr>
          <w:rFonts w:ascii="Arial Narrow" w:eastAsia="Aptos" w:hAnsi="Arial Narrow" w:cs="Arial"/>
          <w:sz w:val="24"/>
          <w:szCs w:val="24"/>
        </w:rPr>
        <w:t>2021-2025</w:t>
      </w:r>
      <w:r w:rsidRPr="007E7C5B">
        <w:rPr>
          <w:rFonts w:ascii="Arial Narrow" w:eastAsia="Aptos" w:hAnsi="Arial Narrow" w:cs="Arial"/>
          <w:sz w:val="24"/>
          <w:szCs w:val="24"/>
        </w:rPr>
        <w:t xml:space="preserve">, </w:t>
      </w:r>
      <w:r w:rsidR="006349F2" w:rsidRPr="007E7C5B">
        <w:rPr>
          <w:rFonts w:ascii="Arial Narrow" w:eastAsia="Aptos" w:hAnsi="Arial Narrow" w:cs="Arial"/>
          <w:b/>
          <w:i/>
          <w:sz w:val="24"/>
          <w:szCs w:val="24"/>
        </w:rPr>
        <w:t>la vision du</w:t>
      </w:r>
      <w:r w:rsidR="006349F2" w:rsidRPr="007E7C5B">
        <w:rPr>
          <w:rFonts w:ascii="Arial Narrow" w:eastAsia="Aptos" w:hAnsi="Arial Narrow" w:cs="Arial"/>
          <w:sz w:val="24"/>
          <w:szCs w:val="24"/>
        </w:rPr>
        <w:t xml:space="preserve"> </w:t>
      </w:r>
      <w:r w:rsidR="002840F5" w:rsidRPr="007E7C5B">
        <w:rPr>
          <w:rFonts w:ascii="Arial Narrow" w:eastAsia="Aptos" w:hAnsi="Arial Narrow" w:cs="Arial"/>
          <w:b/>
          <w:i/>
          <w:sz w:val="24"/>
          <w:szCs w:val="24"/>
        </w:rPr>
        <w:t>MSHPCMU</w:t>
      </w:r>
      <w:r w:rsidRPr="007E7C5B">
        <w:rPr>
          <w:rFonts w:ascii="Arial Narrow" w:eastAsia="Aptos" w:hAnsi="Arial Narrow" w:cs="Arial"/>
          <w:b/>
          <w:i/>
          <w:sz w:val="24"/>
          <w:szCs w:val="24"/>
        </w:rPr>
        <w:t xml:space="preserve"> </w:t>
      </w:r>
      <w:r w:rsidR="006349F2" w:rsidRPr="007E7C5B">
        <w:rPr>
          <w:rFonts w:ascii="Arial Narrow" w:eastAsia="Aptos" w:hAnsi="Arial Narrow" w:cs="Arial"/>
          <w:b/>
          <w:i/>
          <w:sz w:val="24"/>
          <w:szCs w:val="24"/>
        </w:rPr>
        <w:t>est</w:t>
      </w:r>
      <w:r w:rsidR="00F31BBC" w:rsidRPr="007E7C5B">
        <w:rPr>
          <w:rFonts w:ascii="Arial Narrow" w:eastAsia="Aptos" w:hAnsi="Arial Narrow" w:cs="Arial"/>
          <w:b/>
          <w:i/>
          <w:sz w:val="24"/>
          <w:szCs w:val="24"/>
        </w:rPr>
        <w:t xml:space="preserve"> </w:t>
      </w:r>
      <w:r w:rsidR="006349F2" w:rsidRPr="007E7C5B">
        <w:rPr>
          <w:rFonts w:ascii="Arial Narrow" w:eastAsia="Aptos" w:hAnsi="Arial Narrow" w:cs="Arial"/>
          <w:b/>
          <w:i/>
          <w:sz w:val="24"/>
          <w:szCs w:val="24"/>
        </w:rPr>
        <w:t>« </w:t>
      </w:r>
      <w:r w:rsidRPr="007E7C5B">
        <w:rPr>
          <w:rFonts w:ascii="Arial Narrow" w:eastAsia="Aptos" w:hAnsi="Arial Narrow" w:cs="Arial"/>
          <w:b/>
          <w:i/>
          <w:sz w:val="24"/>
          <w:szCs w:val="24"/>
        </w:rPr>
        <w:t>u</w:t>
      </w:r>
      <w:r w:rsidR="7112D6C1" w:rsidRPr="007E7C5B">
        <w:rPr>
          <w:rFonts w:ascii="Arial Narrow" w:eastAsia="Aptos" w:hAnsi="Arial Narrow" w:cs="Arial"/>
          <w:b/>
          <w:i/>
          <w:sz w:val="24"/>
          <w:szCs w:val="24"/>
        </w:rPr>
        <w:t xml:space="preserve">ne Côte d’Ivoire dans laquelle la </w:t>
      </w:r>
      <w:r w:rsidR="0006775E" w:rsidRPr="007E7C5B">
        <w:rPr>
          <w:rFonts w:ascii="Arial Narrow" w:eastAsia="Aptos" w:hAnsi="Arial Narrow" w:cs="Arial"/>
          <w:b/>
          <w:i/>
          <w:sz w:val="24"/>
          <w:szCs w:val="24"/>
        </w:rPr>
        <w:t>s</w:t>
      </w:r>
      <w:r w:rsidR="001B74F4" w:rsidRPr="007E7C5B">
        <w:rPr>
          <w:rFonts w:ascii="Arial Narrow" w:eastAsia="Aptos" w:hAnsi="Arial Narrow" w:cs="Arial"/>
          <w:b/>
          <w:i/>
          <w:sz w:val="24"/>
          <w:szCs w:val="24"/>
        </w:rPr>
        <w:t>anté</w:t>
      </w:r>
      <w:r w:rsidR="00814399" w:rsidRPr="007E7C5B">
        <w:rPr>
          <w:rFonts w:ascii="Arial Narrow" w:eastAsia="Aptos" w:hAnsi="Arial Narrow" w:cs="Arial"/>
          <w:b/>
          <w:i/>
          <w:sz w:val="24"/>
          <w:szCs w:val="24"/>
        </w:rPr>
        <w:t xml:space="preserve"> </w:t>
      </w:r>
      <w:r w:rsidR="7112D6C1" w:rsidRPr="007E7C5B">
        <w:rPr>
          <w:rFonts w:ascii="Arial Narrow" w:eastAsia="Aptos" w:hAnsi="Arial Narrow" w:cs="Arial"/>
          <w:b/>
          <w:i/>
          <w:sz w:val="24"/>
          <w:szCs w:val="24"/>
        </w:rPr>
        <w:t xml:space="preserve">et le bien-être des populations sont les plus élevés possible à travers un système de </w:t>
      </w:r>
      <w:r w:rsidR="0006775E" w:rsidRPr="007E7C5B">
        <w:rPr>
          <w:rFonts w:ascii="Arial Narrow" w:eastAsia="Aptos" w:hAnsi="Arial Narrow" w:cs="Arial"/>
          <w:b/>
          <w:i/>
          <w:sz w:val="24"/>
          <w:szCs w:val="24"/>
        </w:rPr>
        <w:t>s</w:t>
      </w:r>
      <w:r w:rsidR="001B74F4" w:rsidRPr="007E7C5B">
        <w:rPr>
          <w:rFonts w:ascii="Arial Narrow" w:eastAsia="Aptos" w:hAnsi="Arial Narrow" w:cs="Arial"/>
          <w:b/>
          <w:i/>
          <w:sz w:val="24"/>
          <w:szCs w:val="24"/>
        </w:rPr>
        <w:t>anté</w:t>
      </w:r>
      <w:r w:rsidR="00814399" w:rsidRPr="007E7C5B">
        <w:rPr>
          <w:rFonts w:ascii="Arial Narrow" w:eastAsia="Aptos" w:hAnsi="Arial Narrow" w:cs="Arial"/>
          <w:b/>
          <w:i/>
          <w:sz w:val="24"/>
          <w:szCs w:val="24"/>
        </w:rPr>
        <w:t xml:space="preserve"> </w:t>
      </w:r>
      <w:r w:rsidR="7112D6C1" w:rsidRPr="007E7C5B">
        <w:rPr>
          <w:rFonts w:ascii="Arial Narrow" w:eastAsia="Aptos" w:hAnsi="Arial Narrow" w:cs="Arial"/>
          <w:b/>
          <w:i/>
          <w:sz w:val="24"/>
          <w:szCs w:val="24"/>
        </w:rPr>
        <w:t>performant, accessible à tous et résilient ».</w:t>
      </w:r>
      <w:r w:rsidR="7112D6C1" w:rsidRPr="007E7C5B">
        <w:rPr>
          <w:rFonts w:ascii="Arial Narrow" w:eastAsia="Aptos" w:hAnsi="Arial Narrow" w:cs="Arial"/>
          <w:sz w:val="24"/>
          <w:szCs w:val="24"/>
        </w:rPr>
        <w:t xml:space="preserve"> Cette</w:t>
      </w:r>
      <w:r w:rsidR="7112D6C1" w:rsidRPr="007E7C5B" w:rsidDel="0062175D">
        <w:rPr>
          <w:rFonts w:ascii="Arial Narrow" w:eastAsia="Aptos" w:hAnsi="Arial Narrow" w:cs="Arial"/>
          <w:sz w:val="24"/>
          <w:szCs w:val="24"/>
        </w:rPr>
        <w:t xml:space="preserve"> </w:t>
      </w:r>
      <w:r w:rsidR="0062175D" w:rsidRPr="007E7C5B">
        <w:rPr>
          <w:rFonts w:ascii="Arial Narrow" w:eastAsia="Aptos" w:hAnsi="Arial Narrow" w:cs="Arial"/>
          <w:sz w:val="24"/>
          <w:szCs w:val="24"/>
        </w:rPr>
        <w:t xml:space="preserve">vision </w:t>
      </w:r>
      <w:r w:rsidR="7112D6C1" w:rsidRPr="007E7C5B" w:rsidDel="0062175D">
        <w:rPr>
          <w:rFonts w:ascii="Arial Narrow" w:eastAsia="Aptos" w:hAnsi="Arial Narrow" w:cs="Arial"/>
          <w:sz w:val="24"/>
          <w:szCs w:val="24"/>
        </w:rPr>
        <w:t xml:space="preserve">est </w:t>
      </w:r>
      <w:r w:rsidR="00B70B14" w:rsidRPr="007E7C5B">
        <w:rPr>
          <w:rFonts w:ascii="Arial Narrow" w:eastAsia="Aptos" w:hAnsi="Arial Narrow" w:cs="Arial"/>
          <w:sz w:val="24"/>
          <w:szCs w:val="24"/>
        </w:rPr>
        <w:t>alignée</w:t>
      </w:r>
      <w:r w:rsidR="7112D6C1" w:rsidRPr="007E7C5B" w:rsidDel="00861DE1">
        <w:rPr>
          <w:rFonts w:ascii="Arial Narrow" w:eastAsia="Aptos" w:hAnsi="Arial Narrow" w:cs="Arial"/>
          <w:sz w:val="24"/>
          <w:szCs w:val="24"/>
        </w:rPr>
        <w:t xml:space="preserve"> </w:t>
      </w:r>
      <w:r w:rsidR="00861DE1" w:rsidRPr="007E7C5B">
        <w:rPr>
          <w:rFonts w:ascii="Arial Narrow" w:eastAsia="Aptos" w:hAnsi="Arial Narrow" w:cs="Arial"/>
          <w:sz w:val="24"/>
          <w:szCs w:val="24"/>
        </w:rPr>
        <w:t xml:space="preserve">sur </w:t>
      </w:r>
      <w:r w:rsidR="0062175D" w:rsidRPr="007E7C5B">
        <w:rPr>
          <w:rFonts w:ascii="Arial Narrow" w:eastAsia="Aptos" w:hAnsi="Arial Narrow" w:cs="Arial"/>
          <w:sz w:val="24"/>
          <w:szCs w:val="24"/>
        </w:rPr>
        <w:t xml:space="preserve">l’ambition </w:t>
      </w:r>
      <w:r w:rsidR="7112D6C1" w:rsidRPr="007E7C5B">
        <w:rPr>
          <w:rFonts w:ascii="Arial Narrow" w:eastAsia="Aptos" w:hAnsi="Arial Narrow" w:cs="Arial"/>
          <w:sz w:val="24"/>
          <w:szCs w:val="24"/>
        </w:rPr>
        <w:t xml:space="preserve">du </w:t>
      </w:r>
      <w:r w:rsidR="00E351D3" w:rsidRPr="007E7C5B">
        <w:rPr>
          <w:rFonts w:ascii="Arial Narrow" w:eastAsia="Aptos" w:hAnsi="Arial Narrow" w:cs="Arial"/>
          <w:sz w:val="24"/>
          <w:szCs w:val="24"/>
        </w:rPr>
        <w:t>G</w:t>
      </w:r>
      <w:r w:rsidR="7112D6C1" w:rsidRPr="007E7C5B">
        <w:rPr>
          <w:rFonts w:ascii="Arial Narrow" w:eastAsia="Aptos" w:hAnsi="Arial Narrow" w:cs="Arial"/>
          <w:sz w:val="24"/>
          <w:szCs w:val="24"/>
        </w:rPr>
        <w:t>ouvernement</w:t>
      </w:r>
      <w:r w:rsidR="00E351D3" w:rsidRPr="007E7C5B">
        <w:rPr>
          <w:rFonts w:ascii="Arial Narrow" w:eastAsia="Aptos" w:hAnsi="Arial Narrow" w:cs="Arial"/>
          <w:sz w:val="24"/>
          <w:szCs w:val="24"/>
        </w:rPr>
        <w:t>,</w:t>
      </w:r>
      <w:r w:rsidR="7112D6C1" w:rsidRPr="007E7C5B">
        <w:rPr>
          <w:rFonts w:ascii="Arial Narrow" w:eastAsia="Aptos" w:hAnsi="Arial Narrow" w:cs="Arial"/>
          <w:sz w:val="24"/>
          <w:szCs w:val="24"/>
        </w:rPr>
        <w:t xml:space="preserve"> décliné</w:t>
      </w:r>
      <w:r w:rsidR="00E351D3" w:rsidRPr="007E7C5B">
        <w:rPr>
          <w:rFonts w:ascii="Arial Narrow" w:eastAsia="Aptos" w:hAnsi="Arial Narrow" w:cs="Arial"/>
          <w:sz w:val="24"/>
          <w:szCs w:val="24"/>
        </w:rPr>
        <w:t>e</w:t>
      </w:r>
      <w:r w:rsidR="7112D6C1" w:rsidRPr="007E7C5B">
        <w:rPr>
          <w:rFonts w:ascii="Arial Narrow" w:eastAsia="Aptos" w:hAnsi="Arial Narrow" w:cs="Arial"/>
          <w:sz w:val="24"/>
          <w:szCs w:val="24"/>
        </w:rPr>
        <w:t xml:space="preserve"> </w:t>
      </w:r>
      <w:r w:rsidR="00FA23A5" w:rsidRPr="007E7C5B">
        <w:rPr>
          <w:rFonts w:ascii="Arial Narrow" w:eastAsia="Aptos" w:hAnsi="Arial Narrow" w:cs="Arial"/>
          <w:sz w:val="24"/>
          <w:szCs w:val="24"/>
        </w:rPr>
        <w:t>dans</w:t>
      </w:r>
      <w:r w:rsidR="7112D6C1" w:rsidRPr="007E7C5B">
        <w:rPr>
          <w:rFonts w:ascii="Arial Narrow" w:eastAsia="Aptos" w:hAnsi="Arial Narrow" w:cs="Arial"/>
          <w:sz w:val="24"/>
          <w:szCs w:val="24"/>
        </w:rPr>
        <w:t xml:space="preserve"> trois documents stratégiques</w:t>
      </w:r>
      <w:r w:rsidR="008165DE" w:rsidRPr="007E7C5B">
        <w:rPr>
          <w:rFonts w:ascii="Arial Narrow" w:eastAsia="Aptos" w:hAnsi="Arial Narrow" w:cs="Arial"/>
          <w:sz w:val="24"/>
          <w:szCs w:val="24"/>
        </w:rPr>
        <w:t> :</w:t>
      </w:r>
      <w:r w:rsidR="7112D6C1" w:rsidRPr="007E7C5B" w:rsidDel="008165DE">
        <w:rPr>
          <w:rFonts w:ascii="Arial Narrow" w:eastAsia="Aptos" w:hAnsi="Arial Narrow" w:cs="Arial"/>
          <w:sz w:val="24"/>
          <w:szCs w:val="24"/>
        </w:rPr>
        <w:t xml:space="preserve"> </w:t>
      </w:r>
      <w:r w:rsidR="7112D6C1" w:rsidRPr="007E7C5B">
        <w:rPr>
          <w:rFonts w:ascii="Arial Narrow" w:eastAsia="Aptos" w:hAnsi="Arial Narrow" w:cs="Arial"/>
          <w:sz w:val="24"/>
          <w:szCs w:val="24"/>
        </w:rPr>
        <w:t xml:space="preserve">l’étude prospective Côte d’Ivoire 2040, le Plan Stratégique Décennal Côte d’Ivoire 2030 </w:t>
      </w:r>
      <w:r w:rsidR="002B7620" w:rsidRPr="007E7C5B">
        <w:rPr>
          <w:rFonts w:ascii="Arial Narrow" w:eastAsia="Aptos" w:hAnsi="Arial Narrow" w:cs="Arial"/>
          <w:sz w:val="24"/>
          <w:szCs w:val="24"/>
        </w:rPr>
        <w:t>et</w:t>
      </w:r>
      <w:r w:rsidR="7112D6C1" w:rsidRPr="007E7C5B">
        <w:rPr>
          <w:rFonts w:ascii="Arial Narrow" w:eastAsia="Aptos" w:hAnsi="Arial Narrow" w:cs="Arial"/>
          <w:sz w:val="24"/>
          <w:szCs w:val="24"/>
        </w:rPr>
        <w:t xml:space="preserve"> le Plan National de Développement </w:t>
      </w:r>
      <w:r w:rsidR="009E3475" w:rsidRPr="007E7C5B">
        <w:rPr>
          <w:rFonts w:ascii="Arial Narrow" w:eastAsia="Aptos" w:hAnsi="Arial Narrow" w:cs="Arial"/>
          <w:sz w:val="24"/>
          <w:szCs w:val="24"/>
        </w:rPr>
        <w:t>2021-2025</w:t>
      </w:r>
      <w:r w:rsidR="7112D6C1" w:rsidRPr="007E7C5B">
        <w:rPr>
          <w:rFonts w:ascii="Arial Narrow" w:eastAsia="Aptos" w:hAnsi="Arial Narrow" w:cs="Arial"/>
          <w:sz w:val="24"/>
          <w:szCs w:val="24"/>
        </w:rPr>
        <w:t>.</w:t>
      </w:r>
      <w:r w:rsidR="00BB143A" w:rsidRPr="007E7C5B">
        <w:rPr>
          <w:rFonts w:ascii="Arial Narrow" w:eastAsia="Aptos" w:hAnsi="Arial Narrow" w:cs="Arial"/>
          <w:sz w:val="24"/>
          <w:szCs w:val="24"/>
        </w:rPr>
        <w:t xml:space="preserve"> </w:t>
      </w:r>
    </w:p>
    <w:p w14:paraId="58803947" w14:textId="68F55ED6" w:rsidR="75AA3183" w:rsidRPr="007E7C5B" w:rsidRDefault="0050340D" w:rsidP="00761F55">
      <w:pPr>
        <w:spacing w:line="276" w:lineRule="auto"/>
        <w:jc w:val="both"/>
        <w:rPr>
          <w:rFonts w:ascii="Arial Narrow" w:eastAsia="Aptos" w:hAnsi="Arial Narrow" w:cs="Arial"/>
          <w:sz w:val="24"/>
          <w:szCs w:val="24"/>
        </w:rPr>
      </w:pPr>
      <w:r w:rsidRPr="007E7C5B">
        <w:rPr>
          <w:rFonts w:ascii="Arial Narrow" w:eastAsia="Aptos" w:hAnsi="Arial Narrow" w:cs="Arial"/>
          <w:sz w:val="24"/>
          <w:szCs w:val="24"/>
        </w:rPr>
        <w:t>Elle</w:t>
      </w:r>
      <w:r w:rsidR="7112D6C1" w:rsidRPr="007E7C5B">
        <w:rPr>
          <w:rFonts w:ascii="Arial Narrow" w:eastAsia="Aptos" w:hAnsi="Arial Narrow" w:cs="Arial"/>
          <w:sz w:val="24"/>
          <w:szCs w:val="24"/>
        </w:rPr>
        <w:t xml:space="preserve"> </w:t>
      </w:r>
      <w:r w:rsidR="00547793" w:rsidRPr="007E7C5B">
        <w:rPr>
          <w:rFonts w:ascii="Arial Narrow" w:eastAsia="Aptos" w:hAnsi="Arial Narrow" w:cs="Arial"/>
          <w:sz w:val="24"/>
          <w:szCs w:val="24"/>
        </w:rPr>
        <w:t>se matérialisera par l’atteinte</w:t>
      </w:r>
      <w:r w:rsidR="7112D6C1" w:rsidRPr="007E7C5B">
        <w:rPr>
          <w:rFonts w:ascii="Arial Narrow" w:eastAsia="Aptos" w:hAnsi="Arial Narrow" w:cs="Arial"/>
          <w:sz w:val="24"/>
          <w:szCs w:val="24"/>
        </w:rPr>
        <w:t xml:space="preserve"> des </w:t>
      </w:r>
      <w:r w:rsidR="00663F52" w:rsidRPr="007E7C5B">
        <w:rPr>
          <w:rFonts w:ascii="Arial Narrow" w:eastAsia="Aptos" w:hAnsi="Arial Narrow" w:cs="Arial"/>
          <w:sz w:val="24"/>
          <w:szCs w:val="24"/>
        </w:rPr>
        <w:t>résultats</w:t>
      </w:r>
      <w:r w:rsidR="7112D6C1" w:rsidRPr="007E7C5B">
        <w:rPr>
          <w:rFonts w:ascii="Arial Narrow" w:eastAsia="Aptos" w:hAnsi="Arial Narrow" w:cs="Arial"/>
          <w:sz w:val="24"/>
          <w:szCs w:val="24"/>
        </w:rPr>
        <w:t xml:space="preserve"> suivants : </w:t>
      </w:r>
    </w:p>
    <w:p w14:paraId="61CE6210" w14:textId="0A4AADD7" w:rsidR="75AA3183" w:rsidRPr="007E7C5B" w:rsidRDefault="7112D6C1" w:rsidP="000A1A7B">
      <w:pPr>
        <w:pStyle w:val="Paragraphedeliste"/>
        <w:numPr>
          <w:ilvl w:val="0"/>
          <w:numId w:val="2"/>
        </w:numPr>
        <w:spacing w:line="276" w:lineRule="auto"/>
        <w:jc w:val="both"/>
        <w:rPr>
          <w:rFonts w:ascii="Arial Narrow" w:eastAsia="Aptos" w:hAnsi="Arial Narrow" w:cs="Arial"/>
          <w:sz w:val="24"/>
          <w:szCs w:val="24"/>
        </w:rPr>
      </w:pPr>
      <w:r w:rsidRPr="007E7C5B">
        <w:rPr>
          <w:rFonts w:ascii="Arial Narrow" w:eastAsia="Aptos" w:hAnsi="Arial Narrow" w:cs="Arial"/>
          <w:sz w:val="24"/>
          <w:szCs w:val="24"/>
        </w:rPr>
        <w:t xml:space="preserve">Augmentation de l’espérance de vie </w:t>
      </w:r>
      <w:r w:rsidR="00D4707B" w:rsidRPr="007E7C5B">
        <w:rPr>
          <w:rFonts w:ascii="Arial Narrow" w:eastAsia="Aptos" w:hAnsi="Arial Narrow" w:cs="Arial"/>
          <w:sz w:val="24"/>
          <w:szCs w:val="24"/>
        </w:rPr>
        <w:t xml:space="preserve">à la naissance </w:t>
      </w:r>
      <w:r w:rsidRPr="007E7C5B">
        <w:rPr>
          <w:rFonts w:ascii="Arial Narrow" w:eastAsia="Aptos" w:hAnsi="Arial Narrow" w:cs="Arial"/>
          <w:sz w:val="24"/>
          <w:szCs w:val="24"/>
        </w:rPr>
        <w:t>de 57 ans en 2020 à 60 ans en 2025</w:t>
      </w:r>
      <w:r w:rsidR="00E76B5E" w:rsidRPr="007E7C5B">
        <w:rPr>
          <w:rFonts w:ascii="Arial Narrow" w:eastAsia="Aptos" w:hAnsi="Arial Narrow" w:cs="Arial"/>
          <w:sz w:val="24"/>
          <w:szCs w:val="24"/>
        </w:rPr>
        <w:t> </w:t>
      </w:r>
      <w:r w:rsidRPr="007E7C5B">
        <w:rPr>
          <w:rFonts w:ascii="Arial Narrow" w:eastAsia="Aptos" w:hAnsi="Arial Narrow" w:cs="Arial"/>
          <w:sz w:val="24"/>
          <w:szCs w:val="24"/>
        </w:rPr>
        <w:t xml:space="preserve">; </w:t>
      </w:r>
    </w:p>
    <w:p w14:paraId="46E7B0B9" w14:textId="3A19A03E" w:rsidR="75AA3183" w:rsidRPr="007E7C5B" w:rsidRDefault="7112D6C1" w:rsidP="000A1A7B">
      <w:pPr>
        <w:pStyle w:val="Paragraphedeliste"/>
        <w:numPr>
          <w:ilvl w:val="0"/>
          <w:numId w:val="2"/>
        </w:numPr>
        <w:spacing w:line="276" w:lineRule="auto"/>
        <w:jc w:val="both"/>
        <w:rPr>
          <w:rFonts w:ascii="Arial Narrow" w:eastAsia="Aptos" w:hAnsi="Arial Narrow" w:cs="Arial"/>
          <w:sz w:val="24"/>
          <w:szCs w:val="24"/>
        </w:rPr>
      </w:pPr>
      <w:r w:rsidRPr="007E7C5B">
        <w:rPr>
          <w:rFonts w:ascii="Arial Narrow" w:eastAsia="Aptos" w:hAnsi="Arial Narrow" w:cs="Arial"/>
          <w:sz w:val="24"/>
          <w:szCs w:val="24"/>
        </w:rPr>
        <w:t xml:space="preserve">Réduction de la mortalité maternelle de 614 pour 100 000 </w:t>
      </w:r>
      <w:r w:rsidR="00114D1D" w:rsidRPr="007E7C5B">
        <w:rPr>
          <w:rFonts w:ascii="Arial Narrow" w:eastAsia="Aptos" w:hAnsi="Arial Narrow" w:cs="Arial"/>
          <w:sz w:val="24"/>
          <w:szCs w:val="24"/>
        </w:rPr>
        <w:t>naissances vivantes</w:t>
      </w:r>
      <w:r w:rsidRPr="007E7C5B">
        <w:rPr>
          <w:rFonts w:ascii="Arial Narrow" w:eastAsia="Aptos" w:hAnsi="Arial Narrow" w:cs="Arial"/>
          <w:sz w:val="24"/>
          <w:szCs w:val="24"/>
        </w:rPr>
        <w:t xml:space="preserve"> en 2020 à 377 pour 100 000 </w:t>
      </w:r>
      <w:r w:rsidR="00114D1D" w:rsidRPr="007E7C5B">
        <w:rPr>
          <w:rFonts w:ascii="Arial Narrow" w:eastAsia="Aptos" w:hAnsi="Arial Narrow" w:cs="Arial"/>
          <w:sz w:val="24"/>
          <w:szCs w:val="24"/>
        </w:rPr>
        <w:t>naissances vivantes</w:t>
      </w:r>
      <w:r w:rsidRPr="007E7C5B">
        <w:rPr>
          <w:rFonts w:ascii="Arial Narrow" w:eastAsia="Aptos" w:hAnsi="Arial Narrow" w:cs="Arial"/>
          <w:sz w:val="24"/>
          <w:szCs w:val="24"/>
        </w:rPr>
        <w:t xml:space="preserve"> en 2025 ; </w:t>
      </w:r>
    </w:p>
    <w:p w14:paraId="23EC6635" w14:textId="77643C40" w:rsidR="75AA3183" w:rsidRPr="007E7C5B" w:rsidRDefault="7112D6C1" w:rsidP="000A1A7B">
      <w:pPr>
        <w:pStyle w:val="Paragraphedeliste"/>
        <w:numPr>
          <w:ilvl w:val="0"/>
          <w:numId w:val="2"/>
        </w:numPr>
        <w:spacing w:line="276" w:lineRule="auto"/>
        <w:jc w:val="both"/>
        <w:rPr>
          <w:rFonts w:ascii="Arial Narrow" w:eastAsia="Aptos" w:hAnsi="Arial Narrow" w:cs="Arial"/>
          <w:sz w:val="24"/>
          <w:szCs w:val="24"/>
        </w:rPr>
      </w:pPr>
      <w:r w:rsidRPr="007E7C5B">
        <w:rPr>
          <w:rFonts w:ascii="Arial Narrow" w:eastAsia="Aptos" w:hAnsi="Arial Narrow" w:cs="Arial"/>
          <w:sz w:val="24"/>
          <w:szCs w:val="24"/>
        </w:rPr>
        <w:t>Réduction de la mortalité infanto-juvénile de 96‰ en 2020 à 60,5‰ en 2025</w:t>
      </w:r>
      <w:r w:rsidR="00BB143A" w:rsidRPr="007E7C5B">
        <w:rPr>
          <w:rFonts w:ascii="Arial Narrow" w:eastAsia="Aptos" w:hAnsi="Arial Narrow" w:cs="Arial"/>
          <w:sz w:val="24"/>
          <w:szCs w:val="24"/>
        </w:rPr>
        <w:t> ;</w:t>
      </w:r>
      <w:r w:rsidRPr="007E7C5B">
        <w:rPr>
          <w:rFonts w:ascii="Arial Narrow" w:eastAsia="Aptos" w:hAnsi="Arial Narrow" w:cs="Arial"/>
          <w:sz w:val="24"/>
          <w:szCs w:val="24"/>
        </w:rPr>
        <w:t xml:space="preserve"> </w:t>
      </w:r>
    </w:p>
    <w:p w14:paraId="5006CF4E" w14:textId="0663F37A" w:rsidR="75AA3183" w:rsidRPr="007E7C5B" w:rsidRDefault="7112D6C1" w:rsidP="000A1A7B">
      <w:pPr>
        <w:pStyle w:val="Paragraphedeliste"/>
        <w:numPr>
          <w:ilvl w:val="0"/>
          <w:numId w:val="2"/>
        </w:numPr>
        <w:spacing w:line="276" w:lineRule="auto"/>
        <w:jc w:val="both"/>
        <w:rPr>
          <w:rFonts w:ascii="Arial Narrow" w:eastAsia="Aptos" w:hAnsi="Arial Narrow" w:cs="Arial"/>
          <w:sz w:val="24"/>
          <w:szCs w:val="24"/>
        </w:rPr>
      </w:pPr>
      <w:r w:rsidRPr="007E7C5B">
        <w:rPr>
          <w:rFonts w:ascii="Arial Narrow" w:eastAsia="Aptos" w:hAnsi="Arial Narrow" w:cs="Arial"/>
          <w:sz w:val="24"/>
          <w:szCs w:val="24"/>
        </w:rPr>
        <w:t>Réduction de la mortalité néonatale de 33‰ en 2020 à 22,5‰ en 2025.</w:t>
      </w:r>
    </w:p>
    <w:p w14:paraId="77785648" w14:textId="2844383F" w:rsidR="008F6821" w:rsidRPr="007E7C5B" w:rsidRDefault="00C66127" w:rsidP="00761F55">
      <w:pPr>
        <w:spacing w:line="276" w:lineRule="auto"/>
        <w:jc w:val="both"/>
        <w:rPr>
          <w:rFonts w:ascii="Arial Narrow" w:eastAsia="Aptos" w:hAnsi="Arial Narrow" w:cs="Arial"/>
          <w:sz w:val="24"/>
          <w:szCs w:val="24"/>
        </w:rPr>
      </w:pPr>
      <w:r w:rsidRPr="007E7C5B">
        <w:rPr>
          <w:rFonts w:ascii="Arial Narrow" w:eastAsia="Aptos" w:hAnsi="Arial Narrow" w:cs="Arial"/>
          <w:sz w:val="24"/>
          <w:szCs w:val="24"/>
        </w:rPr>
        <w:t xml:space="preserve">Le </w:t>
      </w:r>
      <w:r w:rsidR="002840F5" w:rsidRPr="007E7C5B">
        <w:rPr>
          <w:rFonts w:ascii="Arial Narrow" w:eastAsia="Aptos" w:hAnsi="Arial Narrow" w:cs="Arial"/>
          <w:sz w:val="24"/>
          <w:szCs w:val="24"/>
        </w:rPr>
        <w:t>MSHPCMU</w:t>
      </w:r>
      <w:r w:rsidRPr="007E7C5B">
        <w:rPr>
          <w:rFonts w:ascii="Arial Narrow" w:eastAsia="Aptos" w:hAnsi="Arial Narrow" w:cs="Arial"/>
          <w:sz w:val="24"/>
          <w:szCs w:val="24"/>
        </w:rPr>
        <w:t xml:space="preserve"> entend atteindre c</w:t>
      </w:r>
      <w:r w:rsidR="008F6821" w:rsidRPr="007E7C5B">
        <w:rPr>
          <w:rFonts w:ascii="Arial Narrow" w:eastAsia="Aptos" w:hAnsi="Arial Narrow" w:cs="Arial"/>
          <w:sz w:val="24"/>
          <w:szCs w:val="24"/>
        </w:rPr>
        <w:t xml:space="preserve">es </w:t>
      </w:r>
      <w:r w:rsidR="008A5BC4" w:rsidRPr="007E7C5B">
        <w:rPr>
          <w:rFonts w:ascii="Arial Narrow" w:eastAsia="Aptos" w:hAnsi="Arial Narrow" w:cs="Arial"/>
          <w:sz w:val="24"/>
          <w:szCs w:val="24"/>
        </w:rPr>
        <w:t>résultats</w:t>
      </w:r>
      <w:r w:rsidRPr="007E7C5B">
        <w:rPr>
          <w:rFonts w:ascii="Arial Narrow" w:eastAsia="Aptos" w:hAnsi="Arial Narrow" w:cs="Arial"/>
          <w:sz w:val="24"/>
          <w:szCs w:val="24"/>
        </w:rPr>
        <w:t xml:space="preserve"> à travers la mise en œuvre du PNDS </w:t>
      </w:r>
      <w:r w:rsidR="009E3475" w:rsidRPr="007E7C5B">
        <w:rPr>
          <w:rFonts w:ascii="Arial Narrow" w:eastAsia="Aptos" w:hAnsi="Arial Narrow" w:cs="Arial"/>
          <w:sz w:val="24"/>
          <w:szCs w:val="24"/>
        </w:rPr>
        <w:t>2021-2025</w:t>
      </w:r>
      <w:r w:rsidR="002C1556" w:rsidRPr="007E7C5B">
        <w:rPr>
          <w:rFonts w:ascii="Arial Narrow" w:eastAsia="Aptos" w:hAnsi="Arial Narrow" w:cs="Arial"/>
          <w:sz w:val="24"/>
          <w:szCs w:val="24"/>
        </w:rPr>
        <w:t xml:space="preserve">, </w:t>
      </w:r>
      <w:r w:rsidR="0054168D" w:rsidRPr="007E7C5B">
        <w:rPr>
          <w:rFonts w:ascii="Arial Narrow" w:eastAsia="Aptos" w:hAnsi="Arial Narrow" w:cs="Arial"/>
          <w:sz w:val="24"/>
          <w:szCs w:val="24"/>
        </w:rPr>
        <w:t xml:space="preserve">par la réalisation de </w:t>
      </w:r>
      <w:r w:rsidR="00FB7B28" w:rsidRPr="007E7C5B">
        <w:rPr>
          <w:rFonts w:ascii="Arial Narrow" w:eastAsia="Aptos" w:hAnsi="Arial Narrow" w:cs="Arial"/>
          <w:sz w:val="24"/>
          <w:szCs w:val="24"/>
        </w:rPr>
        <w:t>sept</w:t>
      </w:r>
      <w:r w:rsidR="0054168D" w:rsidRPr="007E7C5B">
        <w:rPr>
          <w:rFonts w:ascii="Arial Narrow" w:eastAsia="Aptos" w:hAnsi="Arial Narrow" w:cs="Arial"/>
          <w:sz w:val="24"/>
          <w:szCs w:val="24"/>
        </w:rPr>
        <w:t xml:space="preserve"> </w:t>
      </w:r>
      <w:r w:rsidR="0016360F" w:rsidRPr="007E7C5B">
        <w:rPr>
          <w:rFonts w:ascii="Arial Narrow" w:eastAsia="Aptos" w:hAnsi="Arial Narrow" w:cs="Arial"/>
          <w:sz w:val="24"/>
          <w:szCs w:val="24"/>
        </w:rPr>
        <w:t xml:space="preserve">(7) </w:t>
      </w:r>
      <w:r w:rsidR="0054168D" w:rsidRPr="007E7C5B">
        <w:rPr>
          <w:rFonts w:ascii="Arial Narrow" w:eastAsia="Aptos" w:hAnsi="Arial Narrow" w:cs="Arial"/>
          <w:sz w:val="24"/>
          <w:szCs w:val="24"/>
        </w:rPr>
        <w:t>effets</w:t>
      </w:r>
      <w:r w:rsidR="00790A35" w:rsidRPr="007E7C5B">
        <w:rPr>
          <w:rFonts w:ascii="Arial Narrow" w:eastAsia="Aptos" w:hAnsi="Arial Narrow" w:cs="Arial"/>
          <w:sz w:val="24"/>
          <w:szCs w:val="24"/>
        </w:rPr>
        <w:t>.</w:t>
      </w:r>
    </w:p>
    <w:p w14:paraId="27D16063" w14:textId="32C28FA3" w:rsidR="00113C3D" w:rsidRPr="007E7C5B" w:rsidRDefault="00113C3D" w:rsidP="00DC5897">
      <w:pPr>
        <w:pStyle w:val="Lgende"/>
      </w:pPr>
      <w:bookmarkStart w:id="34" w:name="_Toc183686785"/>
      <w:r w:rsidRPr="007E7C5B">
        <w:t xml:space="preserve">Figure </w:t>
      </w:r>
      <w:r w:rsidR="008D75CE">
        <w:fldChar w:fldCharType="begin"/>
      </w:r>
      <w:r w:rsidR="008D75CE">
        <w:instrText xml:space="preserve"> SEQ Figure \* ARABIC </w:instrText>
      </w:r>
      <w:r w:rsidR="008D75CE">
        <w:fldChar w:fldCharType="separate"/>
      </w:r>
      <w:r w:rsidR="008D75CE">
        <w:rPr>
          <w:noProof/>
        </w:rPr>
        <w:t>3</w:t>
      </w:r>
      <w:r w:rsidR="008D75CE">
        <w:fldChar w:fldCharType="end"/>
      </w:r>
      <w:r w:rsidRPr="007E7C5B">
        <w:t xml:space="preserve"> : Théorie de changement </w:t>
      </w:r>
      <w:r w:rsidRPr="007E7C5B">
        <w:rPr>
          <w:noProof/>
        </w:rPr>
        <w:t>générale du PNDS 2021-2025</w:t>
      </w:r>
      <w:bookmarkEnd w:id="34"/>
    </w:p>
    <w:p w14:paraId="37F2E3A5" w14:textId="7C60E306" w:rsidR="00425747" w:rsidRPr="007E7C5B" w:rsidRDefault="00CA0FFC" w:rsidP="00AA7D22">
      <w:pPr>
        <w:keepNext/>
        <w:spacing w:line="276" w:lineRule="auto"/>
        <w:jc w:val="both"/>
        <w:rPr>
          <w:rFonts w:ascii="Arial Narrow" w:hAnsi="Arial Narrow"/>
          <w:sz w:val="24"/>
          <w:szCs w:val="24"/>
        </w:rPr>
      </w:pPr>
      <w:r w:rsidRPr="007E7C5B">
        <w:rPr>
          <w:rFonts w:ascii="Arial Narrow" w:hAnsi="Arial Narrow"/>
          <w:noProof/>
          <w:sz w:val="24"/>
          <w:szCs w:val="24"/>
          <w:lang w:eastAsia="fr-FR"/>
        </w:rPr>
        <w:lastRenderedPageBreak/>
        <w:drawing>
          <wp:inline distT="0" distB="0" distL="0" distR="0" wp14:anchorId="36ECFBD6" wp14:editId="1D39B5EC">
            <wp:extent cx="5689958" cy="3053300"/>
            <wp:effectExtent l="19050" t="19050" r="25400" b="13970"/>
            <wp:docPr id="90708860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06733" cy="3062302"/>
                    </a:xfrm>
                    <a:prstGeom prst="rect">
                      <a:avLst/>
                    </a:prstGeom>
                    <a:noFill/>
                    <a:ln>
                      <a:solidFill>
                        <a:schemeClr val="bg1">
                          <a:lumMod val="50000"/>
                        </a:schemeClr>
                      </a:solidFill>
                    </a:ln>
                  </pic:spPr>
                </pic:pic>
              </a:graphicData>
            </a:graphic>
          </wp:inline>
        </w:drawing>
      </w:r>
    </w:p>
    <w:p w14:paraId="4250B721" w14:textId="0159CB73" w:rsidR="00A844BB" w:rsidRPr="007E7C5B" w:rsidRDefault="1FD35DD7" w:rsidP="00DC5897">
      <w:pPr>
        <w:pStyle w:val="Lgende"/>
        <w:rPr>
          <w:rFonts w:eastAsia="Aptos"/>
        </w:rPr>
      </w:pPr>
      <w:r w:rsidRPr="007E7C5B">
        <w:t>Source : Plan National de Développement Sanitaire 2021-2025</w:t>
      </w:r>
      <w:r w:rsidR="0B3D4185" w:rsidRPr="007E7C5B">
        <w:t>,</w:t>
      </w:r>
    </w:p>
    <w:p w14:paraId="579DFA5A" w14:textId="02C74392" w:rsidR="000A18FB" w:rsidRPr="007E7C5B" w:rsidRDefault="00CD60F0" w:rsidP="00761F55">
      <w:pPr>
        <w:jc w:val="both"/>
        <w:rPr>
          <w:rFonts w:ascii="Arial Narrow" w:hAnsi="Arial Narrow" w:cs="Arial"/>
          <w:sz w:val="24"/>
          <w:szCs w:val="24"/>
        </w:rPr>
      </w:pPr>
      <w:r w:rsidRPr="007E7C5B">
        <w:rPr>
          <w:rFonts w:ascii="Arial Narrow" w:hAnsi="Arial Narrow" w:cs="Arial"/>
          <w:sz w:val="24"/>
          <w:szCs w:val="24"/>
        </w:rPr>
        <w:t xml:space="preserve">Également, </w:t>
      </w:r>
      <w:r w:rsidR="001C726B" w:rsidRPr="007E7C5B">
        <w:rPr>
          <w:rFonts w:ascii="Arial Narrow" w:hAnsi="Arial Narrow" w:cs="Arial"/>
          <w:sz w:val="24"/>
          <w:szCs w:val="24"/>
        </w:rPr>
        <w:t>le PNDS prévoit la mise en œuvre de plusieurs</w:t>
      </w:r>
      <w:r w:rsidRPr="007E7C5B">
        <w:rPr>
          <w:rFonts w:ascii="Arial Narrow" w:hAnsi="Arial Narrow" w:cs="Arial"/>
          <w:sz w:val="24"/>
          <w:szCs w:val="24"/>
        </w:rPr>
        <w:t xml:space="preserve"> réformes majeures </w:t>
      </w:r>
      <w:r w:rsidR="004C57BE" w:rsidRPr="007E7C5B">
        <w:rPr>
          <w:rFonts w:ascii="Arial Narrow" w:hAnsi="Arial Narrow" w:cs="Arial"/>
          <w:sz w:val="24"/>
          <w:szCs w:val="24"/>
        </w:rPr>
        <w:t xml:space="preserve">suivantes. </w:t>
      </w:r>
    </w:p>
    <w:p w14:paraId="758D29D0" w14:textId="57AE8F48" w:rsidR="0027201D" w:rsidRPr="007E7C5B" w:rsidRDefault="0027201D" w:rsidP="000A1A7B">
      <w:pPr>
        <w:pStyle w:val="Paragraphedeliste"/>
        <w:numPr>
          <w:ilvl w:val="0"/>
          <w:numId w:val="10"/>
        </w:numPr>
        <w:jc w:val="both"/>
        <w:rPr>
          <w:rFonts w:ascii="Arial Narrow" w:hAnsi="Arial Narrow" w:cs="Arial"/>
          <w:sz w:val="24"/>
          <w:szCs w:val="24"/>
        </w:rPr>
      </w:pPr>
      <w:r w:rsidRPr="007E7C5B">
        <w:rPr>
          <w:rFonts w:ascii="Arial Narrow" w:hAnsi="Arial Narrow" w:cs="Arial"/>
          <w:b/>
          <w:sz w:val="24"/>
          <w:szCs w:val="24"/>
        </w:rPr>
        <w:t xml:space="preserve">La réforme sur les Pôles Régionaux d’Excellence en </w:t>
      </w:r>
      <w:r w:rsidR="001B74F4" w:rsidRPr="007E7C5B">
        <w:rPr>
          <w:rFonts w:ascii="Arial Narrow" w:hAnsi="Arial Narrow" w:cs="Arial"/>
          <w:b/>
          <w:sz w:val="24"/>
          <w:szCs w:val="24"/>
        </w:rPr>
        <w:t>Santé</w:t>
      </w:r>
      <w:r w:rsidR="00FF3ADC" w:rsidRPr="007E7C5B">
        <w:rPr>
          <w:rFonts w:ascii="Arial Narrow" w:hAnsi="Arial Narrow" w:cs="Arial"/>
          <w:b/>
          <w:sz w:val="24"/>
          <w:szCs w:val="24"/>
        </w:rPr>
        <w:t> :</w:t>
      </w:r>
      <w:r w:rsidR="00322A3C" w:rsidRPr="007E7C5B">
        <w:rPr>
          <w:rFonts w:ascii="Arial Narrow" w:hAnsi="Arial Narrow" w:cs="Arial"/>
          <w:sz w:val="24"/>
          <w:szCs w:val="24"/>
        </w:rPr>
        <w:t xml:space="preserve"> </w:t>
      </w:r>
      <w:r w:rsidR="00020FF8" w:rsidRPr="007E7C5B">
        <w:rPr>
          <w:rFonts w:ascii="Arial Narrow" w:hAnsi="Arial Narrow" w:cs="Arial"/>
          <w:sz w:val="24"/>
          <w:szCs w:val="24"/>
        </w:rPr>
        <w:t>vis</w:t>
      </w:r>
      <w:r w:rsidR="00A34848" w:rsidRPr="007E7C5B">
        <w:rPr>
          <w:rFonts w:ascii="Arial Narrow" w:hAnsi="Arial Narrow" w:cs="Arial"/>
          <w:sz w:val="24"/>
          <w:szCs w:val="24"/>
        </w:rPr>
        <w:t>e</w:t>
      </w:r>
      <w:r w:rsidR="00020FF8" w:rsidRPr="007E7C5B" w:rsidDel="00A34848">
        <w:rPr>
          <w:rFonts w:ascii="Arial Narrow" w:hAnsi="Arial Narrow" w:cs="Arial"/>
          <w:sz w:val="24"/>
          <w:szCs w:val="24"/>
        </w:rPr>
        <w:t xml:space="preserve"> </w:t>
      </w:r>
      <w:r w:rsidR="00020FF8" w:rsidRPr="007E7C5B">
        <w:rPr>
          <w:rFonts w:ascii="Arial Narrow" w:hAnsi="Arial Narrow" w:cs="Arial"/>
          <w:sz w:val="24"/>
          <w:szCs w:val="24"/>
        </w:rPr>
        <w:t>à garantir aux populations d’une aire géographique délimitée tous les services de santé globaux, spécialisés, continus, intégrés et efficaces dans une approche de continuum de soins à travers les différents niveaux de la pyramide sanitaire.</w:t>
      </w:r>
    </w:p>
    <w:p w14:paraId="4DD5AFAB" w14:textId="3EA2264E" w:rsidR="000A18FB" w:rsidRPr="007E7C5B" w:rsidRDefault="00F0166B" w:rsidP="000A1A7B">
      <w:pPr>
        <w:pStyle w:val="Paragraphedeliste"/>
        <w:numPr>
          <w:ilvl w:val="0"/>
          <w:numId w:val="10"/>
        </w:numPr>
        <w:jc w:val="both"/>
        <w:rPr>
          <w:rFonts w:ascii="Arial Narrow" w:hAnsi="Arial Narrow" w:cs="Arial"/>
          <w:sz w:val="24"/>
          <w:szCs w:val="24"/>
        </w:rPr>
      </w:pPr>
      <w:r w:rsidRPr="007E7C5B">
        <w:rPr>
          <w:rFonts w:ascii="Arial Narrow" w:hAnsi="Arial Narrow" w:cs="Arial"/>
          <w:b/>
          <w:sz w:val="24"/>
          <w:szCs w:val="24"/>
        </w:rPr>
        <w:t>La r</w:t>
      </w:r>
      <w:r w:rsidR="001074FC" w:rsidRPr="007E7C5B">
        <w:rPr>
          <w:rFonts w:ascii="Arial Narrow" w:hAnsi="Arial Narrow" w:cs="Arial"/>
          <w:b/>
          <w:sz w:val="24"/>
          <w:szCs w:val="24"/>
        </w:rPr>
        <w:t>éforme hospitalière</w:t>
      </w:r>
      <w:r w:rsidR="00FF3ADC" w:rsidRPr="007E7C5B">
        <w:rPr>
          <w:rFonts w:ascii="Arial Narrow" w:hAnsi="Arial Narrow" w:cs="Arial"/>
          <w:b/>
          <w:sz w:val="24"/>
          <w:szCs w:val="24"/>
        </w:rPr>
        <w:t> :</w:t>
      </w:r>
      <w:r w:rsidR="00322A3C" w:rsidRPr="007E7C5B">
        <w:rPr>
          <w:rFonts w:ascii="Arial Narrow" w:hAnsi="Arial Narrow" w:cs="Arial"/>
          <w:sz w:val="24"/>
          <w:szCs w:val="24"/>
        </w:rPr>
        <w:t xml:space="preserve"> </w:t>
      </w:r>
      <w:r w:rsidR="00D13E12" w:rsidRPr="00D13E12">
        <w:rPr>
          <w:rFonts w:ascii="Arial Narrow" w:hAnsi="Arial Narrow" w:cs="Arial"/>
          <w:sz w:val="24"/>
          <w:szCs w:val="24"/>
        </w:rPr>
        <w:t>Vise à satisfaire les besoins des populations en matière d’offre de soins de qualité dans les établissements de santé.</w:t>
      </w:r>
    </w:p>
    <w:p w14:paraId="0191165C" w14:textId="3F7FAD53" w:rsidR="001074FC" w:rsidRPr="007E7C5B" w:rsidRDefault="3F6623F9" w:rsidP="000A1A7B">
      <w:pPr>
        <w:pStyle w:val="Paragraphedeliste"/>
        <w:numPr>
          <w:ilvl w:val="0"/>
          <w:numId w:val="10"/>
        </w:numPr>
        <w:jc w:val="both"/>
        <w:rPr>
          <w:rFonts w:ascii="Arial Narrow" w:hAnsi="Arial Narrow" w:cs="Arial"/>
          <w:sz w:val="24"/>
          <w:szCs w:val="24"/>
        </w:rPr>
      </w:pPr>
      <w:r w:rsidRPr="007E7C5B">
        <w:rPr>
          <w:rFonts w:ascii="Arial Narrow" w:hAnsi="Arial Narrow" w:cs="Arial"/>
          <w:b/>
          <w:bCs/>
          <w:sz w:val="24"/>
          <w:szCs w:val="24"/>
        </w:rPr>
        <w:t xml:space="preserve">La </w:t>
      </w:r>
      <w:r w:rsidR="5D15C426" w:rsidRPr="007E7C5B">
        <w:rPr>
          <w:rFonts w:ascii="Arial Narrow" w:hAnsi="Arial Narrow" w:cs="Arial"/>
          <w:b/>
          <w:bCs/>
          <w:sz w:val="24"/>
          <w:szCs w:val="24"/>
        </w:rPr>
        <w:t>Couverture Maladie Universelle</w:t>
      </w:r>
      <w:r w:rsidR="2C0201A6" w:rsidRPr="007E7C5B">
        <w:rPr>
          <w:rFonts w:ascii="Arial Narrow" w:hAnsi="Arial Narrow" w:cs="Arial"/>
          <w:b/>
          <w:bCs/>
          <w:sz w:val="24"/>
          <w:szCs w:val="24"/>
        </w:rPr>
        <w:t> :</w:t>
      </w:r>
      <w:r w:rsidR="6F76967A" w:rsidRPr="007E7C5B">
        <w:rPr>
          <w:rFonts w:ascii="Arial Narrow" w:hAnsi="Arial Narrow" w:cs="Arial"/>
          <w:sz w:val="24"/>
          <w:szCs w:val="24"/>
        </w:rPr>
        <w:t xml:space="preserve"> </w:t>
      </w:r>
      <w:r w:rsidR="79562C6D" w:rsidRPr="007E7C5B">
        <w:rPr>
          <w:rFonts w:ascii="Arial Narrow" w:hAnsi="Arial Narrow" w:cs="Arial"/>
          <w:sz w:val="24"/>
          <w:szCs w:val="24"/>
        </w:rPr>
        <w:t xml:space="preserve">vise </w:t>
      </w:r>
      <w:r w:rsidR="12C358F3" w:rsidRPr="007E7C5B">
        <w:rPr>
          <w:rFonts w:ascii="Arial Narrow" w:hAnsi="Arial Narrow" w:cs="Arial"/>
          <w:sz w:val="24"/>
          <w:szCs w:val="24"/>
        </w:rPr>
        <w:t>à</w:t>
      </w:r>
      <w:r w:rsidR="35881C40" w:rsidRPr="007E7C5B">
        <w:rPr>
          <w:rFonts w:ascii="Arial Narrow" w:hAnsi="Arial Narrow" w:cs="Arial"/>
          <w:sz w:val="24"/>
          <w:szCs w:val="24"/>
        </w:rPr>
        <w:t xml:space="preserve"> garantir à l'ensemble</w:t>
      </w:r>
      <w:r w:rsidR="00E33227">
        <w:rPr>
          <w:rFonts w:ascii="Arial Narrow" w:hAnsi="Arial Narrow" w:cs="Arial"/>
          <w:sz w:val="24"/>
          <w:szCs w:val="24"/>
        </w:rPr>
        <w:t xml:space="preserve"> </w:t>
      </w:r>
      <w:r w:rsidR="7D840E7C" w:rsidRPr="007E7C5B">
        <w:rPr>
          <w:rFonts w:ascii="Arial Narrow" w:eastAsia="Arial Narrow" w:hAnsi="Arial Narrow" w:cs="Arial Narrow"/>
          <w:sz w:val="24"/>
          <w:szCs w:val="24"/>
        </w:rPr>
        <w:t>des populations résidant en Côte d'Ivoire</w:t>
      </w:r>
      <w:r w:rsidR="0044098D">
        <w:rPr>
          <w:rFonts w:ascii="Arial Narrow" w:eastAsia="Arial Narrow" w:hAnsi="Arial Narrow" w:cs="Arial Narrow"/>
          <w:sz w:val="24"/>
          <w:szCs w:val="24"/>
        </w:rPr>
        <w:t xml:space="preserve"> </w:t>
      </w:r>
      <w:r w:rsidR="35881C40" w:rsidRPr="007E7C5B">
        <w:rPr>
          <w:rFonts w:ascii="Arial Narrow" w:hAnsi="Arial Narrow" w:cs="Arial"/>
          <w:sz w:val="24"/>
          <w:szCs w:val="24"/>
        </w:rPr>
        <w:t>l'accès à des services et à des soins de santé de qualité, à moindre coût.</w:t>
      </w:r>
    </w:p>
    <w:p w14:paraId="76BBA3E5" w14:textId="4E0247BE" w:rsidR="00DA469C" w:rsidRPr="007E7C5B" w:rsidRDefault="00F0166B" w:rsidP="000A1A7B">
      <w:pPr>
        <w:pStyle w:val="Paragraphedeliste"/>
        <w:numPr>
          <w:ilvl w:val="0"/>
          <w:numId w:val="10"/>
        </w:numPr>
        <w:jc w:val="both"/>
        <w:rPr>
          <w:rFonts w:ascii="Arial Narrow" w:hAnsi="Arial Narrow" w:cs="Arial"/>
          <w:sz w:val="24"/>
          <w:szCs w:val="24"/>
        </w:rPr>
      </w:pPr>
      <w:r w:rsidRPr="007E7C5B">
        <w:rPr>
          <w:rFonts w:ascii="Arial Narrow" w:hAnsi="Arial Narrow" w:cs="Arial"/>
          <w:b/>
          <w:sz w:val="24"/>
          <w:szCs w:val="24"/>
        </w:rPr>
        <w:t>Le financement basé sur la performance</w:t>
      </w:r>
      <w:r w:rsidR="00FF3ADC" w:rsidRPr="007E7C5B">
        <w:rPr>
          <w:rFonts w:ascii="Arial Narrow" w:hAnsi="Arial Narrow" w:cs="Arial"/>
          <w:b/>
          <w:sz w:val="24"/>
          <w:szCs w:val="24"/>
        </w:rPr>
        <w:t> :</w:t>
      </w:r>
      <w:r w:rsidR="00322A3C" w:rsidRPr="007E7C5B">
        <w:rPr>
          <w:rFonts w:ascii="Arial Narrow" w:hAnsi="Arial Narrow" w:cs="Arial"/>
          <w:sz w:val="24"/>
          <w:szCs w:val="24"/>
        </w:rPr>
        <w:t xml:space="preserve"> </w:t>
      </w:r>
      <w:r w:rsidR="00A34848" w:rsidRPr="007E7C5B">
        <w:rPr>
          <w:rFonts w:ascii="Arial Narrow" w:hAnsi="Arial Narrow" w:cs="Arial"/>
          <w:sz w:val="24"/>
          <w:szCs w:val="24"/>
        </w:rPr>
        <w:t xml:space="preserve">vise </w:t>
      </w:r>
      <w:r w:rsidR="00D843AA" w:rsidRPr="007E7C5B">
        <w:rPr>
          <w:rFonts w:ascii="Arial Narrow" w:hAnsi="Arial Narrow" w:cs="Arial"/>
          <w:sz w:val="24"/>
          <w:szCs w:val="24"/>
        </w:rPr>
        <w:t>à</w:t>
      </w:r>
      <w:r w:rsidR="00E276C5" w:rsidRPr="007E7C5B">
        <w:rPr>
          <w:rFonts w:ascii="Arial Narrow" w:hAnsi="Arial Narrow" w:cs="Arial"/>
          <w:sz w:val="24"/>
          <w:szCs w:val="24"/>
        </w:rPr>
        <w:t xml:space="preserve"> améliorer </w:t>
      </w:r>
      <w:r w:rsidR="09698ACE" w:rsidRPr="007E7C5B">
        <w:rPr>
          <w:rFonts w:ascii="Arial Narrow" w:hAnsi="Arial Narrow" w:cs="Arial"/>
          <w:sz w:val="24"/>
          <w:szCs w:val="24"/>
        </w:rPr>
        <w:t xml:space="preserve">la qualité </w:t>
      </w:r>
      <w:r w:rsidR="7E465791" w:rsidRPr="007E7C5B">
        <w:rPr>
          <w:rFonts w:ascii="Arial Narrow" w:hAnsi="Arial Narrow" w:cs="Arial"/>
          <w:sz w:val="24"/>
          <w:szCs w:val="24"/>
        </w:rPr>
        <w:t>d</w:t>
      </w:r>
      <w:r w:rsidR="00E276C5" w:rsidRPr="007E7C5B">
        <w:rPr>
          <w:rFonts w:ascii="Arial Narrow" w:hAnsi="Arial Narrow" w:cs="Arial"/>
          <w:sz w:val="24"/>
          <w:szCs w:val="24"/>
        </w:rPr>
        <w:t xml:space="preserve">es prestations offertes par les services de santé et </w:t>
      </w:r>
      <w:r w:rsidR="0049673C" w:rsidRPr="007E7C5B">
        <w:rPr>
          <w:rFonts w:ascii="Arial Narrow" w:hAnsi="Arial Narrow" w:cs="Arial"/>
          <w:sz w:val="24"/>
          <w:szCs w:val="24"/>
        </w:rPr>
        <w:t xml:space="preserve">à </w:t>
      </w:r>
      <w:r w:rsidR="00E276C5" w:rsidRPr="007E7C5B">
        <w:rPr>
          <w:rFonts w:ascii="Arial Narrow" w:hAnsi="Arial Narrow" w:cs="Arial"/>
          <w:sz w:val="24"/>
          <w:szCs w:val="24"/>
        </w:rPr>
        <w:t xml:space="preserve">inciter </w:t>
      </w:r>
      <w:r w:rsidR="00DE4E70" w:rsidRPr="007E7C5B">
        <w:rPr>
          <w:rFonts w:ascii="Arial Narrow" w:hAnsi="Arial Narrow" w:cs="Arial"/>
          <w:sz w:val="24"/>
          <w:szCs w:val="24"/>
        </w:rPr>
        <w:t xml:space="preserve">le </w:t>
      </w:r>
      <w:r w:rsidR="00E276C5" w:rsidRPr="007E7C5B">
        <w:rPr>
          <w:rFonts w:ascii="Arial Narrow" w:hAnsi="Arial Narrow" w:cs="Arial"/>
          <w:sz w:val="24"/>
          <w:szCs w:val="24"/>
        </w:rPr>
        <w:t>personnel à produire de meilleurs rendements</w:t>
      </w:r>
      <w:r w:rsidR="00C3571A" w:rsidRPr="007E7C5B">
        <w:rPr>
          <w:rFonts w:ascii="Arial Narrow" w:hAnsi="Arial Narrow" w:cs="Arial"/>
          <w:sz w:val="24"/>
          <w:szCs w:val="24"/>
        </w:rPr>
        <w:t>.</w:t>
      </w:r>
    </w:p>
    <w:p w14:paraId="7A236015" w14:textId="4F7A4247" w:rsidR="00B32FBB" w:rsidRPr="007E7C5B" w:rsidRDefault="00F91AA2" w:rsidP="000A1A7B">
      <w:pPr>
        <w:pStyle w:val="Paragraphedeliste"/>
        <w:numPr>
          <w:ilvl w:val="0"/>
          <w:numId w:val="10"/>
        </w:numPr>
        <w:jc w:val="both"/>
        <w:rPr>
          <w:rFonts w:ascii="Arial Narrow" w:hAnsi="Arial Narrow" w:cs="Arial"/>
          <w:sz w:val="24"/>
          <w:szCs w:val="24"/>
        </w:rPr>
      </w:pPr>
      <w:r w:rsidRPr="007E7C5B">
        <w:rPr>
          <w:rFonts w:ascii="Arial Narrow" w:hAnsi="Arial Narrow" w:cs="Arial"/>
          <w:b/>
          <w:sz w:val="24"/>
          <w:szCs w:val="24"/>
        </w:rPr>
        <w:t>L’</w:t>
      </w:r>
      <w:r w:rsidR="001E270C" w:rsidRPr="007E7C5B">
        <w:rPr>
          <w:rFonts w:ascii="Arial Narrow" w:hAnsi="Arial Narrow" w:cs="Arial"/>
          <w:b/>
          <w:sz w:val="24"/>
          <w:szCs w:val="24"/>
        </w:rPr>
        <w:t>i</w:t>
      </w:r>
      <w:r w:rsidR="00951E01" w:rsidRPr="007E7C5B">
        <w:rPr>
          <w:rFonts w:ascii="Arial Narrow" w:hAnsi="Arial Narrow" w:cs="Arial"/>
          <w:b/>
          <w:sz w:val="24"/>
          <w:szCs w:val="24"/>
        </w:rPr>
        <w:t xml:space="preserve">ntégration et </w:t>
      </w:r>
      <w:r w:rsidRPr="007E7C5B">
        <w:rPr>
          <w:rFonts w:ascii="Arial Narrow" w:hAnsi="Arial Narrow" w:cs="Arial"/>
          <w:b/>
          <w:sz w:val="24"/>
          <w:szCs w:val="24"/>
        </w:rPr>
        <w:t xml:space="preserve">le </w:t>
      </w:r>
      <w:r w:rsidR="00951E01" w:rsidRPr="007E7C5B">
        <w:rPr>
          <w:rFonts w:ascii="Arial Narrow" w:hAnsi="Arial Narrow" w:cs="Arial"/>
          <w:b/>
          <w:sz w:val="24"/>
          <w:szCs w:val="24"/>
        </w:rPr>
        <w:t>développement du secteur privé</w:t>
      </w:r>
      <w:r w:rsidR="00FF3ADC" w:rsidRPr="007E7C5B">
        <w:rPr>
          <w:rFonts w:ascii="Arial Narrow" w:hAnsi="Arial Narrow" w:cs="Arial"/>
          <w:b/>
          <w:sz w:val="24"/>
          <w:szCs w:val="24"/>
        </w:rPr>
        <w:t> :</w:t>
      </w:r>
      <w:r w:rsidR="00E33227">
        <w:rPr>
          <w:rFonts w:ascii="Arial Narrow" w:hAnsi="Arial Narrow" w:cs="Arial"/>
          <w:sz w:val="24"/>
          <w:szCs w:val="24"/>
        </w:rPr>
        <w:t xml:space="preserve"> </w:t>
      </w:r>
      <w:r w:rsidR="00A34848" w:rsidRPr="007E7C5B">
        <w:rPr>
          <w:rFonts w:ascii="Arial Narrow" w:hAnsi="Arial Narrow" w:cs="Arial"/>
          <w:sz w:val="24"/>
          <w:szCs w:val="24"/>
        </w:rPr>
        <w:t xml:space="preserve">vise </w:t>
      </w:r>
      <w:r w:rsidR="00D843AA" w:rsidRPr="007E7C5B">
        <w:rPr>
          <w:rFonts w:ascii="Arial Narrow" w:hAnsi="Arial Narrow" w:cs="Arial"/>
          <w:sz w:val="24"/>
          <w:szCs w:val="24"/>
        </w:rPr>
        <w:t>à</w:t>
      </w:r>
      <w:r w:rsidR="00BA5DD7" w:rsidRPr="007E7C5B">
        <w:rPr>
          <w:rFonts w:ascii="Arial Narrow" w:hAnsi="Arial Narrow" w:cs="Arial"/>
          <w:sz w:val="24"/>
          <w:szCs w:val="24"/>
        </w:rPr>
        <w:t xml:space="preserve"> contribuer au renforcement du système national de santé en Côte d'Ivoire avec la capacité et la pleine participation du secteur privé de la santé pour atteindre la couverture sanitaire universell</w:t>
      </w:r>
      <w:r w:rsidR="00784B62" w:rsidRPr="007E7C5B">
        <w:rPr>
          <w:rFonts w:ascii="Arial Narrow" w:hAnsi="Arial Narrow" w:cs="Arial"/>
          <w:sz w:val="24"/>
          <w:szCs w:val="24"/>
        </w:rPr>
        <w:t>e.</w:t>
      </w:r>
    </w:p>
    <w:p w14:paraId="7C8BC283" w14:textId="37AF8B1A" w:rsidR="00B32FBB" w:rsidRPr="007E7C5B" w:rsidRDefault="002321F0" w:rsidP="00761F55">
      <w:pPr>
        <w:jc w:val="both"/>
        <w:rPr>
          <w:rFonts w:ascii="Arial Narrow" w:hAnsi="Arial Narrow" w:cs="Arial"/>
          <w:sz w:val="24"/>
          <w:szCs w:val="24"/>
        </w:rPr>
      </w:pPr>
      <w:r w:rsidRPr="007E7C5B">
        <w:rPr>
          <w:rFonts w:ascii="Arial Narrow" w:hAnsi="Arial Narrow" w:cs="Arial"/>
          <w:sz w:val="24"/>
          <w:szCs w:val="24"/>
        </w:rPr>
        <w:t xml:space="preserve">La section suivante </w:t>
      </w:r>
      <w:r w:rsidR="000D0452" w:rsidRPr="007E7C5B">
        <w:rPr>
          <w:rFonts w:ascii="Arial Narrow" w:hAnsi="Arial Narrow" w:cs="Arial"/>
          <w:sz w:val="24"/>
          <w:szCs w:val="24"/>
        </w:rPr>
        <w:t xml:space="preserve">présente les résultats atteints </w:t>
      </w:r>
      <w:r w:rsidR="00B62856" w:rsidRPr="007E7C5B">
        <w:rPr>
          <w:rFonts w:ascii="Arial Narrow" w:hAnsi="Arial Narrow" w:cs="Arial"/>
          <w:sz w:val="24"/>
          <w:szCs w:val="24"/>
        </w:rPr>
        <w:t xml:space="preserve">par le </w:t>
      </w:r>
      <w:r w:rsidR="004B5537" w:rsidRPr="007E7C5B">
        <w:rPr>
          <w:rFonts w:ascii="Arial Narrow" w:hAnsi="Arial Narrow" w:cs="Arial"/>
          <w:sz w:val="24"/>
          <w:szCs w:val="24"/>
        </w:rPr>
        <w:t xml:space="preserve">MSHPCMU </w:t>
      </w:r>
      <w:r w:rsidR="007E00B3" w:rsidRPr="007E7C5B">
        <w:rPr>
          <w:rFonts w:ascii="Arial Narrow" w:hAnsi="Arial Narrow" w:cs="Arial"/>
          <w:sz w:val="24"/>
          <w:szCs w:val="24"/>
        </w:rPr>
        <w:t xml:space="preserve">dans </w:t>
      </w:r>
      <w:r w:rsidR="003556B8" w:rsidRPr="007E7C5B">
        <w:rPr>
          <w:rFonts w:ascii="Arial Narrow" w:hAnsi="Arial Narrow" w:cs="Arial"/>
          <w:sz w:val="24"/>
          <w:szCs w:val="24"/>
        </w:rPr>
        <w:t xml:space="preserve">le cadre de </w:t>
      </w:r>
      <w:r w:rsidR="007E00B3" w:rsidRPr="007E7C5B">
        <w:rPr>
          <w:rFonts w:ascii="Arial Narrow" w:hAnsi="Arial Narrow" w:cs="Arial"/>
          <w:sz w:val="24"/>
          <w:szCs w:val="24"/>
        </w:rPr>
        <w:t xml:space="preserve">la mise en œuvre </w:t>
      </w:r>
      <w:r w:rsidR="004B5537" w:rsidRPr="007E7C5B">
        <w:rPr>
          <w:rFonts w:ascii="Arial Narrow" w:hAnsi="Arial Narrow" w:cs="Arial"/>
          <w:sz w:val="24"/>
          <w:szCs w:val="24"/>
        </w:rPr>
        <w:t>du PNDS 2021-2025</w:t>
      </w:r>
      <w:r w:rsidR="007E00B3" w:rsidRPr="007E7C5B">
        <w:rPr>
          <w:rFonts w:ascii="Arial Narrow" w:hAnsi="Arial Narrow" w:cs="Arial"/>
          <w:sz w:val="24"/>
          <w:szCs w:val="24"/>
        </w:rPr>
        <w:t>.</w:t>
      </w:r>
    </w:p>
    <w:p w14:paraId="52DFD7A5" w14:textId="0D06A18E" w:rsidR="00205B98" w:rsidRPr="007E7C5B" w:rsidRDefault="0094076D" w:rsidP="00761F55">
      <w:pPr>
        <w:pStyle w:val="Titre1"/>
        <w:jc w:val="both"/>
        <w:rPr>
          <w:rFonts w:ascii="Arial Narrow" w:hAnsi="Arial Narrow" w:cs="Arial"/>
          <w:b/>
          <w:sz w:val="24"/>
          <w:szCs w:val="24"/>
        </w:rPr>
      </w:pPr>
      <w:bookmarkStart w:id="35" w:name="_Toc178699550"/>
      <w:bookmarkStart w:id="36" w:name="_Toc190677472"/>
      <w:r w:rsidRPr="007E7C5B">
        <w:rPr>
          <w:rFonts w:ascii="Arial Narrow" w:hAnsi="Arial Narrow" w:cs="Arial"/>
          <w:b/>
          <w:sz w:val="24"/>
          <w:szCs w:val="24"/>
        </w:rPr>
        <w:t>Section II</w:t>
      </w:r>
      <w:r w:rsidR="001626AE">
        <w:rPr>
          <w:rFonts w:ascii="Arial Narrow" w:hAnsi="Arial Narrow" w:cs="Arial"/>
          <w:b/>
          <w:sz w:val="24"/>
          <w:szCs w:val="24"/>
        </w:rPr>
        <w:t>I</w:t>
      </w:r>
      <w:r w:rsidRPr="007E7C5B">
        <w:rPr>
          <w:rFonts w:ascii="Arial Narrow" w:hAnsi="Arial Narrow" w:cs="Arial"/>
          <w:b/>
          <w:sz w:val="24"/>
          <w:szCs w:val="24"/>
        </w:rPr>
        <w:t xml:space="preserve"> : </w:t>
      </w:r>
      <w:r w:rsidR="00F00D9F" w:rsidRPr="007E7C5B">
        <w:rPr>
          <w:rFonts w:ascii="Arial Narrow" w:hAnsi="Arial Narrow" w:cs="Arial"/>
          <w:b/>
          <w:sz w:val="24"/>
          <w:szCs w:val="24"/>
        </w:rPr>
        <w:t>Principaux résultats</w:t>
      </w:r>
      <w:r w:rsidR="00C258FA" w:rsidRPr="007E7C5B">
        <w:rPr>
          <w:rFonts w:ascii="Arial Narrow" w:hAnsi="Arial Narrow" w:cs="Arial"/>
          <w:b/>
          <w:sz w:val="24"/>
          <w:szCs w:val="24"/>
        </w:rPr>
        <w:t xml:space="preserve"> de la </w:t>
      </w:r>
      <w:r w:rsidR="00B635D8">
        <w:rPr>
          <w:rFonts w:ascii="Arial Narrow" w:hAnsi="Arial Narrow" w:cs="Arial"/>
          <w:b/>
          <w:sz w:val="24"/>
          <w:szCs w:val="24"/>
        </w:rPr>
        <w:t>revue</w:t>
      </w:r>
      <w:r w:rsidR="00C258FA" w:rsidRPr="007E7C5B">
        <w:rPr>
          <w:rFonts w:ascii="Arial Narrow" w:hAnsi="Arial Narrow" w:cs="Arial"/>
          <w:b/>
          <w:sz w:val="24"/>
          <w:szCs w:val="24"/>
        </w:rPr>
        <w:t xml:space="preserve"> du PNDS </w:t>
      </w:r>
      <w:bookmarkEnd w:id="35"/>
      <w:r w:rsidR="009E3475" w:rsidRPr="007E7C5B">
        <w:rPr>
          <w:rFonts w:ascii="Arial Narrow" w:hAnsi="Arial Narrow" w:cs="Arial"/>
          <w:b/>
          <w:sz w:val="24"/>
          <w:szCs w:val="24"/>
        </w:rPr>
        <w:t>2021-2025</w:t>
      </w:r>
      <w:bookmarkEnd w:id="36"/>
      <w:r w:rsidR="00F00D9F" w:rsidRPr="007E7C5B">
        <w:rPr>
          <w:rFonts w:ascii="Arial Narrow" w:hAnsi="Arial Narrow" w:cs="Arial"/>
          <w:b/>
          <w:sz w:val="24"/>
          <w:szCs w:val="24"/>
        </w:rPr>
        <w:t xml:space="preserve"> </w:t>
      </w:r>
    </w:p>
    <w:p w14:paraId="368F756C" w14:textId="647832BE" w:rsidR="00DC54E9" w:rsidRPr="007E7C5B" w:rsidRDefault="00274052" w:rsidP="00761F55">
      <w:pPr>
        <w:jc w:val="both"/>
        <w:rPr>
          <w:rFonts w:ascii="Arial Narrow" w:hAnsi="Arial Narrow" w:cs="Arial"/>
          <w:sz w:val="24"/>
          <w:szCs w:val="24"/>
        </w:rPr>
      </w:pPr>
      <w:r w:rsidRPr="007E7C5B">
        <w:rPr>
          <w:rFonts w:ascii="Arial Narrow" w:hAnsi="Arial Narrow" w:cs="Arial"/>
          <w:sz w:val="24"/>
          <w:szCs w:val="24"/>
        </w:rPr>
        <w:t>L</w:t>
      </w:r>
      <w:r w:rsidR="00E50EDA" w:rsidRPr="007E7C5B">
        <w:rPr>
          <w:rFonts w:ascii="Arial Narrow" w:hAnsi="Arial Narrow" w:cs="Arial"/>
          <w:sz w:val="24"/>
          <w:szCs w:val="24"/>
        </w:rPr>
        <w:t xml:space="preserve">es résultats de la présente revue s’articulent autour de la perception </w:t>
      </w:r>
      <w:r w:rsidR="001938AB" w:rsidRPr="007E7C5B">
        <w:rPr>
          <w:rFonts w:ascii="Arial Narrow" w:hAnsi="Arial Narrow" w:cs="Arial"/>
          <w:sz w:val="24"/>
          <w:szCs w:val="24"/>
        </w:rPr>
        <w:t xml:space="preserve">du PNDS </w:t>
      </w:r>
      <w:r w:rsidR="009E3475" w:rsidRPr="007E7C5B">
        <w:rPr>
          <w:rFonts w:ascii="Arial Narrow" w:hAnsi="Arial Narrow" w:cs="Arial"/>
          <w:sz w:val="24"/>
          <w:szCs w:val="24"/>
        </w:rPr>
        <w:t>2021-2025</w:t>
      </w:r>
      <w:r w:rsidR="001938AB" w:rsidRPr="007E7C5B">
        <w:rPr>
          <w:rFonts w:ascii="Arial Narrow" w:hAnsi="Arial Narrow" w:cs="Arial"/>
          <w:sz w:val="24"/>
          <w:szCs w:val="24"/>
        </w:rPr>
        <w:t xml:space="preserve"> par les acteurs des différents niveaux de la pyramide sanitaire</w:t>
      </w:r>
      <w:r w:rsidR="007E6DE4" w:rsidRPr="007E7C5B">
        <w:rPr>
          <w:rFonts w:ascii="Arial Narrow" w:hAnsi="Arial Narrow" w:cs="Arial"/>
          <w:sz w:val="24"/>
          <w:szCs w:val="24"/>
        </w:rPr>
        <w:t xml:space="preserve"> et</w:t>
      </w:r>
      <w:r w:rsidR="0061238C" w:rsidRPr="007E7C5B">
        <w:rPr>
          <w:rFonts w:ascii="Arial Narrow" w:hAnsi="Arial Narrow" w:cs="Arial"/>
          <w:sz w:val="24"/>
          <w:szCs w:val="24"/>
        </w:rPr>
        <w:t xml:space="preserve"> de</w:t>
      </w:r>
      <w:r w:rsidR="00CF2B24" w:rsidRPr="007E7C5B">
        <w:rPr>
          <w:rFonts w:ascii="Arial Narrow" w:hAnsi="Arial Narrow" w:cs="Arial"/>
          <w:sz w:val="24"/>
          <w:szCs w:val="24"/>
        </w:rPr>
        <w:t xml:space="preserve"> l’analyse des progrès à mi-parcours de </w:t>
      </w:r>
      <w:r w:rsidR="00E41686" w:rsidRPr="007E7C5B">
        <w:rPr>
          <w:rFonts w:ascii="Arial Narrow" w:hAnsi="Arial Narrow" w:cs="Arial"/>
          <w:sz w:val="24"/>
          <w:szCs w:val="24"/>
        </w:rPr>
        <w:t>s</w:t>
      </w:r>
      <w:r w:rsidR="00CF2B24" w:rsidRPr="007E7C5B">
        <w:rPr>
          <w:rFonts w:ascii="Arial Narrow" w:hAnsi="Arial Narrow" w:cs="Arial"/>
          <w:sz w:val="24"/>
          <w:szCs w:val="24"/>
        </w:rPr>
        <w:t>a mise en œuvre.</w:t>
      </w:r>
    </w:p>
    <w:p w14:paraId="36FB1C16" w14:textId="08BDE9EE" w:rsidR="00C14537" w:rsidRPr="007E7C5B" w:rsidRDefault="1EBBB0E1" w:rsidP="00761F55">
      <w:pPr>
        <w:pStyle w:val="Titre2"/>
        <w:jc w:val="both"/>
        <w:rPr>
          <w:rFonts w:ascii="Arial Narrow" w:hAnsi="Arial Narrow" w:cs="Arial"/>
          <w:sz w:val="24"/>
          <w:szCs w:val="24"/>
        </w:rPr>
      </w:pPr>
      <w:bookmarkStart w:id="37" w:name="_Toc178699551"/>
      <w:bookmarkStart w:id="38" w:name="_Toc190677473"/>
      <w:r w:rsidRPr="007E7C5B">
        <w:rPr>
          <w:rFonts w:ascii="Arial Narrow" w:hAnsi="Arial Narrow" w:cs="Arial"/>
          <w:sz w:val="24"/>
          <w:szCs w:val="24"/>
        </w:rPr>
        <w:t>I</w:t>
      </w:r>
      <w:r w:rsidR="001626AE">
        <w:rPr>
          <w:rFonts w:ascii="Arial Narrow" w:hAnsi="Arial Narrow" w:cs="Arial"/>
          <w:sz w:val="24"/>
          <w:szCs w:val="24"/>
        </w:rPr>
        <w:t>I</w:t>
      </w:r>
      <w:r w:rsidRPr="007E7C5B">
        <w:rPr>
          <w:rFonts w:ascii="Arial Narrow" w:hAnsi="Arial Narrow" w:cs="Arial"/>
          <w:sz w:val="24"/>
          <w:szCs w:val="24"/>
        </w:rPr>
        <w:t xml:space="preserve">I.1. </w:t>
      </w:r>
      <w:r w:rsidR="3D9CF17F" w:rsidRPr="007E7C5B">
        <w:rPr>
          <w:rFonts w:ascii="Arial Narrow" w:hAnsi="Arial Narrow" w:cs="Arial"/>
          <w:sz w:val="24"/>
          <w:szCs w:val="24"/>
        </w:rPr>
        <w:t xml:space="preserve">Perception du PNDS </w:t>
      </w:r>
      <w:r w:rsidR="31378BA3" w:rsidRPr="007E7C5B">
        <w:rPr>
          <w:rFonts w:ascii="Arial Narrow" w:hAnsi="Arial Narrow" w:cs="Arial"/>
          <w:sz w:val="24"/>
          <w:szCs w:val="24"/>
        </w:rPr>
        <w:t>2021-</w:t>
      </w:r>
      <w:r w:rsidR="3A44D7C0" w:rsidRPr="007E7C5B">
        <w:rPr>
          <w:rFonts w:ascii="Arial Narrow" w:hAnsi="Arial Narrow" w:cs="Arial"/>
          <w:sz w:val="24"/>
          <w:szCs w:val="24"/>
        </w:rPr>
        <w:t>20</w:t>
      </w:r>
      <w:r w:rsidR="31378BA3" w:rsidRPr="007E7C5B">
        <w:rPr>
          <w:rFonts w:ascii="Arial Narrow" w:hAnsi="Arial Narrow" w:cs="Arial"/>
          <w:sz w:val="24"/>
          <w:szCs w:val="24"/>
        </w:rPr>
        <w:t xml:space="preserve">25 </w:t>
      </w:r>
      <w:r w:rsidR="3D9CF17F" w:rsidRPr="007E7C5B">
        <w:rPr>
          <w:rFonts w:ascii="Arial Narrow" w:hAnsi="Arial Narrow" w:cs="Arial"/>
          <w:sz w:val="24"/>
          <w:szCs w:val="24"/>
        </w:rPr>
        <w:t>par les différents niveaux de la pyramide sanitaire</w:t>
      </w:r>
      <w:bookmarkEnd w:id="37"/>
      <w:bookmarkEnd w:id="38"/>
    </w:p>
    <w:p w14:paraId="7D25AAF1" w14:textId="6C33C48F" w:rsidR="20EE0A71" w:rsidRPr="007E7C5B" w:rsidRDefault="20EE0A71" w:rsidP="00A918AC">
      <w:pPr>
        <w:jc w:val="both"/>
        <w:rPr>
          <w:rFonts w:ascii="Arial Narrow" w:eastAsia="Arial Narrow" w:hAnsi="Arial Narrow" w:cs="Arial Narrow"/>
          <w:sz w:val="24"/>
          <w:szCs w:val="24"/>
        </w:rPr>
      </w:pPr>
      <w:r w:rsidRPr="007E7C5B">
        <w:rPr>
          <w:rFonts w:ascii="Arial Narrow" w:eastAsia="Arial Narrow" w:hAnsi="Arial Narrow" w:cs="Arial Narrow"/>
          <w:sz w:val="24"/>
          <w:szCs w:val="24"/>
        </w:rPr>
        <w:t>Dans le cadre de la revue du PNDS, des entretiens ont été menés avec divers acteurs du système de santé</w:t>
      </w:r>
      <w:r w:rsidR="00E27B1A">
        <w:rPr>
          <w:rFonts w:ascii="Arial Narrow" w:eastAsia="Arial Narrow" w:hAnsi="Arial Narrow" w:cs="Arial Narrow"/>
          <w:sz w:val="24"/>
          <w:szCs w:val="24"/>
        </w:rPr>
        <w:t>.</w:t>
      </w:r>
    </w:p>
    <w:p w14:paraId="05A9408D" w14:textId="0D54A608" w:rsidR="00D1765B" w:rsidRPr="007E7C5B" w:rsidRDefault="7B8100F2" w:rsidP="1CF6F113">
      <w:pPr>
        <w:spacing w:line="257" w:lineRule="auto"/>
        <w:jc w:val="both"/>
        <w:rPr>
          <w:rFonts w:ascii="Arial Narrow" w:eastAsia="Arial Narrow" w:hAnsi="Arial Narrow" w:cs="Arial Narrow"/>
          <w:sz w:val="24"/>
          <w:szCs w:val="24"/>
        </w:rPr>
      </w:pPr>
      <w:r w:rsidRPr="007E7C5B">
        <w:rPr>
          <w:rFonts w:ascii="Arial Narrow" w:eastAsia="Arial Narrow" w:hAnsi="Arial Narrow" w:cs="Arial Narrow"/>
          <w:sz w:val="24"/>
          <w:szCs w:val="24"/>
        </w:rPr>
        <w:t xml:space="preserve"> Les acteurs interrogés ont partagé leur perception sur plusieurs aspects du PNDS, notamment :</w:t>
      </w:r>
    </w:p>
    <w:p w14:paraId="187FA2F5" w14:textId="77777777" w:rsidR="00D1765B" w:rsidRPr="007E7C5B" w:rsidRDefault="00D1765B" w:rsidP="000A1A7B">
      <w:pPr>
        <w:pStyle w:val="Paragraphedeliste"/>
        <w:numPr>
          <w:ilvl w:val="0"/>
          <w:numId w:val="14"/>
        </w:numPr>
        <w:jc w:val="both"/>
        <w:rPr>
          <w:rFonts w:ascii="Arial Narrow" w:hAnsi="Arial Narrow" w:cs="Arial"/>
          <w:sz w:val="24"/>
          <w:szCs w:val="24"/>
        </w:rPr>
      </w:pPr>
      <w:r w:rsidRPr="007E7C5B">
        <w:rPr>
          <w:rFonts w:ascii="Arial Narrow" w:hAnsi="Arial Narrow" w:cs="Arial"/>
          <w:sz w:val="24"/>
          <w:szCs w:val="24"/>
        </w:rPr>
        <w:lastRenderedPageBreak/>
        <w:t>L'inclusivité de son élaboration ;</w:t>
      </w:r>
    </w:p>
    <w:p w14:paraId="739B5376" w14:textId="77777777" w:rsidR="00D1765B" w:rsidRPr="007E7C5B" w:rsidRDefault="00D1765B" w:rsidP="000A1A7B">
      <w:pPr>
        <w:pStyle w:val="Paragraphedeliste"/>
        <w:numPr>
          <w:ilvl w:val="0"/>
          <w:numId w:val="14"/>
        </w:numPr>
        <w:jc w:val="both"/>
        <w:rPr>
          <w:rFonts w:ascii="Arial Narrow" w:hAnsi="Arial Narrow" w:cs="Arial"/>
          <w:sz w:val="24"/>
          <w:szCs w:val="24"/>
        </w:rPr>
      </w:pPr>
      <w:r w:rsidRPr="007E7C5B">
        <w:rPr>
          <w:rFonts w:ascii="Arial Narrow" w:hAnsi="Arial Narrow" w:cs="Arial"/>
          <w:sz w:val="24"/>
          <w:szCs w:val="24"/>
        </w:rPr>
        <w:t>L'efficacité de sa diffusion ;</w:t>
      </w:r>
    </w:p>
    <w:p w14:paraId="28DDDA7E" w14:textId="77777777" w:rsidR="00D1765B" w:rsidRPr="007E7C5B" w:rsidRDefault="00D1765B" w:rsidP="000A1A7B">
      <w:pPr>
        <w:pStyle w:val="Paragraphedeliste"/>
        <w:numPr>
          <w:ilvl w:val="0"/>
          <w:numId w:val="14"/>
        </w:numPr>
        <w:jc w:val="both"/>
        <w:rPr>
          <w:rFonts w:ascii="Arial Narrow" w:hAnsi="Arial Narrow" w:cs="Arial"/>
          <w:sz w:val="24"/>
          <w:szCs w:val="24"/>
        </w:rPr>
      </w:pPr>
      <w:r w:rsidRPr="007E7C5B">
        <w:rPr>
          <w:rFonts w:ascii="Arial Narrow" w:hAnsi="Arial Narrow" w:cs="Arial"/>
          <w:sz w:val="24"/>
          <w:szCs w:val="24"/>
        </w:rPr>
        <w:t>Le niveau d’appropriation par l'ensemble des acteurs ;</w:t>
      </w:r>
    </w:p>
    <w:p w14:paraId="6213DABB" w14:textId="77777777" w:rsidR="00D1765B" w:rsidRPr="007E7C5B" w:rsidRDefault="00D1765B" w:rsidP="000A1A7B">
      <w:pPr>
        <w:pStyle w:val="Paragraphedeliste"/>
        <w:numPr>
          <w:ilvl w:val="0"/>
          <w:numId w:val="14"/>
        </w:numPr>
        <w:jc w:val="both"/>
        <w:rPr>
          <w:rFonts w:ascii="Arial Narrow" w:hAnsi="Arial Narrow" w:cs="Arial"/>
          <w:sz w:val="24"/>
          <w:szCs w:val="24"/>
        </w:rPr>
      </w:pPr>
      <w:r w:rsidRPr="007E7C5B">
        <w:rPr>
          <w:rFonts w:ascii="Arial Narrow" w:hAnsi="Arial Narrow" w:cs="Arial"/>
          <w:sz w:val="24"/>
          <w:szCs w:val="24"/>
        </w:rPr>
        <w:t>L'efficacité du mécanisme de suivi-évaluation.</w:t>
      </w:r>
    </w:p>
    <w:p w14:paraId="33DA3FA9" w14:textId="7C4B9AA2" w:rsidR="007E5494" w:rsidRPr="007E7C5B" w:rsidRDefault="009A3DCB" w:rsidP="00FB59FE">
      <w:pPr>
        <w:jc w:val="both"/>
        <w:rPr>
          <w:rFonts w:ascii="Arial Narrow" w:hAnsi="Arial Narrow" w:cs="Arial"/>
          <w:sz w:val="24"/>
          <w:szCs w:val="24"/>
        </w:rPr>
      </w:pPr>
      <w:r w:rsidRPr="007E7C5B">
        <w:rPr>
          <w:rFonts w:ascii="Arial Narrow" w:hAnsi="Arial Narrow" w:cs="Arial"/>
          <w:b/>
          <w:sz w:val="24"/>
          <w:szCs w:val="24"/>
        </w:rPr>
        <w:t xml:space="preserve">Selon plus des deux-tiers </w:t>
      </w:r>
      <w:r w:rsidRPr="007E7C5B">
        <w:rPr>
          <w:rFonts w:ascii="Arial Narrow" w:hAnsi="Arial Narrow" w:cs="Arial"/>
          <w:sz w:val="24"/>
          <w:szCs w:val="24"/>
        </w:rPr>
        <w:t xml:space="preserve">des Directions Centrales et Programmes de Santé du MSHPCMU (69%) qui ont été interrogées, </w:t>
      </w:r>
      <w:r w:rsidRPr="007E7C5B">
        <w:rPr>
          <w:rFonts w:ascii="Arial Narrow" w:hAnsi="Arial Narrow" w:cs="Arial"/>
          <w:b/>
          <w:sz w:val="24"/>
          <w:szCs w:val="24"/>
        </w:rPr>
        <w:t>l'élaboration du PNDS 2021-2025 a bénéficié d'un processus participatif qui a impliqué un grand nombre d'acteurs du secteur de la Santé.</w:t>
      </w:r>
      <w:r w:rsidR="00E33227">
        <w:rPr>
          <w:rFonts w:ascii="Arial Narrow" w:hAnsi="Arial Narrow" w:cs="Arial"/>
          <w:sz w:val="24"/>
          <w:szCs w:val="24"/>
        </w:rPr>
        <w:t xml:space="preserve"> </w:t>
      </w:r>
      <w:r w:rsidR="2729E073" w:rsidRPr="007E7C5B">
        <w:rPr>
          <w:rFonts w:ascii="Arial Narrow" w:hAnsi="Arial Narrow" w:cs="Arial"/>
          <w:sz w:val="24"/>
          <w:szCs w:val="24"/>
        </w:rPr>
        <w:t xml:space="preserve">Les résultats de ces entretiens </w:t>
      </w:r>
      <w:r w:rsidR="0C9553A8" w:rsidRPr="007E7C5B">
        <w:rPr>
          <w:rFonts w:ascii="Arial Narrow" w:hAnsi="Arial Narrow" w:cs="Arial"/>
          <w:sz w:val="24"/>
          <w:szCs w:val="24"/>
        </w:rPr>
        <w:t>ont été confrontés à d'autres sources d'information</w:t>
      </w:r>
      <w:r w:rsidR="00FD64A7">
        <w:rPr>
          <w:rFonts w:ascii="Arial Narrow" w:hAnsi="Arial Narrow" w:cs="Arial"/>
          <w:sz w:val="24"/>
          <w:szCs w:val="24"/>
        </w:rPr>
        <w:t xml:space="preserve"> notamment les listes de présence des ateliers réalisés lors de l’élaboration du PNDS</w:t>
      </w:r>
      <w:r w:rsidR="0C9553A8" w:rsidRPr="007E7C5B">
        <w:rPr>
          <w:rFonts w:ascii="Arial Narrow" w:hAnsi="Arial Narrow" w:cs="Arial"/>
          <w:sz w:val="24"/>
          <w:szCs w:val="24"/>
        </w:rPr>
        <w:t xml:space="preserve"> pour en tirer des enseignements applicables à la future mise en œuvre du </w:t>
      </w:r>
      <w:r w:rsidR="3E8F99A5" w:rsidRPr="007E7C5B">
        <w:rPr>
          <w:rFonts w:ascii="Arial Narrow" w:hAnsi="Arial Narrow" w:cs="Arial"/>
          <w:sz w:val="24"/>
          <w:szCs w:val="24"/>
        </w:rPr>
        <w:t>PNDS.</w:t>
      </w:r>
    </w:p>
    <w:p w14:paraId="7AC2BC7E" w14:textId="1F92E009" w:rsidR="007E5494" w:rsidRPr="007E7C5B" w:rsidRDefault="0C9553A8" w:rsidP="1CF6F113">
      <w:pPr>
        <w:pStyle w:val="Titre3"/>
        <w:jc w:val="both"/>
        <w:rPr>
          <w:rFonts w:ascii="Arial Narrow" w:hAnsi="Arial Narrow" w:cs="Arial"/>
          <w:b/>
          <w:bCs/>
          <w:sz w:val="24"/>
          <w:szCs w:val="24"/>
        </w:rPr>
      </w:pPr>
      <w:bookmarkStart w:id="39" w:name="_Toc190677474"/>
      <w:r w:rsidRPr="007E7C5B">
        <w:rPr>
          <w:rFonts w:ascii="Arial Narrow" w:hAnsi="Arial Narrow" w:cs="Arial"/>
          <w:b/>
          <w:bCs/>
          <w:color w:val="auto"/>
          <w:sz w:val="24"/>
          <w:szCs w:val="24"/>
        </w:rPr>
        <w:t xml:space="preserve">Perception du PNDS par les </w:t>
      </w:r>
      <w:r w:rsidR="00740782" w:rsidRPr="007E7C5B">
        <w:rPr>
          <w:rFonts w:ascii="Arial Narrow" w:hAnsi="Arial Narrow" w:cs="Arial"/>
          <w:b/>
          <w:bCs/>
          <w:color w:val="auto"/>
          <w:sz w:val="24"/>
          <w:szCs w:val="24"/>
        </w:rPr>
        <w:t>structures du</w:t>
      </w:r>
      <w:r w:rsidRPr="007E7C5B">
        <w:rPr>
          <w:rFonts w:ascii="Arial Narrow" w:hAnsi="Arial Narrow" w:cs="Arial"/>
          <w:b/>
          <w:bCs/>
          <w:color w:val="auto"/>
          <w:sz w:val="24"/>
          <w:szCs w:val="24"/>
        </w:rPr>
        <w:t xml:space="preserve"> MSHPCMU (</w:t>
      </w:r>
      <w:r w:rsidR="3FD9F4CB" w:rsidRPr="007E7C5B">
        <w:rPr>
          <w:rFonts w:ascii="Arial Narrow" w:hAnsi="Arial Narrow" w:cs="Arial"/>
          <w:b/>
          <w:bCs/>
          <w:color w:val="auto"/>
          <w:sz w:val="24"/>
          <w:szCs w:val="24"/>
        </w:rPr>
        <w:t>d</w:t>
      </w:r>
      <w:r w:rsidR="6A5BBC0B" w:rsidRPr="007E7C5B">
        <w:rPr>
          <w:rFonts w:ascii="Arial Narrow" w:hAnsi="Arial Narrow" w:cs="Arial"/>
          <w:b/>
          <w:bCs/>
          <w:color w:val="auto"/>
          <w:sz w:val="24"/>
          <w:szCs w:val="24"/>
        </w:rPr>
        <w:t xml:space="preserve">irections </w:t>
      </w:r>
      <w:r w:rsidR="3FD9F4CB" w:rsidRPr="007E7C5B">
        <w:rPr>
          <w:rFonts w:ascii="Arial Narrow" w:hAnsi="Arial Narrow" w:cs="Arial"/>
          <w:b/>
          <w:bCs/>
          <w:color w:val="auto"/>
          <w:sz w:val="24"/>
          <w:szCs w:val="24"/>
        </w:rPr>
        <w:t>g</w:t>
      </w:r>
      <w:r w:rsidR="6A5BBC0B" w:rsidRPr="007E7C5B">
        <w:rPr>
          <w:rFonts w:ascii="Arial Narrow" w:hAnsi="Arial Narrow" w:cs="Arial"/>
          <w:b/>
          <w:bCs/>
          <w:color w:val="auto"/>
          <w:sz w:val="24"/>
          <w:szCs w:val="24"/>
        </w:rPr>
        <w:t xml:space="preserve">énérales, </w:t>
      </w:r>
      <w:r w:rsidR="3FD9F4CB" w:rsidRPr="007E7C5B">
        <w:rPr>
          <w:rFonts w:ascii="Arial Narrow" w:hAnsi="Arial Narrow" w:cs="Arial"/>
          <w:b/>
          <w:bCs/>
          <w:color w:val="auto"/>
          <w:sz w:val="24"/>
          <w:szCs w:val="24"/>
        </w:rPr>
        <w:t xml:space="preserve">directions </w:t>
      </w:r>
      <w:r w:rsidRPr="007E7C5B">
        <w:rPr>
          <w:rFonts w:ascii="Arial Narrow" w:hAnsi="Arial Narrow" w:cs="Arial"/>
          <w:b/>
          <w:bCs/>
          <w:color w:val="auto"/>
          <w:sz w:val="24"/>
          <w:szCs w:val="24"/>
        </w:rPr>
        <w:t>centrales, programmes de santé,</w:t>
      </w:r>
      <w:r w:rsidR="006B41FC">
        <w:rPr>
          <w:rFonts w:ascii="Arial Narrow" w:hAnsi="Arial Narrow" w:cs="Arial"/>
          <w:b/>
          <w:bCs/>
          <w:color w:val="auto"/>
          <w:sz w:val="24"/>
          <w:szCs w:val="24"/>
        </w:rPr>
        <w:t xml:space="preserve"> </w:t>
      </w:r>
      <w:r w:rsidR="002E684E" w:rsidRPr="007E7C5B">
        <w:rPr>
          <w:rFonts w:ascii="Arial Narrow" w:hAnsi="Arial Narrow" w:cs="Arial"/>
          <w:b/>
          <w:bCs/>
          <w:color w:val="auto"/>
          <w:sz w:val="24"/>
          <w:szCs w:val="24"/>
        </w:rPr>
        <w:t>EPHN,</w:t>
      </w:r>
      <w:r w:rsidRPr="007E7C5B">
        <w:rPr>
          <w:rFonts w:ascii="Arial Narrow" w:hAnsi="Arial Narrow" w:cs="Arial"/>
          <w:b/>
          <w:bCs/>
          <w:color w:val="auto"/>
          <w:sz w:val="24"/>
          <w:szCs w:val="24"/>
        </w:rPr>
        <w:t xml:space="preserve"> </w:t>
      </w:r>
      <w:r w:rsidR="3FD9F4CB" w:rsidRPr="007E7C5B">
        <w:rPr>
          <w:rFonts w:ascii="Arial Narrow" w:hAnsi="Arial Narrow" w:cs="Arial"/>
          <w:b/>
          <w:bCs/>
          <w:color w:val="auto"/>
          <w:sz w:val="24"/>
          <w:szCs w:val="24"/>
        </w:rPr>
        <w:t xml:space="preserve">directions </w:t>
      </w:r>
      <w:r w:rsidRPr="007E7C5B">
        <w:rPr>
          <w:rFonts w:ascii="Arial Narrow" w:hAnsi="Arial Narrow" w:cs="Arial"/>
          <w:b/>
          <w:bCs/>
          <w:color w:val="auto"/>
          <w:sz w:val="24"/>
          <w:szCs w:val="24"/>
        </w:rPr>
        <w:t xml:space="preserve">régionales et </w:t>
      </w:r>
      <w:r w:rsidR="3FD9F4CB" w:rsidRPr="007E7C5B">
        <w:rPr>
          <w:rFonts w:ascii="Arial Narrow" w:hAnsi="Arial Narrow" w:cs="Arial"/>
          <w:b/>
          <w:bCs/>
          <w:color w:val="auto"/>
          <w:sz w:val="24"/>
          <w:szCs w:val="24"/>
        </w:rPr>
        <w:t xml:space="preserve">directions </w:t>
      </w:r>
      <w:r w:rsidRPr="007E7C5B">
        <w:rPr>
          <w:rFonts w:ascii="Arial Narrow" w:hAnsi="Arial Narrow" w:cs="Arial"/>
          <w:b/>
          <w:bCs/>
          <w:color w:val="auto"/>
          <w:sz w:val="24"/>
          <w:szCs w:val="24"/>
        </w:rPr>
        <w:t>départementales)</w:t>
      </w:r>
      <w:bookmarkEnd w:id="39"/>
    </w:p>
    <w:p w14:paraId="5ECCC16F" w14:textId="487153DA" w:rsidR="00CA0A49" w:rsidRPr="007E7C5B" w:rsidRDefault="0C9553A8" w:rsidP="00410977">
      <w:pPr>
        <w:jc w:val="both"/>
        <w:rPr>
          <w:rFonts w:ascii="Arial Narrow" w:hAnsi="Arial Narrow" w:cs="Arial"/>
          <w:sz w:val="24"/>
          <w:szCs w:val="24"/>
        </w:rPr>
      </w:pPr>
      <w:r w:rsidRPr="007E7C5B">
        <w:rPr>
          <w:rFonts w:ascii="Arial Narrow" w:hAnsi="Arial Narrow" w:cs="Arial"/>
          <w:sz w:val="24"/>
          <w:szCs w:val="24"/>
        </w:rPr>
        <w:t xml:space="preserve">Les </w:t>
      </w:r>
      <w:r w:rsidR="00740782" w:rsidRPr="007E7C5B">
        <w:rPr>
          <w:rFonts w:ascii="Arial Narrow" w:hAnsi="Arial Narrow" w:cs="Arial"/>
          <w:sz w:val="24"/>
          <w:szCs w:val="24"/>
        </w:rPr>
        <w:t>structures du</w:t>
      </w:r>
      <w:r w:rsidR="29CBDC4F" w:rsidRPr="007E7C5B">
        <w:rPr>
          <w:rFonts w:ascii="Arial Narrow" w:hAnsi="Arial Narrow" w:cs="Arial"/>
          <w:sz w:val="24"/>
          <w:szCs w:val="24"/>
        </w:rPr>
        <w:t xml:space="preserve"> MSHPCMU </w:t>
      </w:r>
      <w:r w:rsidRPr="007E7C5B">
        <w:rPr>
          <w:rFonts w:ascii="Arial Narrow" w:hAnsi="Arial Narrow" w:cs="Arial"/>
          <w:sz w:val="24"/>
          <w:szCs w:val="24"/>
        </w:rPr>
        <w:t xml:space="preserve">ont exprimé des niveaux de satisfaction variables </w:t>
      </w:r>
      <w:r w:rsidR="7DC842DD" w:rsidRPr="007E7C5B">
        <w:rPr>
          <w:rFonts w:ascii="Arial Narrow" w:hAnsi="Arial Narrow" w:cs="Arial"/>
          <w:sz w:val="24"/>
          <w:szCs w:val="24"/>
        </w:rPr>
        <w:t>sur</w:t>
      </w:r>
      <w:r w:rsidRPr="007E7C5B">
        <w:rPr>
          <w:rFonts w:ascii="Arial Narrow" w:hAnsi="Arial Narrow" w:cs="Arial"/>
          <w:sz w:val="24"/>
          <w:szCs w:val="24"/>
        </w:rPr>
        <w:t xml:space="preserve"> à l’élaboration, la diffusion et le suivi du PNDS.</w:t>
      </w:r>
      <w:r w:rsidR="53B38FA5" w:rsidRPr="007E7C5B">
        <w:rPr>
          <w:rFonts w:ascii="Arial Narrow" w:hAnsi="Arial Narrow" w:cs="Arial"/>
          <w:sz w:val="24"/>
          <w:szCs w:val="24"/>
        </w:rPr>
        <w:t xml:space="preserve"> </w:t>
      </w:r>
    </w:p>
    <w:p w14:paraId="2F650BA8" w14:textId="3EAAAC1C" w:rsidR="008D354B" w:rsidRDefault="00DE393B" w:rsidP="0053602A">
      <w:pPr>
        <w:jc w:val="both"/>
        <w:rPr>
          <w:rFonts w:ascii="Arial Narrow" w:hAnsi="Arial Narrow" w:cs="Arial"/>
          <w:sz w:val="24"/>
          <w:szCs w:val="24"/>
        </w:rPr>
      </w:pPr>
      <w:r w:rsidRPr="007E7C5B">
        <w:rPr>
          <w:rFonts w:ascii="Arial Narrow" w:hAnsi="Arial Narrow" w:cs="Arial"/>
          <w:b/>
          <w:noProof/>
          <w:sz w:val="24"/>
          <w:szCs w:val="24"/>
          <w:lang w:eastAsia="fr-FR"/>
        </w:rPr>
        <mc:AlternateContent>
          <mc:Choice Requires="wps">
            <w:drawing>
              <wp:anchor distT="0" distB="0" distL="114300" distR="114300" simplePos="0" relativeHeight="251658247" behindDoc="1" locked="0" layoutInCell="1" allowOverlap="1" wp14:anchorId="04538474" wp14:editId="47E760BD">
                <wp:simplePos x="0" y="0"/>
                <wp:positionH relativeFrom="margin">
                  <wp:align>left</wp:align>
                </wp:positionH>
                <wp:positionV relativeFrom="paragraph">
                  <wp:posOffset>702310</wp:posOffset>
                </wp:positionV>
                <wp:extent cx="5840730" cy="3994150"/>
                <wp:effectExtent l="0" t="0" r="7620" b="6350"/>
                <wp:wrapSquare wrapText="bothSides"/>
                <wp:docPr id="489199287" name="Text Box 46"/>
                <wp:cNvGraphicFramePr/>
                <a:graphic xmlns:a="http://schemas.openxmlformats.org/drawingml/2006/main">
                  <a:graphicData uri="http://schemas.microsoft.com/office/word/2010/wordprocessingShape">
                    <wps:wsp>
                      <wps:cNvSpPr txBox="1"/>
                      <wps:spPr>
                        <a:xfrm>
                          <a:off x="0" y="0"/>
                          <a:ext cx="5840730" cy="3994150"/>
                        </a:xfrm>
                        <a:prstGeom prst="rect">
                          <a:avLst/>
                        </a:prstGeom>
                        <a:solidFill>
                          <a:schemeClr val="lt1"/>
                        </a:solidFill>
                        <a:ln w="6350">
                          <a:noFill/>
                        </a:ln>
                      </wps:spPr>
                      <wps:txbx>
                        <w:txbxContent>
                          <w:p w14:paraId="427C32A9" w14:textId="0A1C32F7" w:rsidR="009D16A0" w:rsidRPr="009E19FE" w:rsidRDefault="009D16A0" w:rsidP="00DC5897">
                            <w:pPr>
                              <w:pStyle w:val="Lgende"/>
                            </w:pPr>
                            <w:bookmarkStart w:id="40" w:name="_Toc183688788"/>
                            <w:r w:rsidRPr="009E19FE">
                              <w:t xml:space="preserve">Graphique </w:t>
                            </w:r>
                            <w:r w:rsidRPr="009E19FE" w:rsidDel="008E4C0C">
                              <w:fldChar w:fldCharType="begin"/>
                            </w:r>
                            <w:r w:rsidRPr="009E19FE" w:rsidDel="008E4C0C">
                              <w:instrText xml:space="preserve"> SEQ Graphique \* ARABIC </w:instrText>
                            </w:r>
                            <w:r w:rsidRPr="009E19FE" w:rsidDel="008E4C0C">
                              <w:fldChar w:fldCharType="separate"/>
                            </w:r>
                            <w:r w:rsidR="00F546EB">
                              <w:rPr>
                                <w:noProof/>
                              </w:rPr>
                              <w:t>1</w:t>
                            </w:r>
                            <w:r w:rsidRPr="009E19FE" w:rsidDel="008E4C0C">
                              <w:fldChar w:fldCharType="end"/>
                            </w:r>
                            <w:r w:rsidRPr="009E19FE">
                              <w:t xml:space="preserve"> : Niveaux de satisfaction de l’élaboration du PNDS, de sa diffusion et son suivi par les </w:t>
                            </w:r>
                            <w:r>
                              <w:t xml:space="preserve">structures techniques du niveau central </w:t>
                            </w:r>
                            <w:r w:rsidRPr="009E19FE">
                              <w:t>du MSHPCMU</w:t>
                            </w:r>
                            <w:bookmarkEnd w:id="40"/>
                          </w:p>
                          <w:p w14:paraId="31B058CF" w14:textId="3F9F0B65" w:rsidR="009D16A0" w:rsidRPr="009E19FE" w:rsidRDefault="007F787C" w:rsidP="003E0694">
                            <w:pPr>
                              <w:keepNext/>
                              <w:rPr>
                                <w:rFonts w:ascii="Arial Narrow" w:hAnsi="Arial Narrow" w:cs="Arial"/>
                              </w:rPr>
                            </w:pPr>
                            <w:r>
                              <w:rPr>
                                <w:noProof/>
                              </w:rPr>
                              <w:drawing>
                                <wp:inline distT="0" distB="0" distL="0" distR="0" wp14:anchorId="5384E9FF" wp14:editId="64D19ABA">
                                  <wp:extent cx="5594350" cy="3238500"/>
                                  <wp:effectExtent l="0" t="0" r="6350" b="0"/>
                                  <wp:docPr id="703323991" name="Chart 1">
                                    <a:extLst xmlns:a="http://schemas.openxmlformats.org/drawingml/2006/main">
                                      <a:ext uri="{FF2B5EF4-FFF2-40B4-BE49-F238E27FC236}">
                                        <a16:creationId xmlns:a16="http://schemas.microsoft.com/office/drawing/2014/main" id="{E16F267C-2CF8-A1CE-C7D7-3BB4E7BCB6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54BC7C0" w14:textId="77777777" w:rsidR="009D16A0" w:rsidRPr="009E19FE" w:rsidRDefault="009D16A0" w:rsidP="00DC5897">
                            <w:pPr>
                              <w:pStyle w:val="Lgende"/>
                              <w:rPr>
                                <w:sz w:val="24"/>
                                <w:szCs w:val="24"/>
                              </w:rPr>
                            </w:pPr>
                            <w:r w:rsidRPr="009E19FE">
                              <w:t xml:space="preserve">Sources : Données collectées pour la revue à mi-parcours du PNDS </w:t>
                            </w:r>
                            <w:r>
                              <w:t>2021-2025</w:t>
                            </w:r>
                          </w:p>
                          <w:p w14:paraId="573B06B0" w14:textId="77777777" w:rsidR="009D16A0" w:rsidRDefault="009D16A0" w:rsidP="003E06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4538474" id="Text Box 46" o:spid="_x0000_s1032" type="#_x0000_t202" style="position:absolute;left:0;text-align:left;margin-left:0;margin-top:55.3pt;width:459.9pt;height:314.5pt;z-index:-25165823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" fillcolor="white [3201]" stroked="f" strokeweight=".5pt">
                <v:textbox>
                  <w:txbxContent>
                    <w:p w14:paraId="427C32A9" w14:textId="0A1C32F7" w:rsidR="009D16A0" w:rsidRPr="009E19FE" w:rsidRDefault="009D16A0" w:rsidP="00DC5897">
                      <w:pPr>
                        <w:pStyle w:val="Lgende"/>
                      </w:pPr>
                      <w:bookmarkStart w:id="41" w:name="_Toc183688788"/>
                      <w:r w:rsidRPr="009E19FE">
                        <w:t xml:space="preserve">Graphique </w:t>
                      </w:r>
                      <w:r w:rsidRPr="009E19FE" w:rsidDel="008E4C0C">
                        <w:fldChar w:fldCharType="begin"/>
                      </w:r>
                      <w:r w:rsidRPr="009E19FE" w:rsidDel="008E4C0C">
                        <w:instrText xml:space="preserve"> SEQ Graphique \* ARABIC </w:instrText>
                      </w:r>
                      <w:r w:rsidRPr="009E19FE" w:rsidDel="008E4C0C">
                        <w:fldChar w:fldCharType="separate"/>
                      </w:r>
                      <w:r w:rsidR="00F546EB">
                        <w:rPr>
                          <w:noProof/>
                        </w:rPr>
                        <w:t>1</w:t>
                      </w:r>
                      <w:r w:rsidRPr="009E19FE" w:rsidDel="008E4C0C">
                        <w:fldChar w:fldCharType="end"/>
                      </w:r>
                      <w:r w:rsidRPr="009E19FE">
                        <w:t xml:space="preserve"> : Niveaux de satisfaction de l’élaboration du PNDS, de sa diffusion et son suivi par les </w:t>
                      </w:r>
                      <w:r>
                        <w:t xml:space="preserve">structures techniques du niveau central </w:t>
                      </w:r>
                      <w:r w:rsidRPr="009E19FE">
                        <w:t>du MSHPCMU</w:t>
                      </w:r>
                      <w:bookmarkEnd w:id="41"/>
                    </w:p>
                    <w:p w14:paraId="31B058CF" w14:textId="3F9F0B65" w:rsidR="009D16A0" w:rsidRPr="009E19FE" w:rsidRDefault="007F787C" w:rsidP="003E0694">
                      <w:pPr>
                        <w:keepNext/>
                        <w:rPr>
                          <w:rFonts w:ascii="Arial Narrow" w:hAnsi="Arial Narrow" w:cs="Arial"/>
                        </w:rPr>
                      </w:pPr>
                      <w:r>
                        <w:rPr>
                          <w:noProof/>
                        </w:rPr>
                        <w:drawing>
                          <wp:inline distT="0" distB="0" distL="0" distR="0" wp14:anchorId="5384E9FF" wp14:editId="64D19ABA">
                            <wp:extent cx="5594350" cy="3238500"/>
                            <wp:effectExtent l="0" t="0" r="6350" b="0"/>
                            <wp:docPr id="703323991" name="Chart 1">
                              <a:extLst xmlns:a="http://schemas.openxmlformats.org/drawingml/2006/main">
                                <a:ext uri="{FF2B5EF4-FFF2-40B4-BE49-F238E27FC236}">
                                  <a16:creationId xmlns:a16="http://schemas.microsoft.com/office/drawing/2014/main" id="{E16F267C-2CF8-A1CE-C7D7-3BB4E7BCB6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54BC7C0" w14:textId="77777777" w:rsidR="009D16A0" w:rsidRPr="009E19FE" w:rsidRDefault="009D16A0" w:rsidP="00DC5897">
                      <w:pPr>
                        <w:pStyle w:val="Lgende"/>
                        <w:rPr>
                          <w:sz w:val="24"/>
                          <w:szCs w:val="24"/>
                        </w:rPr>
                      </w:pPr>
                      <w:r w:rsidRPr="009E19FE">
                        <w:t xml:space="preserve">Sources : Données collectées pour la revue à mi-parcours du PNDS </w:t>
                      </w:r>
                      <w:r>
                        <w:t>2021-2025</w:t>
                      </w:r>
                    </w:p>
                    <w:p w14:paraId="573B06B0" w14:textId="77777777" w:rsidR="009D16A0" w:rsidRDefault="009D16A0" w:rsidP="003E0694"/>
                  </w:txbxContent>
                </v:textbox>
                <w10:wrap type="square" anchorx="margin"/>
              </v:shape>
            </w:pict>
          </mc:Fallback>
        </mc:AlternateContent>
      </w:r>
      <w:r w:rsidR="1666EDEB" w:rsidRPr="007E7C5B">
        <w:rPr>
          <w:rFonts w:ascii="Arial Narrow" w:eastAsia="Arial Narrow" w:hAnsi="Arial Narrow" w:cs="Arial Narrow"/>
          <w:sz w:val="24"/>
          <w:szCs w:val="24"/>
        </w:rPr>
        <w:t>Selon les données recueillies, 52% des acteurs se déclarent satisfaits de la diffusion du PNDS et 57% ont relevé s’être appropriés</w:t>
      </w:r>
      <w:r w:rsidR="64193D67" w:rsidRPr="007E7C5B">
        <w:rPr>
          <w:rFonts w:ascii="Arial Narrow" w:eastAsia="Arial Narrow" w:hAnsi="Arial Narrow" w:cs="Arial Narrow"/>
          <w:sz w:val="24"/>
          <w:szCs w:val="24"/>
        </w:rPr>
        <w:t xml:space="preserve">. </w:t>
      </w:r>
      <w:r w:rsidR="64193D67" w:rsidRPr="007E7C5B">
        <w:rPr>
          <w:rFonts w:ascii="Arial Narrow" w:hAnsi="Arial Narrow" w:cs="Arial"/>
          <w:sz w:val="24"/>
          <w:szCs w:val="24"/>
        </w:rPr>
        <w:t>Pour 66% d</w:t>
      </w:r>
      <w:r w:rsidR="2E6DBC43" w:rsidRPr="007E7C5B">
        <w:rPr>
          <w:rFonts w:ascii="Arial Narrow" w:hAnsi="Arial Narrow" w:cs="Arial"/>
          <w:sz w:val="24"/>
          <w:szCs w:val="24"/>
        </w:rPr>
        <w:t>’entre eux</w:t>
      </w:r>
      <w:r w:rsidR="64193D67" w:rsidRPr="007E7C5B">
        <w:rPr>
          <w:rFonts w:ascii="Arial Narrow" w:hAnsi="Arial Narrow" w:cs="Arial"/>
          <w:sz w:val="24"/>
          <w:szCs w:val="24"/>
        </w:rPr>
        <w:t>, le PNDS intègre les priorités de la santé en Côte d’Ivoire.</w:t>
      </w:r>
    </w:p>
    <w:p w14:paraId="23640F67" w14:textId="7480DF2A" w:rsidR="007E5494" w:rsidRPr="007E7C5B" w:rsidRDefault="2C51018E" w:rsidP="00761F55">
      <w:pPr>
        <w:jc w:val="both"/>
        <w:rPr>
          <w:rFonts w:ascii="Arial Narrow" w:hAnsi="Arial Narrow" w:cs="Arial"/>
          <w:sz w:val="24"/>
          <w:szCs w:val="24"/>
        </w:rPr>
      </w:pPr>
      <w:r w:rsidRPr="007E7C5B">
        <w:rPr>
          <w:rFonts w:ascii="Arial Narrow" w:hAnsi="Arial Narrow" w:cs="Arial"/>
          <w:sz w:val="24"/>
          <w:szCs w:val="24"/>
        </w:rPr>
        <w:t>C</w:t>
      </w:r>
      <w:r w:rsidR="0C9553A8" w:rsidRPr="007E7C5B">
        <w:rPr>
          <w:rFonts w:ascii="Arial Narrow" w:hAnsi="Arial Narrow" w:cs="Arial"/>
          <w:sz w:val="24"/>
          <w:szCs w:val="24"/>
        </w:rPr>
        <w:t>ependant,</w:t>
      </w:r>
      <w:r w:rsidR="00E33227">
        <w:rPr>
          <w:rFonts w:ascii="Arial Narrow" w:hAnsi="Arial Narrow" w:cs="Arial"/>
          <w:sz w:val="24"/>
          <w:szCs w:val="24"/>
        </w:rPr>
        <w:t xml:space="preserve"> </w:t>
      </w:r>
      <w:r w:rsidR="0C9553A8" w:rsidRPr="007E7C5B">
        <w:rPr>
          <w:rFonts w:ascii="Arial Narrow" w:hAnsi="Arial Narrow" w:cs="Arial"/>
          <w:sz w:val="24"/>
          <w:szCs w:val="24"/>
        </w:rPr>
        <w:t>28% trouvent le mécanisme de suivi-évaluation satisfaisant. B</w:t>
      </w:r>
      <w:r w:rsidR="6743376E" w:rsidRPr="007E7C5B">
        <w:rPr>
          <w:rFonts w:ascii="Arial Narrow" w:hAnsi="Arial Narrow" w:cs="Arial"/>
          <w:sz w:val="24"/>
          <w:szCs w:val="24"/>
        </w:rPr>
        <w:t>on nombre</w:t>
      </w:r>
      <w:r w:rsidR="0C9553A8" w:rsidRPr="007E7C5B">
        <w:rPr>
          <w:rFonts w:ascii="Arial Narrow" w:hAnsi="Arial Narrow" w:cs="Arial"/>
          <w:sz w:val="24"/>
          <w:szCs w:val="24"/>
        </w:rPr>
        <w:t xml:space="preserve"> d'entre eux déclar</w:t>
      </w:r>
      <w:r w:rsidR="0BDCBAC4" w:rsidRPr="007E7C5B">
        <w:rPr>
          <w:rFonts w:ascii="Arial Narrow" w:hAnsi="Arial Narrow" w:cs="Arial"/>
          <w:sz w:val="24"/>
          <w:szCs w:val="24"/>
        </w:rPr>
        <w:t>e</w:t>
      </w:r>
      <w:r w:rsidR="0C9553A8" w:rsidRPr="007E7C5B">
        <w:rPr>
          <w:rFonts w:ascii="Arial Narrow" w:hAnsi="Arial Narrow" w:cs="Arial"/>
          <w:sz w:val="24"/>
          <w:szCs w:val="24"/>
        </w:rPr>
        <w:t>nt ne pas comprendre clairement en quoi consiste ce mécanisme. Cette confusion s’explique principalement par :</w:t>
      </w:r>
    </w:p>
    <w:p w14:paraId="50AFA1A8" w14:textId="6E20349E" w:rsidR="007E5494" w:rsidRPr="007E7C5B" w:rsidRDefault="007E5494" w:rsidP="000A1A7B">
      <w:pPr>
        <w:pStyle w:val="Paragraphedeliste"/>
        <w:numPr>
          <w:ilvl w:val="0"/>
          <w:numId w:val="11"/>
        </w:numPr>
        <w:jc w:val="both"/>
        <w:rPr>
          <w:rFonts w:ascii="Arial Narrow" w:hAnsi="Arial Narrow" w:cs="Arial"/>
          <w:sz w:val="24"/>
          <w:szCs w:val="24"/>
        </w:rPr>
      </w:pPr>
      <w:r w:rsidRPr="007E7C5B">
        <w:rPr>
          <w:rFonts w:ascii="Arial Narrow" w:hAnsi="Arial Narrow" w:cs="Arial"/>
          <w:sz w:val="24"/>
          <w:szCs w:val="24"/>
        </w:rPr>
        <w:t>Un manque de clarté et de compréhension du PNDS par certains acteurs,</w:t>
      </w:r>
    </w:p>
    <w:p w14:paraId="7CD98F8E" w14:textId="17783176" w:rsidR="007E5494" w:rsidRPr="007E7C5B" w:rsidRDefault="0C9553A8" w:rsidP="000A1A7B">
      <w:pPr>
        <w:pStyle w:val="Paragraphedeliste"/>
        <w:numPr>
          <w:ilvl w:val="0"/>
          <w:numId w:val="11"/>
        </w:numPr>
        <w:jc w:val="both"/>
        <w:rPr>
          <w:rFonts w:ascii="Arial Narrow" w:hAnsi="Arial Narrow" w:cs="Arial"/>
          <w:sz w:val="24"/>
          <w:szCs w:val="24"/>
        </w:rPr>
      </w:pPr>
      <w:r w:rsidRPr="007E7C5B">
        <w:rPr>
          <w:rFonts w:ascii="Arial Narrow" w:hAnsi="Arial Narrow" w:cs="Arial"/>
          <w:sz w:val="24"/>
          <w:szCs w:val="24"/>
        </w:rPr>
        <w:t>La multiplicité des outils et matrices de suivi</w:t>
      </w:r>
      <w:r w:rsidR="32D4CFB5" w:rsidRPr="007E7C5B">
        <w:rPr>
          <w:rFonts w:ascii="Arial Narrow" w:hAnsi="Arial Narrow" w:cs="Arial"/>
          <w:sz w:val="24"/>
          <w:szCs w:val="24"/>
        </w:rPr>
        <w:t>.</w:t>
      </w:r>
    </w:p>
    <w:p w14:paraId="01F87DA1" w14:textId="3DD2C608" w:rsidR="00DE1700" w:rsidRPr="007E7C5B" w:rsidRDefault="0C9553A8" w:rsidP="1CF6F113">
      <w:pPr>
        <w:jc w:val="both"/>
        <w:rPr>
          <w:rFonts w:ascii="Arial Narrow" w:hAnsi="Arial Narrow" w:cs="Arial"/>
          <w:sz w:val="24"/>
          <w:szCs w:val="24"/>
        </w:rPr>
      </w:pPr>
      <w:r w:rsidRPr="007E7C5B">
        <w:rPr>
          <w:rFonts w:ascii="Arial Narrow" w:hAnsi="Arial Narrow" w:cs="Arial"/>
          <w:sz w:val="24"/>
          <w:szCs w:val="24"/>
        </w:rPr>
        <w:lastRenderedPageBreak/>
        <w:t>L</w:t>
      </w:r>
      <w:r w:rsidR="5060480E" w:rsidRPr="007E7C5B">
        <w:rPr>
          <w:rFonts w:ascii="Arial Narrow" w:hAnsi="Arial Narrow" w:cs="Arial"/>
          <w:sz w:val="24"/>
          <w:szCs w:val="24"/>
        </w:rPr>
        <w:t>a</w:t>
      </w:r>
      <w:r w:rsidRPr="007E7C5B">
        <w:rPr>
          <w:rFonts w:ascii="Arial Narrow" w:hAnsi="Arial Narrow" w:cs="Arial"/>
          <w:sz w:val="24"/>
          <w:szCs w:val="24"/>
        </w:rPr>
        <w:t xml:space="preserve"> perception des acteurs au niveau déconcentré </w:t>
      </w:r>
      <w:r w:rsidR="2D6F6C80" w:rsidRPr="007E7C5B">
        <w:rPr>
          <w:rFonts w:ascii="Arial Narrow" w:hAnsi="Arial Narrow" w:cs="Arial"/>
          <w:sz w:val="24"/>
          <w:szCs w:val="24"/>
        </w:rPr>
        <w:t>est</w:t>
      </w:r>
      <w:r w:rsidRPr="007E7C5B">
        <w:rPr>
          <w:rFonts w:ascii="Arial Narrow" w:hAnsi="Arial Narrow" w:cs="Arial"/>
          <w:sz w:val="24"/>
          <w:szCs w:val="24"/>
        </w:rPr>
        <w:t xml:space="preserve"> globalement </w:t>
      </w:r>
      <w:r w:rsidR="0014578C" w:rsidRPr="007E7C5B">
        <w:rPr>
          <w:rFonts w:ascii="Arial Narrow" w:hAnsi="Arial Narrow" w:cs="Arial"/>
          <w:sz w:val="24"/>
          <w:szCs w:val="24"/>
        </w:rPr>
        <w:t>insatisfaisante</w:t>
      </w:r>
      <w:r w:rsidRPr="007E7C5B">
        <w:rPr>
          <w:rFonts w:ascii="Arial Narrow" w:hAnsi="Arial Narrow" w:cs="Arial"/>
          <w:sz w:val="24"/>
          <w:szCs w:val="24"/>
        </w:rPr>
        <w:t xml:space="preserve"> dans les trois domaines abordés (élaboration, diffusion et suivi). </w:t>
      </w:r>
      <w:r w:rsidR="79C5F21C" w:rsidRPr="007E7C5B">
        <w:rPr>
          <w:rFonts w:ascii="Arial Narrow" w:eastAsia="Arial Narrow" w:hAnsi="Arial Narrow" w:cs="Arial Narrow"/>
          <w:sz w:val="24"/>
          <w:szCs w:val="24"/>
        </w:rPr>
        <w:t xml:space="preserve">bien que près de 130 représentants des Directions Régionales, Départementales et Hôpitaux y ont effectivement pris part </w:t>
      </w:r>
      <w:r w:rsidR="5F9DE053" w:rsidRPr="00A918AC">
        <w:rPr>
          <w:rFonts w:ascii="Arial Narrow" w:hAnsi="Arial Narrow" w:cs="Arial"/>
          <w:i/>
          <w:iCs/>
          <w:sz w:val="24"/>
          <w:szCs w:val="24"/>
        </w:rPr>
        <w:t>(cf</w:t>
      </w:r>
      <w:r w:rsidR="53724B43" w:rsidRPr="00A918AC">
        <w:rPr>
          <w:rFonts w:ascii="Arial Narrow" w:hAnsi="Arial Narrow" w:cs="Arial"/>
          <w:i/>
          <w:iCs/>
          <w:sz w:val="24"/>
          <w:szCs w:val="24"/>
        </w:rPr>
        <w:t>.</w:t>
      </w:r>
      <w:r w:rsidR="5F9DE053" w:rsidRPr="00A918AC">
        <w:rPr>
          <w:rFonts w:ascii="Arial Narrow" w:hAnsi="Arial Narrow" w:cs="Arial"/>
          <w:i/>
          <w:iCs/>
          <w:sz w:val="24"/>
          <w:szCs w:val="24"/>
        </w:rPr>
        <w:t xml:space="preserve"> liste de présence annexe PNDS)</w:t>
      </w:r>
      <w:r w:rsidR="5F9DE053" w:rsidRPr="007E7C5B">
        <w:rPr>
          <w:rFonts w:ascii="Arial Narrow" w:hAnsi="Arial Narrow" w:cs="Arial"/>
          <w:sz w:val="24"/>
          <w:szCs w:val="24"/>
        </w:rPr>
        <w:t xml:space="preserve">. </w:t>
      </w:r>
    </w:p>
    <w:p w14:paraId="11136C5B" w14:textId="3C854988" w:rsidR="679E461B" w:rsidRPr="007E7C5B" w:rsidRDefault="0038196C" w:rsidP="00A918AC">
      <w:pPr>
        <w:jc w:val="both"/>
        <w:rPr>
          <w:rFonts w:ascii="Arial Narrow" w:eastAsia="Arial Narrow" w:hAnsi="Arial Narrow" w:cs="Arial Narrow"/>
          <w:sz w:val="24"/>
          <w:szCs w:val="24"/>
        </w:rPr>
      </w:pPr>
      <w:r w:rsidRPr="007E7C5B">
        <w:rPr>
          <w:rFonts w:ascii="Arial Narrow" w:hAnsi="Arial Narrow" w:cs="Arial"/>
          <w:noProof/>
          <w:sz w:val="24"/>
          <w:szCs w:val="24"/>
          <w:lang w:eastAsia="fr-FR"/>
        </w:rPr>
        <mc:AlternateContent>
          <mc:Choice Requires="wps">
            <w:drawing>
              <wp:anchor distT="0" distB="0" distL="114300" distR="114300" simplePos="0" relativeHeight="251658245" behindDoc="1" locked="0" layoutInCell="1" allowOverlap="1" wp14:anchorId="0F6389EB" wp14:editId="40B0EC8B">
                <wp:simplePos x="0" y="0"/>
                <wp:positionH relativeFrom="column">
                  <wp:posOffset>19050</wp:posOffset>
                </wp:positionH>
                <wp:positionV relativeFrom="paragraph">
                  <wp:posOffset>563880</wp:posOffset>
                </wp:positionV>
                <wp:extent cx="5821680" cy="3028950"/>
                <wp:effectExtent l="0" t="0" r="7620" b="0"/>
                <wp:wrapTopAndBottom/>
                <wp:docPr id="1838832190" name="Text Box 49"/>
                <wp:cNvGraphicFramePr/>
                <a:graphic xmlns:a="http://schemas.openxmlformats.org/drawingml/2006/main">
                  <a:graphicData uri="http://schemas.microsoft.com/office/word/2010/wordprocessingShape">
                    <wps:wsp>
                      <wps:cNvSpPr txBox="1"/>
                      <wps:spPr>
                        <a:xfrm>
                          <a:off x="0" y="0"/>
                          <a:ext cx="5821680" cy="3028950"/>
                        </a:xfrm>
                        <a:prstGeom prst="rect">
                          <a:avLst/>
                        </a:prstGeom>
                        <a:solidFill>
                          <a:schemeClr val="lt1"/>
                        </a:solidFill>
                        <a:ln w="6350">
                          <a:noFill/>
                        </a:ln>
                      </wps:spPr>
                      <wps:txbx>
                        <w:txbxContent>
                          <w:p w14:paraId="2AFB73E4" w14:textId="7729AF92" w:rsidR="009D16A0" w:rsidRPr="009E19FE" w:rsidRDefault="009D16A0" w:rsidP="00DC5897">
                            <w:pPr>
                              <w:pStyle w:val="Lgende"/>
                            </w:pPr>
                            <w:bookmarkStart w:id="41" w:name="_Toc183688789"/>
                            <w:r w:rsidRPr="009E19FE">
                              <w:t xml:space="preserve">Graphique </w:t>
                            </w:r>
                            <w:r w:rsidRPr="009E19FE" w:rsidDel="008E4C0C">
                              <w:fldChar w:fldCharType="begin"/>
                            </w:r>
                            <w:r w:rsidRPr="009E19FE" w:rsidDel="008E4C0C">
                              <w:instrText xml:space="preserve"> SEQ Graphique \* ARABIC </w:instrText>
                            </w:r>
                            <w:r w:rsidRPr="009E19FE" w:rsidDel="008E4C0C">
                              <w:fldChar w:fldCharType="separate"/>
                            </w:r>
                            <w:r w:rsidR="00F546EB">
                              <w:rPr>
                                <w:noProof/>
                              </w:rPr>
                              <w:t>2</w:t>
                            </w:r>
                            <w:r w:rsidRPr="009E19FE" w:rsidDel="008E4C0C">
                              <w:fldChar w:fldCharType="end"/>
                            </w:r>
                            <w:r w:rsidRPr="009E19FE">
                              <w:t xml:space="preserve"> : Niveaux de satisfaction de l’élaboration du PNDS et de sa diffusion par le niveau déconcentré de la pyramide sanitaire</w:t>
                            </w:r>
                            <w:bookmarkEnd w:id="41"/>
                          </w:p>
                          <w:p w14:paraId="0B99BA10" w14:textId="300A856C" w:rsidR="009D16A0" w:rsidRPr="009E19FE" w:rsidRDefault="00DC4AD2" w:rsidP="007E5494">
                            <w:pPr>
                              <w:keepNext/>
                              <w:rPr>
                                <w:rFonts w:ascii="Arial Narrow" w:hAnsi="Arial Narrow" w:cs="Arial"/>
                              </w:rPr>
                            </w:pPr>
                            <w:r>
                              <w:rPr>
                                <w:noProof/>
                              </w:rPr>
                              <w:drawing>
                                <wp:inline distT="0" distB="0" distL="0" distR="0" wp14:anchorId="1EAD5A13" wp14:editId="22EB13D0">
                                  <wp:extent cx="5543550" cy="2133600"/>
                                  <wp:effectExtent l="0" t="0" r="0" b="0"/>
                                  <wp:docPr id="852251036" name="Chart 1">
                                    <a:extLst xmlns:a="http://schemas.openxmlformats.org/drawingml/2006/main">
                                      <a:ext uri="{FF2B5EF4-FFF2-40B4-BE49-F238E27FC236}">
                                        <a16:creationId xmlns:a16="http://schemas.microsoft.com/office/drawing/2014/main" id="{B9E2BD10-C1D8-DECE-BDBE-97D80EE2CF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383AF30" w14:textId="77777777" w:rsidR="009D16A0" w:rsidRPr="009E19FE" w:rsidRDefault="009D16A0" w:rsidP="00DC5897">
                            <w:pPr>
                              <w:pStyle w:val="Lgende"/>
                              <w:rPr>
                                <w:sz w:val="24"/>
                                <w:szCs w:val="24"/>
                              </w:rPr>
                            </w:pPr>
                            <w:r w:rsidRPr="009E19FE">
                              <w:t xml:space="preserve">Sources : Données collectées pour la revue à mi-parcours du PNDS </w:t>
                            </w:r>
                            <w:r>
                              <w:t>2021-2025</w:t>
                            </w:r>
                          </w:p>
                          <w:p w14:paraId="0DE480D5" w14:textId="77777777" w:rsidR="009D16A0" w:rsidRDefault="009D16A0" w:rsidP="007E54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F6389EB" id="Text Box 49" o:spid="_x0000_s1033" type="#_x0000_t202" style="position:absolute;left:0;text-align:left;margin-left:1.5pt;margin-top:44.4pt;width:458.4pt;height:238.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" fillcolor="white [3201]" stroked="f" strokeweight=".5pt">
                <v:textbox>
                  <w:txbxContent>
                    <w:p w14:paraId="2AFB73E4" w14:textId="7729AF92" w:rsidR="009D16A0" w:rsidRPr="009E19FE" w:rsidRDefault="009D16A0" w:rsidP="00DC5897">
                      <w:pPr>
                        <w:pStyle w:val="Lgende"/>
                      </w:pPr>
                      <w:bookmarkStart w:id="43" w:name="_Toc183688789"/>
                      <w:r w:rsidRPr="009E19FE">
                        <w:t xml:space="preserve">Graphique </w:t>
                      </w:r>
                      <w:r w:rsidRPr="009E19FE" w:rsidDel="008E4C0C">
                        <w:fldChar w:fldCharType="begin"/>
                      </w:r>
                      <w:r w:rsidRPr="009E19FE" w:rsidDel="008E4C0C">
                        <w:instrText xml:space="preserve"> SEQ Graphique \* ARABIC </w:instrText>
                      </w:r>
                      <w:r w:rsidRPr="009E19FE" w:rsidDel="008E4C0C">
                        <w:fldChar w:fldCharType="separate"/>
                      </w:r>
                      <w:r w:rsidR="00F546EB">
                        <w:rPr>
                          <w:noProof/>
                        </w:rPr>
                        <w:t>2</w:t>
                      </w:r>
                      <w:r w:rsidRPr="009E19FE" w:rsidDel="008E4C0C">
                        <w:fldChar w:fldCharType="end"/>
                      </w:r>
                      <w:r w:rsidRPr="009E19FE">
                        <w:t xml:space="preserve"> : Niveaux de satisfaction de l’élaboration du PNDS et de sa diffusion par le niveau déconcentré de la pyramide sanitaire</w:t>
                      </w:r>
                      <w:bookmarkEnd w:id="43"/>
                    </w:p>
                    <w:p w14:paraId="0B99BA10" w14:textId="300A856C" w:rsidR="009D16A0" w:rsidRPr="009E19FE" w:rsidRDefault="00DC4AD2" w:rsidP="007E5494">
                      <w:pPr>
                        <w:keepNext/>
                        <w:rPr>
                          <w:rFonts w:ascii="Arial Narrow" w:hAnsi="Arial Narrow" w:cs="Arial"/>
                        </w:rPr>
                      </w:pPr>
                      <w:r>
                        <w:rPr>
                          <w:noProof/>
                        </w:rPr>
                        <w:drawing>
                          <wp:inline distT="0" distB="0" distL="0" distR="0" wp14:anchorId="1EAD5A13" wp14:editId="22EB13D0">
                            <wp:extent cx="5543550" cy="2133600"/>
                            <wp:effectExtent l="0" t="0" r="0" b="0"/>
                            <wp:docPr id="852251036" name="Chart 1">
                              <a:extLst xmlns:a="http://schemas.openxmlformats.org/drawingml/2006/main">
                                <a:ext uri="{FF2B5EF4-FFF2-40B4-BE49-F238E27FC236}">
                                  <a16:creationId xmlns:a16="http://schemas.microsoft.com/office/drawing/2014/main" id="{B9E2BD10-C1D8-DECE-BDBE-97D80EE2CF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383AF30" w14:textId="77777777" w:rsidR="009D16A0" w:rsidRPr="009E19FE" w:rsidRDefault="009D16A0" w:rsidP="00DC5897">
                      <w:pPr>
                        <w:pStyle w:val="Lgende"/>
                        <w:rPr>
                          <w:sz w:val="24"/>
                          <w:szCs w:val="24"/>
                        </w:rPr>
                      </w:pPr>
                      <w:r w:rsidRPr="009E19FE">
                        <w:t xml:space="preserve">Sources : Données collectées pour la revue à mi-parcours du PNDS </w:t>
                      </w:r>
                      <w:r>
                        <w:t>2021-2025</w:t>
                      </w:r>
                    </w:p>
                    <w:p w14:paraId="0DE480D5" w14:textId="77777777" w:rsidR="009D16A0" w:rsidRDefault="009D16A0" w:rsidP="007E5494"/>
                  </w:txbxContent>
                </v:textbox>
                <w10:wrap type="topAndBottom"/>
              </v:shape>
            </w:pict>
          </mc:Fallback>
        </mc:AlternateContent>
      </w:r>
      <w:r w:rsidR="679E461B" w:rsidRPr="007E7C5B">
        <w:rPr>
          <w:rFonts w:ascii="Arial Narrow" w:eastAsia="Arial Narrow" w:hAnsi="Arial Narrow" w:cs="Arial Narrow"/>
          <w:sz w:val="24"/>
          <w:szCs w:val="24"/>
        </w:rPr>
        <w:t>Concernant la diffusion du PNDS, 42,9% des acteurs, du niveau déconcentré, ont confirmé avoir reçu une version numérique du document. Cependant, certaines structures de prise en charge ont déclaré que le document ne leur est pas diffusé.</w:t>
      </w:r>
    </w:p>
    <w:p w14:paraId="2FFB97A1" w14:textId="5DE111CB" w:rsidR="00DE1700" w:rsidRPr="007E7C5B" w:rsidRDefault="23B19D01" w:rsidP="1CF6F113">
      <w:pPr>
        <w:jc w:val="both"/>
        <w:rPr>
          <w:rFonts w:ascii="Arial Narrow" w:hAnsi="Arial Narrow" w:cs="Arial"/>
          <w:sz w:val="24"/>
          <w:szCs w:val="24"/>
        </w:rPr>
      </w:pPr>
      <w:r w:rsidRPr="007E7C5B">
        <w:rPr>
          <w:rFonts w:ascii="Arial Narrow" w:hAnsi="Arial Narrow" w:cs="Arial"/>
          <w:sz w:val="24"/>
          <w:szCs w:val="24"/>
        </w:rPr>
        <w:t>En résumé, c</w:t>
      </w:r>
      <w:r w:rsidR="5F9DE053" w:rsidRPr="007E7C5B">
        <w:rPr>
          <w:rFonts w:ascii="Arial Narrow" w:hAnsi="Arial Narrow" w:cs="Arial"/>
          <w:sz w:val="24"/>
          <w:szCs w:val="24"/>
        </w:rPr>
        <w:t>e</w:t>
      </w:r>
      <w:r w:rsidRPr="007E7C5B">
        <w:rPr>
          <w:rFonts w:ascii="Arial Narrow" w:hAnsi="Arial Narrow" w:cs="Arial"/>
          <w:sz w:val="24"/>
          <w:szCs w:val="24"/>
        </w:rPr>
        <w:t>tte</w:t>
      </w:r>
      <w:r w:rsidR="5F9DE053" w:rsidRPr="007E7C5B">
        <w:rPr>
          <w:rFonts w:ascii="Arial Narrow" w:hAnsi="Arial Narrow" w:cs="Arial"/>
          <w:sz w:val="24"/>
          <w:szCs w:val="24"/>
        </w:rPr>
        <w:t xml:space="preserve"> perception des acteurs du MSHPCMU soulève des questions </w:t>
      </w:r>
      <w:r w:rsidR="2FA096EA" w:rsidRPr="002563B2">
        <w:rPr>
          <w:rFonts w:ascii="Arial Narrow" w:hAnsi="Arial Narrow" w:cs="Arial"/>
          <w:sz w:val="24"/>
          <w:szCs w:val="24"/>
        </w:rPr>
        <w:t>de</w:t>
      </w:r>
      <w:r w:rsidR="5F9DE053" w:rsidRPr="002563B2">
        <w:rPr>
          <w:rFonts w:ascii="Arial Narrow" w:hAnsi="Arial Narrow" w:cs="Arial"/>
          <w:sz w:val="24"/>
          <w:szCs w:val="24"/>
        </w:rPr>
        <w:t xml:space="preserve"> la représentativité</w:t>
      </w:r>
      <w:r w:rsidR="5F9DE053" w:rsidRPr="007E7C5B">
        <w:rPr>
          <w:rFonts w:ascii="Arial Narrow" w:hAnsi="Arial Narrow" w:cs="Arial"/>
          <w:sz w:val="24"/>
          <w:szCs w:val="24"/>
        </w:rPr>
        <w:t xml:space="preserve"> des participants et</w:t>
      </w:r>
      <w:r w:rsidR="002F2A96" w:rsidRPr="007E7C5B" w:rsidDel="5F9DE053">
        <w:rPr>
          <w:rFonts w:ascii="Arial Narrow" w:hAnsi="Arial Narrow" w:cs="Arial"/>
          <w:sz w:val="24"/>
          <w:szCs w:val="24"/>
        </w:rPr>
        <w:t xml:space="preserve"> </w:t>
      </w:r>
      <w:r w:rsidR="26F89B5E" w:rsidRPr="007E7C5B">
        <w:rPr>
          <w:rFonts w:ascii="Arial Narrow" w:eastAsia="Arial Narrow" w:hAnsi="Arial Narrow" w:cs="Arial Narrow"/>
          <w:sz w:val="24"/>
          <w:szCs w:val="24"/>
        </w:rPr>
        <w:t>de communication interne au sein</w:t>
      </w:r>
      <w:r w:rsidR="5F9DE053" w:rsidRPr="007E7C5B">
        <w:rPr>
          <w:rFonts w:ascii="Arial Narrow" w:hAnsi="Arial Narrow" w:cs="Arial"/>
          <w:sz w:val="24"/>
          <w:szCs w:val="24"/>
        </w:rPr>
        <w:t xml:space="preserve"> des structures concernées. Pour garantir une meilleure appropriation, il est recommandé </w:t>
      </w:r>
      <w:r w:rsidR="59D912D6" w:rsidRPr="007E7C5B">
        <w:rPr>
          <w:rFonts w:ascii="Arial Narrow" w:hAnsi="Arial Narrow" w:cs="Arial"/>
          <w:sz w:val="24"/>
          <w:szCs w:val="24"/>
        </w:rPr>
        <w:t xml:space="preserve">que </w:t>
      </w:r>
      <w:r w:rsidR="5F9DE053" w:rsidRPr="007E7C5B">
        <w:rPr>
          <w:rFonts w:ascii="Arial Narrow" w:hAnsi="Arial Narrow" w:cs="Arial"/>
          <w:sz w:val="24"/>
          <w:szCs w:val="24"/>
        </w:rPr>
        <w:t>des efforts soient faits pour sensibiliser davantage les acteurs à tous les niveaux de la pyramide sanitaire.</w:t>
      </w:r>
    </w:p>
    <w:p w14:paraId="2C53B584" w14:textId="6C3AB311" w:rsidR="007E5494" w:rsidRPr="007E7C5B" w:rsidRDefault="007E5494" w:rsidP="004A73C4">
      <w:pPr>
        <w:pStyle w:val="Titre3"/>
        <w:jc w:val="both"/>
        <w:rPr>
          <w:rFonts w:ascii="Arial Narrow" w:hAnsi="Arial Narrow" w:cs="Arial"/>
          <w:b/>
          <w:sz w:val="24"/>
          <w:szCs w:val="24"/>
        </w:rPr>
      </w:pPr>
      <w:bookmarkStart w:id="42" w:name="_Toc190677475"/>
      <w:r w:rsidRPr="004A73C4">
        <w:rPr>
          <w:rFonts w:ascii="Arial Narrow" w:hAnsi="Arial Narrow" w:cs="Arial"/>
          <w:b/>
          <w:bCs/>
          <w:color w:val="auto"/>
          <w:sz w:val="24"/>
          <w:szCs w:val="24"/>
        </w:rPr>
        <w:t>Perception du PNDS par les Partenaires (PTF, société civile, secteur privé)</w:t>
      </w:r>
      <w:bookmarkEnd w:id="42"/>
      <w:r w:rsidRPr="007E7C5B">
        <w:rPr>
          <w:rFonts w:ascii="Arial Narrow" w:hAnsi="Arial Narrow" w:cs="Arial"/>
          <w:b/>
          <w:sz w:val="24"/>
          <w:szCs w:val="24"/>
        </w:rPr>
        <w:t xml:space="preserve"> </w:t>
      </w:r>
    </w:p>
    <w:p w14:paraId="73851492" w14:textId="29A0E66C" w:rsidR="007E5494" w:rsidRPr="007E7C5B" w:rsidRDefault="002E6373" w:rsidP="00761F55">
      <w:pPr>
        <w:jc w:val="both"/>
        <w:rPr>
          <w:rFonts w:ascii="Arial Narrow" w:hAnsi="Arial Narrow" w:cs="Arial"/>
          <w:sz w:val="24"/>
          <w:szCs w:val="24"/>
        </w:rPr>
      </w:pPr>
      <w:r w:rsidRPr="004A73C4">
        <w:rPr>
          <w:rFonts w:ascii="Arial Narrow" w:hAnsi="Arial Narrow" w:cs="Arial"/>
          <w:b/>
          <w:bCs/>
          <w:noProof/>
          <w:sz w:val="24"/>
          <w:szCs w:val="24"/>
        </w:rPr>
        <mc:AlternateContent>
          <mc:Choice Requires="wps">
            <w:drawing>
              <wp:anchor distT="0" distB="0" distL="114300" distR="114300" simplePos="0" relativeHeight="251658246" behindDoc="1" locked="0" layoutInCell="1" allowOverlap="1" wp14:anchorId="603E0DC5" wp14:editId="170F784E">
                <wp:simplePos x="0" y="0"/>
                <wp:positionH relativeFrom="margin">
                  <wp:align>left</wp:align>
                </wp:positionH>
                <wp:positionV relativeFrom="paragraph">
                  <wp:posOffset>640080</wp:posOffset>
                </wp:positionV>
                <wp:extent cx="5934710" cy="2838450"/>
                <wp:effectExtent l="0" t="0" r="8890" b="0"/>
                <wp:wrapTopAndBottom/>
                <wp:docPr id="634612088" name="Text Box 48"/>
                <wp:cNvGraphicFramePr/>
                <a:graphic xmlns:a="http://schemas.openxmlformats.org/drawingml/2006/main">
                  <a:graphicData uri="http://schemas.microsoft.com/office/word/2010/wordprocessingShape">
                    <wps:wsp>
                      <wps:cNvSpPr txBox="1"/>
                      <wps:spPr>
                        <a:xfrm>
                          <a:off x="0" y="0"/>
                          <a:ext cx="5934710" cy="2838450"/>
                        </a:xfrm>
                        <a:prstGeom prst="rect">
                          <a:avLst/>
                        </a:prstGeom>
                        <a:solidFill>
                          <a:schemeClr val="lt1"/>
                        </a:solidFill>
                        <a:ln w="6350">
                          <a:noFill/>
                        </a:ln>
                      </wps:spPr>
                      <wps:txbx>
                        <w:txbxContent>
                          <w:p w14:paraId="633205B0" w14:textId="1F763043" w:rsidR="009D16A0" w:rsidRPr="009E19FE" w:rsidRDefault="009D16A0" w:rsidP="00DC5897">
                            <w:pPr>
                              <w:pStyle w:val="Lgende"/>
                            </w:pPr>
                            <w:bookmarkStart w:id="43" w:name="_Toc183688790"/>
                            <w:r w:rsidRPr="009E19FE">
                              <w:t xml:space="preserve">Graphique </w:t>
                            </w:r>
                            <w:r w:rsidRPr="009E19FE" w:rsidDel="008E4C0C">
                              <w:fldChar w:fldCharType="begin"/>
                            </w:r>
                            <w:r w:rsidRPr="009E19FE" w:rsidDel="008E4C0C">
                              <w:instrText xml:space="preserve"> SEQ Graphique \* ARABIC </w:instrText>
                            </w:r>
                            <w:r w:rsidRPr="009E19FE" w:rsidDel="008E4C0C">
                              <w:fldChar w:fldCharType="separate"/>
                            </w:r>
                            <w:r w:rsidR="00F546EB">
                              <w:rPr>
                                <w:noProof/>
                              </w:rPr>
                              <w:t>3</w:t>
                            </w:r>
                            <w:r w:rsidRPr="009E19FE" w:rsidDel="008E4C0C">
                              <w:fldChar w:fldCharType="end"/>
                            </w:r>
                            <w:r w:rsidRPr="009E19FE">
                              <w:t xml:space="preserve"> : Niveaux de satisfaction de l’élaboration, de la diffusion et du suivi du PNDS </w:t>
                            </w:r>
                            <w:r>
                              <w:t>2021-2025</w:t>
                            </w:r>
                            <w:r w:rsidRPr="009E19FE">
                              <w:t xml:space="preserve"> par les PTF de la Santé</w:t>
                            </w:r>
                            <w:bookmarkEnd w:id="43"/>
                          </w:p>
                          <w:p w14:paraId="11110B74" w14:textId="77777777" w:rsidR="009D16A0" w:rsidRDefault="003E4017" w:rsidP="007E5494">
                            <w:pPr>
                              <w:keepNext/>
                            </w:pPr>
                            <w:r>
                              <w:rPr>
                                <w:noProof/>
                              </w:rPr>
                              <w:drawing>
                                <wp:inline distT="0" distB="0" distL="0" distR="0" wp14:anchorId="70B74A5A" wp14:editId="35820368">
                                  <wp:extent cx="5391150" cy="2019300"/>
                                  <wp:effectExtent l="0" t="0" r="0" b="0"/>
                                  <wp:docPr id="431246790" name="Chart 1">
                                    <a:extLst xmlns:a="http://schemas.openxmlformats.org/drawingml/2006/main">
                                      <a:ext uri="{FF2B5EF4-FFF2-40B4-BE49-F238E27FC236}">
                                        <a16:creationId xmlns:a16="http://schemas.microsoft.com/office/drawing/2014/main" id="{E0F11260-27BD-9941-1AF5-5BCC0F08E3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5F124CD" w14:textId="77777777" w:rsidR="009D16A0" w:rsidRPr="009E19FE" w:rsidRDefault="009D16A0" w:rsidP="00DC5897">
                            <w:pPr>
                              <w:pStyle w:val="Lgende"/>
                            </w:pPr>
                            <w:r>
                              <w:t xml:space="preserve">Source : </w:t>
                            </w:r>
                            <w:r w:rsidRPr="006E2038">
                              <w:t>Données collectées pour la revue à mi-parcours du PNDS 2021-2025</w:t>
                            </w:r>
                          </w:p>
                          <w:p w14:paraId="1F1DA723" w14:textId="77777777" w:rsidR="009D16A0" w:rsidRDefault="009D16A0" w:rsidP="007E54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03E0DC5" id="Text Box 48" o:spid="_x0000_s1034" type="#_x0000_t202" style="position:absolute;left:0;text-align:left;margin-left:0;margin-top:50.4pt;width:467.3pt;height:223.5pt;z-index:-25165823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" fillcolor="white [3201]" stroked="f" strokeweight=".5pt">
                <v:textbox>
                  <w:txbxContent>
                    <w:p w14:paraId="633205B0" w14:textId="1F763043" w:rsidR="009D16A0" w:rsidRPr="009E19FE" w:rsidRDefault="009D16A0" w:rsidP="00DC5897">
                      <w:pPr>
                        <w:pStyle w:val="Lgende"/>
                      </w:pPr>
                      <w:bookmarkStart w:id="46" w:name="_Toc183688790"/>
                      <w:r w:rsidRPr="009E19FE">
                        <w:t xml:space="preserve">Graphique </w:t>
                      </w:r>
                      <w:r w:rsidRPr="009E19FE" w:rsidDel="008E4C0C">
                        <w:fldChar w:fldCharType="begin"/>
                      </w:r>
                      <w:r w:rsidRPr="009E19FE" w:rsidDel="008E4C0C">
                        <w:instrText xml:space="preserve"> SEQ Graphique \* ARABIC </w:instrText>
                      </w:r>
                      <w:r w:rsidRPr="009E19FE" w:rsidDel="008E4C0C">
                        <w:fldChar w:fldCharType="separate"/>
                      </w:r>
                      <w:r w:rsidR="00F546EB">
                        <w:rPr>
                          <w:noProof/>
                        </w:rPr>
                        <w:t>3</w:t>
                      </w:r>
                      <w:r w:rsidRPr="009E19FE" w:rsidDel="008E4C0C">
                        <w:fldChar w:fldCharType="end"/>
                      </w:r>
                      <w:r w:rsidRPr="009E19FE">
                        <w:t xml:space="preserve"> : Niveaux de satisfaction de l’élaboration, de la diffusion et du suivi du PNDS </w:t>
                      </w:r>
                      <w:r>
                        <w:t>2021-2025</w:t>
                      </w:r>
                      <w:r w:rsidRPr="009E19FE">
                        <w:t xml:space="preserve"> par les PTF de la Santé</w:t>
                      </w:r>
                      <w:bookmarkEnd w:id="46"/>
                    </w:p>
                    <w:p w14:paraId="11110B74" w14:textId="77777777" w:rsidR="009D16A0" w:rsidRDefault="003E4017" w:rsidP="007E5494">
                      <w:pPr>
                        <w:keepNext/>
                      </w:pPr>
                      <w:r>
                        <w:rPr>
                          <w:noProof/>
                        </w:rPr>
                        <w:drawing>
                          <wp:inline distT="0" distB="0" distL="0" distR="0" wp14:anchorId="70B74A5A" wp14:editId="35820368">
                            <wp:extent cx="5391150" cy="2019300"/>
                            <wp:effectExtent l="0" t="0" r="0" b="0"/>
                            <wp:docPr id="431246790" name="Chart 1">
                              <a:extLst xmlns:a="http://schemas.openxmlformats.org/drawingml/2006/main">
                                <a:ext uri="{FF2B5EF4-FFF2-40B4-BE49-F238E27FC236}">
                                  <a16:creationId xmlns:a16="http://schemas.microsoft.com/office/drawing/2014/main" id="{E0F11260-27BD-9941-1AF5-5BCC0F08E3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5F124CD" w14:textId="77777777" w:rsidR="009D16A0" w:rsidRPr="009E19FE" w:rsidRDefault="009D16A0" w:rsidP="00DC5897">
                      <w:pPr>
                        <w:pStyle w:val="Lgende"/>
                      </w:pPr>
                      <w:r>
                        <w:t xml:space="preserve">Source : </w:t>
                      </w:r>
                      <w:r w:rsidRPr="006E2038">
                        <w:t>Données collectées pour la revue à mi-parcours du PNDS 2021-2025</w:t>
                      </w:r>
                    </w:p>
                    <w:p w14:paraId="1F1DA723" w14:textId="77777777" w:rsidR="009D16A0" w:rsidRDefault="009D16A0" w:rsidP="007E5494"/>
                  </w:txbxContent>
                </v:textbox>
                <w10:wrap type="topAndBottom" anchorx="margin"/>
              </v:shape>
            </w:pict>
          </mc:Fallback>
        </mc:AlternateContent>
      </w:r>
      <w:r w:rsidR="007E5494" w:rsidRPr="007E7C5B">
        <w:rPr>
          <w:rFonts w:ascii="Arial Narrow" w:hAnsi="Arial Narrow" w:cs="Arial"/>
          <w:bCs/>
          <w:sz w:val="24"/>
          <w:szCs w:val="24"/>
        </w:rPr>
        <w:t>Tous les Partenaires Techniques et Financiers (PTF) interviewés</w:t>
      </w:r>
      <w:r w:rsidR="007E5494" w:rsidRPr="007E7C5B">
        <w:rPr>
          <w:rFonts w:ascii="Arial Narrow" w:hAnsi="Arial Narrow" w:cs="Arial"/>
          <w:sz w:val="24"/>
          <w:szCs w:val="24"/>
        </w:rPr>
        <w:t xml:space="preserve">, </w:t>
      </w:r>
      <w:r w:rsidR="000C366E" w:rsidRPr="007E7C5B">
        <w:rPr>
          <w:rFonts w:ascii="Arial Narrow" w:hAnsi="Arial Narrow" w:cs="Arial"/>
          <w:sz w:val="24"/>
          <w:szCs w:val="24"/>
        </w:rPr>
        <w:t xml:space="preserve">ainsi que la </w:t>
      </w:r>
      <w:r w:rsidR="007E5494" w:rsidRPr="007E7C5B">
        <w:rPr>
          <w:rFonts w:ascii="Arial Narrow" w:hAnsi="Arial Narrow" w:cs="Arial"/>
          <w:sz w:val="24"/>
          <w:szCs w:val="24"/>
        </w:rPr>
        <w:t>Société civile et le Secteur Privé,</w:t>
      </w:r>
      <w:r w:rsidR="009D16A0" w:rsidRPr="007E7C5B">
        <w:rPr>
          <w:rFonts w:ascii="Arial Narrow" w:hAnsi="Arial Narrow" w:cs="Arial"/>
          <w:sz w:val="24"/>
          <w:szCs w:val="24"/>
        </w:rPr>
        <w:t xml:space="preserve"> disent globalement être satisfaits de leur niveau d’implication dans l’élaboration et la diffusion du PNDS. </w:t>
      </w:r>
      <w:r w:rsidR="0014578C" w:rsidRPr="007E7C5B">
        <w:rPr>
          <w:rFonts w:ascii="Arial Narrow" w:hAnsi="Arial Narrow" w:cs="Arial"/>
          <w:sz w:val="24"/>
          <w:szCs w:val="24"/>
        </w:rPr>
        <w:t>Également</w:t>
      </w:r>
      <w:r w:rsidR="009D16A0" w:rsidRPr="007E7C5B">
        <w:rPr>
          <w:rFonts w:ascii="Arial Narrow" w:hAnsi="Arial Narrow" w:cs="Arial"/>
          <w:sz w:val="24"/>
          <w:szCs w:val="24"/>
        </w:rPr>
        <w:t xml:space="preserve">, ils reconnaissent l’existence d’un mécanisme de coordination des partenaires de la </w:t>
      </w:r>
      <w:r w:rsidR="009D16A0" w:rsidRPr="007E7C5B">
        <w:rPr>
          <w:rFonts w:ascii="Arial Narrow" w:hAnsi="Arial Narrow" w:cs="Arial"/>
          <w:sz w:val="24"/>
          <w:szCs w:val="24"/>
        </w:rPr>
        <w:lastRenderedPageBreak/>
        <w:t>santé dans la mise en œuvre dudit plan. Cependant, ils estiment que des améliorations sont nécessaires concernant le mécanisme de suivi-évaluation.</w:t>
      </w:r>
      <w:r w:rsidR="00E33227">
        <w:rPr>
          <w:rFonts w:ascii="Arial Narrow" w:hAnsi="Arial Narrow" w:cs="Arial"/>
          <w:sz w:val="24"/>
          <w:szCs w:val="24"/>
        </w:rPr>
        <w:t xml:space="preserve"> </w:t>
      </w:r>
    </w:p>
    <w:p w14:paraId="537316DB" w14:textId="2DD661DF" w:rsidR="007E5494" w:rsidRPr="007E7C5B" w:rsidRDefault="007E5494" w:rsidP="00761F55">
      <w:pPr>
        <w:jc w:val="both"/>
        <w:rPr>
          <w:rFonts w:ascii="Arial Narrow" w:hAnsi="Arial Narrow" w:cs="Arial"/>
          <w:sz w:val="24"/>
          <w:szCs w:val="24"/>
        </w:rPr>
      </w:pPr>
      <w:r w:rsidRPr="007E7C5B">
        <w:rPr>
          <w:rFonts w:ascii="Arial Narrow" w:hAnsi="Arial Narrow" w:cs="Arial"/>
          <w:sz w:val="24"/>
          <w:szCs w:val="24"/>
        </w:rPr>
        <w:t>Par ailleurs, les acteurs interviewés ont admis que certaines thématiques doivent être renforcées ou abordées dans le prochain PNDS</w:t>
      </w:r>
      <w:r w:rsidR="0036427E" w:rsidRPr="007E7C5B">
        <w:rPr>
          <w:rFonts w:ascii="Arial Narrow" w:hAnsi="Arial Narrow" w:cs="Arial"/>
          <w:sz w:val="24"/>
          <w:szCs w:val="24"/>
        </w:rPr>
        <w:t>, ainsi que des risques</w:t>
      </w:r>
      <w:r w:rsidR="00277D4D" w:rsidRPr="007E7C5B">
        <w:rPr>
          <w:rFonts w:ascii="Arial Narrow" w:hAnsi="Arial Narrow" w:cs="Arial"/>
          <w:sz w:val="24"/>
          <w:szCs w:val="24"/>
        </w:rPr>
        <w:t xml:space="preserve"> qui doivent être pris en compte</w:t>
      </w:r>
      <w:r w:rsidRPr="007E7C5B">
        <w:rPr>
          <w:rFonts w:ascii="Arial Narrow" w:hAnsi="Arial Narrow" w:cs="Arial"/>
          <w:sz w:val="24"/>
          <w:szCs w:val="24"/>
        </w:rPr>
        <w:t xml:space="preserve"> :</w:t>
      </w:r>
    </w:p>
    <w:p w14:paraId="0140A61B" w14:textId="52C2EA8E" w:rsidR="007E5494" w:rsidRPr="007E7C5B" w:rsidRDefault="007E5494" w:rsidP="000A1A7B">
      <w:pPr>
        <w:pStyle w:val="Paragraphedeliste"/>
        <w:numPr>
          <w:ilvl w:val="0"/>
          <w:numId w:val="12"/>
        </w:numPr>
        <w:spacing w:after="120"/>
        <w:ind w:left="714" w:hanging="357"/>
        <w:contextualSpacing w:val="0"/>
        <w:jc w:val="both"/>
        <w:rPr>
          <w:rFonts w:ascii="Arial Narrow" w:hAnsi="Arial Narrow" w:cs="Arial"/>
          <w:sz w:val="24"/>
          <w:szCs w:val="24"/>
        </w:rPr>
      </w:pPr>
      <w:r w:rsidRPr="007E7C5B">
        <w:rPr>
          <w:rFonts w:ascii="Arial Narrow" w:hAnsi="Arial Narrow" w:cs="Arial"/>
          <w:b/>
          <w:sz w:val="24"/>
          <w:szCs w:val="24"/>
        </w:rPr>
        <w:t>Le changement climatique</w:t>
      </w:r>
      <w:r w:rsidR="009D16A0" w:rsidRPr="007E7C5B">
        <w:rPr>
          <w:rFonts w:ascii="Arial Narrow" w:hAnsi="Arial Narrow" w:cs="Arial"/>
          <w:sz w:val="24"/>
          <w:szCs w:val="24"/>
        </w:rPr>
        <w:t>,</w:t>
      </w:r>
      <w:r w:rsidR="00880EAE" w:rsidRPr="007E7C5B">
        <w:rPr>
          <w:rFonts w:ascii="Arial Narrow" w:hAnsi="Arial Narrow" w:cs="Arial"/>
          <w:sz w:val="24"/>
          <w:szCs w:val="24"/>
        </w:rPr>
        <w:t xml:space="preserve"> </w:t>
      </w:r>
      <w:r w:rsidR="009D16A0" w:rsidRPr="007E7C5B">
        <w:rPr>
          <w:rFonts w:ascii="Arial Narrow" w:hAnsi="Arial Narrow" w:cs="Arial"/>
          <w:sz w:val="24"/>
          <w:szCs w:val="24"/>
        </w:rPr>
        <w:t>dont les impacts sur la santé ne sont pas suffisamment pris en compte dans</w:t>
      </w:r>
      <w:r w:rsidRPr="007E7C5B">
        <w:rPr>
          <w:rFonts w:ascii="Arial Narrow" w:hAnsi="Arial Narrow" w:cs="Arial"/>
          <w:sz w:val="24"/>
          <w:szCs w:val="24"/>
        </w:rPr>
        <w:t xml:space="preserve"> l’actuel PNDS, notamment en matière de problèmes de santé émergents.</w:t>
      </w:r>
    </w:p>
    <w:p w14:paraId="2831056B" w14:textId="7E2C6A2A" w:rsidR="007E5494" w:rsidRPr="007E7C5B" w:rsidRDefault="007E5494" w:rsidP="000A1A7B">
      <w:pPr>
        <w:pStyle w:val="Paragraphedeliste"/>
        <w:numPr>
          <w:ilvl w:val="0"/>
          <w:numId w:val="12"/>
        </w:numPr>
        <w:spacing w:after="120"/>
        <w:ind w:left="714" w:hanging="357"/>
        <w:contextualSpacing w:val="0"/>
        <w:jc w:val="both"/>
        <w:rPr>
          <w:rFonts w:ascii="Arial Narrow" w:hAnsi="Arial Narrow" w:cs="Arial"/>
          <w:sz w:val="24"/>
          <w:szCs w:val="24"/>
        </w:rPr>
      </w:pPr>
      <w:r w:rsidRPr="007E7C5B">
        <w:rPr>
          <w:rFonts w:ascii="Arial Narrow" w:hAnsi="Arial Narrow" w:cs="Arial"/>
          <w:b/>
          <w:sz w:val="24"/>
          <w:szCs w:val="24"/>
        </w:rPr>
        <w:t>Les crises et événements imprévus</w:t>
      </w:r>
      <w:r w:rsidRPr="007E7C5B">
        <w:rPr>
          <w:rFonts w:ascii="Arial Narrow" w:hAnsi="Arial Narrow" w:cs="Arial"/>
          <w:sz w:val="24"/>
          <w:szCs w:val="24"/>
        </w:rPr>
        <w:t xml:space="preserve"> </w:t>
      </w:r>
      <w:r w:rsidR="009D16A0" w:rsidRPr="007E7C5B">
        <w:rPr>
          <w:rFonts w:ascii="Arial Narrow" w:hAnsi="Arial Narrow" w:cs="Arial"/>
          <w:sz w:val="24"/>
          <w:szCs w:val="24"/>
        </w:rPr>
        <w:t>pour lesquels</w:t>
      </w:r>
      <w:r w:rsidRPr="007E7C5B">
        <w:rPr>
          <w:rFonts w:ascii="Arial Narrow" w:hAnsi="Arial Narrow" w:cs="Arial"/>
          <w:sz w:val="24"/>
          <w:szCs w:val="24"/>
        </w:rPr>
        <w:t xml:space="preserve"> des mécanismes de contingence devraient être intégrés pour renforcer la résilience du système de santé face aux crises et événements imprévus. </w:t>
      </w:r>
    </w:p>
    <w:p w14:paraId="7BA9A8C5" w14:textId="76F9C2C7" w:rsidR="007E5494" w:rsidRPr="007E7C5B" w:rsidRDefault="007E5494" w:rsidP="000A1A7B">
      <w:pPr>
        <w:pStyle w:val="Paragraphedeliste"/>
        <w:numPr>
          <w:ilvl w:val="0"/>
          <w:numId w:val="12"/>
        </w:numPr>
        <w:spacing w:after="120"/>
        <w:ind w:left="714" w:hanging="357"/>
        <w:contextualSpacing w:val="0"/>
        <w:jc w:val="both"/>
        <w:rPr>
          <w:rFonts w:ascii="Arial Narrow" w:hAnsi="Arial Narrow" w:cs="Arial"/>
          <w:sz w:val="24"/>
          <w:szCs w:val="24"/>
        </w:rPr>
      </w:pPr>
      <w:r w:rsidRPr="00E64316">
        <w:rPr>
          <w:rFonts w:ascii="Arial Narrow" w:hAnsi="Arial Narrow" w:cs="Arial"/>
          <w:b/>
          <w:sz w:val="24"/>
          <w:szCs w:val="24"/>
        </w:rPr>
        <w:t>Le financement de la santé</w:t>
      </w:r>
      <w:r w:rsidRPr="007E7C5B">
        <w:rPr>
          <w:rFonts w:ascii="Arial Narrow" w:hAnsi="Arial Narrow" w:cs="Arial"/>
          <w:sz w:val="24"/>
          <w:szCs w:val="24"/>
        </w:rPr>
        <w:t xml:space="preserve"> : la mobilisation des ressources est un défi pour les structures en charge de la mise en œuvre du PNDS. Par conséquent, une partie significative des plans d’action n’est pas réalisée faute de ressources financières. Le prochain PNDS devrait inclure un</w:t>
      </w:r>
      <w:r w:rsidR="0007466D" w:rsidRPr="007E7C5B">
        <w:rPr>
          <w:rFonts w:ascii="Arial Narrow" w:hAnsi="Arial Narrow" w:cs="Arial"/>
          <w:sz w:val="24"/>
          <w:szCs w:val="24"/>
        </w:rPr>
        <w:t> </w:t>
      </w:r>
      <w:r w:rsidRPr="007E7C5B">
        <w:rPr>
          <w:rFonts w:ascii="Arial Narrow" w:hAnsi="Arial Narrow" w:cs="Arial"/>
          <w:sz w:val="24"/>
          <w:szCs w:val="24"/>
        </w:rPr>
        <w:t>mécanisme coordonné pour la mobilisation des financements nécessaires à la mise en œuvre de ses activités.</w:t>
      </w:r>
    </w:p>
    <w:p w14:paraId="36BC7D2C" w14:textId="3EA64226" w:rsidR="007E5494" w:rsidRPr="007E7C5B" w:rsidRDefault="007E5494" w:rsidP="000A1A7B">
      <w:pPr>
        <w:pStyle w:val="Paragraphedeliste"/>
        <w:numPr>
          <w:ilvl w:val="0"/>
          <w:numId w:val="12"/>
        </w:numPr>
        <w:spacing w:after="120"/>
        <w:ind w:left="714" w:hanging="357"/>
        <w:contextualSpacing w:val="0"/>
        <w:jc w:val="both"/>
        <w:rPr>
          <w:rFonts w:ascii="Arial Narrow" w:hAnsi="Arial Narrow" w:cs="Arial"/>
          <w:sz w:val="24"/>
          <w:szCs w:val="24"/>
        </w:rPr>
      </w:pPr>
      <w:r w:rsidRPr="007E7C5B">
        <w:rPr>
          <w:rFonts w:ascii="Arial Narrow" w:hAnsi="Arial Narrow" w:cs="Arial"/>
          <w:b/>
          <w:sz w:val="24"/>
          <w:szCs w:val="24"/>
        </w:rPr>
        <w:t>La lutte contre les maladies cardiovasculaires</w:t>
      </w:r>
      <w:r w:rsidR="009D16A0" w:rsidRPr="007E7C5B">
        <w:rPr>
          <w:rFonts w:ascii="Arial Narrow" w:hAnsi="Arial Narrow" w:cs="Arial"/>
          <w:sz w:val="24"/>
          <w:szCs w:val="24"/>
        </w:rPr>
        <w:t>,</w:t>
      </w:r>
      <w:r w:rsidRPr="007E7C5B" w:rsidDel="009D16A0">
        <w:rPr>
          <w:rFonts w:ascii="Arial Narrow" w:hAnsi="Arial Narrow" w:cs="Arial"/>
          <w:sz w:val="24"/>
          <w:szCs w:val="24"/>
        </w:rPr>
        <w:t xml:space="preserve"> </w:t>
      </w:r>
      <w:r w:rsidRPr="007E7C5B">
        <w:rPr>
          <w:rFonts w:ascii="Arial Narrow" w:hAnsi="Arial Narrow" w:cs="Arial"/>
          <w:sz w:val="24"/>
          <w:szCs w:val="24"/>
        </w:rPr>
        <w:t>avec un accent particulier sur la prévention, le dépistage, les soins, la formation et la recherche.</w:t>
      </w:r>
    </w:p>
    <w:p w14:paraId="781ADCEB" w14:textId="763A7D2F" w:rsidR="007E5494" w:rsidRPr="007E7C5B" w:rsidRDefault="007E5494" w:rsidP="000A1A7B">
      <w:pPr>
        <w:pStyle w:val="Paragraphedeliste"/>
        <w:numPr>
          <w:ilvl w:val="0"/>
          <w:numId w:val="12"/>
        </w:numPr>
        <w:spacing w:after="120"/>
        <w:ind w:left="714" w:hanging="357"/>
        <w:contextualSpacing w:val="0"/>
        <w:jc w:val="both"/>
        <w:rPr>
          <w:rFonts w:ascii="Arial Narrow" w:hAnsi="Arial Narrow" w:cs="Arial"/>
          <w:sz w:val="24"/>
          <w:szCs w:val="24"/>
        </w:rPr>
      </w:pPr>
      <w:r w:rsidRPr="007E7C5B">
        <w:rPr>
          <w:rFonts w:ascii="Arial Narrow" w:hAnsi="Arial Narrow" w:cs="Arial"/>
          <w:b/>
          <w:sz w:val="24"/>
          <w:szCs w:val="24"/>
        </w:rPr>
        <w:t>La santé mentale</w:t>
      </w:r>
      <w:r w:rsidR="009D16A0" w:rsidRPr="007E7C5B">
        <w:rPr>
          <w:rFonts w:ascii="Arial Narrow" w:hAnsi="Arial Narrow" w:cs="Arial"/>
          <w:sz w:val="24"/>
          <w:szCs w:val="24"/>
        </w:rPr>
        <w:t>, notamment la prise en charge adéquate</w:t>
      </w:r>
      <w:r w:rsidR="00880EAE" w:rsidRPr="007E7C5B">
        <w:rPr>
          <w:rFonts w:ascii="Arial Narrow" w:hAnsi="Arial Narrow" w:cs="Arial"/>
          <w:sz w:val="24"/>
          <w:szCs w:val="24"/>
        </w:rPr>
        <w:t xml:space="preserve">, </w:t>
      </w:r>
      <w:r w:rsidRPr="007E7C5B">
        <w:rPr>
          <w:rFonts w:ascii="Arial Narrow" w:hAnsi="Arial Narrow" w:cs="Arial"/>
          <w:sz w:val="24"/>
          <w:szCs w:val="24"/>
        </w:rPr>
        <w:t>étant donné l</w:t>
      </w:r>
      <w:r w:rsidR="00D370FC" w:rsidRPr="007E7C5B">
        <w:rPr>
          <w:rFonts w:ascii="Arial Narrow" w:hAnsi="Arial Narrow" w:cs="Arial"/>
          <w:sz w:val="24"/>
          <w:szCs w:val="24"/>
        </w:rPr>
        <w:t>’émergence</w:t>
      </w:r>
      <w:r w:rsidRPr="007E7C5B">
        <w:rPr>
          <w:rFonts w:ascii="Arial Narrow" w:hAnsi="Arial Narrow" w:cs="Arial"/>
          <w:sz w:val="24"/>
          <w:szCs w:val="24"/>
        </w:rPr>
        <w:t xml:space="preserve"> des drames sociétaux.</w:t>
      </w:r>
    </w:p>
    <w:p w14:paraId="399A1EB4" w14:textId="3CE163CB" w:rsidR="007E5494" w:rsidRPr="007E7C5B" w:rsidRDefault="007E5494" w:rsidP="000A1A7B">
      <w:pPr>
        <w:pStyle w:val="Paragraphedeliste"/>
        <w:numPr>
          <w:ilvl w:val="0"/>
          <w:numId w:val="12"/>
        </w:numPr>
        <w:spacing w:after="120"/>
        <w:ind w:left="714" w:hanging="357"/>
        <w:contextualSpacing w:val="0"/>
        <w:jc w:val="both"/>
        <w:rPr>
          <w:rFonts w:ascii="Arial Narrow" w:hAnsi="Arial Narrow" w:cs="Arial"/>
          <w:sz w:val="24"/>
          <w:szCs w:val="24"/>
        </w:rPr>
      </w:pPr>
      <w:r w:rsidRPr="007E7C5B">
        <w:rPr>
          <w:rFonts w:ascii="Arial Narrow" w:hAnsi="Arial Narrow" w:cs="Arial"/>
          <w:b/>
          <w:sz w:val="24"/>
          <w:szCs w:val="24"/>
        </w:rPr>
        <w:t>La recherche</w:t>
      </w:r>
      <w:r w:rsidRPr="007E7C5B">
        <w:rPr>
          <w:rFonts w:ascii="Arial Narrow" w:hAnsi="Arial Narrow" w:cs="Arial"/>
          <w:sz w:val="24"/>
          <w:szCs w:val="24"/>
        </w:rPr>
        <w:t xml:space="preserve"> en santé devrait être davantage développée dans le prochain PNDS.</w:t>
      </w:r>
    </w:p>
    <w:p w14:paraId="65A66BD1" w14:textId="2BDC40C9" w:rsidR="00D42568" w:rsidRPr="007E7C5B" w:rsidRDefault="001626AE" w:rsidP="00761F55">
      <w:pPr>
        <w:pStyle w:val="Titre2"/>
        <w:jc w:val="both"/>
        <w:rPr>
          <w:rFonts w:ascii="Arial Narrow" w:hAnsi="Arial Narrow" w:cs="Arial"/>
          <w:sz w:val="24"/>
          <w:szCs w:val="24"/>
        </w:rPr>
      </w:pPr>
      <w:bookmarkStart w:id="44" w:name="_Toc178699558"/>
      <w:bookmarkStart w:id="45" w:name="_Toc190677476"/>
      <w:r>
        <w:rPr>
          <w:rFonts w:ascii="Arial Narrow" w:hAnsi="Arial Narrow" w:cs="Arial"/>
          <w:sz w:val="24"/>
          <w:szCs w:val="24"/>
        </w:rPr>
        <w:t>I</w:t>
      </w:r>
      <w:r w:rsidR="00D42568" w:rsidRPr="007E7C5B">
        <w:rPr>
          <w:rFonts w:ascii="Arial Narrow" w:hAnsi="Arial Narrow" w:cs="Arial"/>
          <w:sz w:val="24"/>
          <w:szCs w:val="24"/>
        </w:rPr>
        <w:t>II.</w:t>
      </w:r>
      <w:r w:rsidR="008C49EB" w:rsidRPr="007E7C5B">
        <w:rPr>
          <w:rFonts w:ascii="Arial Narrow" w:hAnsi="Arial Narrow" w:cs="Arial"/>
          <w:sz w:val="24"/>
          <w:szCs w:val="24"/>
        </w:rPr>
        <w:t>2</w:t>
      </w:r>
      <w:r w:rsidR="00D42568" w:rsidRPr="007E7C5B">
        <w:rPr>
          <w:rFonts w:ascii="Arial Narrow" w:hAnsi="Arial Narrow" w:cs="Arial"/>
          <w:sz w:val="24"/>
          <w:szCs w:val="24"/>
        </w:rPr>
        <w:t xml:space="preserve">. Analyse des progrès du PNDS </w:t>
      </w:r>
      <w:bookmarkEnd w:id="44"/>
      <w:r w:rsidR="009E3475" w:rsidRPr="007E7C5B">
        <w:rPr>
          <w:rFonts w:ascii="Arial Narrow" w:hAnsi="Arial Narrow" w:cs="Arial"/>
          <w:sz w:val="24"/>
          <w:szCs w:val="24"/>
        </w:rPr>
        <w:t>2021-2025</w:t>
      </w:r>
      <w:bookmarkEnd w:id="45"/>
    </w:p>
    <w:p w14:paraId="0BB68211" w14:textId="7D7BD8F5" w:rsidR="00D42568" w:rsidRPr="007E7C5B" w:rsidRDefault="00D42568" w:rsidP="006C17E9">
      <w:pPr>
        <w:jc w:val="both"/>
        <w:rPr>
          <w:rFonts w:ascii="Arial Narrow" w:hAnsi="Arial Narrow" w:cs="Arial"/>
          <w:sz w:val="24"/>
          <w:szCs w:val="24"/>
        </w:rPr>
      </w:pPr>
      <w:r w:rsidRPr="007E7C5B">
        <w:rPr>
          <w:rFonts w:ascii="Arial Narrow" w:hAnsi="Arial Narrow" w:cs="Arial"/>
          <w:sz w:val="24"/>
          <w:szCs w:val="24"/>
        </w:rPr>
        <w:t>Ce</w:t>
      </w:r>
      <w:r w:rsidRPr="007E7C5B" w:rsidDel="00C22047">
        <w:rPr>
          <w:rFonts w:ascii="Arial Narrow" w:hAnsi="Arial Narrow" w:cs="Arial"/>
          <w:sz w:val="24"/>
          <w:szCs w:val="24"/>
        </w:rPr>
        <w:t xml:space="preserve"> </w:t>
      </w:r>
      <w:r w:rsidRPr="007E7C5B">
        <w:rPr>
          <w:rFonts w:ascii="Arial Narrow" w:hAnsi="Arial Narrow" w:cs="Arial"/>
          <w:sz w:val="24"/>
          <w:szCs w:val="24"/>
        </w:rPr>
        <w:t xml:space="preserve">chapitre présente l’analyse des progrès à mi-parcours de la mise en œuvre du PNDS </w:t>
      </w:r>
      <w:r w:rsidR="009E3475" w:rsidRPr="007E7C5B">
        <w:rPr>
          <w:rFonts w:ascii="Arial Narrow" w:hAnsi="Arial Narrow" w:cs="Arial"/>
          <w:sz w:val="24"/>
          <w:szCs w:val="24"/>
        </w:rPr>
        <w:t>2021-2025</w:t>
      </w:r>
      <w:r w:rsidRPr="007E7C5B">
        <w:rPr>
          <w:rFonts w:ascii="Arial Narrow" w:hAnsi="Arial Narrow" w:cs="Arial"/>
          <w:sz w:val="24"/>
          <w:szCs w:val="24"/>
        </w:rPr>
        <w:t xml:space="preserve">, en abordant </w:t>
      </w:r>
      <w:r w:rsidR="00BA484D" w:rsidRPr="007E7C5B">
        <w:rPr>
          <w:rFonts w:ascii="Arial Narrow" w:hAnsi="Arial Narrow" w:cs="Arial"/>
          <w:b/>
          <w:sz w:val="24"/>
          <w:szCs w:val="24"/>
        </w:rPr>
        <w:t xml:space="preserve">l’état d’avancement de la Côte d’Ivoire vers les cibles des Objectifs du Développement Durable (ODD), </w:t>
      </w:r>
      <w:r w:rsidRPr="00A918AC">
        <w:rPr>
          <w:rFonts w:ascii="Arial Narrow" w:hAnsi="Arial Narrow" w:cs="Arial"/>
          <w:b/>
          <w:sz w:val="24"/>
          <w:szCs w:val="24"/>
        </w:rPr>
        <w:t>le</w:t>
      </w:r>
      <w:r w:rsidRPr="007E7C5B">
        <w:rPr>
          <w:rFonts w:ascii="Arial Narrow" w:hAnsi="Arial Narrow" w:cs="Arial"/>
          <w:sz w:val="24"/>
          <w:szCs w:val="24"/>
        </w:rPr>
        <w:t xml:space="preserve"> </w:t>
      </w:r>
      <w:r w:rsidRPr="007E7C5B">
        <w:rPr>
          <w:rFonts w:ascii="Arial Narrow" w:hAnsi="Arial Narrow" w:cs="Arial"/>
          <w:b/>
          <w:sz w:val="24"/>
          <w:szCs w:val="24"/>
        </w:rPr>
        <w:t xml:space="preserve">niveau global d’atteinte des </w:t>
      </w:r>
      <w:r w:rsidR="006C101C" w:rsidRPr="007E7C5B">
        <w:rPr>
          <w:rFonts w:ascii="Arial Narrow" w:hAnsi="Arial Narrow" w:cs="Arial"/>
          <w:b/>
          <w:sz w:val="24"/>
          <w:szCs w:val="24"/>
        </w:rPr>
        <w:t>cibles des indicateurs d’effets et de produits</w:t>
      </w:r>
      <w:r w:rsidRPr="007E7C5B">
        <w:rPr>
          <w:rFonts w:ascii="Arial Narrow" w:hAnsi="Arial Narrow" w:cs="Arial"/>
          <w:b/>
          <w:sz w:val="24"/>
          <w:szCs w:val="24"/>
        </w:rPr>
        <w:t xml:space="preserve"> </w:t>
      </w:r>
      <w:r w:rsidRPr="00A918AC">
        <w:rPr>
          <w:rFonts w:ascii="Arial Narrow" w:hAnsi="Arial Narrow" w:cs="Arial"/>
          <w:sz w:val="24"/>
          <w:szCs w:val="24"/>
        </w:rPr>
        <w:t>par axe du PNDS</w:t>
      </w:r>
      <w:r w:rsidRPr="007E7C5B" w:rsidDel="00484449">
        <w:rPr>
          <w:rFonts w:ascii="Arial Narrow" w:hAnsi="Arial Narrow" w:cs="Arial"/>
          <w:b/>
          <w:sz w:val="24"/>
          <w:szCs w:val="24"/>
        </w:rPr>
        <w:t xml:space="preserve"> </w:t>
      </w:r>
      <w:r w:rsidRPr="007E7C5B" w:rsidDel="00484449">
        <w:rPr>
          <w:rFonts w:ascii="Arial Narrow" w:hAnsi="Arial Narrow" w:cs="Arial"/>
          <w:sz w:val="24"/>
          <w:szCs w:val="24"/>
        </w:rPr>
        <w:t>et</w:t>
      </w:r>
      <w:r w:rsidRPr="007E7C5B" w:rsidDel="00951799">
        <w:rPr>
          <w:rFonts w:ascii="Arial Narrow" w:hAnsi="Arial Narrow" w:cs="Arial"/>
          <w:sz w:val="24"/>
          <w:szCs w:val="24"/>
        </w:rPr>
        <w:t xml:space="preserve"> </w:t>
      </w:r>
      <w:r w:rsidRPr="007E7C5B">
        <w:rPr>
          <w:rFonts w:ascii="Arial Narrow" w:hAnsi="Arial Narrow" w:cs="Arial"/>
          <w:b/>
          <w:sz w:val="24"/>
          <w:szCs w:val="24"/>
        </w:rPr>
        <w:t xml:space="preserve">le niveau </w:t>
      </w:r>
      <w:r w:rsidR="00AA51A8" w:rsidRPr="007E7C5B">
        <w:rPr>
          <w:rFonts w:ascii="Arial Narrow" w:hAnsi="Arial Narrow" w:cs="Arial"/>
          <w:b/>
          <w:sz w:val="24"/>
          <w:szCs w:val="24"/>
        </w:rPr>
        <w:t xml:space="preserve">d’opérationnalisation </w:t>
      </w:r>
      <w:r w:rsidRPr="007E7C5B">
        <w:rPr>
          <w:rFonts w:ascii="Arial Narrow" w:hAnsi="Arial Narrow" w:cs="Arial"/>
          <w:b/>
          <w:sz w:val="24"/>
          <w:szCs w:val="24"/>
        </w:rPr>
        <w:t>des réformes</w:t>
      </w:r>
      <w:r w:rsidRPr="007E7C5B" w:rsidDel="004C2970">
        <w:rPr>
          <w:rFonts w:ascii="Arial Narrow" w:hAnsi="Arial Narrow" w:cs="Arial"/>
          <w:sz w:val="24"/>
          <w:szCs w:val="24"/>
        </w:rPr>
        <w:t>.</w:t>
      </w:r>
    </w:p>
    <w:p w14:paraId="65430DDE" w14:textId="69AB35AB" w:rsidR="00D42568" w:rsidRPr="007E7C5B" w:rsidRDefault="00FD2FB0" w:rsidP="00761F55">
      <w:pPr>
        <w:pStyle w:val="Titre3"/>
        <w:jc w:val="both"/>
        <w:rPr>
          <w:rFonts w:ascii="Arial Narrow" w:hAnsi="Arial Narrow" w:cs="Arial"/>
          <w:sz w:val="24"/>
          <w:szCs w:val="24"/>
        </w:rPr>
      </w:pPr>
      <w:bookmarkStart w:id="46" w:name="_Toc190677477"/>
      <w:r w:rsidRPr="007E7C5B">
        <w:rPr>
          <w:rFonts w:ascii="Arial Narrow" w:hAnsi="Arial Narrow" w:cs="Arial"/>
          <w:sz w:val="24"/>
          <w:szCs w:val="24"/>
        </w:rPr>
        <w:t>Progrès réalisés dans la mise en œuvre de l’ODD 3</w:t>
      </w:r>
      <w:bookmarkEnd w:id="46"/>
    </w:p>
    <w:p w14:paraId="2FA0C8CB" w14:textId="77777777" w:rsidR="00F87AD6" w:rsidRPr="00A35144" w:rsidRDefault="00F87AD6" w:rsidP="00F87AD6">
      <w:pPr>
        <w:spacing w:line="276" w:lineRule="auto"/>
        <w:jc w:val="both"/>
        <w:rPr>
          <w:rFonts w:ascii="Arial Narrow" w:hAnsi="Arial Narrow" w:cs="Arial"/>
          <w:sz w:val="24"/>
          <w:szCs w:val="24"/>
        </w:rPr>
      </w:pPr>
      <w:r w:rsidRPr="00A35144">
        <w:rPr>
          <w:rFonts w:ascii="Arial Narrow" w:hAnsi="Arial Narrow" w:cs="Arial"/>
          <w:sz w:val="24"/>
          <w:szCs w:val="24"/>
        </w:rPr>
        <w:t>Le Gouvernement de la Côte d’Ivoire s'est engagé dans des transformations structurelles et la mise en œuvre des solutions guidées par les ODD, en dépit</w:t>
      </w:r>
      <w:r w:rsidRPr="007E7C5B">
        <w:rPr>
          <w:rFonts w:ascii="Arial Narrow" w:hAnsi="Arial Narrow" w:cs="Arial"/>
          <w:sz w:val="24"/>
          <w:szCs w:val="24"/>
        </w:rPr>
        <w:t xml:space="preserve"> du contexte mondial de crise</w:t>
      </w:r>
      <w:r>
        <w:rPr>
          <w:rFonts w:ascii="Arial Narrow" w:hAnsi="Arial Narrow" w:cs="Arial"/>
          <w:sz w:val="24"/>
          <w:szCs w:val="24"/>
        </w:rPr>
        <w:t xml:space="preserve"> (COVID 19) </w:t>
      </w:r>
      <w:r w:rsidRPr="007E7C5B">
        <w:rPr>
          <w:rFonts w:ascii="Arial Narrow" w:hAnsi="Arial Narrow" w:cs="Arial"/>
          <w:sz w:val="24"/>
          <w:szCs w:val="24"/>
        </w:rPr>
        <w:t>et des défis sociaux</w:t>
      </w:r>
      <w:r>
        <w:rPr>
          <w:rFonts w:ascii="Arial Narrow" w:hAnsi="Arial Narrow" w:cs="Arial"/>
          <w:sz w:val="24"/>
          <w:szCs w:val="24"/>
        </w:rPr>
        <w:t>. P</w:t>
      </w:r>
      <w:r w:rsidRPr="00A35144">
        <w:rPr>
          <w:rFonts w:ascii="Arial Narrow" w:hAnsi="Arial Narrow" w:cs="Arial"/>
          <w:sz w:val="24"/>
          <w:szCs w:val="24"/>
        </w:rPr>
        <w:t>our accélérer les progrès vers la réalisation des objectifs de développement durable, la Côte-d’Ivoire a mobilisé efficacement des financements nationaux et internationaux en faveur de programmes capables de relever ces défis.</w:t>
      </w:r>
    </w:p>
    <w:p w14:paraId="4643EF15" w14:textId="77777777" w:rsidR="00F87AD6" w:rsidRPr="00A35144" w:rsidRDefault="00F87AD6" w:rsidP="00F87AD6">
      <w:pPr>
        <w:jc w:val="both"/>
        <w:rPr>
          <w:rFonts w:ascii="Arial Narrow" w:hAnsi="Arial Narrow" w:cs="Arial"/>
          <w:sz w:val="24"/>
          <w:szCs w:val="24"/>
        </w:rPr>
      </w:pPr>
      <w:r w:rsidRPr="00A35144">
        <w:rPr>
          <w:rFonts w:ascii="Arial Narrow" w:hAnsi="Arial Narrow" w:cs="Arial"/>
          <w:sz w:val="24"/>
          <w:szCs w:val="24"/>
        </w:rPr>
        <w:t>Toutes les parties prenantes, ont pris des engagements pour faire la promotion des ODD dans les plans de mise en œuvre des politiques, programmes et projets sectoriels et locaux. Dans ce contexte, le MSHPCMU a mené de interventions pour concourir à l’atteinte de l’ODD3.</w:t>
      </w:r>
    </w:p>
    <w:p w14:paraId="3737E294" w14:textId="77777777" w:rsidR="00F87AD6" w:rsidRDefault="00F87AD6" w:rsidP="00F87AD6">
      <w:pPr>
        <w:jc w:val="both"/>
        <w:rPr>
          <w:rFonts w:ascii="Arial Narrow" w:hAnsi="Arial Narrow" w:cs="Arial"/>
          <w:sz w:val="24"/>
          <w:szCs w:val="24"/>
        </w:rPr>
      </w:pPr>
      <w:r w:rsidRPr="007E7C5B">
        <w:rPr>
          <w:rFonts w:ascii="Arial Narrow" w:hAnsi="Arial Narrow" w:cs="Arial"/>
          <w:sz w:val="24"/>
          <w:szCs w:val="24"/>
        </w:rPr>
        <w:t xml:space="preserve">Le bilan de la mise en œuvre du PNDS 2021-2025 fait ressortir </w:t>
      </w:r>
      <w:r>
        <w:rPr>
          <w:rFonts w:ascii="Arial Narrow" w:hAnsi="Arial Narrow" w:cs="Arial"/>
          <w:sz w:val="24"/>
          <w:szCs w:val="24"/>
        </w:rPr>
        <w:t>que</w:t>
      </w:r>
      <w:r w:rsidRPr="007E7C5B">
        <w:rPr>
          <w:rFonts w:ascii="Arial Narrow" w:hAnsi="Arial Narrow" w:cs="Arial"/>
          <w:sz w:val="24"/>
          <w:szCs w:val="24"/>
        </w:rPr>
        <w:t xml:space="preserve"> le pays est sur une trajectoire positive pour l’atteinte des cibles de certains indicateurs de l’ODD 3, comme le démontre le tableau ci-dessous :</w:t>
      </w:r>
    </w:p>
    <w:p w14:paraId="72308B22" w14:textId="2A351635" w:rsidR="00DF76A3" w:rsidRDefault="00457EA9" w:rsidP="00DC5897">
      <w:pPr>
        <w:pStyle w:val="Lgende"/>
      </w:pPr>
      <w:bookmarkStart w:id="47" w:name="_Toc183688749"/>
      <w:r w:rsidRPr="007E7C5B">
        <w:t xml:space="preserve">Tableau </w:t>
      </w:r>
      <w:r w:rsidRPr="007E7C5B">
        <w:fldChar w:fldCharType="begin"/>
      </w:r>
      <w:r w:rsidRPr="007E7C5B">
        <w:instrText xml:space="preserve"> SEQ Tableau \* ARABIC </w:instrText>
      </w:r>
      <w:r w:rsidRPr="007E7C5B">
        <w:fldChar w:fldCharType="separate"/>
      </w:r>
      <w:r w:rsidRPr="007E7C5B">
        <w:rPr>
          <w:noProof/>
        </w:rPr>
        <w:t>1</w:t>
      </w:r>
      <w:r w:rsidRPr="007E7C5B">
        <w:fldChar w:fldCharType="end"/>
      </w:r>
      <w:r w:rsidRPr="007E7C5B">
        <w:t xml:space="preserve"> : Evolution des indicateurs ODD sur la période 2021-2023</w:t>
      </w:r>
      <w:bookmarkEnd w:id="47"/>
    </w:p>
    <w:tbl>
      <w:tblPr>
        <w:tblpPr w:leftFromText="141" w:rightFromText="141" w:vertAnchor="text" w:tblpY="352"/>
        <w:tblW w:w="5000" w:type="pct"/>
        <w:tblLayout w:type="fixed"/>
        <w:tblLook w:val="04A0" w:firstRow="1" w:lastRow="0" w:firstColumn="1" w:lastColumn="0" w:noHBand="0" w:noVBand="1"/>
      </w:tblPr>
      <w:tblGrid>
        <w:gridCol w:w="387"/>
        <w:gridCol w:w="2442"/>
        <w:gridCol w:w="995"/>
        <w:gridCol w:w="564"/>
        <w:gridCol w:w="709"/>
        <w:gridCol w:w="710"/>
        <w:gridCol w:w="709"/>
        <w:gridCol w:w="709"/>
        <w:gridCol w:w="707"/>
        <w:gridCol w:w="1084"/>
      </w:tblGrid>
      <w:tr w:rsidR="007D4F84" w:rsidRPr="00D212E6" w14:paraId="5A1937D6" w14:textId="77777777" w:rsidTr="001F56FA">
        <w:trPr>
          <w:trHeight w:val="20"/>
          <w:tblHeader/>
        </w:trPr>
        <w:tc>
          <w:tcPr>
            <w:tcW w:w="215" w:type="pct"/>
            <w:vMerge w:val="restart"/>
            <w:tcBorders>
              <w:top w:val="single" w:sz="4" w:space="0" w:color="auto"/>
              <w:left w:val="single" w:sz="4" w:space="0" w:color="auto"/>
              <w:bottom w:val="single" w:sz="4" w:space="0" w:color="auto"/>
              <w:right w:val="single" w:sz="4" w:space="0" w:color="auto"/>
            </w:tcBorders>
            <w:shd w:val="clear" w:color="000000" w:fill="203764"/>
            <w:vAlign w:val="center"/>
            <w:hideMark/>
          </w:tcPr>
          <w:p w14:paraId="64460B56" w14:textId="77777777" w:rsidR="007D4F84" w:rsidRPr="007D3A9D" w:rsidRDefault="007D4F84" w:rsidP="001F56FA">
            <w:pPr>
              <w:spacing w:after="0" w:line="240" w:lineRule="auto"/>
              <w:jc w:val="center"/>
              <w:rPr>
                <w:rFonts w:ascii="Arial Narrow" w:eastAsia="Times New Roman" w:hAnsi="Arial Narrow" w:cs="Arial"/>
                <w:b/>
                <w:color w:val="FFFFFF"/>
                <w:kern w:val="0"/>
                <w:sz w:val="16"/>
                <w:szCs w:val="16"/>
                <w:lang w:eastAsia="en-GB"/>
                <w14:ligatures w14:val="none"/>
              </w:rPr>
            </w:pPr>
            <w:r w:rsidRPr="007D3A9D">
              <w:rPr>
                <w:rFonts w:ascii="Arial Narrow" w:eastAsia="Times New Roman" w:hAnsi="Arial Narrow" w:cs="Arial"/>
                <w:b/>
                <w:color w:val="FFFFFF"/>
                <w:kern w:val="0"/>
                <w:sz w:val="16"/>
                <w:szCs w:val="16"/>
                <w:lang w:eastAsia="en-GB"/>
                <w14:ligatures w14:val="none"/>
              </w:rPr>
              <w:lastRenderedPageBreak/>
              <w:t>N°</w:t>
            </w:r>
          </w:p>
        </w:tc>
        <w:tc>
          <w:tcPr>
            <w:tcW w:w="1354" w:type="pct"/>
            <w:vMerge w:val="restart"/>
            <w:tcBorders>
              <w:top w:val="single" w:sz="4" w:space="0" w:color="auto"/>
              <w:left w:val="single" w:sz="4" w:space="0" w:color="auto"/>
              <w:bottom w:val="single" w:sz="4" w:space="0" w:color="auto"/>
              <w:right w:val="single" w:sz="4" w:space="0" w:color="auto"/>
            </w:tcBorders>
            <w:shd w:val="clear" w:color="000000" w:fill="203764"/>
            <w:vAlign w:val="center"/>
            <w:hideMark/>
          </w:tcPr>
          <w:p w14:paraId="6E2DE13E" w14:textId="77777777" w:rsidR="007D4F84" w:rsidRPr="007D3A9D" w:rsidRDefault="007D4F84" w:rsidP="001F56FA">
            <w:pPr>
              <w:spacing w:after="0" w:line="240" w:lineRule="auto"/>
              <w:jc w:val="center"/>
              <w:rPr>
                <w:rFonts w:ascii="Arial Narrow" w:eastAsia="Times New Roman" w:hAnsi="Arial Narrow" w:cs="Arial"/>
                <w:b/>
                <w:color w:val="FFFFFF"/>
                <w:kern w:val="0"/>
                <w:sz w:val="16"/>
                <w:szCs w:val="16"/>
                <w:lang w:eastAsia="en-GB"/>
                <w14:ligatures w14:val="none"/>
              </w:rPr>
            </w:pPr>
            <w:r w:rsidRPr="007D3A9D">
              <w:rPr>
                <w:rFonts w:ascii="Arial Narrow" w:eastAsia="Times New Roman" w:hAnsi="Arial Narrow" w:cs="Arial"/>
                <w:b/>
                <w:color w:val="FFFFFF"/>
                <w:kern w:val="0"/>
                <w:sz w:val="16"/>
                <w:szCs w:val="16"/>
                <w:lang w:eastAsia="en-GB"/>
                <w14:ligatures w14:val="none"/>
              </w:rPr>
              <w:t xml:space="preserve">Indicateurs </w:t>
            </w:r>
          </w:p>
        </w:tc>
        <w:tc>
          <w:tcPr>
            <w:tcW w:w="552" w:type="pct"/>
            <w:vMerge w:val="restart"/>
            <w:tcBorders>
              <w:top w:val="single" w:sz="4" w:space="0" w:color="auto"/>
              <w:left w:val="nil"/>
              <w:right w:val="single" w:sz="4" w:space="0" w:color="auto"/>
            </w:tcBorders>
            <w:shd w:val="clear" w:color="000000" w:fill="203764"/>
            <w:vAlign w:val="center"/>
          </w:tcPr>
          <w:p w14:paraId="71270327" w14:textId="77777777" w:rsidR="007D4F84" w:rsidRPr="007D3A9D" w:rsidRDefault="007D4F84" w:rsidP="001F56FA">
            <w:pPr>
              <w:spacing w:after="0" w:line="240" w:lineRule="auto"/>
              <w:jc w:val="center"/>
              <w:rPr>
                <w:rFonts w:ascii="Arial Narrow" w:eastAsia="Times New Roman" w:hAnsi="Arial Narrow" w:cs="Arial"/>
                <w:b/>
                <w:color w:val="FFFFFF"/>
                <w:kern w:val="0"/>
                <w:sz w:val="16"/>
                <w:szCs w:val="16"/>
                <w:lang w:eastAsia="en-GB"/>
                <w14:ligatures w14:val="none"/>
              </w:rPr>
            </w:pPr>
            <w:r w:rsidRPr="007D3A9D">
              <w:rPr>
                <w:rFonts w:ascii="Arial Narrow" w:eastAsia="Times New Roman" w:hAnsi="Arial Narrow" w:cs="Arial"/>
                <w:b/>
                <w:color w:val="FFFFFF"/>
                <w:kern w:val="0"/>
                <w:sz w:val="16"/>
                <w:szCs w:val="16"/>
                <w:lang w:eastAsia="en-GB"/>
                <w14:ligatures w14:val="none"/>
              </w:rPr>
              <w:t>Référence</w:t>
            </w:r>
          </w:p>
        </w:tc>
        <w:tc>
          <w:tcPr>
            <w:tcW w:w="1100" w:type="pct"/>
            <w:gridSpan w:val="3"/>
            <w:tcBorders>
              <w:top w:val="single" w:sz="4" w:space="0" w:color="auto"/>
              <w:left w:val="single" w:sz="4" w:space="0" w:color="auto"/>
              <w:bottom w:val="single" w:sz="4" w:space="0" w:color="auto"/>
              <w:right w:val="single" w:sz="4" w:space="0" w:color="auto"/>
            </w:tcBorders>
            <w:shd w:val="clear" w:color="000000" w:fill="203764"/>
            <w:vAlign w:val="center"/>
            <w:hideMark/>
          </w:tcPr>
          <w:p w14:paraId="00B0E449" w14:textId="77777777" w:rsidR="007D4F84" w:rsidRPr="00D212E6" w:rsidRDefault="007D4F84" w:rsidP="001F56FA">
            <w:pPr>
              <w:spacing w:after="0" w:line="240" w:lineRule="auto"/>
              <w:jc w:val="center"/>
              <w:rPr>
                <w:rFonts w:ascii="Arial Narrow" w:eastAsia="Times New Roman" w:hAnsi="Arial Narrow" w:cs="Arial"/>
                <w:b/>
                <w:color w:val="FFFFFF"/>
                <w:kern w:val="0"/>
                <w:sz w:val="18"/>
                <w:szCs w:val="18"/>
                <w:lang w:eastAsia="en-GB"/>
                <w14:ligatures w14:val="none"/>
              </w:rPr>
            </w:pPr>
            <w:r w:rsidRPr="00D212E6">
              <w:rPr>
                <w:rFonts w:ascii="Arial Narrow" w:eastAsia="Times New Roman" w:hAnsi="Arial Narrow" w:cs="Arial"/>
                <w:b/>
                <w:color w:val="FFFFFF"/>
                <w:kern w:val="0"/>
                <w:sz w:val="18"/>
                <w:szCs w:val="18"/>
                <w:lang w:eastAsia="en-GB"/>
                <w14:ligatures w14:val="none"/>
              </w:rPr>
              <w:t>Valeurs prévisionnelles</w:t>
            </w:r>
          </w:p>
        </w:tc>
        <w:tc>
          <w:tcPr>
            <w:tcW w:w="1178" w:type="pct"/>
            <w:gridSpan w:val="3"/>
            <w:tcBorders>
              <w:top w:val="single" w:sz="4" w:space="0" w:color="auto"/>
              <w:left w:val="nil"/>
              <w:bottom w:val="single" w:sz="4" w:space="0" w:color="auto"/>
              <w:right w:val="single" w:sz="4" w:space="0" w:color="auto"/>
            </w:tcBorders>
            <w:shd w:val="clear" w:color="000000" w:fill="203764"/>
            <w:vAlign w:val="center"/>
            <w:hideMark/>
          </w:tcPr>
          <w:p w14:paraId="1D327467" w14:textId="77777777" w:rsidR="007D4F84" w:rsidRPr="00D212E6" w:rsidRDefault="007D4F84" w:rsidP="001F56FA">
            <w:pPr>
              <w:spacing w:after="0" w:line="240" w:lineRule="auto"/>
              <w:jc w:val="center"/>
              <w:rPr>
                <w:rFonts w:ascii="Arial Narrow" w:eastAsia="Times New Roman" w:hAnsi="Arial Narrow" w:cs="Arial"/>
                <w:b/>
                <w:color w:val="FFFFFF"/>
                <w:kern w:val="0"/>
                <w:sz w:val="18"/>
                <w:szCs w:val="18"/>
                <w:lang w:eastAsia="en-GB"/>
                <w14:ligatures w14:val="none"/>
              </w:rPr>
            </w:pPr>
            <w:r w:rsidRPr="00D212E6">
              <w:rPr>
                <w:rFonts w:ascii="Arial Narrow" w:eastAsia="Times New Roman" w:hAnsi="Arial Narrow" w:cs="Arial"/>
                <w:b/>
                <w:color w:val="FFFFFF"/>
                <w:kern w:val="0"/>
                <w:sz w:val="18"/>
                <w:szCs w:val="18"/>
                <w:lang w:eastAsia="en-GB"/>
                <w14:ligatures w14:val="none"/>
              </w:rPr>
              <w:t>Valeurs observées</w:t>
            </w:r>
          </w:p>
        </w:tc>
        <w:tc>
          <w:tcPr>
            <w:tcW w:w="601" w:type="pct"/>
            <w:vMerge w:val="restart"/>
            <w:tcBorders>
              <w:top w:val="single" w:sz="4" w:space="0" w:color="auto"/>
              <w:left w:val="single" w:sz="4" w:space="0" w:color="auto"/>
              <w:bottom w:val="single" w:sz="4" w:space="0" w:color="auto"/>
              <w:right w:val="single" w:sz="4" w:space="0" w:color="auto"/>
            </w:tcBorders>
            <w:shd w:val="clear" w:color="000000" w:fill="203764"/>
            <w:vAlign w:val="center"/>
            <w:hideMark/>
          </w:tcPr>
          <w:p w14:paraId="33A84985" w14:textId="77777777" w:rsidR="007D4F84" w:rsidRPr="00D212E6" w:rsidRDefault="007D4F84" w:rsidP="001F56FA">
            <w:pPr>
              <w:spacing w:after="0" w:line="240" w:lineRule="auto"/>
              <w:jc w:val="center"/>
              <w:rPr>
                <w:rFonts w:ascii="Arial Narrow" w:eastAsia="Times New Roman" w:hAnsi="Arial Narrow" w:cs="Arial"/>
                <w:b/>
                <w:color w:val="FFFFFF"/>
                <w:kern w:val="0"/>
                <w:sz w:val="18"/>
                <w:szCs w:val="18"/>
                <w:lang w:eastAsia="en-GB"/>
                <w14:ligatures w14:val="none"/>
              </w:rPr>
            </w:pPr>
            <w:r w:rsidRPr="00D212E6">
              <w:rPr>
                <w:rFonts w:ascii="Arial Narrow" w:eastAsia="Times New Roman" w:hAnsi="Arial Narrow" w:cs="Arial"/>
                <w:b/>
                <w:color w:val="FFFFFF"/>
                <w:kern w:val="0"/>
                <w:sz w:val="18"/>
                <w:szCs w:val="18"/>
                <w:lang w:eastAsia="en-GB"/>
                <w14:ligatures w14:val="none"/>
              </w:rPr>
              <w:t>Evolution</w:t>
            </w:r>
          </w:p>
        </w:tc>
      </w:tr>
      <w:tr w:rsidR="007D4F84" w:rsidRPr="00D212E6" w14:paraId="20B08D22" w14:textId="77777777" w:rsidTr="001F56FA">
        <w:trPr>
          <w:trHeight w:val="20"/>
          <w:tblHeader/>
        </w:trPr>
        <w:tc>
          <w:tcPr>
            <w:tcW w:w="215" w:type="pct"/>
            <w:vMerge/>
            <w:tcBorders>
              <w:top w:val="single" w:sz="4" w:space="0" w:color="auto"/>
              <w:left w:val="single" w:sz="4" w:space="0" w:color="auto"/>
              <w:bottom w:val="single" w:sz="4" w:space="0" w:color="auto"/>
              <w:right w:val="single" w:sz="4" w:space="0" w:color="auto"/>
            </w:tcBorders>
            <w:vAlign w:val="center"/>
            <w:hideMark/>
          </w:tcPr>
          <w:p w14:paraId="147FFE00" w14:textId="77777777" w:rsidR="007D4F84" w:rsidRPr="00A918AC" w:rsidRDefault="007D4F84" w:rsidP="001F56FA">
            <w:pPr>
              <w:spacing w:after="0" w:line="240" w:lineRule="auto"/>
              <w:rPr>
                <w:rFonts w:ascii="Arial Narrow" w:eastAsia="Times New Roman" w:hAnsi="Arial Narrow" w:cs="Arial"/>
                <w:b/>
                <w:color w:val="FFFFFF"/>
                <w:kern w:val="0"/>
                <w:sz w:val="18"/>
                <w:szCs w:val="18"/>
                <w:lang w:eastAsia="en-GB"/>
                <w14:ligatures w14:val="none"/>
              </w:rPr>
            </w:pPr>
          </w:p>
        </w:tc>
        <w:tc>
          <w:tcPr>
            <w:tcW w:w="1354" w:type="pct"/>
            <w:vMerge/>
            <w:tcBorders>
              <w:top w:val="single" w:sz="4" w:space="0" w:color="auto"/>
              <w:left w:val="single" w:sz="4" w:space="0" w:color="auto"/>
              <w:bottom w:val="single" w:sz="4" w:space="0" w:color="auto"/>
              <w:right w:val="single" w:sz="4" w:space="0" w:color="auto"/>
            </w:tcBorders>
            <w:vAlign w:val="center"/>
            <w:hideMark/>
          </w:tcPr>
          <w:p w14:paraId="0D3FFB5A" w14:textId="77777777" w:rsidR="007D4F84" w:rsidRPr="00A918AC" w:rsidRDefault="007D4F84" w:rsidP="001F56FA">
            <w:pPr>
              <w:spacing w:after="0" w:line="240" w:lineRule="auto"/>
              <w:rPr>
                <w:rFonts w:ascii="Arial Narrow" w:eastAsia="Times New Roman" w:hAnsi="Arial Narrow" w:cs="Arial"/>
                <w:b/>
                <w:color w:val="FFFFFF"/>
                <w:kern w:val="0"/>
                <w:sz w:val="18"/>
                <w:szCs w:val="18"/>
                <w:lang w:eastAsia="en-GB"/>
                <w14:ligatures w14:val="none"/>
              </w:rPr>
            </w:pPr>
          </w:p>
        </w:tc>
        <w:tc>
          <w:tcPr>
            <w:tcW w:w="552" w:type="pct"/>
            <w:vMerge/>
            <w:tcBorders>
              <w:left w:val="nil"/>
              <w:bottom w:val="single" w:sz="4" w:space="0" w:color="auto"/>
              <w:right w:val="single" w:sz="4" w:space="0" w:color="auto"/>
            </w:tcBorders>
            <w:shd w:val="clear" w:color="000000" w:fill="A6C9EC"/>
          </w:tcPr>
          <w:p w14:paraId="6A9A6BC2" w14:textId="77777777" w:rsidR="007D4F84" w:rsidRPr="00D212E6" w:rsidRDefault="007D4F84" w:rsidP="001F56FA">
            <w:pPr>
              <w:spacing w:after="0" w:line="240" w:lineRule="auto"/>
              <w:jc w:val="center"/>
              <w:rPr>
                <w:rFonts w:ascii="Arial Narrow" w:eastAsia="Times New Roman" w:hAnsi="Arial Narrow" w:cs="Arial"/>
                <w:b/>
                <w:color w:val="FFFFFF"/>
                <w:kern w:val="0"/>
                <w:sz w:val="18"/>
                <w:szCs w:val="18"/>
                <w:lang w:eastAsia="en-GB"/>
                <w14:ligatures w14:val="none"/>
              </w:rPr>
            </w:pPr>
          </w:p>
        </w:tc>
        <w:tc>
          <w:tcPr>
            <w:tcW w:w="313" w:type="pct"/>
            <w:tcBorders>
              <w:top w:val="nil"/>
              <w:left w:val="single" w:sz="4" w:space="0" w:color="auto"/>
              <w:bottom w:val="single" w:sz="4" w:space="0" w:color="auto"/>
              <w:right w:val="single" w:sz="4" w:space="0" w:color="auto"/>
            </w:tcBorders>
            <w:shd w:val="clear" w:color="000000" w:fill="A6C9EC"/>
            <w:vAlign w:val="center"/>
            <w:hideMark/>
          </w:tcPr>
          <w:p w14:paraId="4124D6EE" w14:textId="77777777" w:rsidR="007D4F84" w:rsidRPr="00D212E6" w:rsidRDefault="007D4F84" w:rsidP="001F56FA">
            <w:pPr>
              <w:spacing w:after="0" w:line="240" w:lineRule="auto"/>
              <w:jc w:val="center"/>
              <w:rPr>
                <w:rFonts w:ascii="Arial Narrow" w:eastAsia="Times New Roman" w:hAnsi="Arial Narrow" w:cs="Arial"/>
                <w:b/>
                <w:color w:val="FFFFFF"/>
                <w:kern w:val="0"/>
                <w:sz w:val="18"/>
                <w:szCs w:val="18"/>
                <w:lang w:eastAsia="en-GB"/>
                <w14:ligatures w14:val="none"/>
              </w:rPr>
            </w:pPr>
            <w:r w:rsidRPr="00D212E6">
              <w:rPr>
                <w:rFonts w:ascii="Arial Narrow" w:eastAsia="Times New Roman" w:hAnsi="Arial Narrow" w:cs="Arial"/>
                <w:b/>
                <w:color w:val="FFFFFF"/>
                <w:kern w:val="0"/>
                <w:sz w:val="18"/>
                <w:szCs w:val="18"/>
                <w:lang w:eastAsia="en-GB"/>
                <w14:ligatures w14:val="none"/>
              </w:rPr>
              <w:t>2021</w:t>
            </w:r>
          </w:p>
        </w:tc>
        <w:tc>
          <w:tcPr>
            <w:tcW w:w="393" w:type="pct"/>
            <w:tcBorders>
              <w:top w:val="nil"/>
              <w:left w:val="nil"/>
              <w:bottom w:val="single" w:sz="4" w:space="0" w:color="auto"/>
              <w:right w:val="single" w:sz="4" w:space="0" w:color="auto"/>
            </w:tcBorders>
            <w:shd w:val="clear" w:color="000000" w:fill="A6C9EC"/>
            <w:vAlign w:val="center"/>
            <w:hideMark/>
          </w:tcPr>
          <w:p w14:paraId="3D56400D" w14:textId="77777777" w:rsidR="007D4F84" w:rsidRPr="00D212E6" w:rsidRDefault="007D4F84" w:rsidP="001F56FA">
            <w:pPr>
              <w:spacing w:after="0" w:line="240" w:lineRule="auto"/>
              <w:jc w:val="center"/>
              <w:rPr>
                <w:rFonts w:ascii="Arial Narrow" w:eastAsia="Times New Roman" w:hAnsi="Arial Narrow" w:cs="Arial"/>
                <w:b/>
                <w:color w:val="FFFFFF"/>
                <w:kern w:val="0"/>
                <w:sz w:val="18"/>
                <w:szCs w:val="18"/>
                <w:lang w:eastAsia="en-GB"/>
                <w14:ligatures w14:val="none"/>
              </w:rPr>
            </w:pPr>
            <w:r w:rsidRPr="00D212E6">
              <w:rPr>
                <w:rFonts w:ascii="Arial Narrow" w:eastAsia="Times New Roman" w:hAnsi="Arial Narrow" w:cs="Arial"/>
                <w:b/>
                <w:color w:val="FFFFFF"/>
                <w:kern w:val="0"/>
                <w:sz w:val="18"/>
                <w:szCs w:val="18"/>
                <w:lang w:eastAsia="en-GB"/>
                <w14:ligatures w14:val="none"/>
              </w:rPr>
              <w:t>2022</w:t>
            </w:r>
          </w:p>
        </w:tc>
        <w:tc>
          <w:tcPr>
            <w:tcW w:w="394" w:type="pct"/>
            <w:tcBorders>
              <w:top w:val="nil"/>
              <w:left w:val="nil"/>
              <w:bottom w:val="single" w:sz="4" w:space="0" w:color="auto"/>
              <w:right w:val="single" w:sz="4" w:space="0" w:color="auto"/>
            </w:tcBorders>
            <w:shd w:val="clear" w:color="000000" w:fill="A6C9EC"/>
            <w:vAlign w:val="center"/>
            <w:hideMark/>
          </w:tcPr>
          <w:p w14:paraId="30E41987" w14:textId="77777777" w:rsidR="007D4F84" w:rsidRPr="00D212E6" w:rsidRDefault="007D4F84" w:rsidP="001F56FA">
            <w:pPr>
              <w:spacing w:after="0" w:line="240" w:lineRule="auto"/>
              <w:jc w:val="center"/>
              <w:rPr>
                <w:rFonts w:ascii="Arial Narrow" w:eastAsia="Times New Roman" w:hAnsi="Arial Narrow" w:cs="Arial"/>
                <w:b/>
                <w:color w:val="FFFFFF"/>
                <w:kern w:val="0"/>
                <w:sz w:val="18"/>
                <w:szCs w:val="18"/>
                <w:lang w:eastAsia="en-GB"/>
                <w14:ligatures w14:val="none"/>
              </w:rPr>
            </w:pPr>
            <w:r w:rsidRPr="00D212E6">
              <w:rPr>
                <w:rFonts w:ascii="Arial Narrow" w:eastAsia="Times New Roman" w:hAnsi="Arial Narrow" w:cs="Arial"/>
                <w:b/>
                <w:color w:val="FFFFFF"/>
                <w:kern w:val="0"/>
                <w:sz w:val="18"/>
                <w:szCs w:val="18"/>
                <w:lang w:eastAsia="en-GB"/>
                <w14:ligatures w14:val="none"/>
              </w:rPr>
              <w:t>2023</w:t>
            </w:r>
          </w:p>
        </w:tc>
        <w:tc>
          <w:tcPr>
            <w:tcW w:w="393" w:type="pct"/>
            <w:tcBorders>
              <w:top w:val="nil"/>
              <w:left w:val="nil"/>
              <w:bottom w:val="single" w:sz="4" w:space="0" w:color="auto"/>
              <w:right w:val="single" w:sz="4" w:space="0" w:color="auto"/>
            </w:tcBorders>
            <w:shd w:val="clear" w:color="000000" w:fill="A6C9EC"/>
            <w:vAlign w:val="center"/>
            <w:hideMark/>
          </w:tcPr>
          <w:p w14:paraId="39B40B9D" w14:textId="77777777" w:rsidR="007D4F84" w:rsidRPr="00D212E6" w:rsidRDefault="007D4F84" w:rsidP="001F56FA">
            <w:pPr>
              <w:spacing w:after="0" w:line="240" w:lineRule="auto"/>
              <w:jc w:val="center"/>
              <w:rPr>
                <w:rFonts w:ascii="Arial Narrow" w:eastAsia="Times New Roman" w:hAnsi="Arial Narrow" w:cs="Arial"/>
                <w:b/>
                <w:color w:val="FFFFFF"/>
                <w:kern w:val="0"/>
                <w:sz w:val="18"/>
                <w:szCs w:val="18"/>
                <w:lang w:eastAsia="en-GB"/>
                <w14:ligatures w14:val="none"/>
              </w:rPr>
            </w:pPr>
            <w:r w:rsidRPr="00D212E6">
              <w:rPr>
                <w:rFonts w:ascii="Arial Narrow" w:eastAsia="Times New Roman" w:hAnsi="Arial Narrow" w:cs="Arial"/>
                <w:b/>
                <w:color w:val="FFFFFF"/>
                <w:kern w:val="0"/>
                <w:sz w:val="18"/>
                <w:szCs w:val="18"/>
                <w:lang w:eastAsia="en-GB"/>
                <w14:ligatures w14:val="none"/>
              </w:rPr>
              <w:t>2021</w:t>
            </w:r>
          </w:p>
        </w:tc>
        <w:tc>
          <w:tcPr>
            <w:tcW w:w="393" w:type="pct"/>
            <w:tcBorders>
              <w:top w:val="nil"/>
              <w:left w:val="nil"/>
              <w:bottom w:val="single" w:sz="4" w:space="0" w:color="auto"/>
              <w:right w:val="single" w:sz="4" w:space="0" w:color="auto"/>
            </w:tcBorders>
            <w:shd w:val="clear" w:color="000000" w:fill="A6C9EC"/>
            <w:vAlign w:val="center"/>
            <w:hideMark/>
          </w:tcPr>
          <w:p w14:paraId="4B2E4905" w14:textId="77777777" w:rsidR="007D4F84" w:rsidRPr="00D212E6" w:rsidRDefault="007D4F84" w:rsidP="001F56FA">
            <w:pPr>
              <w:spacing w:after="0" w:line="240" w:lineRule="auto"/>
              <w:jc w:val="center"/>
              <w:rPr>
                <w:rFonts w:ascii="Arial Narrow" w:eastAsia="Times New Roman" w:hAnsi="Arial Narrow" w:cs="Arial"/>
                <w:b/>
                <w:color w:val="FFFFFF"/>
                <w:kern w:val="0"/>
                <w:sz w:val="18"/>
                <w:szCs w:val="18"/>
                <w:lang w:eastAsia="en-GB"/>
                <w14:ligatures w14:val="none"/>
              </w:rPr>
            </w:pPr>
            <w:r w:rsidRPr="00D212E6">
              <w:rPr>
                <w:rFonts w:ascii="Arial Narrow" w:eastAsia="Times New Roman" w:hAnsi="Arial Narrow" w:cs="Arial"/>
                <w:b/>
                <w:color w:val="FFFFFF"/>
                <w:kern w:val="0"/>
                <w:sz w:val="18"/>
                <w:szCs w:val="18"/>
                <w:lang w:eastAsia="en-GB"/>
                <w14:ligatures w14:val="none"/>
              </w:rPr>
              <w:t>2022</w:t>
            </w:r>
          </w:p>
        </w:tc>
        <w:tc>
          <w:tcPr>
            <w:tcW w:w="392" w:type="pct"/>
            <w:tcBorders>
              <w:top w:val="nil"/>
              <w:left w:val="nil"/>
              <w:bottom w:val="single" w:sz="4" w:space="0" w:color="auto"/>
              <w:right w:val="single" w:sz="4" w:space="0" w:color="auto"/>
            </w:tcBorders>
            <w:shd w:val="clear" w:color="000000" w:fill="A6C9EC"/>
            <w:vAlign w:val="center"/>
            <w:hideMark/>
          </w:tcPr>
          <w:p w14:paraId="49B42D7E" w14:textId="77777777" w:rsidR="007D4F84" w:rsidRPr="00D212E6" w:rsidRDefault="007D4F84" w:rsidP="001F56FA">
            <w:pPr>
              <w:spacing w:after="0" w:line="240" w:lineRule="auto"/>
              <w:jc w:val="center"/>
              <w:rPr>
                <w:rFonts w:ascii="Arial Narrow" w:eastAsia="Times New Roman" w:hAnsi="Arial Narrow" w:cs="Arial"/>
                <w:b/>
                <w:color w:val="FFFFFF"/>
                <w:kern w:val="0"/>
                <w:sz w:val="18"/>
                <w:szCs w:val="18"/>
                <w:lang w:eastAsia="en-GB"/>
                <w14:ligatures w14:val="none"/>
              </w:rPr>
            </w:pPr>
            <w:r w:rsidRPr="00D212E6">
              <w:rPr>
                <w:rFonts w:ascii="Arial Narrow" w:eastAsia="Times New Roman" w:hAnsi="Arial Narrow" w:cs="Arial"/>
                <w:b/>
                <w:color w:val="FFFFFF"/>
                <w:kern w:val="0"/>
                <w:sz w:val="18"/>
                <w:szCs w:val="18"/>
                <w:lang w:eastAsia="en-GB"/>
                <w14:ligatures w14:val="none"/>
              </w:rPr>
              <w:t>2023</w:t>
            </w:r>
          </w:p>
        </w:tc>
        <w:tc>
          <w:tcPr>
            <w:tcW w:w="601" w:type="pct"/>
            <w:vMerge/>
            <w:tcBorders>
              <w:top w:val="single" w:sz="4" w:space="0" w:color="auto"/>
              <w:left w:val="single" w:sz="4" w:space="0" w:color="auto"/>
              <w:bottom w:val="single" w:sz="4" w:space="0" w:color="auto"/>
              <w:right w:val="single" w:sz="4" w:space="0" w:color="auto"/>
            </w:tcBorders>
            <w:vAlign w:val="center"/>
            <w:hideMark/>
          </w:tcPr>
          <w:p w14:paraId="20420B19" w14:textId="77777777" w:rsidR="007D4F84" w:rsidRPr="00A918AC" w:rsidRDefault="007D4F84" w:rsidP="001F56FA">
            <w:pPr>
              <w:spacing w:after="0" w:line="240" w:lineRule="auto"/>
              <w:jc w:val="center"/>
              <w:rPr>
                <w:rFonts w:ascii="Arial Narrow" w:eastAsia="Times New Roman" w:hAnsi="Arial Narrow" w:cs="Arial"/>
                <w:b/>
                <w:color w:val="FFFFFF"/>
                <w:kern w:val="0"/>
                <w:sz w:val="18"/>
                <w:szCs w:val="18"/>
                <w:lang w:eastAsia="en-GB"/>
                <w14:ligatures w14:val="none"/>
              </w:rPr>
            </w:pPr>
          </w:p>
        </w:tc>
      </w:tr>
      <w:tr w:rsidR="007D4F84" w:rsidRPr="00D212E6" w14:paraId="383ECEC6" w14:textId="77777777" w:rsidTr="001F56FA">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30231D08"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1</w:t>
            </w:r>
          </w:p>
        </w:tc>
        <w:tc>
          <w:tcPr>
            <w:tcW w:w="1354" w:type="pct"/>
            <w:tcBorders>
              <w:top w:val="nil"/>
              <w:left w:val="nil"/>
              <w:bottom w:val="single" w:sz="4" w:space="0" w:color="auto"/>
              <w:right w:val="single" w:sz="4" w:space="0" w:color="auto"/>
            </w:tcBorders>
            <w:shd w:val="clear" w:color="auto" w:fill="auto"/>
            <w:vAlign w:val="center"/>
            <w:hideMark/>
          </w:tcPr>
          <w:p w14:paraId="4E1D80EA" w14:textId="77777777" w:rsidR="007D4F84" w:rsidRPr="00D212E6" w:rsidRDefault="007D4F84" w:rsidP="001F56FA">
            <w:pPr>
              <w:spacing w:after="0" w:line="240" w:lineRule="auto"/>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Ratio de Mortalité maternelle (pour 100 000 naissances vivantes)</w:t>
            </w:r>
          </w:p>
        </w:tc>
        <w:tc>
          <w:tcPr>
            <w:tcW w:w="552" w:type="pct"/>
            <w:tcBorders>
              <w:top w:val="nil"/>
              <w:left w:val="nil"/>
              <w:bottom w:val="single" w:sz="4" w:space="0" w:color="auto"/>
              <w:right w:val="single" w:sz="4" w:space="0" w:color="auto"/>
            </w:tcBorders>
            <w:shd w:val="clear" w:color="auto" w:fill="auto"/>
            <w:vAlign w:val="center"/>
          </w:tcPr>
          <w:p w14:paraId="5CE77602"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614 (2012)</w:t>
            </w:r>
          </w:p>
        </w:tc>
        <w:tc>
          <w:tcPr>
            <w:tcW w:w="313" w:type="pct"/>
            <w:tcBorders>
              <w:top w:val="nil"/>
              <w:left w:val="single" w:sz="4" w:space="0" w:color="auto"/>
              <w:bottom w:val="single" w:sz="4" w:space="0" w:color="auto"/>
              <w:right w:val="single" w:sz="4" w:space="0" w:color="auto"/>
            </w:tcBorders>
            <w:shd w:val="clear" w:color="auto" w:fill="auto"/>
            <w:vAlign w:val="center"/>
            <w:hideMark/>
          </w:tcPr>
          <w:p w14:paraId="36A7253C"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566,6</w:t>
            </w:r>
          </w:p>
        </w:tc>
        <w:tc>
          <w:tcPr>
            <w:tcW w:w="393" w:type="pct"/>
            <w:tcBorders>
              <w:top w:val="nil"/>
              <w:left w:val="nil"/>
              <w:bottom w:val="single" w:sz="4" w:space="0" w:color="auto"/>
              <w:right w:val="single" w:sz="4" w:space="0" w:color="auto"/>
            </w:tcBorders>
            <w:shd w:val="clear" w:color="auto" w:fill="auto"/>
            <w:vAlign w:val="center"/>
            <w:hideMark/>
          </w:tcPr>
          <w:p w14:paraId="454C47F6"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519,2</w:t>
            </w:r>
          </w:p>
        </w:tc>
        <w:tc>
          <w:tcPr>
            <w:tcW w:w="394" w:type="pct"/>
            <w:tcBorders>
              <w:top w:val="nil"/>
              <w:left w:val="nil"/>
              <w:bottom w:val="single" w:sz="4" w:space="0" w:color="auto"/>
              <w:right w:val="single" w:sz="4" w:space="0" w:color="auto"/>
            </w:tcBorders>
            <w:shd w:val="clear" w:color="auto" w:fill="auto"/>
            <w:vAlign w:val="center"/>
            <w:hideMark/>
          </w:tcPr>
          <w:p w14:paraId="1A71880E"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471,8</w:t>
            </w:r>
          </w:p>
        </w:tc>
        <w:tc>
          <w:tcPr>
            <w:tcW w:w="393" w:type="pct"/>
            <w:tcBorders>
              <w:top w:val="nil"/>
              <w:left w:val="nil"/>
              <w:bottom w:val="single" w:sz="4" w:space="0" w:color="auto"/>
              <w:right w:val="single" w:sz="4" w:space="0" w:color="auto"/>
            </w:tcBorders>
            <w:shd w:val="clear" w:color="auto" w:fill="auto"/>
            <w:noWrap/>
            <w:vAlign w:val="center"/>
            <w:hideMark/>
          </w:tcPr>
          <w:p w14:paraId="107D32D7" w14:textId="77777777" w:rsidR="007D4F84" w:rsidRPr="00D212E6" w:rsidRDefault="007D4F84" w:rsidP="001F56FA">
            <w:pPr>
              <w:spacing w:after="0" w:line="240" w:lineRule="auto"/>
              <w:jc w:val="center"/>
              <w:rPr>
                <w:rFonts w:ascii="Arial Narrow" w:eastAsia="Times New Roman" w:hAnsi="Arial Narrow" w:cs="Arial"/>
                <w:color w:val="000000"/>
                <w:kern w:val="0"/>
                <w:sz w:val="18"/>
                <w:szCs w:val="18"/>
                <w:lang w:eastAsia="en-GB"/>
                <w14:ligatures w14:val="none"/>
              </w:rPr>
            </w:pPr>
            <w:r w:rsidRPr="00D212E6">
              <w:rPr>
                <w:rFonts w:ascii="Arial Narrow" w:eastAsia="Times New Roman" w:hAnsi="Arial Narrow" w:cs="Arial"/>
                <w:color w:val="000000"/>
                <w:kern w:val="0"/>
                <w:sz w:val="18"/>
                <w:szCs w:val="18"/>
                <w:lang w:eastAsia="en-GB"/>
                <w14:ligatures w14:val="none"/>
              </w:rPr>
              <w:t>385</w:t>
            </w:r>
          </w:p>
        </w:tc>
        <w:tc>
          <w:tcPr>
            <w:tcW w:w="393" w:type="pct"/>
            <w:tcBorders>
              <w:top w:val="nil"/>
              <w:left w:val="nil"/>
              <w:bottom w:val="single" w:sz="4" w:space="0" w:color="auto"/>
              <w:right w:val="single" w:sz="4" w:space="0" w:color="auto"/>
            </w:tcBorders>
            <w:shd w:val="clear" w:color="auto" w:fill="auto"/>
            <w:noWrap/>
            <w:vAlign w:val="center"/>
            <w:hideMark/>
          </w:tcPr>
          <w:p w14:paraId="2E142CF6" w14:textId="77777777" w:rsidR="007D4F84" w:rsidRPr="00D212E6" w:rsidRDefault="007D4F84" w:rsidP="001F56FA">
            <w:pPr>
              <w:spacing w:after="0" w:line="240" w:lineRule="auto"/>
              <w:jc w:val="center"/>
              <w:rPr>
                <w:rFonts w:ascii="Arial Narrow" w:eastAsia="Times New Roman" w:hAnsi="Arial Narrow" w:cs="Arial"/>
                <w:color w:val="000000"/>
                <w:kern w:val="0"/>
                <w:sz w:val="18"/>
                <w:szCs w:val="18"/>
                <w:lang w:eastAsia="en-GB"/>
                <w14:ligatures w14:val="none"/>
              </w:rPr>
            </w:pPr>
            <w:r w:rsidRPr="00D212E6">
              <w:rPr>
                <w:rFonts w:ascii="Arial Narrow" w:eastAsia="Times New Roman" w:hAnsi="Arial Narrow" w:cs="Arial"/>
                <w:color w:val="000000"/>
                <w:kern w:val="0"/>
                <w:sz w:val="18"/>
                <w:szCs w:val="18"/>
                <w:lang w:eastAsia="en-GB"/>
                <w14:ligatures w14:val="none"/>
              </w:rPr>
              <w:t>385</w:t>
            </w:r>
          </w:p>
        </w:tc>
        <w:tc>
          <w:tcPr>
            <w:tcW w:w="392" w:type="pct"/>
            <w:tcBorders>
              <w:top w:val="nil"/>
              <w:left w:val="nil"/>
              <w:bottom w:val="single" w:sz="4" w:space="0" w:color="auto"/>
              <w:right w:val="single" w:sz="4" w:space="0" w:color="auto"/>
            </w:tcBorders>
            <w:shd w:val="clear" w:color="auto" w:fill="auto"/>
            <w:noWrap/>
            <w:vAlign w:val="center"/>
            <w:hideMark/>
          </w:tcPr>
          <w:p w14:paraId="570D9E73" w14:textId="77777777" w:rsidR="007D4F84" w:rsidRPr="00D212E6" w:rsidRDefault="007D4F84" w:rsidP="001F56FA">
            <w:pPr>
              <w:spacing w:after="0" w:line="240" w:lineRule="auto"/>
              <w:jc w:val="center"/>
              <w:rPr>
                <w:rFonts w:ascii="Arial Narrow" w:eastAsia="Times New Roman" w:hAnsi="Arial Narrow" w:cs="Arial"/>
                <w:color w:val="000000"/>
                <w:kern w:val="0"/>
                <w:sz w:val="18"/>
                <w:szCs w:val="18"/>
                <w:lang w:eastAsia="en-GB"/>
                <w14:ligatures w14:val="none"/>
              </w:rPr>
            </w:pPr>
            <w:r w:rsidRPr="00D212E6">
              <w:rPr>
                <w:rFonts w:ascii="Arial Narrow" w:eastAsia="Times New Roman" w:hAnsi="Arial Narrow" w:cs="Arial"/>
                <w:color w:val="000000"/>
                <w:kern w:val="0"/>
                <w:sz w:val="18"/>
                <w:szCs w:val="18"/>
                <w:lang w:eastAsia="en-GB"/>
                <w14:ligatures w14:val="none"/>
              </w:rPr>
              <w:t>385</w:t>
            </w:r>
          </w:p>
        </w:tc>
        <w:tc>
          <w:tcPr>
            <w:tcW w:w="601"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40848DC0" w14:textId="77777777" w:rsidR="007D4F84" w:rsidRPr="00D212E6" w:rsidRDefault="007D4F84" w:rsidP="001F56FA">
            <w:pPr>
              <w:spacing w:after="0" w:line="240" w:lineRule="auto"/>
              <w:jc w:val="center"/>
              <w:rPr>
                <w:rFonts w:ascii="Arial Narrow" w:eastAsia="Times New Roman" w:hAnsi="Arial Narrow" w:cs="Arial"/>
                <w:b/>
                <w:color w:val="006100"/>
                <w:kern w:val="0"/>
                <w:sz w:val="18"/>
                <w:szCs w:val="18"/>
                <w:lang w:eastAsia="en-GB"/>
                <w14:ligatures w14:val="none"/>
              </w:rPr>
            </w:pPr>
          </w:p>
        </w:tc>
      </w:tr>
      <w:tr w:rsidR="007D4F84" w:rsidRPr="00D212E6" w14:paraId="7813FC2A" w14:textId="77777777" w:rsidTr="001F56FA">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5C8F5B78"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Pr>
                <w:rFonts w:ascii="Arial Narrow" w:eastAsia="Times New Roman" w:hAnsi="Arial Narrow" w:cs="Arial"/>
                <w:kern w:val="0"/>
                <w:sz w:val="18"/>
                <w:szCs w:val="18"/>
                <w:lang w:eastAsia="en-GB"/>
                <w14:ligatures w14:val="none"/>
              </w:rPr>
              <w:t>2</w:t>
            </w:r>
          </w:p>
        </w:tc>
        <w:tc>
          <w:tcPr>
            <w:tcW w:w="1354" w:type="pct"/>
            <w:tcBorders>
              <w:top w:val="nil"/>
              <w:left w:val="nil"/>
              <w:bottom w:val="single" w:sz="4" w:space="0" w:color="auto"/>
              <w:right w:val="single" w:sz="4" w:space="0" w:color="auto"/>
            </w:tcBorders>
            <w:shd w:val="clear" w:color="auto" w:fill="auto"/>
            <w:vAlign w:val="center"/>
            <w:hideMark/>
          </w:tcPr>
          <w:p w14:paraId="02B4E6C2" w14:textId="77777777" w:rsidR="007D4F84" w:rsidRPr="00D212E6" w:rsidRDefault="007D4F84" w:rsidP="001F56FA">
            <w:pPr>
              <w:spacing w:after="0" w:line="240" w:lineRule="auto"/>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Taux de mortalité des moins de 5 ans (pour 1000 naissances vivantes)</w:t>
            </w:r>
          </w:p>
        </w:tc>
        <w:tc>
          <w:tcPr>
            <w:tcW w:w="552" w:type="pct"/>
            <w:tcBorders>
              <w:top w:val="nil"/>
              <w:left w:val="nil"/>
              <w:bottom w:val="single" w:sz="4" w:space="0" w:color="auto"/>
              <w:right w:val="single" w:sz="4" w:space="0" w:color="auto"/>
            </w:tcBorders>
            <w:shd w:val="clear" w:color="auto" w:fill="auto"/>
            <w:vAlign w:val="center"/>
          </w:tcPr>
          <w:p w14:paraId="710563FC"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96 (2016)</w:t>
            </w:r>
          </w:p>
        </w:tc>
        <w:tc>
          <w:tcPr>
            <w:tcW w:w="313" w:type="pct"/>
            <w:tcBorders>
              <w:top w:val="nil"/>
              <w:left w:val="single" w:sz="4" w:space="0" w:color="auto"/>
              <w:bottom w:val="single" w:sz="4" w:space="0" w:color="auto"/>
              <w:right w:val="single" w:sz="4" w:space="0" w:color="auto"/>
            </w:tcBorders>
            <w:shd w:val="clear" w:color="auto" w:fill="auto"/>
            <w:vAlign w:val="center"/>
            <w:hideMark/>
          </w:tcPr>
          <w:p w14:paraId="76D9ADA3"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88,9</w:t>
            </w:r>
          </w:p>
        </w:tc>
        <w:tc>
          <w:tcPr>
            <w:tcW w:w="393" w:type="pct"/>
            <w:tcBorders>
              <w:top w:val="nil"/>
              <w:left w:val="nil"/>
              <w:bottom w:val="single" w:sz="4" w:space="0" w:color="auto"/>
              <w:right w:val="single" w:sz="4" w:space="0" w:color="auto"/>
            </w:tcBorders>
            <w:shd w:val="clear" w:color="auto" w:fill="auto"/>
            <w:vAlign w:val="center"/>
            <w:hideMark/>
          </w:tcPr>
          <w:p w14:paraId="17E73722"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81,8</w:t>
            </w:r>
          </w:p>
        </w:tc>
        <w:tc>
          <w:tcPr>
            <w:tcW w:w="394" w:type="pct"/>
            <w:tcBorders>
              <w:top w:val="nil"/>
              <w:left w:val="nil"/>
              <w:bottom w:val="single" w:sz="4" w:space="0" w:color="auto"/>
              <w:right w:val="single" w:sz="4" w:space="0" w:color="auto"/>
            </w:tcBorders>
            <w:shd w:val="clear" w:color="auto" w:fill="auto"/>
            <w:vAlign w:val="center"/>
            <w:hideMark/>
          </w:tcPr>
          <w:p w14:paraId="1C3AE301"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74,7</w:t>
            </w:r>
          </w:p>
        </w:tc>
        <w:tc>
          <w:tcPr>
            <w:tcW w:w="393" w:type="pct"/>
            <w:tcBorders>
              <w:top w:val="nil"/>
              <w:left w:val="nil"/>
              <w:bottom w:val="single" w:sz="4" w:space="0" w:color="auto"/>
              <w:right w:val="single" w:sz="4" w:space="0" w:color="auto"/>
            </w:tcBorders>
            <w:shd w:val="clear" w:color="auto" w:fill="auto"/>
            <w:noWrap/>
            <w:vAlign w:val="center"/>
            <w:hideMark/>
          </w:tcPr>
          <w:p w14:paraId="1A235410" w14:textId="77777777" w:rsidR="007D4F84" w:rsidRPr="00D212E6" w:rsidRDefault="007D4F84" w:rsidP="001F56FA">
            <w:pPr>
              <w:spacing w:after="0" w:line="240" w:lineRule="auto"/>
              <w:jc w:val="center"/>
              <w:rPr>
                <w:rFonts w:ascii="Arial Narrow" w:eastAsia="Times New Roman" w:hAnsi="Arial Narrow" w:cs="Arial"/>
                <w:color w:val="000000"/>
                <w:kern w:val="0"/>
                <w:sz w:val="18"/>
                <w:szCs w:val="18"/>
                <w:lang w:eastAsia="en-GB"/>
                <w14:ligatures w14:val="none"/>
              </w:rPr>
            </w:pPr>
            <w:r w:rsidRPr="00D212E6">
              <w:rPr>
                <w:rFonts w:ascii="Arial Narrow" w:eastAsia="Times New Roman" w:hAnsi="Arial Narrow" w:cs="Arial"/>
                <w:color w:val="000000"/>
                <w:kern w:val="0"/>
                <w:sz w:val="18"/>
                <w:szCs w:val="18"/>
                <w:lang w:eastAsia="en-GB"/>
                <w14:ligatures w14:val="none"/>
              </w:rPr>
              <w:t>74</w:t>
            </w:r>
          </w:p>
        </w:tc>
        <w:tc>
          <w:tcPr>
            <w:tcW w:w="393" w:type="pct"/>
            <w:tcBorders>
              <w:top w:val="nil"/>
              <w:left w:val="nil"/>
              <w:bottom w:val="single" w:sz="4" w:space="0" w:color="auto"/>
              <w:right w:val="single" w:sz="4" w:space="0" w:color="auto"/>
            </w:tcBorders>
            <w:shd w:val="clear" w:color="auto" w:fill="auto"/>
            <w:noWrap/>
            <w:vAlign w:val="center"/>
            <w:hideMark/>
          </w:tcPr>
          <w:p w14:paraId="585CB437" w14:textId="77777777" w:rsidR="007D4F84" w:rsidRPr="00D212E6" w:rsidRDefault="007D4F84" w:rsidP="001F56FA">
            <w:pPr>
              <w:spacing w:after="0" w:line="240" w:lineRule="auto"/>
              <w:jc w:val="center"/>
              <w:rPr>
                <w:rFonts w:ascii="Arial Narrow" w:eastAsia="Times New Roman" w:hAnsi="Arial Narrow" w:cs="Arial"/>
                <w:color w:val="000000"/>
                <w:kern w:val="0"/>
                <w:sz w:val="18"/>
                <w:szCs w:val="18"/>
                <w:lang w:eastAsia="en-GB"/>
                <w14:ligatures w14:val="none"/>
              </w:rPr>
            </w:pPr>
            <w:r w:rsidRPr="00D212E6">
              <w:rPr>
                <w:rFonts w:ascii="Arial Narrow" w:eastAsia="Times New Roman" w:hAnsi="Arial Narrow" w:cs="Arial"/>
                <w:color w:val="000000"/>
                <w:kern w:val="0"/>
                <w:sz w:val="18"/>
                <w:szCs w:val="18"/>
                <w:lang w:eastAsia="en-GB"/>
                <w14:ligatures w14:val="none"/>
              </w:rPr>
              <w:t>74</w:t>
            </w:r>
          </w:p>
        </w:tc>
        <w:tc>
          <w:tcPr>
            <w:tcW w:w="392" w:type="pct"/>
            <w:tcBorders>
              <w:top w:val="nil"/>
              <w:left w:val="nil"/>
              <w:bottom w:val="single" w:sz="4" w:space="0" w:color="auto"/>
              <w:right w:val="single" w:sz="4" w:space="0" w:color="auto"/>
            </w:tcBorders>
            <w:shd w:val="clear" w:color="auto" w:fill="auto"/>
            <w:noWrap/>
            <w:vAlign w:val="center"/>
            <w:hideMark/>
          </w:tcPr>
          <w:p w14:paraId="777A89FA" w14:textId="77777777" w:rsidR="007D4F84" w:rsidRPr="00D212E6" w:rsidRDefault="007D4F84" w:rsidP="001F56FA">
            <w:pPr>
              <w:spacing w:after="0" w:line="240" w:lineRule="auto"/>
              <w:jc w:val="center"/>
              <w:rPr>
                <w:rFonts w:ascii="Arial Narrow" w:eastAsia="Times New Roman" w:hAnsi="Arial Narrow" w:cs="Arial"/>
                <w:color w:val="000000"/>
                <w:kern w:val="0"/>
                <w:sz w:val="18"/>
                <w:szCs w:val="18"/>
                <w:lang w:eastAsia="en-GB"/>
                <w14:ligatures w14:val="none"/>
              </w:rPr>
            </w:pPr>
            <w:r w:rsidRPr="00D212E6">
              <w:rPr>
                <w:rFonts w:ascii="Arial Narrow" w:eastAsia="Times New Roman" w:hAnsi="Arial Narrow" w:cs="Arial"/>
                <w:color w:val="000000"/>
                <w:kern w:val="0"/>
                <w:sz w:val="18"/>
                <w:szCs w:val="18"/>
                <w:lang w:eastAsia="en-GB"/>
                <w14:ligatures w14:val="none"/>
              </w:rPr>
              <w:t>74</w:t>
            </w:r>
          </w:p>
        </w:tc>
        <w:tc>
          <w:tcPr>
            <w:tcW w:w="601"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tcPr>
          <w:p w14:paraId="330C4085" w14:textId="77777777" w:rsidR="007D4F84" w:rsidRPr="00D212E6" w:rsidRDefault="007D4F84" w:rsidP="001F56FA">
            <w:pPr>
              <w:spacing w:after="0" w:line="240" w:lineRule="auto"/>
              <w:jc w:val="center"/>
              <w:rPr>
                <w:rFonts w:ascii="Arial Narrow" w:eastAsia="Times New Roman" w:hAnsi="Arial Narrow" w:cs="Arial"/>
                <w:color w:val="006100"/>
                <w:kern w:val="0"/>
                <w:sz w:val="18"/>
                <w:szCs w:val="18"/>
                <w:lang w:eastAsia="en-GB"/>
                <w14:ligatures w14:val="none"/>
              </w:rPr>
            </w:pPr>
          </w:p>
        </w:tc>
      </w:tr>
      <w:tr w:rsidR="007D4F84" w:rsidRPr="00D212E6" w14:paraId="6F853F51" w14:textId="77777777" w:rsidTr="001F56FA">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31BDCCE5"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Pr>
                <w:rFonts w:ascii="Arial Narrow" w:eastAsia="Times New Roman" w:hAnsi="Arial Narrow" w:cs="Arial"/>
                <w:kern w:val="0"/>
                <w:sz w:val="18"/>
                <w:szCs w:val="18"/>
                <w:lang w:eastAsia="en-GB"/>
                <w14:ligatures w14:val="none"/>
              </w:rPr>
              <w:t>3</w:t>
            </w:r>
          </w:p>
        </w:tc>
        <w:tc>
          <w:tcPr>
            <w:tcW w:w="1354" w:type="pct"/>
            <w:tcBorders>
              <w:top w:val="nil"/>
              <w:left w:val="nil"/>
              <w:bottom w:val="single" w:sz="4" w:space="0" w:color="auto"/>
              <w:right w:val="single" w:sz="4" w:space="0" w:color="auto"/>
            </w:tcBorders>
            <w:shd w:val="clear" w:color="auto" w:fill="auto"/>
            <w:vAlign w:val="center"/>
            <w:hideMark/>
          </w:tcPr>
          <w:p w14:paraId="596A4DEC" w14:textId="77777777" w:rsidR="007D4F84" w:rsidRPr="00D212E6" w:rsidRDefault="007D4F84" w:rsidP="001F56FA">
            <w:pPr>
              <w:spacing w:after="0" w:line="240" w:lineRule="auto"/>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Taux de mortalité néonatale (moins d'un mois) ‰</w:t>
            </w:r>
          </w:p>
        </w:tc>
        <w:tc>
          <w:tcPr>
            <w:tcW w:w="552" w:type="pct"/>
            <w:tcBorders>
              <w:top w:val="nil"/>
              <w:left w:val="nil"/>
              <w:bottom w:val="single" w:sz="4" w:space="0" w:color="auto"/>
              <w:right w:val="single" w:sz="4" w:space="0" w:color="auto"/>
            </w:tcBorders>
            <w:vAlign w:val="center"/>
          </w:tcPr>
          <w:p w14:paraId="5E3C43AE"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33 (2020)</w:t>
            </w:r>
          </w:p>
        </w:tc>
        <w:tc>
          <w:tcPr>
            <w:tcW w:w="313" w:type="pct"/>
            <w:tcBorders>
              <w:top w:val="nil"/>
              <w:left w:val="single" w:sz="4" w:space="0" w:color="auto"/>
              <w:bottom w:val="single" w:sz="4" w:space="0" w:color="auto"/>
              <w:right w:val="single" w:sz="4" w:space="0" w:color="auto"/>
            </w:tcBorders>
            <w:shd w:val="clear" w:color="auto" w:fill="auto"/>
            <w:vAlign w:val="center"/>
            <w:hideMark/>
          </w:tcPr>
          <w:p w14:paraId="48FD4819"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30,9</w:t>
            </w:r>
          </w:p>
        </w:tc>
        <w:tc>
          <w:tcPr>
            <w:tcW w:w="393" w:type="pct"/>
            <w:tcBorders>
              <w:top w:val="nil"/>
              <w:left w:val="nil"/>
              <w:bottom w:val="single" w:sz="4" w:space="0" w:color="auto"/>
              <w:right w:val="single" w:sz="4" w:space="0" w:color="auto"/>
            </w:tcBorders>
            <w:shd w:val="clear" w:color="auto" w:fill="auto"/>
            <w:vAlign w:val="center"/>
            <w:hideMark/>
          </w:tcPr>
          <w:p w14:paraId="37C3B169"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28,8</w:t>
            </w:r>
          </w:p>
        </w:tc>
        <w:tc>
          <w:tcPr>
            <w:tcW w:w="394" w:type="pct"/>
            <w:tcBorders>
              <w:top w:val="nil"/>
              <w:left w:val="nil"/>
              <w:bottom w:val="single" w:sz="4" w:space="0" w:color="auto"/>
              <w:right w:val="single" w:sz="4" w:space="0" w:color="auto"/>
            </w:tcBorders>
            <w:shd w:val="clear" w:color="auto" w:fill="auto"/>
            <w:vAlign w:val="center"/>
            <w:hideMark/>
          </w:tcPr>
          <w:p w14:paraId="6979EA2D"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26,7</w:t>
            </w:r>
          </w:p>
        </w:tc>
        <w:tc>
          <w:tcPr>
            <w:tcW w:w="393" w:type="pct"/>
            <w:tcBorders>
              <w:top w:val="nil"/>
              <w:left w:val="nil"/>
              <w:bottom w:val="single" w:sz="4" w:space="0" w:color="auto"/>
              <w:right w:val="single" w:sz="4" w:space="0" w:color="auto"/>
            </w:tcBorders>
            <w:shd w:val="clear" w:color="auto" w:fill="auto"/>
            <w:noWrap/>
            <w:vAlign w:val="center"/>
            <w:hideMark/>
          </w:tcPr>
          <w:p w14:paraId="0519A2CF" w14:textId="77777777" w:rsidR="007D4F84" w:rsidRPr="00D212E6" w:rsidRDefault="007D4F84" w:rsidP="001F56FA">
            <w:pPr>
              <w:spacing w:after="0" w:line="240" w:lineRule="auto"/>
              <w:jc w:val="center"/>
              <w:rPr>
                <w:rFonts w:ascii="Arial Narrow" w:eastAsia="Times New Roman" w:hAnsi="Arial Narrow" w:cs="Arial"/>
                <w:color w:val="000000"/>
                <w:kern w:val="0"/>
                <w:sz w:val="18"/>
                <w:szCs w:val="18"/>
                <w:lang w:eastAsia="en-GB"/>
                <w14:ligatures w14:val="none"/>
              </w:rPr>
            </w:pPr>
            <w:r w:rsidRPr="00D212E6">
              <w:rPr>
                <w:rFonts w:ascii="Arial Narrow" w:eastAsia="Times New Roman" w:hAnsi="Arial Narrow" w:cs="Arial"/>
                <w:color w:val="000000"/>
                <w:kern w:val="0"/>
                <w:sz w:val="18"/>
                <w:szCs w:val="18"/>
                <w:lang w:eastAsia="en-GB"/>
                <w14:ligatures w14:val="none"/>
              </w:rPr>
              <w:t>3</w:t>
            </w:r>
            <w:r>
              <w:rPr>
                <w:rFonts w:ascii="Arial Narrow" w:eastAsia="Times New Roman" w:hAnsi="Arial Narrow" w:cs="Arial"/>
                <w:color w:val="000000"/>
                <w:kern w:val="0"/>
                <w:sz w:val="18"/>
                <w:szCs w:val="18"/>
                <w:lang w:eastAsia="en-GB"/>
                <w14:ligatures w14:val="none"/>
              </w:rPr>
              <w:t>0</w:t>
            </w:r>
          </w:p>
        </w:tc>
        <w:tc>
          <w:tcPr>
            <w:tcW w:w="393" w:type="pct"/>
            <w:tcBorders>
              <w:top w:val="nil"/>
              <w:left w:val="nil"/>
              <w:bottom w:val="single" w:sz="4" w:space="0" w:color="auto"/>
              <w:right w:val="single" w:sz="4" w:space="0" w:color="auto"/>
            </w:tcBorders>
            <w:shd w:val="clear" w:color="auto" w:fill="auto"/>
            <w:noWrap/>
            <w:vAlign w:val="center"/>
            <w:hideMark/>
          </w:tcPr>
          <w:p w14:paraId="4387863D" w14:textId="77777777" w:rsidR="007D4F84" w:rsidRPr="00D212E6" w:rsidRDefault="007D4F84" w:rsidP="001F56FA">
            <w:pPr>
              <w:spacing w:after="0" w:line="240" w:lineRule="auto"/>
              <w:jc w:val="center"/>
              <w:rPr>
                <w:rFonts w:ascii="Arial Narrow" w:eastAsia="Times New Roman" w:hAnsi="Arial Narrow" w:cs="Arial"/>
                <w:color w:val="000000"/>
                <w:kern w:val="0"/>
                <w:sz w:val="18"/>
                <w:szCs w:val="18"/>
                <w:lang w:eastAsia="en-GB"/>
                <w14:ligatures w14:val="none"/>
              </w:rPr>
            </w:pPr>
            <w:r w:rsidRPr="00D212E6">
              <w:rPr>
                <w:rFonts w:ascii="Arial Narrow" w:eastAsia="Times New Roman" w:hAnsi="Arial Narrow" w:cs="Arial"/>
                <w:color w:val="000000"/>
                <w:kern w:val="0"/>
                <w:sz w:val="18"/>
                <w:szCs w:val="18"/>
                <w:lang w:eastAsia="en-GB"/>
                <w14:ligatures w14:val="none"/>
              </w:rPr>
              <w:t>30</w:t>
            </w:r>
          </w:p>
        </w:tc>
        <w:tc>
          <w:tcPr>
            <w:tcW w:w="392" w:type="pct"/>
            <w:tcBorders>
              <w:top w:val="nil"/>
              <w:left w:val="nil"/>
              <w:bottom w:val="single" w:sz="4" w:space="0" w:color="auto"/>
              <w:right w:val="single" w:sz="4" w:space="0" w:color="auto"/>
            </w:tcBorders>
            <w:shd w:val="clear" w:color="auto" w:fill="auto"/>
            <w:noWrap/>
            <w:vAlign w:val="center"/>
            <w:hideMark/>
          </w:tcPr>
          <w:p w14:paraId="41359DFD" w14:textId="77777777" w:rsidR="007D4F84" w:rsidRPr="00D212E6" w:rsidRDefault="007D4F84" w:rsidP="001F56FA">
            <w:pPr>
              <w:spacing w:after="0" w:line="240" w:lineRule="auto"/>
              <w:jc w:val="center"/>
              <w:rPr>
                <w:rFonts w:ascii="Arial Narrow" w:eastAsia="Times New Roman" w:hAnsi="Arial Narrow" w:cs="Arial"/>
                <w:color w:val="000000"/>
                <w:kern w:val="0"/>
                <w:sz w:val="18"/>
                <w:szCs w:val="18"/>
                <w:lang w:eastAsia="en-GB"/>
                <w14:ligatures w14:val="none"/>
              </w:rPr>
            </w:pPr>
            <w:r w:rsidRPr="00D212E6">
              <w:rPr>
                <w:rFonts w:ascii="Arial Narrow" w:eastAsia="Times New Roman" w:hAnsi="Arial Narrow" w:cs="Arial"/>
                <w:color w:val="000000"/>
                <w:kern w:val="0"/>
                <w:sz w:val="18"/>
                <w:szCs w:val="18"/>
                <w:lang w:eastAsia="en-GB"/>
                <w14:ligatures w14:val="none"/>
              </w:rPr>
              <w:t>30</w:t>
            </w:r>
          </w:p>
        </w:tc>
        <w:tc>
          <w:tcPr>
            <w:tcW w:w="601" w:type="pct"/>
            <w:tcBorders>
              <w:top w:val="single" w:sz="4" w:space="0" w:color="auto"/>
              <w:left w:val="single" w:sz="4" w:space="0" w:color="auto"/>
              <w:bottom w:val="single" w:sz="4" w:space="0" w:color="auto"/>
              <w:right w:val="single" w:sz="4" w:space="0" w:color="auto"/>
            </w:tcBorders>
            <w:shd w:val="clear" w:color="auto" w:fill="FFC000"/>
            <w:noWrap/>
            <w:vAlign w:val="center"/>
          </w:tcPr>
          <w:p w14:paraId="40FAC5DB" w14:textId="77777777" w:rsidR="007D4F84" w:rsidRPr="00D212E6" w:rsidRDefault="007D4F84" w:rsidP="001F56FA">
            <w:pPr>
              <w:spacing w:after="0" w:line="240" w:lineRule="auto"/>
              <w:jc w:val="center"/>
              <w:rPr>
                <w:rFonts w:ascii="Arial Narrow" w:eastAsia="Times New Roman" w:hAnsi="Arial Narrow" w:cs="Arial"/>
                <w:color w:val="9C0006"/>
                <w:kern w:val="0"/>
                <w:sz w:val="18"/>
                <w:szCs w:val="18"/>
                <w:lang w:eastAsia="en-GB"/>
                <w14:ligatures w14:val="none"/>
              </w:rPr>
            </w:pPr>
          </w:p>
        </w:tc>
      </w:tr>
      <w:tr w:rsidR="007D4F84" w:rsidRPr="00D212E6" w14:paraId="209B8750" w14:textId="77777777" w:rsidTr="001F56FA">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65DB01AE"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bookmarkStart w:id="48" w:name="_Hlk186738697"/>
            <w:bookmarkStart w:id="49" w:name="_Hlk186738669"/>
            <w:r w:rsidRPr="00D212E6">
              <w:rPr>
                <w:rFonts w:ascii="Arial Narrow" w:eastAsia="Times New Roman" w:hAnsi="Arial Narrow" w:cs="Arial"/>
                <w:kern w:val="0"/>
                <w:sz w:val="18"/>
                <w:szCs w:val="18"/>
                <w:lang w:eastAsia="en-GB"/>
                <w14:ligatures w14:val="none"/>
              </w:rPr>
              <w:t>4</w:t>
            </w:r>
          </w:p>
        </w:tc>
        <w:tc>
          <w:tcPr>
            <w:tcW w:w="1354" w:type="pct"/>
            <w:tcBorders>
              <w:top w:val="nil"/>
              <w:left w:val="nil"/>
              <w:bottom w:val="single" w:sz="4" w:space="0" w:color="auto"/>
              <w:right w:val="single" w:sz="4" w:space="0" w:color="auto"/>
            </w:tcBorders>
            <w:shd w:val="clear" w:color="auto" w:fill="auto"/>
            <w:vAlign w:val="center"/>
            <w:hideMark/>
          </w:tcPr>
          <w:p w14:paraId="1DDC68C6" w14:textId="77777777" w:rsidR="007D4F84" w:rsidRPr="00D212E6" w:rsidRDefault="007D4F84" w:rsidP="001F56FA">
            <w:pPr>
              <w:spacing w:after="0" w:line="240" w:lineRule="auto"/>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Taux d'incidence de la tuberculose (pour 100 000 habitants)</w:t>
            </w:r>
          </w:p>
        </w:tc>
        <w:tc>
          <w:tcPr>
            <w:tcW w:w="552" w:type="pct"/>
            <w:tcBorders>
              <w:top w:val="nil"/>
              <w:left w:val="nil"/>
              <w:bottom w:val="single" w:sz="4" w:space="0" w:color="auto"/>
              <w:right w:val="single" w:sz="4" w:space="0" w:color="auto"/>
            </w:tcBorders>
            <w:vAlign w:val="center"/>
          </w:tcPr>
          <w:p w14:paraId="2BAC315F"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137 (2020)</w:t>
            </w:r>
          </w:p>
        </w:tc>
        <w:tc>
          <w:tcPr>
            <w:tcW w:w="313" w:type="pct"/>
            <w:tcBorders>
              <w:top w:val="nil"/>
              <w:left w:val="single" w:sz="4" w:space="0" w:color="auto"/>
              <w:bottom w:val="single" w:sz="4" w:space="0" w:color="auto"/>
              <w:right w:val="single" w:sz="4" w:space="0" w:color="auto"/>
            </w:tcBorders>
            <w:shd w:val="clear" w:color="auto" w:fill="auto"/>
            <w:vAlign w:val="center"/>
            <w:hideMark/>
          </w:tcPr>
          <w:p w14:paraId="07EEE142"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126</w:t>
            </w:r>
          </w:p>
        </w:tc>
        <w:tc>
          <w:tcPr>
            <w:tcW w:w="393" w:type="pct"/>
            <w:tcBorders>
              <w:top w:val="nil"/>
              <w:left w:val="nil"/>
              <w:bottom w:val="single" w:sz="4" w:space="0" w:color="auto"/>
              <w:right w:val="single" w:sz="4" w:space="0" w:color="auto"/>
            </w:tcBorders>
            <w:shd w:val="clear" w:color="auto" w:fill="auto"/>
            <w:vAlign w:val="center"/>
            <w:hideMark/>
          </w:tcPr>
          <w:p w14:paraId="724448FC"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120</w:t>
            </w:r>
          </w:p>
        </w:tc>
        <w:tc>
          <w:tcPr>
            <w:tcW w:w="394" w:type="pct"/>
            <w:tcBorders>
              <w:top w:val="nil"/>
              <w:left w:val="nil"/>
              <w:bottom w:val="single" w:sz="4" w:space="0" w:color="auto"/>
              <w:right w:val="single" w:sz="4" w:space="0" w:color="auto"/>
            </w:tcBorders>
            <w:shd w:val="clear" w:color="auto" w:fill="auto"/>
            <w:vAlign w:val="center"/>
            <w:hideMark/>
          </w:tcPr>
          <w:p w14:paraId="40B0EB9A"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113</w:t>
            </w:r>
          </w:p>
        </w:tc>
        <w:tc>
          <w:tcPr>
            <w:tcW w:w="393" w:type="pct"/>
            <w:tcBorders>
              <w:top w:val="nil"/>
              <w:left w:val="nil"/>
              <w:bottom w:val="single" w:sz="4" w:space="0" w:color="auto"/>
              <w:right w:val="single" w:sz="4" w:space="0" w:color="auto"/>
            </w:tcBorders>
            <w:shd w:val="clear" w:color="auto" w:fill="auto"/>
            <w:noWrap/>
            <w:vAlign w:val="center"/>
            <w:hideMark/>
          </w:tcPr>
          <w:p w14:paraId="5E4B36C1" w14:textId="77777777" w:rsidR="007D4F84" w:rsidRPr="00D212E6" w:rsidRDefault="007D4F84" w:rsidP="001F56FA">
            <w:pPr>
              <w:spacing w:after="0" w:line="240" w:lineRule="auto"/>
              <w:jc w:val="center"/>
              <w:rPr>
                <w:rFonts w:ascii="Arial Narrow" w:eastAsia="Times New Roman" w:hAnsi="Arial Narrow" w:cs="Arial"/>
                <w:i/>
                <w:color w:val="000000"/>
                <w:kern w:val="0"/>
                <w:sz w:val="18"/>
                <w:szCs w:val="18"/>
                <w:lang w:eastAsia="en-GB"/>
                <w14:ligatures w14:val="none"/>
              </w:rPr>
            </w:pPr>
            <w:r w:rsidRPr="00D212E6">
              <w:rPr>
                <w:rFonts w:ascii="Arial Narrow" w:eastAsia="Times New Roman" w:hAnsi="Arial Narrow" w:cs="Arial"/>
                <w:i/>
                <w:color w:val="000000"/>
                <w:kern w:val="0"/>
                <w:sz w:val="18"/>
                <w:szCs w:val="18"/>
                <w:lang w:eastAsia="en-GB"/>
                <w14:ligatures w14:val="none"/>
              </w:rPr>
              <w:t>128</w:t>
            </w:r>
          </w:p>
        </w:tc>
        <w:tc>
          <w:tcPr>
            <w:tcW w:w="393" w:type="pct"/>
            <w:tcBorders>
              <w:top w:val="nil"/>
              <w:left w:val="nil"/>
              <w:bottom w:val="single" w:sz="4" w:space="0" w:color="auto"/>
              <w:right w:val="single" w:sz="4" w:space="0" w:color="auto"/>
            </w:tcBorders>
            <w:shd w:val="clear" w:color="auto" w:fill="auto"/>
            <w:noWrap/>
            <w:vAlign w:val="center"/>
            <w:hideMark/>
          </w:tcPr>
          <w:p w14:paraId="068072B8" w14:textId="77777777" w:rsidR="007D4F84" w:rsidRPr="00D212E6" w:rsidRDefault="007D4F84" w:rsidP="001F56FA">
            <w:pPr>
              <w:spacing w:after="0" w:line="240" w:lineRule="auto"/>
              <w:jc w:val="center"/>
              <w:rPr>
                <w:rFonts w:ascii="Arial Narrow" w:eastAsia="Times New Roman" w:hAnsi="Arial Narrow" w:cs="Arial"/>
                <w:i/>
                <w:color w:val="000000"/>
                <w:kern w:val="0"/>
                <w:sz w:val="18"/>
                <w:szCs w:val="18"/>
                <w:lang w:eastAsia="en-GB"/>
                <w14:ligatures w14:val="none"/>
              </w:rPr>
            </w:pPr>
            <w:r w:rsidRPr="00D212E6">
              <w:rPr>
                <w:rFonts w:ascii="Arial Narrow" w:eastAsia="Times New Roman" w:hAnsi="Arial Narrow" w:cs="Arial"/>
                <w:i/>
                <w:color w:val="000000"/>
                <w:kern w:val="0"/>
                <w:sz w:val="18"/>
                <w:szCs w:val="18"/>
                <w:lang w:eastAsia="en-GB"/>
                <w14:ligatures w14:val="none"/>
              </w:rPr>
              <w:t>123</w:t>
            </w:r>
          </w:p>
        </w:tc>
        <w:tc>
          <w:tcPr>
            <w:tcW w:w="392" w:type="pct"/>
            <w:tcBorders>
              <w:top w:val="nil"/>
              <w:left w:val="nil"/>
              <w:bottom w:val="single" w:sz="4" w:space="0" w:color="auto"/>
              <w:right w:val="single" w:sz="4" w:space="0" w:color="auto"/>
            </w:tcBorders>
            <w:shd w:val="clear" w:color="auto" w:fill="auto"/>
            <w:noWrap/>
            <w:vAlign w:val="center"/>
            <w:hideMark/>
          </w:tcPr>
          <w:p w14:paraId="08BD9FD7" w14:textId="77777777" w:rsidR="007D4F84" w:rsidRPr="00D212E6" w:rsidRDefault="007D4F84" w:rsidP="001F56FA">
            <w:pPr>
              <w:spacing w:after="0" w:line="240" w:lineRule="auto"/>
              <w:jc w:val="center"/>
              <w:rPr>
                <w:rFonts w:ascii="Arial Narrow" w:eastAsia="Times New Roman" w:hAnsi="Arial Narrow" w:cs="Arial"/>
                <w:i/>
                <w:color w:val="000000"/>
                <w:kern w:val="0"/>
                <w:sz w:val="18"/>
                <w:szCs w:val="18"/>
                <w:lang w:eastAsia="en-GB"/>
                <w14:ligatures w14:val="none"/>
              </w:rPr>
            </w:pPr>
            <w:r w:rsidRPr="00D212E6">
              <w:rPr>
                <w:rFonts w:ascii="Arial Narrow" w:eastAsia="Times New Roman" w:hAnsi="Arial Narrow" w:cs="Arial"/>
                <w:i/>
                <w:color w:val="000000"/>
                <w:kern w:val="0"/>
                <w:sz w:val="18"/>
                <w:szCs w:val="18"/>
                <w:lang w:eastAsia="en-GB"/>
                <w14:ligatures w14:val="none"/>
              </w:rPr>
              <w:t> </w:t>
            </w:r>
          </w:p>
        </w:tc>
        <w:tc>
          <w:tcPr>
            <w:tcW w:w="601" w:type="pct"/>
            <w:tcBorders>
              <w:top w:val="single" w:sz="4" w:space="0" w:color="auto"/>
              <w:left w:val="single" w:sz="4" w:space="0" w:color="auto"/>
              <w:bottom w:val="single" w:sz="4" w:space="0" w:color="auto"/>
              <w:right w:val="single" w:sz="4" w:space="0" w:color="auto"/>
            </w:tcBorders>
            <w:shd w:val="clear" w:color="auto" w:fill="FFC000"/>
            <w:noWrap/>
            <w:vAlign w:val="center"/>
          </w:tcPr>
          <w:p w14:paraId="6DA9A7E9" w14:textId="77777777" w:rsidR="007D4F84" w:rsidRPr="00D212E6" w:rsidRDefault="007D4F84" w:rsidP="001F56FA">
            <w:pPr>
              <w:spacing w:after="0" w:line="240" w:lineRule="auto"/>
              <w:jc w:val="center"/>
              <w:rPr>
                <w:rFonts w:ascii="Arial Narrow" w:eastAsia="Times New Roman" w:hAnsi="Arial Narrow" w:cs="Arial"/>
                <w:color w:val="9C0006"/>
                <w:kern w:val="0"/>
                <w:sz w:val="18"/>
                <w:szCs w:val="18"/>
                <w:lang w:eastAsia="en-GB"/>
                <w14:ligatures w14:val="none"/>
              </w:rPr>
            </w:pPr>
          </w:p>
        </w:tc>
      </w:tr>
      <w:bookmarkEnd w:id="48"/>
      <w:bookmarkEnd w:id="49"/>
      <w:tr w:rsidR="007D4F84" w:rsidRPr="00D212E6" w14:paraId="76E6402B" w14:textId="77777777" w:rsidTr="001F56FA">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09A2D0AC"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Pr>
                <w:rFonts w:ascii="Arial Narrow" w:eastAsia="Times New Roman" w:hAnsi="Arial Narrow" w:cs="Arial"/>
                <w:kern w:val="0"/>
                <w:sz w:val="18"/>
                <w:szCs w:val="18"/>
                <w:lang w:eastAsia="en-GB"/>
                <w14:ligatures w14:val="none"/>
              </w:rPr>
              <w:t>5</w:t>
            </w:r>
          </w:p>
        </w:tc>
        <w:tc>
          <w:tcPr>
            <w:tcW w:w="1354" w:type="pct"/>
            <w:tcBorders>
              <w:top w:val="nil"/>
              <w:left w:val="nil"/>
              <w:bottom w:val="single" w:sz="4" w:space="0" w:color="auto"/>
              <w:right w:val="single" w:sz="4" w:space="0" w:color="auto"/>
            </w:tcBorders>
            <w:shd w:val="clear" w:color="auto" w:fill="auto"/>
            <w:vAlign w:val="center"/>
            <w:hideMark/>
          </w:tcPr>
          <w:p w14:paraId="462C0A56" w14:textId="77777777" w:rsidR="007D4F84" w:rsidRPr="00D212E6" w:rsidRDefault="007D4F84" w:rsidP="001F56FA">
            <w:pPr>
              <w:spacing w:after="0" w:line="240" w:lineRule="auto"/>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Taux d'incidence du paludisme (pour 1000 habitants)</w:t>
            </w:r>
          </w:p>
        </w:tc>
        <w:tc>
          <w:tcPr>
            <w:tcW w:w="552" w:type="pct"/>
            <w:tcBorders>
              <w:top w:val="nil"/>
              <w:left w:val="nil"/>
              <w:bottom w:val="single" w:sz="4" w:space="0" w:color="auto"/>
              <w:right w:val="single" w:sz="4" w:space="0" w:color="auto"/>
            </w:tcBorders>
            <w:vAlign w:val="center"/>
          </w:tcPr>
          <w:p w14:paraId="22955365"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173 (2020)</w:t>
            </w:r>
          </w:p>
        </w:tc>
        <w:tc>
          <w:tcPr>
            <w:tcW w:w="313" w:type="pct"/>
            <w:tcBorders>
              <w:top w:val="nil"/>
              <w:left w:val="single" w:sz="4" w:space="0" w:color="auto"/>
              <w:bottom w:val="single" w:sz="4" w:space="0" w:color="auto"/>
              <w:right w:val="single" w:sz="4" w:space="0" w:color="auto"/>
            </w:tcBorders>
            <w:shd w:val="clear" w:color="auto" w:fill="auto"/>
            <w:vAlign w:val="center"/>
            <w:hideMark/>
          </w:tcPr>
          <w:p w14:paraId="55AD0E79"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173</w:t>
            </w:r>
          </w:p>
        </w:tc>
        <w:tc>
          <w:tcPr>
            <w:tcW w:w="393" w:type="pct"/>
            <w:tcBorders>
              <w:top w:val="nil"/>
              <w:left w:val="nil"/>
              <w:bottom w:val="single" w:sz="4" w:space="0" w:color="auto"/>
              <w:right w:val="single" w:sz="4" w:space="0" w:color="auto"/>
            </w:tcBorders>
            <w:shd w:val="clear" w:color="auto" w:fill="auto"/>
            <w:vAlign w:val="center"/>
            <w:hideMark/>
          </w:tcPr>
          <w:p w14:paraId="6B112E6B"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165</w:t>
            </w:r>
          </w:p>
        </w:tc>
        <w:tc>
          <w:tcPr>
            <w:tcW w:w="394" w:type="pct"/>
            <w:tcBorders>
              <w:top w:val="nil"/>
              <w:left w:val="nil"/>
              <w:bottom w:val="single" w:sz="4" w:space="0" w:color="auto"/>
              <w:right w:val="single" w:sz="4" w:space="0" w:color="auto"/>
            </w:tcBorders>
            <w:shd w:val="clear" w:color="auto" w:fill="auto"/>
            <w:vAlign w:val="center"/>
            <w:hideMark/>
          </w:tcPr>
          <w:p w14:paraId="0D2E9F62"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157</w:t>
            </w:r>
          </w:p>
        </w:tc>
        <w:tc>
          <w:tcPr>
            <w:tcW w:w="393" w:type="pct"/>
            <w:tcBorders>
              <w:top w:val="nil"/>
              <w:left w:val="nil"/>
              <w:bottom w:val="single" w:sz="4" w:space="0" w:color="auto"/>
              <w:right w:val="single" w:sz="4" w:space="0" w:color="auto"/>
            </w:tcBorders>
            <w:shd w:val="clear" w:color="auto" w:fill="auto"/>
            <w:noWrap/>
            <w:vAlign w:val="center"/>
            <w:hideMark/>
          </w:tcPr>
          <w:p w14:paraId="50A52447" w14:textId="77777777" w:rsidR="007D4F84" w:rsidRPr="00D212E6" w:rsidRDefault="007D4F84" w:rsidP="001F56FA">
            <w:pPr>
              <w:spacing w:after="0" w:line="240" w:lineRule="auto"/>
              <w:jc w:val="center"/>
              <w:rPr>
                <w:rFonts w:ascii="Arial Narrow" w:eastAsia="Times New Roman" w:hAnsi="Arial Narrow" w:cs="Arial"/>
                <w:i/>
                <w:color w:val="000000"/>
                <w:kern w:val="0"/>
                <w:sz w:val="18"/>
                <w:szCs w:val="18"/>
                <w:lang w:eastAsia="en-GB"/>
                <w14:ligatures w14:val="none"/>
              </w:rPr>
            </w:pPr>
            <w:r w:rsidRPr="00D212E6">
              <w:rPr>
                <w:rFonts w:ascii="Arial Narrow" w:eastAsia="Times New Roman" w:hAnsi="Arial Narrow" w:cs="Arial"/>
                <w:i/>
                <w:color w:val="000000"/>
                <w:kern w:val="0"/>
                <w:sz w:val="18"/>
                <w:szCs w:val="18"/>
                <w:lang w:eastAsia="en-GB"/>
                <w14:ligatures w14:val="none"/>
              </w:rPr>
              <w:t>268</w:t>
            </w:r>
          </w:p>
        </w:tc>
        <w:tc>
          <w:tcPr>
            <w:tcW w:w="393" w:type="pct"/>
            <w:tcBorders>
              <w:top w:val="nil"/>
              <w:left w:val="nil"/>
              <w:bottom w:val="single" w:sz="4" w:space="0" w:color="auto"/>
              <w:right w:val="single" w:sz="4" w:space="0" w:color="auto"/>
            </w:tcBorders>
            <w:shd w:val="clear" w:color="auto" w:fill="auto"/>
            <w:noWrap/>
            <w:vAlign w:val="center"/>
            <w:hideMark/>
          </w:tcPr>
          <w:p w14:paraId="6A6DA20A" w14:textId="77777777" w:rsidR="007D4F84" w:rsidRPr="00D212E6" w:rsidRDefault="007D4F84" w:rsidP="001F56FA">
            <w:pPr>
              <w:spacing w:after="0" w:line="240" w:lineRule="auto"/>
              <w:jc w:val="center"/>
              <w:rPr>
                <w:rFonts w:ascii="Arial Narrow" w:eastAsia="Times New Roman" w:hAnsi="Arial Narrow" w:cs="Arial"/>
                <w:i/>
                <w:color w:val="000000"/>
                <w:kern w:val="0"/>
                <w:sz w:val="18"/>
                <w:szCs w:val="18"/>
                <w:lang w:eastAsia="en-GB"/>
                <w14:ligatures w14:val="none"/>
              </w:rPr>
            </w:pPr>
            <w:r w:rsidRPr="00D212E6">
              <w:rPr>
                <w:rFonts w:ascii="Arial Narrow" w:eastAsia="Times New Roman" w:hAnsi="Arial Narrow" w:cs="Arial"/>
                <w:i/>
                <w:color w:val="000000"/>
                <w:kern w:val="0"/>
                <w:sz w:val="18"/>
                <w:szCs w:val="18"/>
                <w:lang w:eastAsia="en-GB"/>
                <w14:ligatures w14:val="none"/>
              </w:rPr>
              <w:t>269</w:t>
            </w:r>
          </w:p>
        </w:tc>
        <w:tc>
          <w:tcPr>
            <w:tcW w:w="392" w:type="pct"/>
            <w:tcBorders>
              <w:top w:val="nil"/>
              <w:left w:val="nil"/>
              <w:bottom w:val="single" w:sz="4" w:space="0" w:color="auto"/>
              <w:right w:val="single" w:sz="4" w:space="0" w:color="auto"/>
            </w:tcBorders>
            <w:shd w:val="clear" w:color="auto" w:fill="auto"/>
            <w:noWrap/>
            <w:vAlign w:val="center"/>
            <w:hideMark/>
          </w:tcPr>
          <w:p w14:paraId="0AEE4934" w14:textId="77777777" w:rsidR="007D4F84" w:rsidRPr="00D212E6" w:rsidRDefault="007D4F84" w:rsidP="001F56FA">
            <w:pPr>
              <w:spacing w:after="0" w:line="240" w:lineRule="auto"/>
              <w:jc w:val="center"/>
              <w:rPr>
                <w:rFonts w:ascii="Arial Narrow" w:eastAsia="Times New Roman" w:hAnsi="Arial Narrow" w:cs="Arial"/>
                <w:i/>
                <w:color w:val="000000"/>
                <w:kern w:val="0"/>
                <w:sz w:val="18"/>
                <w:szCs w:val="18"/>
                <w:lang w:eastAsia="en-GB"/>
                <w14:ligatures w14:val="none"/>
              </w:rPr>
            </w:pPr>
            <w:r w:rsidRPr="00D212E6">
              <w:rPr>
                <w:rFonts w:ascii="Arial Narrow" w:eastAsia="Times New Roman" w:hAnsi="Arial Narrow" w:cs="Arial"/>
                <w:i/>
                <w:color w:val="000000"/>
                <w:kern w:val="0"/>
                <w:sz w:val="18"/>
                <w:szCs w:val="18"/>
                <w:lang w:eastAsia="en-GB"/>
                <w14:ligatures w14:val="none"/>
              </w:rPr>
              <w:t>269</w:t>
            </w:r>
          </w:p>
        </w:tc>
        <w:tc>
          <w:tcPr>
            <w:tcW w:w="601" w:type="pct"/>
            <w:tcBorders>
              <w:top w:val="single" w:sz="4" w:space="0" w:color="auto"/>
              <w:left w:val="single" w:sz="4" w:space="0" w:color="auto"/>
              <w:bottom w:val="single" w:sz="4" w:space="0" w:color="auto"/>
              <w:right w:val="single" w:sz="4" w:space="0" w:color="auto"/>
            </w:tcBorders>
            <w:shd w:val="clear" w:color="auto" w:fill="FF0000"/>
            <w:noWrap/>
            <w:vAlign w:val="center"/>
          </w:tcPr>
          <w:p w14:paraId="727B151F" w14:textId="77777777" w:rsidR="007D4F84" w:rsidRPr="00D212E6" w:rsidRDefault="007D4F84" w:rsidP="001F56FA">
            <w:pPr>
              <w:spacing w:after="0" w:line="240" w:lineRule="auto"/>
              <w:jc w:val="center"/>
              <w:rPr>
                <w:rFonts w:ascii="Arial Narrow" w:eastAsia="Times New Roman" w:hAnsi="Arial Narrow" w:cs="Arial"/>
                <w:color w:val="9C0006"/>
                <w:kern w:val="0"/>
                <w:sz w:val="18"/>
                <w:szCs w:val="18"/>
                <w:lang w:eastAsia="en-GB"/>
                <w14:ligatures w14:val="none"/>
              </w:rPr>
            </w:pPr>
          </w:p>
        </w:tc>
      </w:tr>
      <w:tr w:rsidR="007D4F84" w:rsidRPr="00D212E6" w14:paraId="350FA420" w14:textId="77777777" w:rsidTr="001F56FA">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7A389FD6"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Pr>
                <w:rFonts w:ascii="Arial Narrow" w:eastAsia="Times New Roman" w:hAnsi="Arial Narrow" w:cs="Arial"/>
                <w:kern w:val="0"/>
                <w:sz w:val="18"/>
                <w:szCs w:val="18"/>
                <w:lang w:eastAsia="en-GB"/>
                <w14:ligatures w14:val="none"/>
              </w:rPr>
              <w:t>6</w:t>
            </w:r>
          </w:p>
        </w:tc>
        <w:tc>
          <w:tcPr>
            <w:tcW w:w="1354" w:type="pct"/>
            <w:tcBorders>
              <w:top w:val="nil"/>
              <w:left w:val="nil"/>
              <w:bottom w:val="single" w:sz="4" w:space="0" w:color="auto"/>
              <w:right w:val="single" w:sz="4" w:space="0" w:color="auto"/>
            </w:tcBorders>
            <w:shd w:val="clear" w:color="auto" w:fill="auto"/>
            <w:vAlign w:val="center"/>
            <w:hideMark/>
          </w:tcPr>
          <w:p w14:paraId="6958DC6F" w14:textId="77777777" w:rsidR="007D4F84" w:rsidRPr="00D212E6" w:rsidRDefault="007D4F84" w:rsidP="001F56FA">
            <w:pPr>
              <w:spacing w:after="0" w:line="240" w:lineRule="auto"/>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Nombre de nouvelles infections par VIH</w:t>
            </w:r>
          </w:p>
        </w:tc>
        <w:tc>
          <w:tcPr>
            <w:tcW w:w="552" w:type="pct"/>
            <w:tcBorders>
              <w:top w:val="nil"/>
              <w:left w:val="nil"/>
              <w:bottom w:val="single" w:sz="4" w:space="0" w:color="auto"/>
              <w:right w:val="single" w:sz="4" w:space="0" w:color="auto"/>
            </w:tcBorders>
            <w:vAlign w:val="center"/>
          </w:tcPr>
          <w:p w14:paraId="110D8CBB"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10 631 (2020)</w:t>
            </w:r>
          </w:p>
        </w:tc>
        <w:tc>
          <w:tcPr>
            <w:tcW w:w="313" w:type="pct"/>
            <w:tcBorders>
              <w:top w:val="nil"/>
              <w:left w:val="single" w:sz="4" w:space="0" w:color="auto"/>
              <w:bottom w:val="single" w:sz="4" w:space="0" w:color="auto"/>
              <w:right w:val="single" w:sz="4" w:space="0" w:color="auto"/>
            </w:tcBorders>
            <w:shd w:val="clear" w:color="auto" w:fill="auto"/>
            <w:vAlign w:val="center"/>
            <w:hideMark/>
          </w:tcPr>
          <w:p w14:paraId="4FDCA5D1"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9</w:t>
            </w:r>
            <w:r>
              <w:rPr>
                <w:rFonts w:ascii="Arial Narrow" w:eastAsia="Times New Roman" w:hAnsi="Arial Narrow" w:cs="Arial"/>
                <w:kern w:val="0"/>
                <w:sz w:val="18"/>
                <w:szCs w:val="18"/>
                <w:lang w:eastAsia="en-GB"/>
                <w14:ligatures w14:val="none"/>
              </w:rPr>
              <w:t xml:space="preserve"> </w:t>
            </w:r>
            <w:r w:rsidRPr="00D212E6">
              <w:rPr>
                <w:rFonts w:ascii="Arial Narrow" w:eastAsia="Times New Roman" w:hAnsi="Arial Narrow" w:cs="Arial"/>
                <w:kern w:val="0"/>
                <w:sz w:val="18"/>
                <w:szCs w:val="18"/>
                <w:lang w:eastAsia="en-GB"/>
                <w14:ligatures w14:val="none"/>
              </w:rPr>
              <w:t>166</w:t>
            </w:r>
          </w:p>
        </w:tc>
        <w:tc>
          <w:tcPr>
            <w:tcW w:w="393" w:type="pct"/>
            <w:tcBorders>
              <w:top w:val="nil"/>
              <w:left w:val="nil"/>
              <w:bottom w:val="single" w:sz="4" w:space="0" w:color="auto"/>
              <w:right w:val="single" w:sz="4" w:space="0" w:color="auto"/>
            </w:tcBorders>
            <w:shd w:val="clear" w:color="auto" w:fill="auto"/>
            <w:vAlign w:val="center"/>
            <w:hideMark/>
          </w:tcPr>
          <w:p w14:paraId="5ED2327E"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7</w:t>
            </w:r>
            <w:r>
              <w:rPr>
                <w:rFonts w:ascii="Arial Narrow" w:eastAsia="Times New Roman" w:hAnsi="Arial Narrow" w:cs="Arial"/>
                <w:kern w:val="0"/>
                <w:sz w:val="18"/>
                <w:szCs w:val="18"/>
                <w:lang w:eastAsia="en-GB"/>
                <w14:ligatures w14:val="none"/>
              </w:rPr>
              <w:t xml:space="preserve"> </w:t>
            </w:r>
            <w:r w:rsidRPr="00D212E6">
              <w:rPr>
                <w:rFonts w:ascii="Arial Narrow" w:eastAsia="Times New Roman" w:hAnsi="Arial Narrow" w:cs="Arial"/>
                <w:kern w:val="0"/>
                <w:sz w:val="18"/>
                <w:szCs w:val="18"/>
                <w:lang w:eastAsia="en-GB"/>
                <w14:ligatures w14:val="none"/>
              </w:rPr>
              <w:t>670</w:t>
            </w:r>
          </w:p>
        </w:tc>
        <w:tc>
          <w:tcPr>
            <w:tcW w:w="394" w:type="pct"/>
            <w:tcBorders>
              <w:top w:val="nil"/>
              <w:left w:val="nil"/>
              <w:bottom w:val="single" w:sz="4" w:space="0" w:color="auto"/>
              <w:right w:val="single" w:sz="4" w:space="0" w:color="auto"/>
            </w:tcBorders>
            <w:shd w:val="clear" w:color="auto" w:fill="auto"/>
            <w:vAlign w:val="center"/>
            <w:hideMark/>
          </w:tcPr>
          <w:p w14:paraId="40E7F75F"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6</w:t>
            </w:r>
            <w:r>
              <w:rPr>
                <w:rFonts w:ascii="Arial Narrow" w:eastAsia="Times New Roman" w:hAnsi="Arial Narrow" w:cs="Arial"/>
                <w:kern w:val="0"/>
                <w:sz w:val="18"/>
                <w:szCs w:val="18"/>
                <w:lang w:eastAsia="en-GB"/>
                <w14:ligatures w14:val="none"/>
              </w:rPr>
              <w:t xml:space="preserve"> </w:t>
            </w:r>
            <w:r w:rsidRPr="00D212E6">
              <w:rPr>
                <w:rFonts w:ascii="Arial Narrow" w:eastAsia="Times New Roman" w:hAnsi="Arial Narrow" w:cs="Arial"/>
                <w:kern w:val="0"/>
                <w:sz w:val="18"/>
                <w:szCs w:val="18"/>
                <w:lang w:eastAsia="en-GB"/>
                <w14:ligatures w14:val="none"/>
              </w:rPr>
              <w:t>174</w:t>
            </w:r>
          </w:p>
        </w:tc>
        <w:tc>
          <w:tcPr>
            <w:tcW w:w="393" w:type="pct"/>
            <w:tcBorders>
              <w:top w:val="nil"/>
              <w:left w:val="nil"/>
              <w:bottom w:val="single" w:sz="4" w:space="0" w:color="auto"/>
              <w:right w:val="single" w:sz="4" w:space="0" w:color="auto"/>
            </w:tcBorders>
            <w:shd w:val="clear" w:color="auto" w:fill="auto"/>
            <w:noWrap/>
            <w:vAlign w:val="center"/>
            <w:hideMark/>
          </w:tcPr>
          <w:p w14:paraId="1E09CB0F" w14:textId="77777777" w:rsidR="007D4F84" w:rsidRPr="00D212E6" w:rsidRDefault="007D4F84" w:rsidP="001F56FA">
            <w:pPr>
              <w:spacing w:after="0" w:line="240" w:lineRule="auto"/>
              <w:jc w:val="center"/>
              <w:rPr>
                <w:rFonts w:ascii="Arial Narrow" w:eastAsia="Times New Roman" w:hAnsi="Arial Narrow" w:cs="Arial"/>
                <w:i/>
                <w:color w:val="000000"/>
                <w:kern w:val="0"/>
                <w:sz w:val="18"/>
                <w:szCs w:val="18"/>
                <w:lang w:eastAsia="en-GB"/>
                <w14:ligatures w14:val="none"/>
              </w:rPr>
            </w:pPr>
            <w:r>
              <w:rPr>
                <w:rFonts w:ascii="Arial Narrow" w:eastAsia="Times New Roman" w:hAnsi="Arial Narrow" w:cs="Arial"/>
                <w:i/>
                <w:color w:val="000000"/>
                <w:kern w:val="0"/>
                <w:sz w:val="18"/>
                <w:szCs w:val="18"/>
                <w:lang w:eastAsia="en-GB"/>
                <w14:ligatures w14:val="none"/>
              </w:rPr>
              <w:t>9 865</w:t>
            </w:r>
          </w:p>
        </w:tc>
        <w:tc>
          <w:tcPr>
            <w:tcW w:w="393" w:type="pct"/>
            <w:tcBorders>
              <w:top w:val="nil"/>
              <w:left w:val="nil"/>
              <w:bottom w:val="single" w:sz="4" w:space="0" w:color="auto"/>
              <w:right w:val="single" w:sz="4" w:space="0" w:color="auto"/>
            </w:tcBorders>
            <w:shd w:val="clear" w:color="auto" w:fill="auto"/>
            <w:noWrap/>
            <w:vAlign w:val="center"/>
            <w:hideMark/>
          </w:tcPr>
          <w:p w14:paraId="78BFC63A" w14:textId="77777777" w:rsidR="007D4F84" w:rsidRPr="00D212E6" w:rsidRDefault="007D4F84" w:rsidP="001F56FA">
            <w:pPr>
              <w:spacing w:after="0" w:line="240" w:lineRule="auto"/>
              <w:jc w:val="center"/>
              <w:rPr>
                <w:rFonts w:ascii="Arial Narrow" w:eastAsia="Times New Roman" w:hAnsi="Arial Narrow" w:cs="Arial"/>
                <w:i/>
                <w:color w:val="000000"/>
                <w:kern w:val="0"/>
                <w:sz w:val="18"/>
                <w:szCs w:val="18"/>
                <w:lang w:eastAsia="en-GB"/>
                <w14:ligatures w14:val="none"/>
              </w:rPr>
            </w:pPr>
            <w:r w:rsidRPr="00D212E6">
              <w:rPr>
                <w:rFonts w:ascii="Arial Narrow" w:eastAsia="Times New Roman" w:hAnsi="Arial Narrow" w:cs="Arial"/>
                <w:i/>
                <w:color w:val="000000"/>
                <w:kern w:val="0"/>
                <w:sz w:val="18"/>
                <w:szCs w:val="18"/>
                <w:lang w:eastAsia="en-GB"/>
                <w14:ligatures w14:val="none"/>
              </w:rPr>
              <w:t>8</w:t>
            </w:r>
            <w:r>
              <w:rPr>
                <w:rFonts w:ascii="Arial Narrow" w:eastAsia="Times New Roman" w:hAnsi="Arial Narrow" w:cs="Arial"/>
                <w:i/>
                <w:color w:val="000000"/>
                <w:kern w:val="0"/>
                <w:sz w:val="18"/>
                <w:szCs w:val="18"/>
                <w:lang w:eastAsia="en-GB"/>
                <w14:ligatures w14:val="none"/>
              </w:rPr>
              <w:t xml:space="preserve"> </w:t>
            </w:r>
            <w:r w:rsidRPr="00D212E6">
              <w:rPr>
                <w:rFonts w:ascii="Arial Narrow" w:eastAsia="Times New Roman" w:hAnsi="Arial Narrow" w:cs="Arial"/>
                <w:i/>
                <w:color w:val="000000"/>
                <w:kern w:val="0"/>
                <w:sz w:val="18"/>
                <w:szCs w:val="18"/>
                <w:lang w:eastAsia="en-GB"/>
                <w14:ligatures w14:val="none"/>
              </w:rPr>
              <w:t>978</w:t>
            </w:r>
          </w:p>
        </w:tc>
        <w:tc>
          <w:tcPr>
            <w:tcW w:w="392" w:type="pct"/>
            <w:tcBorders>
              <w:top w:val="nil"/>
              <w:left w:val="nil"/>
              <w:bottom w:val="single" w:sz="4" w:space="0" w:color="auto"/>
              <w:right w:val="single" w:sz="4" w:space="0" w:color="auto"/>
            </w:tcBorders>
            <w:shd w:val="clear" w:color="auto" w:fill="auto"/>
            <w:noWrap/>
            <w:vAlign w:val="center"/>
            <w:hideMark/>
          </w:tcPr>
          <w:p w14:paraId="70249FB8" w14:textId="77777777" w:rsidR="007D4F84" w:rsidRPr="00D212E6" w:rsidRDefault="007D4F84" w:rsidP="001F56FA">
            <w:pPr>
              <w:spacing w:after="0" w:line="240" w:lineRule="auto"/>
              <w:jc w:val="center"/>
              <w:rPr>
                <w:rFonts w:ascii="Arial Narrow" w:eastAsia="Times New Roman" w:hAnsi="Arial Narrow" w:cs="Arial"/>
                <w:i/>
                <w:color w:val="000000"/>
                <w:kern w:val="0"/>
                <w:sz w:val="18"/>
                <w:szCs w:val="18"/>
                <w:lang w:eastAsia="en-GB"/>
                <w14:ligatures w14:val="none"/>
              </w:rPr>
            </w:pPr>
            <w:r w:rsidRPr="00D212E6">
              <w:rPr>
                <w:rFonts w:ascii="Arial Narrow" w:eastAsia="Times New Roman" w:hAnsi="Arial Narrow" w:cs="Arial"/>
                <w:i/>
                <w:color w:val="000000"/>
                <w:kern w:val="0"/>
                <w:sz w:val="18"/>
                <w:szCs w:val="18"/>
                <w:lang w:eastAsia="en-GB"/>
                <w14:ligatures w14:val="none"/>
              </w:rPr>
              <w:t>10</w:t>
            </w:r>
            <w:r>
              <w:rPr>
                <w:rFonts w:ascii="Arial Narrow" w:eastAsia="Times New Roman" w:hAnsi="Arial Narrow" w:cs="Arial"/>
                <w:i/>
                <w:color w:val="000000"/>
                <w:kern w:val="0"/>
                <w:sz w:val="18"/>
                <w:szCs w:val="18"/>
                <w:lang w:eastAsia="en-GB"/>
                <w14:ligatures w14:val="none"/>
              </w:rPr>
              <w:t xml:space="preserve"> </w:t>
            </w:r>
            <w:r w:rsidRPr="00D212E6">
              <w:rPr>
                <w:rFonts w:ascii="Arial Narrow" w:eastAsia="Times New Roman" w:hAnsi="Arial Narrow" w:cs="Arial"/>
                <w:i/>
                <w:color w:val="000000"/>
                <w:kern w:val="0"/>
                <w:sz w:val="18"/>
                <w:szCs w:val="18"/>
                <w:lang w:eastAsia="en-GB"/>
                <w14:ligatures w14:val="none"/>
              </w:rPr>
              <w:t>591</w:t>
            </w:r>
          </w:p>
        </w:tc>
        <w:tc>
          <w:tcPr>
            <w:tcW w:w="601" w:type="pct"/>
            <w:tcBorders>
              <w:top w:val="single" w:sz="4" w:space="0" w:color="auto"/>
              <w:left w:val="single" w:sz="4" w:space="0" w:color="auto"/>
              <w:bottom w:val="single" w:sz="4" w:space="0" w:color="auto"/>
              <w:right w:val="single" w:sz="4" w:space="0" w:color="auto"/>
            </w:tcBorders>
            <w:shd w:val="clear" w:color="auto" w:fill="FF0000"/>
            <w:noWrap/>
            <w:vAlign w:val="center"/>
          </w:tcPr>
          <w:p w14:paraId="48105166" w14:textId="77777777" w:rsidR="007D4F84" w:rsidRPr="00D212E6" w:rsidRDefault="007D4F84" w:rsidP="001F56FA">
            <w:pPr>
              <w:spacing w:after="0" w:line="240" w:lineRule="auto"/>
              <w:jc w:val="center"/>
              <w:rPr>
                <w:rFonts w:ascii="Arial Narrow" w:eastAsia="Times New Roman" w:hAnsi="Arial Narrow" w:cs="Arial"/>
                <w:color w:val="9C0006"/>
                <w:kern w:val="0"/>
                <w:sz w:val="18"/>
                <w:szCs w:val="18"/>
                <w:lang w:eastAsia="en-GB"/>
                <w14:ligatures w14:val="none"/>
              </w:rPr>
            </w:pPr>
          </w:p>
        </w:tc>
      </w:tr>
      <w:tr w:rsidR="007D4F84" w:rsidRPr="00D212E6" w14:paraId="1653921D" w14:textId="77777777" w:rsidTr="001F56FA">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341832F2"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Pr>
                <w:rFonts w:ascii="Arial Narrow" w:eastAsia="Times New Roman" w:hAnsi="Arial Narrow" w:cs="Arial"/>
                <w:kern w:val="0"/>
                <w:sz w:val="18"/>
                <w:szCs w:val="18"/>
                <w:lang w:eastAsia="en-GB"/>
                <w14:ligatures w14:val="none"/>
              </w:rPr>
              <w:t>7</w:t>
            </w:r>
          </w:p>
        </w:tc>
        <w:tc>
          <w:tcPr>
            <w:tcW w:w="1354" w:type="pct"/>
            <w:tcBorders>
              <w:top w:val="nil"/>
              <w:left w:val="nil"/>
              <w:bottom w:val="single" w:sz="4" w:space="0" w:color="auto"/>
              <w:right w:val="single" w:sz="4" w:space="0" w:color="auto"/>
            </w:tcBorders>
            <w:shd w:val="clear" w:color="auto" w:fill="auto"/>
            <w:vAlign w:val="center"/>
            <w:hideMark/>
          </w:tcPr>
          <w:p w14:paraId="1F674728" w14:textId="77777777" w:rsidR="007D4F84" w:rsidRPr="00D212E6" w:rsidRDefault="007D4F84" w:rsidP="001F56FA">
            <w:pPr>
              <w:spacing w:after="0" w:line="240" w:lineRule="auto"/>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Prévalence de l’alcoolisme chez les adultes de 15 à 49 ans - Hommes</w:t>
            </w:r>
          </w:p>
        </w:tc>
        <w:tc>
          <w:tcPr>
            <w:tcW w:w="552" w:type="pct"/>
            <w:tcBorders>
              <w:top w:val="nil"/>
              <w:left w:val="nil"/>
              <w:bottom w:val="single" w:sz="4" w:space="0" w:color="auto"/>
              <w:right w:val="single" w:sz="4" w:space="0" w:color="auto"/>
            </w:tcBorders>
            <w:vAlign w:val="center"/>
          </w:tcPr>
          <w:p w14:paraId="582189D2"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33,20% (2016)</w:t>
            </w:r>
          </w:p>
        </w:tc>
        <w:tc>
          <w:tcPr>
            <w:tcW w:w="313" w:type="pct"/>
            <w:tcBorders>
              <w:top w:val="nil"/>
              <w:left w:val="single" w:sz="4" w:space="0" w:color="auto"/>
              <w:bottom w:val="single" w:sz="4" w:space="0" w:color="auto"/>
              <w:right w:val="single" w:sz="4" w:space="0" w:color="auto"/>
            </w:tcBorders>
            <w:shd w:val="clear" w:color="auto" w:fill="auto"/>
            <w:vAlign w:val="center"/>
            <w:hideMark/>
          </w:tcPr>
          <w:p w14:paraId="19B11149"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33,20%</w:t>
            </w:r>
          </w:p>
        </w:tc>
        <w:tc>
          <w:tcPr>
            <w:tcW w:w="393" w:type="pct"/>
            <w:tcBorders>
              <w:top w:val="nil"/>
              <w:left w:val="nil"/>
              <w:bottom w:val="single" w:sz="4" w:space="0" w:color="auto"/>
              <w:right w:val="single" w:sz="4" w:space="0" w:color="auto"/>
            </w:tcBorders>
            <w:shd w:val="clear" w:color="auto" w:fill="auto"/>
            <w:vAlign w:val="center"/>
            <w:hideMark/>
          </w:tcPr>
          <w:p w14:paraId="38F0E8C0"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30,70%</w:t>
            </w:r>
          </w:p>
        </w:tc>
        <w:tc>
          <w:tcPr>
            <w:tcW w:w="394" w:type="pct"/>
            <w:tcBorders>
              <w:top w:val="nil"/>
              <w:left w:val="nil"/>
              <w:bottom w:val="single" w:sz="4" w:space="0" w:color="auto"/>
              <w:right w:val="single" w:sz="4" w:space="0" w:color="auto"/>
            </w:tcBorders>
            <w:shd w:val="clear" w:color="auto" w:fill="auto"/>
            <w:vAlign w:val="center"/>
            <w:hideMark/>
          </w:tcPr>
          <w:p w14:paraId="0D1DCF51"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28,40%</w:t>
            </w:r>
          </w:p>
        </w:tc>
        <w:tc>
          <w:tcPr>
            <w:tcW w:w="393" w:type="pct"/>
            <w:tcBorders>
              <w:top w:val="nil"/>
              <w:left w:val="nil"/>
              <w:bottom w:val="single" w:sz="4" w:space="0" w:color="auto"/>
              <w:right w:val="single" w:sz="4" w:space="0" w:color="auto"/>
            </w:tcBorders>
            <w:shd w:val="clear" w:color="auto" w:fill="auto"/>
            <w:noWrap/>
            <w:vAlign w:val="center"/>
            <w:hideMark/>
          </w:tcPr>
          <w:p w14:paraId="4BA7076E" w14:textId="77777777" w:rsidR="007D4F84" w:rsidRPr="00D212E6" w:rsidRDefault="007D4F84" w:rsidP="001F56FA">
            <w:pPr>
              <w:spacing w:after="0" w:line="240" w:lineRule="auto"/>
              <w:jc w:val="center"/>
              <w:rPr>
                <w:rFonts w:ascii="Arial Narrow" w:eastAsia="Times New Roman" w:hAnsi="Arial Narrow" w:cs="Arial"/>
                <w:color w:val="000000"/>
                <w:kern w:val="0"/>
                <w:sz w:val="18"/>
                <w:szCs w:val="18"/>
                <w:lang w:eastAsia="en-GB"/>
                <w14:ligatures w14:val="none"/>
              </w:rPr>
            </w:pPr>
            <w:r w:rsidRPr="00D212E6">
              <w:rPr>
                <w:rFonts w:ascii="Arial Narrow" w:eastAsia="Times New Roman" w:hAnsi="Arial Narrow" w:cs="Arial"/>
                <w:color w:val="000000"/>
                <w:kern w:val="0"/>
                <w:sz w:val="18"/>
                <w:szCs w:val="18"/>
                <w:lang w:eastAsia="en-GB"/>
                <w14:ligatures w14:val="none"/>
              </w:rPr>
              <w:t>34%</w:t>
            </w:r>
          </w:p>
        </w:tc>
        <w:tc>
          <w:tcPr>
            <w:tcW w:w="393" w:type="pct"/>
            <w:tcBorders>
              <w:top w:val="nil"/>
              <w:left w:val="nil"/>
              <w:bottom w:val="single" w:sz="4" w:space="0" w:color="auto"/>
              <w:right w:val="single" w:sz="4" w:space="0" w:color="auto"/>
            </w:tcBorders>
            <w:shd w:val="clear" w:color="auto" w:fill="auto"/>
            <w:noWrap/>
            <w:vAlign w:val="center"/>
            <w:hideMark/>
          </w:tcPr>
          <w:p w14:paraId="61D4D8DB" w14:textId="77777777" w:rsidR="007D4F84" w:rsidRPr="00D212E6" w:rsidRDefault="007D4F84" w:rsidP="001F56FA">
            <w:pPr>
              <w:spacing w:after="0" w:line="240" w:lineRule="auto"/>
              <w:jc w:val="center"/>
              <w:rPr>
                <w:rFonts w:ascii="Arial Narrow" w:eastAsia="Times New Roman" w:hAnsi="Arial Narrow" w:cs="Arial"/>
                <w:color w:val="000000"/>
                <w:kern w:val="0"/>
                <w:sz w:val="18"/>
                <w:szCs w:val="18"/>
                <w:lang w:eastAsia="en-GB"/>
                <w14:ligatures w14:val="none"/>
              </w:rPr>
            </w:pPr>
            <w:r w:rsidRPr="00D212E6">
              <w:rPr>
                <w:rFonts w:ascii="Arial Narrow" w:eastAsia="Times New Roman" w:hAnsi="Arial Narrow" w:cs="Arial"/>
                <w:color w:val="000000"/>
                <w:kern w:val="0"/>
                <w:sz w:val="18"/>
                <w:szCs w:val="18"/>
                <w:lang w:eastAsia="en-GB"/>
                <w14:ligatures w14:val="none"/>
              </w:rPr>
              <w:t>34%</w:t>
            </w:r>
          </w:p>
        </w:tc>
        <w:tc>
          <w:tcPr>
            <w:tcW w:w="392" w:type="pct"/>
            <w:tcBorders>
              <w:top w:val="nil"/>
              <w:left w:val="nil"/>
              <w:bottom w:val="single" w:sz="4" w:space="0" w:color="auto"/>
              <w:right w:val="single" w:sz="4" w:space="0" w:color="auto"/>
            </w:tcBorders>
            <w:shd w:val="clear" w:color="auto" w:fill="auto"/>
            <w:noWrap/>
            <w:vAlign w:val="center"/>
            <w:hideMark/>
          </w:tcPr>
          <w:p w14:paraId="3D9037DA" w14:textId="77777777" w:rsidR="007D4F84" w:rsidRPr="00D212E6" w:rsidRDefault="007D4F84" w:rsidP="001F56FA">
            <w:pPr>
              <w:spacing w:after="0" w:line="240" w:lineRule="auto"/>
              <w:jc w:val="center"/>
              <w:rPr>
                <w:rFonts w:ascii="Arial Narrow" w:eastAsia="Times New Roman" w:hAnsi="Arial Narrow" w:cs="Arial"/>
                <w:color w:val="000000"/>
                <w:kern w:val="0"/>
                <w:sz w:val="18"/>
                <w:szCs w:val="18"/>
                <w:lang w:eastAsia="en-GB"/>
                <w14:ligatures w14:val="none"/>
              </w:rPr>
            </w:pPr>
            <w:r w:rsidRPr="00D212E6">
              <w:rPr>
                <w:rFonts w:ascii="Arial Narrow" w:eastAsia="Times New Roman" w:hAnsi="Arial Narrow" w:cs="Arial"/>
                <w:color w:val="000000"/>
                <w:kern w:val="0"/>
                <w:sz w:val="18"/>
                <w:szCs w:val="18"/>
                <w:lang w:eastAsia="en-GB"/>
                <w14:ligatures w14:val="none"/>
              </w:rPr>
              <w:t>34%</w:t>
            </w:r>
          </w:p>
        </w:tc>
        <w:tc>
          <w:tcPr>
            <w:tcW w:w="601" w:type="pct"/>
            <w:tcBorders>
              <w:top w:val="single" w:sz="4" w:space="0" w:color="auto"/>
              <w:left w:val="single" w:sz="4" w:space="0" w:color="auto"/>
              <w:bottom w:val="single" w:sz="4" w:space="0" w:color="auto"/>
              <w:right w:val="single" w:sz="4" w:space="0" w:color="auto"/>
            </w:tcBorders>
            <w:shd w:val="clear" w:color="auto" w:fill="FF0000"/>
            <w:noWrap/>
            <w:vAlign w:val="center"/>
          </w:tcPr>
          <w:p w14:paraId="60BB8E6B" w14:textId="77777777" w:rsidR="007D4F84" w:rsidRPr="00D212E6" w:rsidRDefault="007D4F84" w:rsidP="001F56FA">
            <w:pPr>
              <w:spacing w:after="0" w:line="240" w:lineRule="auto"/>
              <w:jc w:val="center"/>
              <w:rPr>
                <w:rFonts w:ascii="Arial Narrow" w:eastAsia="Times New Roman" w:hAnsi="Arial Narrow" w:cs="Arial"/>
                <w:color w:val="9C0006"/>
                <w:kern w:val="0"/>
                <w:sz w:val="18"/>
                <w:szCs w:val="18"/>
                <w:lang w:eastAsia="en-GB"/>
                <w14:ligatures w14:val="none"/>
              </w:rPr>
            </w:pPr>
          </w:p>
        </w:tc>
      </w:tr>
      <w:tr w:rsidR="007D4F84" w:rsidRPr="00D212E6" w14:paraId="1FE8D636" w14:textId="77777777" w:rsidTr="001F56FA">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1F1923F3"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Pr>
                <w:rFonts w:ascii="Arial Narrow" w:eastAsia="Times New Roman" w:hAnsi="Arial Narrow" w:cs="Arial"/>
                <w:kern w:val="0"/>
                <w:sz w:val="18"/>
                <w:szCs w:val="18"/>
                <w:lang w:eastAsia="en-GB"/>
                <w14:ligatures w14:val="none"/>
              </w:rPr>
              <w:t>8</w:t>
            </w:r>
          </w:p>
        </w:tc>
        <w:tc>
          <w:tcPr>
            <w:tcW w:w="1354" w:type="pct"/>
            <w:tcBorders>
              <w:top w:val="nil"/>
              <w:left w:val="nil"/>
              <w:bottom w:val="single" w:sz="4" w:space="0" w:color="auto"/>
              <w:right w:val="single" w:sz="4" w:space="0" w:color="auto"/>
            </w:tcBorders>
            <w:shd w:val="clear" w:color="auto" w:fill="auto"/>
            <w:vAlign w:val="center"/>
            <w:hideMark/>
          </w:tcPr>
          <w:p w14:paraId="2284EAB6" w14:textId="77777777" w:rsidR="007D4F84" w:rsidRPr="00D212E6" w:rsidRDefault="007D4F84" w:rsidP="001F56FA">
            <w:pPr>
              <w:spacing w:after="0" w:line="240" w:lineRule="auto"/>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Prévalence de l’alcoolisme chez les adultes de 15 à 49 ans - Femmes</w:t>
            </w:r>
          </w:p>
        </w:tc>
        <w:tc>
          <w:tcPr>
            <w:tcW w:w="552" w:type="pct"/>
            <w:tcBorders>
              <w:top w:val="nil"/>
              <w:left w:val="nil"/>
              <w:bottom w:val="single" w:sz="4" w:space="0" w:color="auto"/>
              <w:right w:val="single" w:sz="4" w:space="0" w:color="auto"/>
            </w:tcBorders>
            <w:vAlign w:val="center"/>
          </w:tcPr>
          <w:p w14:paraId="602CFBE4"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12,50 (2016)</w:t>
            </w:r>
          </w:p>
        </w:tc>
        <w:tc>
          <w:tcPr>
            <w:tcW w:w="313" w:type="pct"/>
            <w:tcBorders>
              <w:top w:val="nil"/>
              <w:left w:val="single" w:sz="4" w:space="0" w:color="auto"/>
              <w:bottom w:val="single" w:sz="4" w:space="0" w:color="auto"/>
              <w:right w:val="single" w:sz="4" w:space="0" w:color="auto"/>
            </w:tcBorders>
            <w:shd w:val="clear" w:color="auto" w:fill="auto"/>
            <w:vAlign w:val="center"/>
            <w:hideMark/>
          </w:tcPr>
          <w:p w14:paraId="38C84760"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12,50%</w:t>
            </w:r>
          </w:p>
        </w:tc>
        <w:tc>
          <w:tcPr>
            <w:tcW w:w="393" w:type="pct"/>
            <w:tcBorders>
              <w:top w:val="nil"/>
              <w:left w:val="nil"/>
              <w:bottom w:val="single" w:sz="4" w:space="0" w:color="auto"/>
              <w:right w:val="single" w:sz="4" w:space="0" w:color="auto"/>
            </w:tcBorders>
            <w:shd w:val="clear" w:color="auto" w:fill="auto"/>
            <w:vAlign w:val="center"/>
            <w:hideMark/>
          </w:tcPr>
          <w:p w14:paraId="7666F6C7"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11,50%</w:t>
            </w:r>
          </w:p>
        </w:tc>
        <w:tc>
          <w:tcPr>
            <w:tcW w:w="394" w:type="pct"/>
            <w:tcBorders>
              <w:top w:val="nil"/>
              <w:left w:val="nil"/>
              <w:bottom w:val="single" w:sz="4" w:space="0" w:color="auto"/>
              <w:right w:val="single" w:sz="4" w:space="0" w:color="auto"/>
            </w:tcBorders>
            <w:shd w:val="clear" w:color="auto" w:fill="auto"/>
            <w:vAlign w:val="center"/>
            <w:hideMark/>
          </w:tcPr>
          <w:p w14:paraId="67162661"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10,70%</w:t>
            </w:r>
          </w:p>
        </w:tc>
        <w:tc>
          <w:tcPr>
            <w:tcW w:w="393" w:type="pct"/>
            <w:tcBorders>
              <w:top w:val="nil"/>
              <w:left w:val="nil"/>
              <w:bottom w:val="single" w:sz="4" w:space="0" w:color="auto"/>
              <w:right w:val="single" w:sz="4" w:space="0" w:color="auto"/>
            </w:tcBorders>
            <w:shd w:val="clear" w:color="auto" w:fill="auto"/>
            <w:noWrap/>
            <w:vAlign w:val="center"/>
            <w:hideMark/>
          </w:tcPr>
          <w:p w14:paraId="57CB3B44" w14:textId="77777777" w:rsidR="007D4F84" w:rsidRPr="00D212E6" w:rsidRDefault="007D4F84" w:rsidP="001F56FA">
            <w:pPr>
              <w:spacing w:after="0" w:line="240" w:lineRule="auto"/>
              <w:jc w:val="center"/>
              <w:rPr>
                <w:rFonts w:ascii="Arial Narrow" w:eastAsia="Times New Roman" w:hAnsi="Arial Narrow" w:cs="Arial"/>
                <w:color w:val="000000"/>
                <w:kern w:val="0"/>
                <w:sz w:val="18"/>
                <w:szCs w:val="18"/>
                <w:lang w:eastAsia="en-GB"/>
                <w14:ligatures w14:val="none"/>
              </w:rPr>
            </w:pPr>
            <w:r w:rsidRPr="00D212E6">
              <w:rPr>
                <w:rFonts w:ascii="Arial Narrow" w:eastAsia="Times New Roman" w:hAnsi="Arial Narrow" w:cs="Arial"/>
                <w:color w:val="000000"/>
                <w:kern w:val="0"/>
                <w:sz w:val="18"/>
                <w:szCs w:val="18"/>
                <w:lang w:eastAsia="en-GB"/>
                <w14:ligatures w14:val="none"/>
              </w:rPr>
              <w:t>12%</w:t>
            </w:r>
          </w:p>
        </w:tc>
        <w:tc>
          <w:tcPr>
            <w:tcW w:w="393" w:type="pct"/>
            <w:tcBorders>
              <w:top w:val="nil"/>
              <w:left w:val="nil"/>
              <w:bottom w:val="single" w:sz="4" w:space="0" w:color="auto"/>
              <w:right w:val="single" w:sz="4" w:space="0" w:color="auto"/>
            </w:tcBorders>
            <w:shd w:val="clear" w:color="auto" w:fill="auto"/>
            <w:noWrap/>
            <w:vAlign w:val="center"/>
            <w:hideMark/>
          </w:tcPr>
          <w:p w14:paraId="2AAD8C5A" w14:textId="77777777" w:rsidR="007D4F84" w:rsidRPr="00D212E6" w:rsidRDefault="007D4F84" w:rsidP="001F56FA">
            <w:pPr>
              <w:spacing w:after="0" w:line="240" w:lineRule="auto"/>
              <w:jc w:val="center"/>
              <w:rPr>
                <w:rFonts w:ascii="Arial Narrow" w:eastAsia="Times New Roman" w:hAnsi="Arial Narrow" w:cs="Arial"/>
                <w:color w:val="000000"/>
                <w:kern w:val="0"/>
                <w:sz w:val="18"/>
                <w:szCs w:val="18"/>
                <w:lang w:eastAsia="en-GB"/>
                <w14:ligatures w14:val="none"/>
              </w:rPr>
            </w:pPr>
            <w:r w:rsidRPr="00D212E6">
              <w:rPr>
                <w:rFonts w:ascii="Arial Narrow" w:eastAsia="Times New Roman" w:hAnsi="Arial Narrow" w:cs="Arial"/>
                <w:color w:val="000000"/>
                <w:kern w:val="0"/>
                <w:sz w:val="18"/>
                <w:szCs w:val="18"/>
                <w:lang w:eastAsia="en-GB"/>
                <w14:ligatures w14:val="none"/>
              </w:rPr>
              <w:t>12%</w:t>
            </w:r>
          </w:p>
        </w:tc>
        <w:tc>
          <w:tcPr>
            <w:tcW w:w="392" w:type="pct"/>
            <w:tcBorders>
              <w:top w:val="nil"/>
              <w:left w:val="nil"/>
              <w:bottom w:val="single" w:sz="4" w:space="0" w:color="auto"/>
              <w:right w:val="single" w:sz="4" w:space="0" w:color="auto"/>
            </w:tcBorders>
            <w:shd w:val="clear" w:color="auto" w:fill="auto"/>
            <w:noWrap/>
            <w:vAlign w:val="center"/>
            <w:hideMark/>
          </w:tcPr>
          <w:p w14:paraId="5EEE1AB5" w14:textId="77777777" w:rsidR="007D4F84" w:rsidRPr="00D212E6" w:rsidRDefault="007D4F84" w:rsidP="001F56FA">
            <w:pPr>
              <w:spacing w:after="0" w:line="240" w:lineRule="auto"/>
              <w:jc w:val="center"/>
              <w:rPr>
                <w:rFonts w:ascii="Arial Narrow" w:eastAsia="Times New Roman" w:hAnsi="Arial Narrow" w:cs="Arial"/>
                <w:color w:val="000000"/>
                <w:kern w:val="0"/>
                <w:sz w:val="18"/>
                <w:szCs w:val="18"/>
                <w:lang w:eastAsia="en-GB"/>
                <w14:ligatures w14:val="none"/>
              </w:rPr>
            </w:pPr>
            <w:r w:rsidRPr="00D212E6">
              <w:rPr>
                <w:rFonts w:ascii="Arial Narrow" w:eastAsia="Times New Roman" w:hAnsi="Arial Narrow" w:cs="Arial"/>
                <w:color w:val="000000"/>
                <w:kern w:val="0"/>
                <w:sz w:val="18"/>
                <w:szCs w:val="18"/>
                <w:lang w:eastAsia="en-GB"/>
                <w14:ligatures w14:val="none"/>
              </w:rPr>
              <w:t>12%</w:t>
            </w:r>
          </w:p>
        </w:tc>
        <w:tc>
          <w:tcPr>
            <w:tcW w:w="601" w:type="pct"/>
            <w:tcBorders>
              <w:top w:val="single" w:sz="4" w:space="0" w:color="auto"/>
              <w:left w:val="single" w:sz="4" w:space="0" w:color="auto"/>
              <w:bottom w:val="single" w:sz="4" w:space="0" w:color="auto"/>
              <w:right w:val="single" w:sz="4" w:space="0" w:color="auto"/>
            </w:tcBorders>
            <w:shd w:val="clear" w:color="auto" w:fill="FFC000"/>
            <w:noWrap/>
            <w:vAlign w:val="center"/>
          </w:tcPr>
          <w:p w14:paraId="6F836C90" w14:textId="77777777" w:rsidR="007D4F84" w:rsidRPr="00D212E6" w:rsidRDefault="007D4F84" w:rsidP="001F56FA">
            <w:pPr>
              <w:spacing w:after="0" w:line="240" w:lineRule="auto"/>
              <w:jc w:val="center"/>
              <w:rPr>
                <w:rFonts w:ascii="Arial Narrow" w:eastAsia="Times New Roman" w:hAnsi="Arial Narrow" w:cs="Arial"/>
                <w:color w:val="9C0006"/>
                <w:kern w:val="0"/>
                <w:sz w:val="18"/>
                <w:szCs w:val="18"/>
                <w:lang w:eastAsia="en-GB"/>
                <w14:ligatures w14:val="none"/>
              </w:rPr>
            </w:pPr>
          </w:p>
        </w:tc>
      </w:tr>
      <w:tr w:rsidR="007D4F84" w:rsidRPr="00D212E6" w14:paraId="2357DF7F" w14:textId="77777777" w:rsidTr="001F56FA">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426E9FDF"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Pr>
                <w:rFonts w:ascii="Arial Narrow" w:eastAsia="Times New Roman" w:hAnsi="Arial Narrow" w:cs="Arial"/>
                <w:kern w:val="0"/>
                <w:sz w:val="18"/>
                <w:szCs w:val="18"/>
                <w:lang w:eastAsia="en-GB"/>
                <w14:ligatures w14:val="none"/>
              </w:rPr>
              <w:t>9</w:t>
            </w:r>
          </w:p>
        </w:tc>
        <w:tc>
          <w:tcPr>
            <w:tcW w:w="1354" w:type="pct"/>
            <w:tcBorders>
              <w:top w:val="nil"/>
              <w:left w:val="nil"/>
              <w:bottom w:val="single" w:sz="4" w:space="0" w:color="auto"/>
              <w:right w:val="single" w:sz="4" w:space="0" w:color="auto"/>
            </w:tcBorders>
            <w:shd w:val="clear" w:color="auto" w:fill="auto"/>
            <w:vAlign w:val="center"/>
            <w:hideMark/>
          </w:tcPr>
          <w:p w14:paraId="28F80814" w14:textId="77777777" w:rsidR="007D4F84" w:rsidRPr="00D212E6" w:rsidRDefault="007D4F84" w:rsidP="001F56FA">
            <w:pPr>
              <w:spacing w:after="0" w:line="240" w:lineRule="auto"/>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Taux de fécondité des adolescentes</w:t>
            </w:r>
          </w:p>
        </w:tc>
        <w:tc>
          <w:tcPr>
            <w:tcW w:w="552" w:type="pct"/>
            <w:tcBorders>
              <w:top w:val="nil"/>
              <w:left w:val="nil"/>
              <w:bottom w:val="single" w:sz="4" w:space="0" w:color="auto"/>
              <w:right w:val="single" w:sz="4" w:space="0" w:color="auto"/>
            </w:tcBorders>
            <w:shd w:val="clear" w:color="auto" w:fill="auto"/>
            <w:vAlign w:val="center"/>
          </w:tcPr>
          <w:p w14:paraId="4E5AA77B"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124 (2016)</w:t>
            </w:r>
          </w:p>
        </w:tc>
        <w:tc>
          <w:tcPr>
            <w:tcW w:w="313" w:type="pct"/>
            <w:tcBorders>
              <w:top w:val="nil"/>
              <w:left w:val="single" w:sz="4" w:space="0" w:color="auto"/>
              <w:bottom w:val="single" w:sz="4" w:space="0" w:color="auto"/>
              <w:right w:val="single" w:sz="4" w:space="0" w:color="auto"/>
            </w:tcBorders>
            <w:shd w:val="clear" w:color="auto" w:fill="auto"/>
            <w:vAlign w:val="center"/>
            <w:hideMark/>
          </w:tcPr>
          <w:p w14:paraId="06D7E6B7"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124</w:t>
            </w:r>
          </w:p>
        </w:tc>
        <w:tc>
          <w:tcPr>
            <w:tcW w:w="393" w:type="pct"/>
            <w:tcBorders>
              <w:top w:val="nil"/>
              <w:left w:val="nil"/>
              <w:bottom w:val="single" w:sz="4" w:space="0" w:color="auto"/>
              <w:right w:val="single" w:sz="4" w:space="0" w:color="auto"/>
            </w:tcBorders>
            <w:shd w:val="clear" w:color="auto" w:fill="auto"/>
            <w:vAlign w:val="center"/>
            <w:hideMark/>
          </w:tcPr>
          <w:p w14:paraId="23BAA378"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118</w:t>
            </w:r>
          </w:p>
        </w:tc>
        <w:tc>
          <w:tcPr>
            <w:tcW w:w="394" w:type="pct"/>
            <w:tcBorders>
              <w:top w:val="nil"/>
              <w:left w:val="nil"/>
              <w:bottom w:val="single" w:sz="4" w:space="0" w:color="auto"/>
              <w:right w:val="single" w:sz="4" w:space="0" w:color="auto"/>
            </w:tcBorders>
            <w:shd w:val="clear" w:color="auto" w:fill="auto"/>
            <w:vAlign w:val="center"/>
            <w:hideMark/>
          </w:tcPr>
          <w:p w14:paraId="4A1DF3C8"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117</w:t>
            </w:r>
          </w:p>
        </w:tc>
        <w:tc>
          <w:tcPr>
            <w:tcW w:w="393" w:type="pct"/>
            <w:tcBorders>
              <w:top w:val="nil"/>
              <w:left w:val="nil"/>
              <w:bottom w:val="single" w:sz="4" w:space="0" w:color="auto"/>
              <w:right w:val="single" w:sz="4" w:space="0" w:color="auto"/>
            </w:tcBorders>
            <w:shd w:val="clear" w:color="auto" w:fill="auto"/>
            <w:noWrap/>
            <w:vAlign w:val="center"/>
            <w:hideMark/>
          </w:tcPr>
          <w:p w14:paraId="7A1E1A8B" w14:textId="77777777" w:rsidR="007D4F84" w:rsidRPr="00D212E6" w:rsidRDefault="007D4F84" w:rsidP="001F56FA">
            <w:pPr>
              <w:spacing w:after="0" w:line="240" w:lineRule="auto"/>
              <w:jc w:val="center"/>
              <w:rPr>
                <w:rFonts w:ascii="Arial Narrow" w:eastAsia="Times New Roman" w:hAnsi="Arial Narrow" w:cs="Arial"/>
                <w:color w:val="000000"/>
                <w:kern w:val="0"/>
                <w:sz w:val="18"/>
                <w:szCs w:val="18"/>
                <w:lang w:eastAsia="en-GB"/>
                <w14:ligatures w14:val="none"/>
              </w:rPr>
            </w:pPr>
            <w:r w:rsidRPr="00D212E6">
              <w:rPr>
                <w:rFonts w:ascii="Arial Narrow" w:eastAsia="Times New Roman" w:hAnsi="Arial Narrow" w:cs="Arial"/>
                <w:color w:val="000000"/>
                <w:kern w:val="0"/>
                <w:sz w:val="18"/>
                <w:szCs w:val="18"/>
                <w:lang w:eastAsia="en-GB"/>
                <w14:ligatures w14:val="none"/>
              </w:rPr>
              <w:t>96</w:t>
            </w:r>
          </w:p>
        </w:tc>
        <w:tc>
          <w:tcPr>
            <w:tcW w:w="393" w:type="pct"/>
            <w:tcBorders>
              <w:top w:val="nil"/>
              <w:left w:val="nil"/>
              <w:bottom w:val="single" w:sz="4" w:space="0" w:color="auto"/>
              <w:right w:val="single" w:sz="4" w:space="0" w:color="auto"/>
            </w:tcBorders>
            <w:shd w:val="clear" w:color="auto" w:fill="auto"/>
            <w:noWrap/>
            <w:vAlign w:val="center"/>
            <w:hideMark/>
          </w:tcPr>
          <w:p w14:paraId="6FED2CFF" w14:textId="77777777" w:rsidR="007D4F84" w:rsidRPr="00D212E6" w:rsidRDefault="007D4F84" w:rsidP="001F56FA">
            <w:pPr>
              <w:spacing w:after="0" w:line="240" w:lineRule="auto"/>
              <w:jc w:val="center"/>
              <w:rPr>
                <w:rFonts w:ascii="Arial Narrow" w:eastAsia="Times New Roman" w:hAnsi="Arial Narrow" w:cs="Arial"/>
                <w:color w:val="000000"/>
                <w:kern w:val="0"/>
                <w:sz w:val="18"/>
                <w:szCs w:val="18"/>
                <w:lang w:eastAsia="en-GB"/>
                <w14:ligatures w14:val="none"/>
              </w:rPr>
            </w:pPr>
            <w:r w:rsidRPr="00D212E6">
              <w:rPr>
                <w:rFonts w:ascii="Arial Narrow" w:eastAsia="Times New Roman" w:hAnsi="Arial Narrow" w:cs="Arial"/>
                <w:color w:val="000000"/>
                <w:kern w:val="0"/>
                <w:sz w:val="18"/>
                <w:szCs w:val="18"/>
                <w:lang w:eastAsia="en-GB"/>
                <w14:ligatures w14:val="none"/>
              </w:rPr>
              <w:t>96</w:t>
            </w:r>
          </w:p>
        </w:tc>
        <w:tc>
          <w:tcPr>
            <w:tcW w:w="392" w:type="pct"/>
            <w:tcBorders>
              <w:top w:val="nil"/>
              <w:left w:val="nil"/>
              <w:bottom w:val="single" w:sz="4" w:space="0" w:color="auto"/>
              <w:right w:val="single" w:sz="4" w:space="0" w:color="auto"/>
            </w:tcBorders>
            <w:shd w:val="clear" w:color="auto" w:fill="auto"/>
            <w:noWrap/>
            <w:vAlign w:val="center"/>
            <w:hideMark/>
          </w:tcPr>
          <w:p w14:paraId="78E41F0E" w14:textId="77777777" w:rsidR="007D4F84" w:rsidRPr="00D212E6" w:rsidRDefault="007D4F84" w:rsidP="001F56FA">
            <w:pPr>
              <w:spacing w:after="0" w:line="240" w:lineRule="auto"/>
              <w:jc w:val="center"/>
              <w:rPr>
                <w:rFonts w:ascii="Arial Narrow" w:eastAsia="Times New Roman" w:hAnsi="Arial Narrow" w:cs="Arial"/>
                <w:color w:val="000000"/>
                <w:kern w:val="0"/>
                <w:sz w:val="18"/>
                <w:szCs w:val="18"/>
                <w:lang w:eastAsia="en-GB"/>
                <w14:ligatures w14:val="none"/>
              </w:rPr>
            </w:pPr>
            <w:r w:rsidRPr="00D212E6">
              <w:rPr>
                <w:rFonts w:ascii="Arial Narrow" w:eastAsia="Times New Roman" w:hAnsi="Arial Narrow" w:cs="Arial"/>
                <w:color w:val="000000"/>
                <w:kern w:val="0"/>
                <w:sz w:val="18"/>
                <w:szCs w:val="18"/>
                <w:lang w:eastAsia="en-GB"/>
                <w14:ligatures w14:val="none"/>
              </w:rPr>
              <w:t>96</w:t>
            </w:r>
          </w:p>
        </w:tc>
        <w:tc>
          <w:tcPr>
            <w:tcW w:w="601"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tcPr>
          <w:p w14:paraId="628855FE" w14:textId="77777777" w:rsidR="007D4F84" w:rsidRPr="00D212E6" w:rsidRDefault="007D4F84" w:rsidP="001F56FA">
            <w:pPr>
              <w:spacing w:after="0" w:line="240" w:lineRule="auto"/>
              <w:jc w:val="center"/>
              <w:rPr>
                <w:rFonts w:ascii="Arial Narrow" w:eastAsia="Times New Roman" w:hAnsi="Arial Narrow" w:cs="Arial"/>
                <w:color w:val="006100"/>
                <w:kern w:val="0"/>
                <w:sz w:val="18"/>
                <w:szCs w:val="18"/>
                <w:lang w:eastAsia="en-GB"/>
                <w14:ligatures w14:val="none"/>
              </w:rPr>
            </w:pPr>
          </w:p>
        </w:tc>
      </w:tr>
      <w:tr w:rsidR="007D4F84" w:rsidRPr="00D212E6" w14:paraId="216017EC" w14:textId="77777777" w:rsidTr="001F56FA">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7D25C607"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1</w:t>
            </w:r>
            <w:r>
              <w:rPr>
                <w:rFonts w:ascii="Arial Narrow" w:eastAsia="Times New Roman" w:hAnsi="Arial Narrow" w:cs="Arial"/>
                <w:kern w:val="0"/>
                <w:sz w:val="18"/>
                <w:szCs w:val="18"/>
                <w:lang w:eastAsia="en-GB"/>
                <w14:ligatures w14:val="none"/>
              </w:rPr>
              <w:t>0</w:t>
            </w:r>
          </w:p>
        </w:tc>
        <w:tc>
          <w:tcPr>
            <w:tcW w:w="1354" w:type="pct"/>
            <w:tcBorders>
              <w:top w:val="nil"/>
              <w:left w:val="nil"/>
              <w:bottom w:val="single" w:sz="4" w:space="0" w:color="auto"/>
              <w:right w:val="single" w:sz="4" w:space="0" w:color="auto"/>
            </w:tcBorders>
            <w:shd w:val="clear" w:color="auto" w:fill="auto"/>
            <w:vAlign w:val="center"/>
            <w:hideMark/>
          </w:tcPr>
          <w:p w14:paraId="2D2AF1E8" w14:textId="77777777" w:rsidR="007D4F84" w:rsidRPr="00D212E6" w:rsidRDefault="007D4F84" w:rsidP="001F56FA">
            <w:pPr>
              <w:spacing w:after="0" w:line="240" w:lineRule="auto"/>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Prévalence du tabagisme chez les adultes de 15 à 49 ans - Hommes</w:t>
            </w:r>
          </w:p>
        </w:tc>
        <w:tc>
          <w:tcPr>
            <w:tcW w:w="552" w:type="pct"/>
            <w:tcBorders>
              <w:top w:val="nil"/>
              <w:left w:val="nil"/>
              <w:bottom w:val="single" w:sz="4" w:space="0" w:color="auto"/>
              <w:right w:val="single" w:sz="4" w:space="0" w:color="auto"/>
            </w:tcBorders>
            <w:shd w:val="clear" w:color="auto" w:fill="auto"/>
            <w:vAlign w:val="center"/>
          </w:tcPr>
          <w:p w14:paraId="638F1264"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17,10% (2016)</w:t>
            </w:r>
          </w:p>
        </w:tc>
        <w:tc>
          <w:tcPr>
            <w:tcW w:w="313" w:type="pct"/>
            <w:tcBorders>
              <w:top w:val="nil"/>
              <w:left w:val="single" w:sz="4" w:space="0" w:color="auto"/>
              <w:bottom w:val="single" w:sz="4" w:space="0" w:color="auto"/>
              <w:right w:val="single" w:sz="4" w:space="0" w:color="auto"/>
            </w:tcBorders>
            <w:shd w:val="clear" w:color="auto" w:fill="auto"/>
            <w:vAlign w:val="center"/>
            <w:hideMark/>
          </w:tcPr>
          <w:p w14:paraId="02C1809D"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17,10%</w:t>
            </w:r>
          </w:p>
        </w:tc>
        <w:tc>
          <w:tcPr>
            <w:tcW w:w="393" w:type="pct"/>
            <w:tcBorders>
              <w:top w:val="nil"/>
              <w:left w:val="nil"/>
              <w:bottom w:val="single" w:sz="4" w:space="0" w:color="auto"/>
              <w:right w:val="single" w:sz="4" w:space="0" w:color="auto"/>
            </w:tcBorders>
            <w:shd w:val="clear" w:color="auto" w:fill="auto"/>
            <w:vAlign w:val="center"/>
            <w:hideMark/>
          </w:tcPr>
          <w:p w14:paraId="546FCB4B"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15,90%</w:t>
            </w:r>
          </w:p>
        </w:tc>
        <w:tc>
          <w:tcPr>
            <w:tcW w:w="394" w:type="pct"/>
            <w:tcBorders>
              <w:top w:val="nil"/>
              <w:left w:val="nil"/>
              <w:bottom w:val="single" w:sz="4" w:space="0" w:color="auto"/>
              <w:right w:val="single" w:sz="4" w:space="0" w:color="auto"/>
            </w:tcBorders>
            <w:shd w:val="clear" w:color="auto" w:fill="auto"/>
            <w:vAlign w:val="center"/>
            <w:hideMark/>
          </w:tcPr>
          <w:p w14:paraId="5FD6E84B"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14,90%</w:t>
            </w:r>
          </w:p>
        </w:tc>
        <w:tc>
          <w:tcPr>
            <w:tcW w:w="393" w:type="pct"/>
            <w:tcBorders>
              <w:top w:val="nil"/>
              <w:left w:val="nil"/>
              <w:bottom w:val="single" w:sz="4" w:space="0" w:color="auto"/>
              <w:right w:val="single" w:sz="4" w:space="0" w:color="auto"/>
            </w:tcBorders>
            <w:shd w:val="clear" w:color="auto" w:fill="auto"/>
            <w:noWrap/>
            <w:vAlign w:val="center"/>
            <w:hideMark/>
          </w:tcPr>
          <w:p w14:paraId="529A733D" w14:textId="77777777" w:rsidR="007D4F84" w:rsidRPr="00D212E6" w:rsidRDefault="007D4F84" w:rsidP="001F56FA">
            <w:pPr>
              <w:spacing w:after="0" w:line="240" w:lineRule="auto"/>
              <w:jc w:val="center"/>
              <w:rPr>
                <w:rFonts w:ascii="Arial Narrow" w:eastAsia="Times New Roman" w:hAnsi="Arial Narrow" w:cs="Arial"/>
                <w:color w:val="000000"/>
                <w:kern w:val="0"/>
                <w:sz w:val="18"/>
                <w:szCs w:val="18"/>
                <w:lang w:eastAsia="en-GB"/>
                <w14:ligatures w14:val="none"/>
              </w:rPr>
            </w:pPr>
            <w:r w:rsidRPr="00D212E6">
              <w:rPr>
                <w:rFonts w:ascii="Arial Narrow" w:eastAsia="Times New Roman" w:hAnsi="Arial Narrow" w:cs="Arial"/>
                <w:color w:val="000000"/>
                <w:kern w:val="0"/>
                <w:sz w:val="18"/>
                <w:szCs w:val="18"/>
                <w:lang w:eastAsia="en-GB"/>
                <w14:ligatures w14:val="none"/>
              </w:rPr>
              <w:t>12%</w:t>
            </w:r>
          </w:p>
        </w:tc>
        <w:tc>
          <w:tcPr>
            <w:tcW w:w="393" w:type="pct"/>
            <w:tcBorders>
              <w:top w:val="nil"/>
              <w:left w:val="nil"/>
              <w:bottom w:val="single" w:sz="4" w:space="0" w:color="auto"/>
              <w:right w:val="single" w:sz="4" w:space="0" w:color="auto"/>
            </w:tcBorders>
            <w:shd w:val="clear" w:color="auto" w:fill="auto"/>
            <w:noWrap/>
            <w:vAlign w:val="center"/>
            <w:hideMark/>
          </w:tcPr>
          <w:p w14:paraId="0A43DDE1" w14:textId="77777777" w:rsidR="007D4F84" w:rsidRPr="00D212E6" w:rsidRDefault="007D4F84" w:rsidP="001F56FA">
            <w:pPr>
              <w:spacing w:after="0" w:line="240" w:lineRule="auto"/>
              <w:jc w:val="center"/>
              <w:rPr>
                <w:rFonts w:ascii="Arial Narrow" w:eastAsia="Times New Roman" w:hAnsi="Arial Narrow" w:cs="Arial"/>
                <w:color w:val="000000"/>
                <w:kern w:val="0"/>
                <w:sz w:val="18"/>
                <w:szCs w:val="18"/>
                <w:lang w:eastAsia="en-GB"/>
                <w14:ligatures w14:val="none"/>
              </w:rPr>
            </w:pPr>
            <w:r w:rsidRPr="00D212E6">
              <w:rPr>
                <w:rFonts w:ascii="Arial Narrow" w:eastAsia="Times New Roman" w:hAnsi="Arial Narrow" w:cs="Arial"/>
                <w:color w:val="000000"/>
                <w:kern w:val="0"/>
                <w:sz w:val="18"/>
                <w:szCs w:val="18"/>
                <w:lang w:eastAsia="en-GB"/>
                <w14:ligatures w14:val="none"/>
              </w:rPr>
              <w:t>12%</w:t>
            </w:r>
          </w:p>
        </w:tc>
        <w:tc>
          <w:tcPr>
            <w:tcW w:w="392" w:type="pct"/>
            <w:tcBorders>
              <w:top w:val="nil"/>
              <w:left w:val="nil"/>
              <w:bottom w:val="single" w:sz="4" w:space="0" w:color="auto"/>
              <w:right w:val="single" w:sz="4" w:space="0" w:color="auto"/>
            </w:tcBorders>
            <w:shd w:val="clear" w:color="auto" w:fill="auto"/>
            <w:noWrap/>
            <w:vAlign w:val="center"/>
            <w:hideMark/>
          </w:tcPr>
          <w:p w14:paraId="68A3B7BC" w14:textId="77777777" w:rsidR="007D4F84" w:rsidRPr="00D212E6" w:rsidRDefault="007D4F84" w:rsidP="001F56FA">
            <w:pPr>
              <w:spacing w:after="0" w:line="240" w:lineRule="auto"/>
              <w:jc w:val="center"/>
              <w:rPr>
                <w:rFonts w:ascii="Arial Narrow" w:eastAsia="Times New Roman" w:hAnsi="Arial Narrow" w:cs="Arial"/>
                <w:color w:val="000000"/>
                <w:kern w:val="0"/>
                <w:sz w:val="18"/>
                <w:szCs w:val="18"/>
                <w:lang w:eastAsia="en-GB"/>
                <w14:ligatures w14:val="none"/>
              </w:rPr>
            </w:pPr>
            <w:r w:rsidRPr="00D212E6">
              <w:rPr>
                <w:rFonts w:ascii="Arial Narrow" w:eastAsia="Times New Roman" w:hAnsi="Arial Narrow" w:cs="Arial"/>
                <w:color w:val="000000"/>
                <w:kern w:val="0"/>
                <w:sz w:val="18"/>
                <w:szCs w:val="18"/>
                <w:lang w:eastAsia="en-GB"/>
                <w14:ligatures w14:val="none"/>
              </w:rPr>
              <w:t>12%</w:t>
            </w:r>
          </w:p>
        </w:tc>
        <w:tc>
          <w:tcPr>
            <w:tcW w:w="601"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tcPr>
          <w:p w14:paraId="6BCC8D92" w14:textId="77777777" w:rsidR="007D4F84" w:rsidRPr="00D212E6" w:rsidRDefault="007D4F84" w:rsidP="001F56FA">
            <w:pPr>
              <w:spacing w:after="0" w:line="240" w:lineRule="auto"/>
              <w:jc w:val="center"/>
              <w:rPr>
                <w:rFonts w:ascii="Arial Narrow" w:eastAsia="Times New Roman" w:hAnsi="Arial Narrow" w:cs="Arial"/>
                <w:color w:val="006100"/>
                <w:kern w:val="0"/>
                <w:sz w:val="18"/>
                <w:szCs w:val="18"/>
                <w:lang w:eastAsia="en-GB"/>
                <w14:ligatures w14:val="none"/>
              </w:rPr>
            </w:pPr>
          </w:p>
        </w:tc>
      </w:tr>
      <w:tr w:rsidR="007D4F84" w:rsidRPr="00D212E6" w14:paraId="280EEC0F" w14:textId="77777777" w:rsidTr="001F56FA">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7E827233"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1</w:t>
            </w:r>
            <w:r>
              <w:rPr>
                <w:rFonts w:ascii="Arial Narrow" w:eastAsia="Times New Roman" w:hAnsi="Arial Narrow" w:cs="Arial"/>
                <w:kern w:val="0"/>
                <w:sz w:val="18"/>
                <w:szCs w:val="18"/>
                <w:lang w:eastAsia="en-GB"/>
                <w14:ligatures w14:val="none"/>
              </w:rPr>
              <w:t>1</w:t>
            </w:r>
          </w:p>
        </w:tc>
        <w:tc>
          <w:tcPr>
            <w:tcW w:w="1354" w:type="pct"/>
            <w:tcBorders>
              <w:top w:val="nil"/>
              <w:left w:val="nil"/>
              <w:bottom w:val="single" w:sz="4" w:space="0" w:color="auto"/>
              <w:right w:val="single" w:sz="4" w:space="0" w:color="auto"/>
            </w:tcBorders>
            <w:shd w:val="clear" w:color="auto" w:fill="auto"/>
            <w:vAlign w:val="center"/>
            <w:hideMark/>
          </w:tcPr>
          <w:p w14:paraId="6D641AF1" w14:textId="77777777" w:rsidR="007D4F84" w:rsidRPr="00D212E6" w:rsidRDefault="007D4F84" w:rsidP="001F56FA">
            <w:pPr>
              <w:spacing w:after="0" w:line="240" w:lineRule="auto"/>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Prévalence du tabagisme chez les adultes de 15 à 49 ans - Femmes</w:t>
            </w:r>
          </w:p>
        </w:tc>
        <w:tc>
          <w:tcPr>
            <w:tcW w:w="552" w:type="pct"/>
            <w:tcBorders>
              <w:top w:val="nil"/>
              <w:left w:val="nil"/>
              <w:bottom w:val="single" w:sz="4" w:space="0" w:color="auto"/>
              <w:right w:val="single" w:sz="4" w:space="0" w:color="auto"/>
            </w:tcBorders>
            <w:vAlign w:val="center"/>
          </w:tcPr>
          <w:p w14:paraId="346A78AD"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0,60% (2016)</w:t>
            </w:r>
          </w:p>
        </w:tc>
        <w:tc>
          <w:tcPr>
            <w:tcW w:w="313" w:type="pct"/>
            <w:tcBorders>
              <w:top w:val="nil"/>
              <w:left w:val="single" w:sz="4" w:space="0" w:color="auto"/>
              <w:bottom w:val="single" w:sz="4" w:space="0" w:color="auto"/>
              <w:right w:val="single" w:sz="4" w:space="0" w:color="auto"/>
            </w:tcBorders>
            <w:shd w:val="clear" w:color="auto" w:fill="auto"/>
            <w:vAlign w:val="center"/>
            <w:hideMark/>
          </w:tcPr>
          <w:p w14:paraId="73A458B1"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0,60%</w:t>
            </w:r>
          </w:p>
        </w:tc>
        <w:tc>
          <w:tcPr>
            <w:tcW w:w="393" w:type="pct"/>
            <w:tcBorders>
              <w:top w:val="nil"/>
              <w:left w:val="nil"/>
              <w:bottom w:val="single" w:sz="4" w:space="0" w:color="auto"/>
              <w:right w:val="single" w:sz="4" w:space="0" w:color="auto"/>
            </w:tcBorders>
            <w:shd w:val="clear" w:color="auto" w:fill="auto"/>
            <w:vAlign w:val="center"/>
            <w:hideMark/>
          </w:tcPr>
          <w:p w14:paraId="02EB61F6"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0,57%</w:t>
            </w:r>
          </w:p>
        </w:tc>
        <w:tc>
          <w:tcPr>
            <w:tcW w:w="394" w:type="pct"/>
            <w:tcBorders>
              <w:top w:val="nil"/>
              <w:left w:val="nil"/>
              <w:bottom w:val="single" w:sz="4" w:space="0" w:color="auto"/>
              <w:right w:val="single" w:sz="4" w:space="0" w:color="auto"/>
            </w:tcBorders>
            <w:shd w:val="clear" w:color="auto" w:fill="auto"/>
            <w:vAlign w:val="center"/>
            <w:hideMark/>
          </w:tcPr>
          <w:p w14:paraId="1B19BDF6"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0,54%</w:t>
            </w:r>
          </w:p>
        </w:tc>
        <w:tc>
          <w:tcPr>
            <w:tcW w:w="393" w:type="pct"/>
            <w:tcBorders>
              <w:top w:val="nil"/>
              <w:left w:val="nil"/>
              <w:bottom w:val="single" w:sz="4" w:space="0" w:color="auto"/>
              <w:right w:val="single" w:sz="4" w:space="0" w:color="auto"/>
            </w:tcBorders>
            <w:shd w:val="clear" w:color="auto" w:fill="auto"/>
            <w:noWrap/>
            <w:vAlign w:val="center"/>
            <w:hideMark/>
          </w:tcPr>
          <w:p w14:paraId="4599448F" w14:textId="77777777" w:rsidR="007D4F84" w:rsidRPr="00D212E6" w:rsidRDefault="007D4F84" w:rsidP="001F56FA">
            <w:pPr>
              <w:spacing w:after="0" w:line="240" w:lineRule="auto"/>
              <w:jc w:val="center"/>
              <w:rPr>
                <w:rFonts w:ascii="Arial Narrow" w:eastAsia="Times New Roman" w:hAnsi="Arial Narrow" w:cs="Arial"/>
                <w:color w:val="000000"/>
                <w:kern w:val="0"/>
                <w:sz w:val="18"/>
                <w:szCs w:val="18"/>
                <w:lang w:eastAsia="en-GB"/>
                <w14:ligatures w14:val="none"/>
              </w:rPr>
            </w:pPr>
            <w:r w:rsidRPr="00D212E6">
              <w:rPr>
                <w:rFonts w:ascii="Arial Narrow" w:eastAsia="Times New Roman" w:hAnsi="Arial Narrow" w:cs="Arial"/>
                <w:color w:val="000000"/>
                <w:kern w:val="0"/>
                <w:sz w:val="18"/>
                <w:szCs w:val="18"/>
                <w:lang w:eastAsia="en-GB"/>
                <w14:ligatures w14:val="none"/>
              </w:rPr>
              <w:t>2%</w:t>
            </w:r>
          </w:p>
        </w:tc>
        <w:tc>
          <w:tcPr>
            <w:tcW w:w="393" w:type="pct"/>
            <w:tcBorders>
              <w:top w:val="nil"/>
              <w:left w:val="nil"/>
              <w:bottom w:val="single" w:sz="4" w:space="0" w:color="auto"/>
              <w:right w:val="single" w:sz="4" w:space="0" w:color="auto"/>
            </w:tcBorders>
            <w:shd w:val="clear" w:color="auto" w:fill="auto"/>
            <w:noWrap/>
            <w:vAlign w:val="center"/>
            <w:hideMark/>
          </w:tcPr>
          <w:p w14:paraId="23E809A7" w14:textId="77777777" w:rsidR="007D4F84" w:rsidRPr="00D212E6" w:rsidRDefault="007D4F84" w:rsidP="001F56FA">
            <w:pPr>
              <w:spacing w:after="0" w:line="240" w:lineRule="auto"/>
              <w:jc w:val="center"/>
              <w:rPr>
                <w:rFonts w:ascii="Arial Narrow" w:eastAsia="Times New Roman" w:hAnsi="Arial Narrow" w:cs="Arial"/>
                <w:color w:val="000000"/>
                <w:kern w:val="0"/>
                <w:sz w:val="18"/>
                <w:szCs w:val="18"/>
                <w:lang w:eastAsia="en-GB"/>
                <w14:ligatures w14:val="none"/>
              </w:rPr>
            </w:pPr>
            <w:r w:rsidRPr="00D212E6">
              <w:rPr>
                <w:rFonts w:ascii="Arial Narrow" w:eastAsia="Times New Roman" w:hAnsi="Arial Narrow" w:cs="Arial"/>
                <w:color w:val="000000"/>
                <w:kern w:val="0"/>
                <w:sz w:val="18"/>
                <w:szCs w:val="18"/>
                <w:lang w:eastAsia="en-GB"/>
                <w14:ligatures w14:val="none"/>
              </w:rPr>
              <w:t>2%</w:t>
            </w:r>
          </w:p>
        </w:tc>
        <w:tc>
          <w:tcPr>
            <w:tcW w:w="392" w:type="pct"/>
            <w:tcBorders>
              <w:top w:val="nil"/>
              <w:left w:val="nil"/>
              <w:bottom w:val="single" w:sz="4" w:space="0" w:color="auto"/>
              <w:right w:val="single" w:sz="4" w:space="0" w:color="auto"/>
            </w:tcBorders>
            <w:shd w:val="clear" w:color="auto" w:fill="auto"/>
            <w:noWrap/>
            <w:vAlign w:val="center"/>
            <w:hideMark/>
          </w:tcPr>
          <w:p w14:paraId="17C70E22" w14:textId="77777777" w:rsidR="007D4F84" w:rsidRPr="00D212E6" w:rsidRDefault="007D4F84" w:rsidP="001F56FA">
            <w:pPr>
              <w:spacing w:after="0" w:line="240" w:lineRule="auto"/>
              <w:jc w:val="center"/>
              <w:rPr>
                <w:rFonts w:ascii="Arial Narrow" w:eastAsia="Times New Roman" w:hAnsi="Arial Narrow" w:cs="Arial"/>
                <w:color w:val="000000"/>
                <w:kern w:val="0"/>
                <w:sz w:val="18"/>
                <w:szCs w:val="18"/>
                <w:lang w:eastAsia="en-GB"/>
                <w14:ligatures w14:val="none"/>
              </w:rPr>
            </w:pPr>
            <w:r w:rsidRPr="00D212E6">
              <w:rPr>
                <w:rFonts w:ascii="Arial Narrow" w:eastAsia="Times New Roman" w:hAnsi="Arial Narrow" w:cs="Arial"/>
                <w:color w:val="000000"/>
                <w:kern w:val="0"/>
                <w:sz w:val="18"/>
                <w:szCs w:val="18"/>
                <w:lang w:eastAsia="en-GB"/>
                <w14:ligatures w14:val="none"/>
              </w:rPr>
              <w:t>2%</w:t>
            </w:r>
          </w:p>
        </w:tc>
        <w:tc>
          <w:tcPr>
            <w:tcW w:w="601" w:type="pct"/>
            <w:tcBorders>
              <w:top w:val="single" w:sz="4" w:space="0" w:color="auto"/>
              <w:left w:val="single" w:sz="4" w:space="0" w:color="auto"/>
              <w:bottom w:val="single" w:sz="4" w:space="0" w:color="auto"/>
              <w:right w:val="single" w:sz="4" w:space="0" w:color="auto"/>
            </w:tcBorders>
            <w:shd w:val="clear" w:color="auto" w:fill="FF0000"/>
            <w:noWrap/>
            <w:vAlign w:val="center"/>
          </w:tcPr>
          <w:p w14:paraId="4A75E63F" w14:textId="77777777" w:rsidR="007D4F84" w:rsidRPr="00D212E6" w:rsidRDefault="007D4F84" w:rsidP="001F56FA">
            <w:pPr>
              <w:spacing w:after="0" w:line="240" w:lineRule="auto"/>
              <w:jc w:val="center"/>
              <w:rPr>
                <w:rFonts w:ascii="Arial Narrow" w:eastAsia="Times New Roman" w:hAnsi="Arial Narrow" w:cs="Arial"/>
                <w:color w:val="9C0006"/>
                <w:kern w:val="0"/>
                <w:sz w:val="18"/>
                <w:szCs w:val="18"/>
                <w:lang w:eastAsia="en-GB"/>
                <w14:ligatures w14:val="none"/>
              </w:rPr>
            </w:pPr>
          </w:p>
        </w:tc>
      </w:tr>
      <w:tr w:rsidR="007D4F84" w:rsidRPr="00D212E6" w14:paraId="731F0DB2" w14:textId="77777777" w:rsidTr="001F56FA">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tcPr>
          <w:p w14:paraId="5F82C7E0"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sidRPr="00D212E6">
              <w:rPr>
                <w:rFonts w:ascii="Arial Narrow" w:eastAsia="Times New Roman" w:hAnsi="Arial Narrow" w:cs="Arial"/>
                <w:kern w:val="0"/>
                <w:sz w:val="18"/>
                <w:szCs w:val="18"/>
                <w:lang w:eastAsia="en-GB"/>
                <w14:ligatures w14:val="none"/>
              </w:rPr>
              <w:t>1</w:t>
            </w:r>
            <w:r>
              <w:rPr>
                <w:rFonts w:ascii="Arial Narrow" w:eastAsia="Times New Roman" w:hAnsi="Arial Narrow" w:cs="Arial"/>
                <w:kern w:val="0"/>
                <w:sz w:val="18"/>
                <w:szCs w:val="18"/>
                <w:lang w:eastAsia="en-GB"/>
                <w14:ligatures w14:val="none"/>
              </w:rPr>
              <w:t>2</w:t>
            </w:r>
          </w:p>
        </w:tc>
        <w:tc>
          <w:tcPr>
            <w:tcW w:w="1354" w:type="pct"/>
            <w:tcBorders>
              <w:top w:val="nil"/>
              <w:left w:val="nil"/>
              <w:bottom w:val="single" w:sz="4" w:space="0" w:color="auto"/>
              <w:right w:val="single" w:sz="4" w:space="0" w:color="auto"/>
            </w:tcBorders>
            <w:shd w:val="clear" w:color="auto" w:fill="auto"/>
            <w:vAlign w:val="center"/>
          </w:tcPr>
          <w:p w14:paraId="373AC0B4" w14:textId="77777777" w:rsidR="007D4F84" w:rsidRPr="00D212E6" w:rsidRDefault="007D4F84" w:rsidP="001F56FA">
            <w:pPr>
              <w:spacing w:after="0" w:line="240" w:lineRule="auto"/>
              <w:rPr>
                <w:rFonts w:ascii="Arial Narrow" w:eastAsia="Times New Roman" w:hAnsi="Arial Narrow" w:cs="Arial"/>
                <w:kern w:val="0"/>
                <w:sz w:val="18"/>
                <w:szCs w:val="18"/>
                <w:lang w:eastAsia="en-GB"/>
                <w14:ligatures w14:val="none"/>
              </w:rPr>
            </w:pPr>
            <w:r>
              <w:rPr>
                <w:rFonts w:ascii="Arial Narrow" w:eastAsia="Times New Roman" w:hAnsi="Arial Narrow" w:cs="Arial"/>
                <w:kern w:val="0"/>
                <w:sz w:val="18"/>
                <w:szCs w:val="18"/>
                <w:lang w:eastAsia="en-GB"/>
                <w14:ligatures w14:val="none"/>
              </w:rPr>
              <w:t>Nombre de personnes pour lesquelles les interventions contre les maladies tropicales négligées sont nécessaires</w:t>
            </w:r>
          </w:p>
        </w:tc>
        <w:tc>
          <w:tcPr>
            <w:tcW w:w="552" w:type="pct"/>
            <w:tcBorders>
              <w:top w:val="nil"/>
              <w:left w:val="nil"/>
              <w:bottom w:val="single" w:sz="4" w:space="0" w:color="auto"/>
              <w:right w:val="single" w:sz="4" w:space="0" w:color="auto"/>
            </w:tcBorders>
            <w:vAlign w:val="center"/>
          </w:tcPr>
          <w:p w14:paraId="63FF9B8B"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Pr>
                <w:rFonts w:ascii="Arial Narrow" w:eastAsia="Times New Roman" w:hAnsi="Arial Narrow" w:cs="Arial"/>
                <w:kern w:val="0"/>
                <w:sz w:val="18"/>
                <w:szCs w:val="18"/>
                <w:lang w:eastAsia="en-GB"/>
                <w14:ligatures w14:val="none"/>
              </w:rPr>
              <w:t>21 966 154 (2020)</w:t>
            </w:r>
          </w:p>
        </w:tc>
        <w:tc>
          <w:tcPr>
            <w:tcW w:w="313" w:type="pct"/>
            <w:tcBorders>
              <w:top w:val="nil"/>
              <w:left w:val="single" w:sz="4" w:space="0" w:color="auto"/>
              <w:bottom w:val="single" w:sz="4" w:space="0" w:color="auto"/>
              <w:right w:val="single" w:sz="4" w:space="0" w:color="auto"/>
            </w:tcBorders>
            <w:shd w:val="clear" w:color="auto" w:fill="auto"/>
            <w:vAlign w:val="center"/>
          </w:tcPr>
          <w:p w14:paraId="5FFF21C0"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Pr>
                <w:rFonts w:ascii="Arial Narrow" w:eastAsia="Times New Roman" w:hAnsi="Arial Narrow" w:cs="Arial"/>
                <w:kern w:val="0"/>
                <w:sz w:val="18"/>
                <w:szCs w:val="18"/>
                <w:lang w:eastAsia="en-GB"/>
                <w14:ligatures w14:val="none"/>
              </w:rPr>
              <w:t>-</w:t>
            </w:r>
          </w:p>
        </w:tc>
        <w:tc>
          <w:tcPr>
            <w:tcW w:w="393" w:type="pct"/>
            <w:tcBorders>
              <w:top w:val="nil"/>
              <w:left w:val="nil"/>
              <w:bottom w:val="single" w:sz="4" w:space="0" w:color="auto"/>
              <w:right w:val="single" w:sz="4" w:space="0" w:color="auto"/>
            </w:tcBorders>
            <w:shd w:val="clear" w:color="auto" w:fill="auto"/>
            <w:vAlign w:val="center"/>
          </w:tcPr>
          <w:p w14:paraId="59BE9F0F"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Pr>
                <w:rFonts w:ascii="Arial Narrow" w:eastAsia="Times New Roman" w:hAnsi="Arial Narrow" w:cs="Arial"/>
                <w:kern w:val="0"/>
                <w:sz w:val="18"/>
                <w:szCs w:val="18"/>
                <w:lang w:eastAsia="en-GB"/>
                <w14:ligatures w14:val="none"/>
              </w:rPr>
              <w:t>-</w:t>
            </w:r>
          </w:p>
        </w:tc>
        <w:tc>
          <w:tcPr>
            <w:tcW w:w="394" w:type="pct"/>
            <w:tcBorders>
              <w:top w:val="nil"/>
              <w:left w:val="nil"/>
              <w:bottom w:val="single" w:sz="4" w:space="0" w:color="auto"/>
              <w:right w:val="single" w:sz="4" w:space="0" w:color="auto"/>
            </w:tcBorders>
            <w:shd w:val="clear" w:color="auto" w:fill="auto"/>
            <w:vAlign w:val="center"/>
          </w:tcPr>
          <w:p w14:paraId="00E8FA44"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Pr>
                <w:rFonts w:ascii="Arial Narrow" w:eastAsia="Times New Roman" w:hAnsi="Arial Narrow" w:cs="Arial"/>
                <w:kern w:val="0"/>
                <w:sz w:val="18"/>
                <w:szCs w:val="18"/>
                <w:lang w:eastAsia="en-GB"/>
                <w14:ligatures w14:val="none"/>
              </w:rPr>
              <w:t>-</w:t>
            </w:r>
          </w:p>
        </w:tc>
        <w:tc>
          <w:tcPr>
            <w:tcW w:w="393" w:type="pct"/>
            <w:tcBorders>
              <w:top w:val="nil"/>
              <w:left w:val="nil"/>
              <w:bottom w:val="single" w:sz="4" w:space="0" w:color="auto"/>
              <w:right w:val="single" w:sz="4" w:space="0" w:color="auto"/>
            </w:tcBorders>
            <w:shd w:val="clear" w:color="auto" w:fill="auto"/>
            <w:noWrap/>
            <w:vAlign w:val="center"/>
          </w:tcPr>
          <w:p w14:paraId="04D5A0D4" w14:textId="77777777" w:rsidR="007D4F84" w:rsidRPr="00D212E6" w:rsidRDefault="007D4F84" w:rsidP="001F56FA">
            <w:pPr>
              <w:spacing w:after="0" w:line="240" w:lineRule="auto"/>
              <w:jc w:val="center"/>
              <w:rPr>
                <w:rFonts w:ascii="Arial Narrow" w:eastAsia="Times New Roman" w:hAnsi="Arial Narrow" w:cs="Arial"/>
                <w:color w:val="000000"/>
                <w:kern w:val="0"/>
                <w:sz w:val="18"/>
                <w:szCs w:val="18"/>
                <w:lang w:eastAsia="en-GB"/>
                <w14:ligatures w14:val="none"/>
              </w:rPr>
            </w:pPr>
            <w:r>
              <w:rPr>
                <w:rFonts w:ascii="Arial Narrow" w:eastAsia="Times New Roman" w:hAnsi="Arial Narrow" w:cs="Arial"/>
                <w:color w:val="000000"/>
                <w:kern w:val="0"/>
                <w:sz w:val="18"/>
                <w:szCs w:val="18"/>
                <w:lang w:eastAsia="en-GB"/>
                <w14:ligatures w14:val="none"/>
              </w:rPr>
              <w:t>19 558 880</w:t>
            </w:r>
          </w:p>
        </w:tc>
        <w:tc>
          <w:tcPr>
            <w:tcW w:w="393" w:type="pct"/>
            <w:tcBorders>
              <w:top w:val="nil"/>
              <w:left w:val="nil"/>
              <w:bottom w:val="single" w:sz="4" w:space="0" w:color="auto"/>
              <w:right w:val="single" w:sz="4" w:space="0" w:color="auto"/>
            </w:tcBorders>
            <w:shd w:val="clear" w:color="auto" w:fill="auto"/>
            <w:noWrap/>
            <w:vAlign w:val="center"/>
          </w:tcPr>
          <w:p w14:paraId="1287993F" w14:textId="77777777" w:rsidR="007D4F84" w:rsidRPr="00D212E6" w:rsidRDefault="007D4F84" w:rsidP="001F56FA">
            <w:pPr>
              <w:spacing w:after="0" w:line="240" w:lineRule="auto"/>
              <w:jc w:val="center"/>
              <w:rPr>
                <w:rFonts w:ascii="Arial Narrow" w:eastAsia="Times New Roman" w:hAnsi="Arial Narrow" w:cs="Arial"/>
                <w:color w:val="000000"/>
                <w:kern w:val="0"/>
                <w:sz w:val="18"/>
                <w:szCs w:val="18"/>
                <w:lang w:eastAsia="en-GB"/>
                <w14:ligatures w14:val="none"/>
              </w:rPr>
            </w:pPr>
            <w:r>
              <w:rPr>
                <w:rFonts w:ascii="Arial Narrow" w:eastAsia="Times New Roman" w:hAnsi="Arial Narrow" w:cs="Arial"/>
                <w:color w:val="000000"/>
                <w:kern w:val="0"/>
                <w:sz w:val="18"/>
                <w:szCs w:val="18"/>
                <w:lang w:eastAsia="en-GB"/>
                <w14:ligatures w14:val="none"/>
              </w:rPr>
              <w:t>-</w:t>
            </w:r>
          </w:p>
        </w:tc>
        <w:tc>
          <w:tcPr>
            <w:tcW w:w="392" w:type="pct"/>
            <w:tcBorders>
              <w:top w:val="nil"/>
              <w:left w:val="nil"/>
              <w:bottom w:val="single" w:sz="4" w:space="0" w:color="auto"/>
              <w:right w:val="single" w:sz="4" w:space="0" w:color="auto"/>
            </w:tcBorders>
            <w:shd w:val="clear" w:color="auto" w:fill="auto"/>
            <w:noWrap/>
            <w:vAlign w:val="center"/>
          </w:tcPr>
          <w:p w14:paraId="770EB5A5" w14:textId="77777777" w:rsidR="007D4F84" w:rsidRPr="00D212E6" w:rsidRDefault="007D4F84" w:rsidP="001F56FA">
            <w:pPr>
              <w:spacing w:after="0" w:line="240" w:lineRule="auto"/>
              <w:jc w:val="center"/>
              <w:rPr>
                <w:rFonts w:ascii="Arial Narrow" w:eastAsia="Times New Roman" w:hAnsi="Arial Narrow" w:cs="Arial"/>
                <w:color w:val="000000"/>
                <w:kern w:val="0"/>
                <w:sz w:val="18"/>
                <w:szCs w:val="18"/>
                <w:lang w:eastAsia="en-GB"/>
                <w14:ligatures w14:val="none"/>
              </w:rPr>
            </w:pPr>
            <w:r>
              <w:rPr>
                <w:rFonts w:ascii="Arial Narrow" w:eastAsia="Times New Roman" w:hAnsi="Arial Narrow" w:cs="Arial"/>
                <w:color w:val="000000"/>
                <w:kern w:val="0"/>
                <w:sz w:val="18"/>
                <w:szCs w:val="18"/>
                <w:lang w:eastAsia="en-GB"/>
                <w14:ligatures w14:val="none"/>
              </w:rPr>
              <w:t>20 734 455</w:t>
            </w:r>
          </w:p>
        </w:tc>
        <w:tc>
          <w:tcPr>
            <w:tcW w:w="601"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tcPr>
          <w:p w14:paraId="0A5B7EE0" w14:textId="77777777" w:rsidR="007D4F84" w:rsidRPr="00D212E6" w:rsidRDefault="007D4F84" w:rsidP="001F56FA">
            <w:pPr>
              <w:spacing w:after="0" w:line="240" w:lineRule="auto"/>
              <w:jc w:val="center"/>
              <w:rPr>
                <w:rFonts w:ascii="Arial Narrow" w:eastAsia="Times New Roman" w:hAnsi="Arial Narrow" w:cs="Arial"/>
                <w:color w:val="9C0006"/>
                <w:kern w:val="0"/>
                <w:sz w:val="18"/>
                <w:szCs w:val="18"/>
                <w:lang w:eastAsia="en-GB"/>
                <w14:ligatures w14:val="none"/>
              </w:rPr>
            </w:pPr>
          </w:p>
        </w:tc>
      </w:tr>
      <w:tr w:rsidR="007D4F84" w:rsidRPr="00D212E6" w14:paraId="57FA91FD" w14:textId="77777777" w:rsidTr="001F56FA">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tcPr>
          <w:p w14:paraId="095D59F5"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Pr>
                <w:rFonts w:ascii="Arial Narrow" w:eastAsia="Times New Roman" w:hAnsi="Arial Narrow" w:cs="Arial"/>
                <w:kern w:val="0"/>
                <w:sz w:val="18"/>
                <w:szCs w:val="18"/>
                <w:lang w:eastAsia="en-GB"/>
                <w14:ligatures w14:val="none"/>
              </w:rPr>
              <w:t>13</w:t>
            </w:r>
          </w:p>
        </w:tc>
        <w:tc>
          <w:tcPr>
            <w:tcW w:w="1354" w:type="pct"/>
            <w:tcBorders>
              <w:top w:val="nil"/>
              <w:left w:val="nil"/>
              <w:bottom w:val="single" w:sz="4" w:space="0" w:color="auto"/>
              <w:right w:val="single" w:sz="4" w:space="0" w:color="auto"/>
            </w:tcBorders>
            <w:shd w:val="clear" w:color="auto" w:fill="auto"/>
            <w:vAlign w:val="center"/>
          </w:tcPr>
          <w:p w14:paraId="5D50BBE2" w14:textId="77777777" w:rsidR="007D4F84" w:rsidRDefault="007D4F84" w:rsidP="001F56FA">
            <w:pPr>
              <w:spacing w:after="0" w:line="240" w:lineRule="auto"/>
              <w:rPr>
                <w:rFonts w:ascii="Arial Narrow" w:eastAsia="Times New Roman" w:hAnsi="Arial Narrow" w:cs="Arial"/>
                <w:kern w:val="0"/>
                <w:sz w:val="18"/>
                <w:szCs w:val="18"/>
                <w:lang w:eastAsia="en-GB"/>
                <w14:ligatures w14:val="none"/>
              </w:rPr>
            </w:pPr>
            <w:r>
              <w:rPr>
                <w:rFonts w:ascii="Arial Narrow" w:eastAsia="Times New Roman" w:hAnsi="Arial Narrow" w:cs="Arial"/>
                <w:kern w:val="0"/>
                <w:sz w:val="18"/>
                <w:szCs w:val="18"/>
                <w:lang w:eastAsia="en-GB"/>
                <w14:ligatures w14:val="none"/>
              </w:rPr>
              <w:t>Proportion de personnes vivants à moins de 5 km d’un centre de santé</w:t>
            </w:r>
          </w:p>
        </w:tc>
        <w:tc>
          <w:tcPr>
            <w:tcW w:w="552" w:type="pct"/>
            <w:tcBorders>
              <w:top w:val="nil"/>
              <w:left w:val="nil"/>
              <w:bottom w:val="single" w:sz="4" w:space="0" w:color="auto"/>
              <w:right w:val="single" w:sz="4" w:space="0" w:color="auto"/>
            </w:tcBorders>
            <w:vAlign w:val="center"/>
          </w:tcPr>
          <w:p w14:paraId="7D44A98F" w14:textId="77777777" w:rsidR="007D4F84" w:rsidRDefault="007D4F84" w:rsidP="001F56FA">
            <w:pPr>
              <w:spacing w:after="0" w:line="240" w:lineRule="auto"/>
              <w:jc w:val="center"/>
              <w:rPr>
                <w:rFonts w:ascii="Arial Narrow" w:eastAsia="Times New Roman" w:hAnsi="Arial Narrow" w:cs="Arial"/>
                <w:kern w:val="0"/>
                <w:sz w:val="18"/>
                <w:szCs w:val="18"/>
                <w:lang w:eastAsia="en-GB"/>
                <w14:ligatures w14:val="none"/>
              </w:rPr>
            </w:pPr>
            <w:r>
              <w:rPr>
                <w:rFonts w:ascii="Arial Narrow" w:eastAsia="Times New Roman" w:hAnsi="Arial Narrow" w:cs="Arial"/>
                <w:kern w:val="0"/>
                <w:sz w:val="18"/>
                <w:szCs w:val="18"/>
                <w:lang w:eastAsia="en-GB"/>
                <w14:ligatures w14:val="none"/>
              </w:rPr>
              <w:t>70,17</w:t>
            </w:r>
          </w:p>
          <w:p w14:paraId="4E29D8B2" w14:textId="77777777" w:rsidR="007D4F84" w:rsidRDefault="007D4F84" w:rsidP="001F56FA">
            <w:pPr>
              <w:spacing w:after="0" w:line="240" w:lineRule="auto"/>
              <w:jc w:val="center"/>
              <w:rPr>
                <w:rFonts w:ascii="Arial Narrow" w:eastAsia="Times New Roman" w:hAnsi="Arial Narrow" w:cs="Arial"/>
                <w:kern w:val="0"/>
                <w:sz w:val="18"/>
                <w:szCs w:val="18"/>
                <w:lang w:eastAsia="en-GB"/>
                <w14:ligatures w14:val="none"/>
              </w:rPr>
            </w:pPr>
            <w:r>
              <w:rPr>
                <w:rFonts w:ascii="Arial Narrow" w:eastAsia="Times New Roman" w:hAnsi="Arial Narrow" w:cs="Arial"/>
                <w:kern w:val="0"/>
                <w:sz w:val="18"/>
                <w:szCs w:val="18"/>
                <w:lang w:eastAsia="en-GB"/>
                <w14:ligatures w14:val="none"/>
              </w:rPr>
              <w:t>(2020)</w:t>
            </w:r>
          </w:p>
        </w:tc>
        <w:tc>
          <w:tcPr>
            <w:tcW w:w="313" w:type="pct"/>
            <w:tcBorders>
              <w:top w:val="nil"/>
              <w:left w:val="single" w:sz="4" w:space="0" w:color="auto"/>
              <w:bottom w:val="single" w:sz="4" w:space="0" w:color="auto"/>
              <w:right w:val="single" w:sz="4" w:space="0" w:color="auto"/>
            </w:tcBorders>
            <w:shd w:val="clear" w:color="auto" w:fill="auto"/>
            <w:vAlign w:val="center"/>
          </w:tcPr>
          <w:p w14:paraId="366B0758" w14:textId="77777777" w:rsidR="007D4F84" w:rsidRDefault="007D4F84" w:rsidP="001F56FA">
            <w:pPr>
              <w:spacing w:after="0" w:line="240" w:lineRule="auto"/>
              <w:jc w:val="center"/>
              <w:rPr>
                <w:rFonts w:ascii="Arial Narrow" w:eastAsia="Times New Roman" w:hAnsi="Arial Narrow" w:cs="Arial"/>
                <w:kern w:val="0"/>
                <w:sz w:val="18"/>
                <w:szCs w:val="18"/>
                <w:lang w:eastAsia="en-GB"/>
                <w14:ligatures w14:val="none"/>
              </w:rPr>
            </w:pPr>
            <w:r>
              <w:rPr>
                <w:rFonts w:ascii="Arial Narrow" w:eastAsia="Times New Roman" w:hAnsi="Arial Narrow" w:cs="Arial"/>
                <w:kern w:val="0"/>
                <w:sz w:val="18"/>
                <w:szCs w:val="18"/>
                <w:lang w:eastAsia="en-GB"/>
                <w14:ligatures w14:val="none"/>
              </w:rPr>
              <w:t>72%</w:t>
            </w:r>
          </w:p>
        </w:tc>
        <w:tc>
          <w:tcPr>
            <w:tcW w:w="393" w:type="pct"/>
            <w:tcBorders>
              <w:top w:val="nil"/>
              <w:left w:val="nil"/>
              <w:bottom w:val="single" w:sz="4" w:space="0" w:color="auto"/>
              <w:right w:val="single" w:sz="4" w:space="0" w:color="auto"/>
            </w:tcBorders>
            <w:shd w:val="clear" w:color="auto" w:fill="auto"/>
            <w:vAlign w:val="center"/>
          </w:tcPr>
          <w:p w14:paraId="43059D46" w14:textId="77777777" w:rsidR="007D4F84" w:rsidRDefault="007D4F84" w:rsidP="001F56FA">
            <w:pPr>
              <w:spacing w:after="0" w:line="240" w:lineRule="auto"/>
              <w:jc w:val="center"/>
              <w:rPr>
                <w:rFonts w:ascii="Arial Narrow" w:eastAsia="Times New Roman" w:hAnsi="Arial Narrow" w:cs="Arial"/>
                <w:kern w:val="0"/>
                <w:sz w:val="18"/>
                <w:szCs w:val="18"/>
                <w:lang w:eastAsia="en-GB"/>
                <w14:ligatures w14:val="none"/>
              </w:rPr>
            </w:pPr>
            <w:r>
              <w:rPr>
                <w:rFonts w:ascii="Arial Narrow" w:eastAsia="Times New Roman" w:hAnsi="Arial Narrow" w:cs="Arial"/>
                <w:kern w:val="0"/>
                <w:sz w:val="18"/>
                <w:szCs w:val="18"/>
                <w:lang w:eastAsia="en-GB"/>
                <w14:ligatures w14:val="none"/>
              </w:rPr>
              <w:t>74%</w:t>
            </w:r>
          </w:p>
        </w:tc>
        <w:tc>
          <w:tcPr>
            <w:tcW w:w="394" w:type="pct"/>
            <w:tcBorders>
              <w:top w:val="nil"/>
              <w:left w:val="nil"/>
              <w:bottom w:val="single" w:sz="4" w:space="0" w:color="auto"/>
              <w:right w:val="single" w:sz="4" w:space="0" w:color="auto"/>
            </w:tcBorders>
            <w:shd w:val="clear" w:color="auto" w:fill="auto"/>
            <w:vAlign w:val="center"/>
          </w:tcPr>
          <w:p w14:paraId="496F6C42" w14:textId="77777777" w:rsidR="007D4F84" w:rsidRDefault="007D4F84" w:rsidP="001F56FA">
            <w:pPr>
              <w:spacing w:after="0" w:line="240" w:lineRule="auto"/>
              <w:jc w:val="center"/>
              <w:rPr>
                <w:rFonts w:ascii="Arial Narrow" w:eastAsia="Times New Roman" w:hAnsi="Arial Narrow" w:cs="Arial"/>
                <w:kern w:val="0"/>
                <w:sz w:val="18"/>
                <w:szCs w:val="18"/>
                <w:lang w:eastAsia="en-GB"/>
                <w14:ligatures w14:val="none"/>
              </w:rPr>
            </w:pPr>
            <w:r>
              <w:rPr>
                <w:rFonts w:ascii="Arial Narrow" w:eastAsia="Times New Roman" w:hAnsi="Arial Narrow" w:cs="Arial"/>
                <w:kern w:val="0"/>
                <w:sz w:val="18"/>
                <w:szCs w:val="18"/>
                <w:lang w:eastAsia="en-GB"/>
                <w14:ligatures w14:val="none"/>
              </w:rPr>
              <w:t>76%</w:t>
            </w:r>
          </w:p>
        </w:tc>
        <w:tc>
          <w:tcPr>
            <w:tcW w:w="393" w:type="pct"/>
            <w:tcBorders>
              <w:top w:val="nil"/>
              <w:left w:val="nil"/>
              <w:bottom w:val="single" w:sz="4" w:space="0" w:color="auto"/>
              <w:right w:val="single" w:sz="4" w:space="0" w:color="auto"/>
            </w:tcBorders>
            <w:shd w:val="clear" w:color="auto" w:fill="auto"/>
            <w:noWrap/>
            <w:vAlign w:val="center"/>
          </w:tcPr>
          <w:p w14:paraId="5298F40C" w14:textId="77777777" w:rsidR="007D4F84" w:rsidRDefault="007D4F84" w:rsidP="001F56FA">
            <w:pPr>
              <w:spacing w:after="0" w:line="240" w:lineRule="auto"/>
              <w:jc w:val="center"/>
              <w:rPr>
                <w:rFonts w:ascii="Arial Narrow" w:eastAsia="Times New Roman" w:hAnsi="Arial Narrow" w:cs="Arial"/>
                <w:color w:val="000000"/>
                <w:kern w:val="0"/>
                <w:sz w:val="18"/>
                <w:szCs w:val="18"/>
                <w:lang w:eastAsia="en-GB"/>
                <w14:ligatures w14:val="none"/>
              </w:rPr>
            </w:pPr>
            <w:r>
              <w:rPr>
                <w:rFonts w:ascii="Arial Narrow" w:eastAsia="Times New Roman" w:hAnsi="Arial Narrow" w:cs="Arial"/>
                <w:color w:val="000000"/>
                <w:kern w:val="0"/>
                <w:sz w:val="18"/>
                <w:szCs w:val="18"/>
                <w:lang w:eastAsia="en-GB"/>
                <w14:ligatures w14:val="none"/>
              </w:rPr>
              <w:t>70</w:t>
            </w:r>
            <w:r>
              <w:rPr>
                <w:rFonts w:ascii="Arial Narrow" w:eastAsia="Times New Roman" w:hAnsi="Arial Narrow" w:cs="Arial"/>
                <w:kern w:val="0"/>
                <w:sz w:val="18"/>
                <w:szCs w:val="18"/>
                <w:lang w:eastAsia="en-GB"/>
                <w14:ligatures w14:val="none"/>
              </w:rPr>
              <w:t>%</w:t>
            </w:r>
          </w:p>
        </w:tc>
        <w:tc>
          <w:tcPr>
            <w:tcW w:w="393" w:type="pct"/>
            <w:tcBorders>
              <w:top w:val="nil"/>
              <w:left w:val="nil"/>
              <w:bottom w:val="single" w:sz="4" w:space="0" w:color="auto"/>
              <w:right w:val="single" w:sz="4" w:space="0" w:color="auto"/>
            </w:tcBorders>
            <w:shd w:val="clear" w:color="auto" w:fill="auto"/>
            <w:noWrap/>
            <w:vAlign w:val="center"/>
          </w:tcPr>
          <w:p w14:paraId="50D7428E" w14:textId="77777777" w:rsidR="007D4F84" w:rsidRDefault="007D4F84" w:rsidP="001F56FA">
            <w:pPr>
              <w:spacing w:after="0" w:line="240" w:lineRule="auto"/>
              <w:jc w:val="center"/>
              <w:rPr>
                <w:rFonts w:ascii="Arial Narrow" w:eastAsia="Times New Roman" w:hAnsi="Arial Narrow" w:cs="Arial"/>
                <w:color w:val="000000"/>
                <w:kern w:val="0"/>
                <w:sz w:val="18"/>
                <w:szCs w:val="18"/>
                <w:lang w:eastAsia="en-GB"/>
                <w14:ligatures w14:val="none"/>
              </w:rPr>
            </w:pPr>
            <w:r>
              <w:rPr>
                <w:rFonts w:ascii="Arial Narrow" w:eastAsia="Times New Roman" w:hAnsi="Arial Narrow" w:cs="Arial"/>
                <w:color w:val="000000"/>
                <w:kern w:val="0"/>
                <w:sz w:val="18"/>
                <w:szCs w:val="18"/>
                <w:lang w:eastAsia="en-GB"/>
                <w14:ligatures w14:val="none"/>
              </w:rPr>
              <w:t>71</w:t>
            </w:r>
            <w:r>
              <w:rPr>
                <w:rFonts w:ascii="Arial Narrow" w:eastAsia="Times New Roman" w:hAnsi="Arial Narrow" w:cs="Arial"/>
                <w:kern w:val="0"/>
                <w:sz w:val="18"/>
                <w:szCs w:val="18"/>
                <w:lang w:eastAsia="en-GB"/>
                <w14:ligatures w14:val="none"/>
              </w:rPr>
              <w:t>%</w:t>
            </w:r>
          </w:p>
        </w:tc>
        <w:tc>
          <w:tcPr>
            <w:tcW w:w="392" w:type="pct"/>
            <w:tcBorders>
              <w:top w:val="nil"/>
              <w:left w:val="nil"/>
              <w:bottom w:val="single" w:sz="4" w:space="0" w:color="auto"/>
              <w:right w:val="single" w:sz="4" w:space="0" w:color="auto"/>
            </w:tcBorders>
            <w:shd w:val="clear" w:color="auto" w:fill="auto"/>
            <w:noWrap/>
            <w:vAlign w:val="center"/>
          </w:tcPr>
          <w:p w14:paraId="6D212563" w14:textId="77777777" w:rsidR="007D4F84" w:rsidRDefault="007D4F84" w:rsidP="001F56FA">
            <w:pPr>
              <w:spacing w:after="0" w:line="240" w:lineRule="auto"/>
              <w:jc w:val="center"/>
              <w:rPr>
                <w:rFonts w:ascii="Arial Narrow" w:eastAsia="Times New Roman" w:hAnsi="Arial Narrow" w:cs="Arial"/>
                <w:color w:val="000000"/>
                <w:kern w:val="0"/>
                <w:sz w:val="18"/>
                <w:szCs w:val="18"/>
                <w:lang w:eastAsia="en-GB"/>
                <w14:ligatures w14:val="none"/>
              </w:rPr>
            </w:pPr>
            <w:r>
              <w:rPr>
                <w:rFonts w:ascii="Arial Narrow" w:eastAsia="Times New Roman" w:hAnsi="Arial Narrow" w:cs="Arial"/>
                <w:color w:val="000000"/>
                <w:kern w:val="0"/>
                <w:sz w:val="18"/>
                <w:szCs w:val="18"/>
                <w:lang w:eastAsia="en-GB"/>
                <w14:ligatures w14:val="none"/>
              </w:rPr>
              <w:t>80</w:t>
            </w:r>
            <w:r>
              <w:rPr>
                <w:rFonts w:ascii="Arial Narrow" w:eastAsia="Times New Roman" w:hAnsi="Arial Narrow" w:cs="Arial"/>
                <w:kern w:val="0"/>
                <w:sz w:val="18"/>
                <w:szCs w:val="18"/>
                <w:lang w:eastAsia="en-GB"/>
                <w14:ligatures w14:val="none"/>
              </w:rPr>
              <w:t>%</w:t>
            </w:r>
          </w:p>
        </w:tc>
        <w:tc>
          <w:tcPr>
            <w:tcW w:w="601"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tcPr>
          <w:p w14:paraId="2BA44512" w14:textId="77777777" w:rsidR="007D4F84" w:rsidRPr="00D212E6" w:rsidRDefault="007D4F84" w:rsidP="001F56FA">
            <w:pPr>
              <w:spacing w:after="0" w:line="240" w:lineRule="auto"/>
              <w:jc w:val="center"/>
              <w:rPr>
                <w:rFonts w:ascii="Arial Narrow" w:eastAsia="Times New Roman" w:hAnsi="Arial Narrow" w:cs="Arial"/>
                <w:color w:val="9C0006"/>
                <w:kern w:val="0"/>
                <w:sz w:val="18"/>
                <w:szCs w:val="18"/>
                <w:lang w:eastAsia="en-GB"/>
                <w14:ligatures w14:val="none"/>
              </w:rPr>
            </w:pPr>
          </w:p>
        </w:tc>
      </w:tr>
      <w:tr w:rsidR="007D4F84" w:rsidRPr="00D212E6" w14:paraId="1427099F" w14:textId="77777777" w:rsidTr="001F56FA">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tcPr>
          <w:p w14:paraId="42BF7791"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Pr>
                <w:rFonts w:ascii="Arial Narrow" w:eastAsia="Times New Roman" w:hAnsi="Arial Narrow" w:cs="Arial"/>
                <w:kern w:val="0"/>
                <w:sz w:val="18"/>
                <w:szCs w:val="18"/>
                <w:lang w:eastAsia="en-GB"/>
                <w14:ligatures w14:val="none"/>
              </w:rPr>
              <w:t>14</w:t>
            </w:r>
          </w:p>
        </w:tc>
        <w:tc>
          <w:tcPr>
            <w:tcW w:w="1354" w:type="pct"/>
            <w:tcBorders>
              <w:top w:val="nil"/>
              <w:left w:val="nil"/>
              <w:bottom w:val="single" w:sz="4" w:space="0" w:color="auto"/>
              <w:right w:val="single" w:sz="4" w:space="0" w:color="auto"/>
            </w:tcBorders>
            <w:shd w:val="clear" w:color="auto" w:fill="auto"/>
            <w:vAlign w:val="center"/>
          </w:tcPr>
          <w:p w14:paraId="465ADBA7" w14:textId="77777777" w:rsidR="007D4F84" w:rsidRDefault="007D4F84" w:rsidP="001F56FA">
            <w:pPr>
              <w:spacing w:after="0" w:line="240" w:lineRule="auto"/>
              <w:rPr>
                <w:rFonts w:ascii="Arial Narrow" w:eastAsia="Times New Roman" w:hAnsi="Arial Narrow" w:cs="Arial"/>
                <w:kern w:val="0"/>
                <w:sz w:val="18"/>
                <w:szCs w:val="18"/>
                <w:lang w:eastAsia="en-GB"/>
                <w14:ligatures w14:val="none"/>
              </w:rPr>
            </w:pPr>
            <w:r>
              <w:rPr>
                <w:rFonts w:ascii="Arial Narrow" w:eastAsia="Times New Roman" w:hAnsi="Arial Narrow" w:cs="Arial"/>
                <w:kern w:val="0"/>
                <w:sz w:val="18"/>
                <w:szCs w:val="18"/>
                <w:lang w:eastAsia="en-GB"/>
                <w14:ligatures w14:val="none"/>
              </w:rPr>
              <w:t>Taux d’accouchements assistés par du personnel de santé qualifié</w:t>
            </w:r>
          </w:p>
        </w:tc>
        <w:tc>
          <w:tcPr>
            <w:tcW w:w="552" w:type="pct"/>
            <w:tcBorders>
              <w:top w:val="nil"/>
              <w:left w:val="nil"/>
              <w:bottom w:val="single" w:sz="4" w:space="0" w:color="auto"/>
              <w:right w:val="single" w:sz="4" w:space="0" w:color="auto"/>
            </w:tcBorders>
            <w:vAlign w:val="center"/>
          </w:tcPr>
          <w:p w14:paraId="26A977AD" w14:textId="77777777" w:rsidR="007D4F84" w:rsidRDefault="007D4F84" w:rsidP="001F56FA">
            <w:pPr>
              <w:spacing w:after="0" w:line="240" w:lineRule="auto"/>
              <w:jc w:val="center"/>
              <w:rPr>
                <w:rFonts w:ascii="Arial Narrow" w:eastAsia="Times New Roman" w:hAnsi="Arial Narrow" w:cs="Arial"/>
                <w:kern w:val="0"/>
                <w:sz w:val="18"/>
                <w:szCs w:val="18"/>
                <w:lang w:eastAsia="en-GB"/>
                <w14:ligatures w14:val="none"/>
              </w:rPr>
            </w:pPr>
            <w:r>
              <w:rPr>
                <w:rFonts w:ascii="Arial Narrow" w:eastAsia="Times New Roman" w:hAnsi="Arial Narrow" w:cs="Arial"/>
                <w:kern w:val="0"/>
                <w:sz w:val="18"/>
                <w:szCs w:val="18"/>
                <w:lang w:eastAsia="en-GB"/>
                <w14:ligatures w14:val="none"/>
              </w:rPr>
              <w:t>73,6%</w:t>
            </w:r>
          </w:p>
          <w:p w14:paraId="4E60F1CD" w14:textId="77777777" w:rsidR="007D4F84" w:rsidRDefault="007D4F84" w:rsidP="001F56FA">
            <w:pPr>
              <w:spacing w:after="0" w:line="240" w:lineRule="auto"/>
              <w:jc w:val="center"/>
              <w:rPr>
                <w:rFonts w:ascii="Arial Narrow" w:eastAsia="Times New Roman" w:hAnsi="Arial Narrow" w:cs="Arial"/>
                <w:kern w:val="0"/>
                <w:sz w:val="18"/>
                <w:szCs w:val="18"/>
                <w:lang w:eastAsia="en-GB"/>
                <w14:ligatures w14:val="none"/>
              </w:rPr>
            </w:pPr>
            <w:r>
              <w:rPr>
                <w:rFonts w:ascii="Arial Narrow" w:eastAsia="Times New Roman" w:hAnsi="Arial Narrow" w:cs="Arial"/>
                <w:kern w:val="0"/>
                <w:sz w:val="18"/>
                <w:szCs w:val="18"/>
                <w:lang w:eastAsia="en-GB"/>
                <w14:ligatures w14:val="none"/>
              </w:rPr>
              <w:t>(2020)</w:t>
            </w:r>
          </w:p>
        </w:tc>
        <w:tc>
          <w:tcPr>
            <w:tcW w:w="313" w:type="pct"/>
            <w:tcBorders>
              <w:top w:val="nil"/>
              <w:left w:val="single" w:sz="4" w:space="0" w:color="auto"/>
              <w:bottom w:val="single" w:sz="4" w:space="0" w:color="auto"/>
              <w:right w:val="single" w:sz="4" w:space="0" w:color="auto"/>
            </w:tcBorders>
            <w:shd w:val="clear" w:color="auto" w:fill="auto"/>
            <w:vAlign w:val="center"/>
          </w:tcPr>
          <w:p w14:paraId="78292A06" w14:textId="77777777" w:rsidR="007D4F84" w:rsidRDefault="007D4F84" w:rsidP="001F56FA">
            <w:pPr>
              <w:spacing w:after="0" w:line="240" w:lineRule="auto"/>
              <w:jc w:val="center"/>
              <w:rPr>
                <w:rFonts w:ascii="Arial Narrow" w:eastAsia="Times New Roman" w:hAnsi="Arial Narrow" w:cs="Arial"/>
                <w:kern w:val="0"/>
                <w:sz w:val="18"/>
                <w:szCs w:val="18"/>
                <w:lang w:eastAsia="en-GB"/>
                <w14:ligatures w14:val="none"/>
              </w:rPr>
            </w:pPr>
            <w:r>
              <w:rPr>
                <w:rFonts w:ascii="Arial Narrow" w:eastAsia="Times New Roman" w:hAnsi="Arial Narrow" w:cs="Arial"/>
                <w:kern w:val="0"/>
                <w:sz w:val="18"/>
                <w:szCs w:val="18"/>
                <w:lang w:eastAsia="en-GB"/>
                <w14:ligatures w14:val="none"/>
              </w:rPr>
              <w:t>75,2%</w:t>
            </w:r>
          </w:p>
        </w:tc>
        <w:tc>
          <w:tcPr>
            <w:tcW w:w="393" w:type="pct"/>
            <w:tcBorders>
              <w:top w:val="nil"/>
              <w:left w:val="nil"/>
              <w:bottom w:val="single" w:sz="4" w:space="0" w:color="auto"/>
              <w:right w:val="single" w:sz="4" w:space="0" w:color="auto"/>
            </w:tcBorders>
            <w:shd w:val="clear" w:color="auto" w:fill="auto"/>
            <w:vAlign w:val="center"/>
          </w:tcPr>
          <w:p w14:paraId="5E3E1F3D" w14:textId="77777777" w:rsidR="007D4F84" w:rsidRDefault="007D4F84" w:rsidP="001F56FA">
            <w:pPr>
              <w:spacing w:after="0" w:line="240" w:lineRule="auto"/>
              <w:jc w:val="center"/>
              <w:rPr>
                <w:rFonts w:ascii="Arial Narrow" w:eastAsia="Times New Roman" w:hAnsi="Arial Narrow" w:cs="Arial"/>
                <w:kern w:val="0"/>
                <w:sz w:val="18"/>
                <w:szCs w:val="18"/>
                <w:lang w:eastAsia="en-GB"/>
                <w14:ligatures w14:val="none"/>
              </w:rPr>
            </w:pPr>
            <w:r>
              <w:rPr>
                <w:rFonts w:ascii="Arial Narrow" w:eastAsia="Times New Roman" w:hAnsi="Arial Narrow" w:cs="Arial"/>
                <w:kern w:val="0"/>
                <w:sz w:val="18"/>
                <w:szCs w:val="18"/>
                <w:lang w:eastAsia="en-GB"/>
                <w14:ligatures w14:val="none"/>
              </w:rPr>
              <w:t>76,9%</w:t>
            </w:r>
          </w:p>
        </w:tc>
        <w:tc>
          <w:tcPr>
            <w:tcW w:w="394" w:type="pct"/>
            <w:tcBorders>
              <w:top w:val="nil"/>
              <w:left w:val="nil"/>
              <w:bottom w:val="single" w:sz="4" w:space="0" w:color="auto"/>
              <w:right w:val="single" w:sz="4" w:space="0" w:color="auto"/>
            </w:tcBorders>
            <w:shd w:val="clear" w:color="auto" w:fill="auto"/>
            <w:vAlign w:val="center"/>
          </w:tcPr>
          <w:p w14:paraId="10415921" w14:textId="77777777" w:rsidR="007D4F84" w:rsidRDefault="007D4F84" w:rsidP="001F56FA">
            <w:pPr>
              <w:spacing w:after="0" w:line="240" w:lineRule="auto"/>
              <w:jc w:val="center"/>
              <w:rPr>
                <w:rFonts w:ascii="Arial Narrow" w:eastAsia="Times New Roman" w:hAnsi="Arial Narrow" w:cs="Arial"/>
                <w:kern w:val="0"/>
                <w:sz w:val="18"/>
                <w:szCs w:val="18"/>
                <w:lang w:eastAsia="en-GB"/>
                <w14:ligatures w14:val="none"/>
              </w:rPr>
            </w:pPr>
            <w:r>
              <w:rPr>
                <w:rFonts w:ascii="Arial Narrow" w:eastAsia="Times New Roman" w:hAnsi="Arial Narrow" w:cs="Arial"/>
                <w:kern w:val="0"/>
                <w:sz w:val="18"/>
                <w:szCs w:val="18"/>
                <w:lang w:eastAsia="en-GB"/>
                <w14:ligatures w14:val="none"/>
              </w:rPr>
              <w:t>78,5%</w:t>
            </w:r>
          </w:p>
        </w:tc>
        <w:tc>
          <w:tcPr>
            <w:tcW w:w="393" w:type="pct"/>
            <w:tcBorders>
              <w:top w:val="nil"/>
              <w:left w:val="nil"/>
              <w:bottom w:val="single" w:sz="4" w:space="0" w:color="auto"/>
              <w:right w:val="single" w:sz="4" w:space="0" w:color="auto"/>
            </w:tcBorders>
            <w:shd w:val="clear" w:color="auto" w:fill="auto"/>
            <w:noWrap/>
            <w:vAlign w:val="center"/>
          </w:tcPr>
          <w:p w14:paraId="36050508" w14:textId="77777777" w:rsidR="007D4F84" w:rsidRDefault="007D4F84" w:rsidP="001F56FA">
            <w:pPr>
              <w:spacing w:after="0" w:line="240" w:lineRule="auto"/>
              <w:jc w:val="center"/>
              <w:rPr>
                <w:rFonts w:ascii="Arial Narrow" w:eastAsia="Times New Roman" w:hAnsi="Arial Narrow" w:cs="Arial"/>
                <w:color w:val="000000"/>
                <w:kern w:val="0"/>
                <w:sz w:val="18"/>
                <w:szCs w:val="18"/>
                <w:lang w:eastAsia="en-GB"/>
                <w14:ligatures w14:val="none"/>
              </w:rPr>
            </w:pPr>
            <w:r>
              <w:rPr>
                <w:rFonts w:ascii="Arial Narrow" w:eastAsia="Times New Roman" w:hAnsi="Arial Narrow" w:cs="Arial"/>
                <w:color w:val="000000"/>
                <w:kern w:val="0"/>
                <w:sz w:val="18"/>
                <w:szCs w:val="18"/>
                <w:lang w:eastAsia="en-GB"/>
                <w14:ligatures w14:val="none"/>
              </w:rPr>
              <w:t>84,1</w:t>
            </w:r>
            <w:r>
              <w:rPr>
                <w:rFonts w:ascii="Arial Narrow" w:eastAsia="Times New Roman" w:hAnsi="Arial Narrow" w:cs="Arial"/>
                <w:kern w:val="0"/>
                <w:sz w:val="18"/>
                <w:szCs w:val="18"/>
                <w:lang w:eastAsia="en-GB"/>
                <w14:ligatures w14:val="none"/>
              </w:rPr>
              <w:t>%</w:t>
            </w:r>
          </w:p>
        </w:tc>
        <w:tc>
          <w:tcPr>
            <w:tcW w:w="393" w:type="pct"/>
            <w:tcBorders>
              <w:top w:val="nil"/>
              <w:left w:val="nil"/>
              <w:bottom w:val="single" w:sz="4" w:space="0" w:color="auto"/>
              <w:right w:val="single" w:sz="4" w:space="0" w:color="auto"/>
            </w:tcBorders>
            <w:shd w:val="clear" w:color="auto" w:fill="auto"/>
            <w:noWrap/>
            <w:vAlign w:val="center"/>
          </w:tcPr>
          <w:p w14:paraId="799EC6AA" w14:textId="77777777" w:rsidR="007D4F84" w:rsidRDefault="007D4F84" w:rsidP="001F56FA">
            <w:pPr>
              <w:spacing w:after="0" w:line="240" w:lineRule="auto"/>
              <w:jc w:val="center"/>
              <w:rPr>
                <w:rFonts w:ascii="Arial Narrow" w:eastAsia="Times New Roman" w:hAnsi="Arial Narrow" w:cs="Arial"/>
                <w:color w:val="000000"/>
                <w:kern w:val="0"/>
                <w:sz w:val="18"/>
                <w:szCs w:val="18"/>
                <w:lang w:eastAsia="en-GB"/>
                <w14:ligatures w14:val="none"/>
              </w:rPr>
            </w:pPr>
            <w:r>
              <w:rPr>
                <w:rFonts w:ascii="Arial Narrow" w:eastAsia="Times New Roman" w:hAnsi="Arial Narrow" w:cs="Arial"/>
                <w:color w:val="000000"/>
                <w:kern w:val="0"/>
                <w:sz w:val="18"/>
                <w:szCs w:val="18"/>
                <w:lang w:eastAsia="en-GB"/>
                <w14:ligatures w14:val="none"/>
              </w:rPr>
              <w:t>-</w:t>
            </w:r>
          </w:p>
        </w:tc>
        <w:tc>
          <w:tcPr>
            <w:tcW w:w="392" w:type="pct"/>
            <w:tcBorders>
              <w:top w:val="nil"/>
              <w:left w:val="nil"/>
              <w:bottom w:val="single" w:sz="4" w:space="0" w:color="auto"/>
              <w:right w:val="single" w:sz="4" w:space="0" w:color="auto"/>
            </w:tcBorders>
            <w:shd w:val="clear" w:color="auto" w:fill="auto"/>
            <w:noWrap/>
            <w:vAlign w:val="center"/>
          </w:tcPr>
          <w:p w14:paraId="5B3861E4" w14:textId="77777777" w:rsidR="007D4F84" w:rsidRDefault="007D4F84" w:rsidP="001F56FA">
            <w:pPr>
              <w:spacing w:after="0" w:line="240" w:lineRule="auto"/>
              <w:jc w:val="center"/>
              <w:rPr>
                <w:rFonts w:ascii="Arial Narrow" w:eastAsia="Times New Roman" w:hAnsi="Arial Narrow" w:cs="Arial"/>
                <w:color w:val="000000"/>
                <w:kern w:val="0"/>
                <w:sz w:val="18"/>
                <w:szCs w:val="18"/>
                <w:lang w:eastAsia="en-GB"/>
                <w14:ligatures w14:val="none"/>
              </w:rPr>
            </w:pPr>
            <w:r>
              <w:rPr>
                <w:rFonts w:ascii="Arial Narrow" w:eastAsia="Times New Roman" w:hAnsi="Arial Narrow" w:cs="Arial"/>
                <w:color w:val="000000"/>
                <w:kern w:val="0"/>
                <w:sz w:val="18"/>
                <w:szCs w:val="18"/>
                <w:lang w:eastAsia="en-GB"/>
                <w14:ligatures w14:val="none"/>
              </w:rPr>
              <w:t>-</w:t>
            </w:r>
          </w:p>
        </w:tc>
        <w:tc>
          <w:tcPr>
            <w:tcW w:w="601"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tcPr>
          <w:p w14:paraId="1D1044AB" w14:textId="77777777" w:rsidR="007D4F84" w:rsidRPr="00D212E6" w:rsidRDefault="007D4F84" w:rsidP="001F56FA">
            <w:pPr>
              <w:spacing w:after="0" w:line="240" w:lineRule="auto"/>
              <w:jc w:val="center"/>
              <w:rPr>
                <w:rFonts w:ascii="Arial Narrow" w:eastAsia="Times New Roman" w:hAnsi="Arial Narrow" w:cs="Arial"/>
                <w:color w:val="9C0006"/>
                <w:kern w:val="0"/>
                <w:sz w:val="18"/>
                <w:szCs w:val="18"/>
                <w:lang w:eastAsia="en-GB"/>
                <w14:ligatures w14:val="none"/>
              </w:rPr>
            </w:pPr>
          </w:p>
        </w:tc>
      </w:tr>
      <w:tr w:rsidR="007D4F84" w:rsidRPr="00D212E6" w14:paraId="4DF6BD7C" w14:textId="77777777" w:rsidTr="001F56FA">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tcPr>
          <w:p w14:paraId="38A8E6C3"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Pr>
                <w:rFonts w:ascii="Arial Narrow" w:eastAsia="Times New Roman" w:hAnsi="Arial Narrow" w:cs="Arial"/>
                <w:kern w:val="0"/>
                <w:sz w:val="18"/>
                <w:szCs w:val="18"/>
                <w:lang w:eastAsia="en-GB"/>
                <w14:ligatures w14:val="none"/>
              </w:rPr>
              <w:t>15</w:t>
            </w:r>
          </w:p>
        </w:tc>
        <w:tc>
          <w:tcPr>
            <w:tcW w:w="1354" w:type="pct"/>
            <w:tcBorders>
              <w:top w:val="nil"/>
              <w:left w:val="nil"/>
              <w:bottom w:val="single" w:sz="4" w:space="0" w:color="auto"/>
              <w:right w:val="single" w:sz="4" w:space="0" w:color="auto"/>
            </w:tcBorders>
            <w:shd w:val="clear" w:color="auto" w:fill="auto"/>
            <w:vAlign w:val="center"/>
          </w:tcPr>
          <w:p w14:paraId="42A9A40D" w14:textId="77777777" w:rsidR="007D4F84" w:rsidRDefault="007D4F84" w:rsidP="001F56FA">
            <w:pPr>
              <w:spacing w:after="0" w:line="240" w:lineRule="auto"/>
              <w:rPr>
                <w:rFonts w:ascii="Arial Narrow" w:eastAsia="Times New Roman" w:hAnsi="Arial Narrow" w:cs="Arial"/>
                <w:kern w:val="0"/>
                <w:sz w:val="18"/>
                <w:szCs w:val="18"/>
                <w:lang w:eastAsia="en-GB"/>
                <w14:ligatures w14:val="none"/>
              </w:rPr>
            </w:pPr>
            <w:r>
              <w:rPr>
                <w:rFonts w:ascii="Arial Narrow" w:eastAsia="Times New Roman" w:hAnsi="Arial Narrow" w:cs="Arial"/>
                <w:kern w:val="0"/>
                <w:sz w:val="18"/>
                <w:szCs w:val="18"/>
                <w:lang w:eastAsia="en-GB"/>
                <w14:ligatures w14:val="none"/>
              </w:rPr>
              <w:t>Taux d’utilisation des services de santé</w:t>
            </w:r>
          </w:p>
        </w:tc>
        <w:tc>
          <w:tcPr>
            <w:tcW w:w="552" w:type="pct"/>
            <w:tcBorders>
              <w:top w:val="nil"/>
              <w:left w:val="nil"/>
              <w:bottom w:val="single" w:sz="4" w:space="0" w:color="auto"/>
              <w:right w:val="single" w:sz="4" w:space="0" w:color="auto"/>
            </w:tcBorders>
            <w:vAlign w:val="center"/>
          </w:tcPr>
          <w:p w14:paraId="01075F11" w14:textId="77777777" w:rsidR="007D4F84" w:rsidRDefault="007D4F84" w:rsidP="001F56FA">
            <w:pPr>
              <w:spacing w:after="0" w:line="240" w:lineRule="auto"/>
              <w:jc w:val="center"/>
              <w:rPr>
                <w:rFonts w:ascii="Arial Narrow" w:eastAsia="Times New Roman" w:hAnsi="Arial Narrow" w:cs="Arial"/>
                <w:kern w:val="0"/>
                <w:sz w:val="18"/>
                <w:szCs w:val="18"/>
                <w:lang w:eastAsia="en-GB"/>
                <w14:ligatures w14:val="none"/>
              </w:rPr>
            </w:pPr>
            <w:r>
              <w:rPr>
                <w:rFonts w:ascii="Arial Narrow" w:eastAsia="Times New Roman" w:hAnsi="Arial Narrow" w:cs="Arial"/>
                <w:kern w:val="0"/>
                <w:sz w:val="18"/>
                <w:szCs w:val="18"/>
                <w:lang w:eastAsia="en-GB"/>
                <w14:ligatures w14:val="none"/>
              </w:rPr>
              <w:t>-</w:t>
            </w:r>
          </w:p>
        </w:tc>
        <w:tc>
          <w:tcPr>
            <w:tcW w:w="313" w:type="pct"/>
            <w:tcBorders>
              <w:top w:val="nil"/>
              <w:left w:val="single" w:sz="4" w:space="0" w:color="auto"/>
              <w:bottom w:val="single" w:sz="4" w:space="0" w:color="auto"/>
              <w:right w:val="single" w:sz="4" w:space="0" w:color="auto"/>
            </w:tcBorders>
            <w:shd w:val="clear" w:color="auto" w:fill="auto"/>
            <w:vAlign w:val="center"/>
          </w:tcPr>
          <w:p w14:paraId="12D6C893" w14:textId="77777777" w:rsidR="007D4F84" w:rsidRDefault="007D4F84" w:rsidP="001F56FA">
            <w:pPr>
              <w:spacing w:after="0" w:line="240" w:lineRule="auto"/>
              <w:jc w:val="center"/>
              <w:rPr>
                <w:rFonts w:ascii="Arial Narrow" w:eastAsia="Times New Roman" w:hAnsi="Arial Narrow" w:cs="Arial"/>
                <w:kern w:val="0"/>
                <w:sz w:val="18"/>
                <w:szCs w:val="18"/>
                <w:lang w:eastAsia="en-GB"/>
                <w14:ligatures w14:val="none"/>
              </w:rPr>
            </w:pPr>
            <w:r>
              <w:rPr>
                <w:rFonts w:ascii="Arial Narrow" w:eastAsia="Times New Roman" w:hAnsi="Arial Narrow" w:cs="Arial"/>
                <w:kern w:val="0"/>
                <w:sz w:val="18"/>
                <w:szCs w:val="18"/>
                <w:lang w:eastAsia="en-GB"/>
                <w14:ligatures w14:val="none"/>
              </w:rPr>
              <w:t>-</w:t>
            </w:r>
          </w:p>
        </w:tc>
        <w:tc>
          <w:tcPr>
            <w:tcW w:w="393" w:type="pct"/>
            <w:tcBorders>
              <w:top w:val="nil"/>
              <w:left w:val="nil"/>
              <w:bottom w:val="single" w:sz="4" w:space="0" w:color="auto"/>
              <w:right w:val="single" w:sz="4" w:space="0" w:color="auto"/>
            </w:tcBorders>
            <w:shd w:val="clear" w:color="auto" w:fill="auto"/>
            <w:vAlign w:val="center"/>
          </w:tcPr>
          <w:p w14:paraId="54D96820" w14:textId="77777777" w:rsidR="007D4F84" w:rsidRDefault="007D4F84" w:rsidP="001F56FA">
            <w:pPr>
              <w:spacing w:after="0" w:line="240" w:lineRule="auto"/>
              <w:jc w:val="center"/>
              <w:rPr>
                <w:rFonts w:ascii="Arial Narrow" w:eastAsia="Times New Roman" w:hAnsi="Arial Narrow" w:cs="Arial"/>
                <w:kern w:val="0"/>
                <w:sz w:val="18"/>
                <w:szCs w:val="18"/>
                <w:lang w:eastAsia="en-GB"/>
                <w14:ligatures w14:val="none"/>
              </w:rPr>
            </w:pPr>
            <w:r>
              <w:rPr>
                <w:rFonts w:ascii="Arial Narrow" w:eastAsia="Times New Roman" w:hAnsi="Arial Narrow" w:cs="Arial"/>
                <w:kern w:val="0"/>
                <w:sz w:val="18"/>
                <w:szCs w:val="18"/>
                <w:lang w:eastAsia="en-GB"/>
                <w14:ligatures w14:val="none"/>
              </w:rPr>
              <w:t>-</w:t>
            </w:r>
          </w:p>
        </w:tc>
        <w:tc>
          <w:tcPr>
            <w:tcW w:w="394" w:type="pct"/>
            <w:tcBorders>
              <w:top w:val="nil"/>
              <w:left w:val="nil"/>
              <w:bottom w:val="single" w:sz="4" w:space="0" w:color="auto"/>
              <w:right w:val="single" w:sz="4" w:space="0" w:color="auto"/>
            </w:tcBorders>
            <w:shd w:val="clear" w:color="auto" w:fill="auto"/>
            <w:vAlign w:val="center"/>
          </w:tcPr>
          <w:p w14:paraId="337C65DC" w14:textId="77777777" w:rsidR="007D4F84" w:rsidRDefault="007D4F84" w:rsidP="001F56FA">
            <w:pPr>
              <w:spacing w:after="0" w:line="240" w:lineRule="auto"/>
              <w:jc w:val="center"/>
              <w:rPr>
                <w:rFonts w:ascii="Arial Narrow" w:eastAsia="Times New Roman" w:hAnsi="Arial Narrow" w:cs="Arial"/>
                <w:kern w:val="0"/>
                <w:sz w:val="18"/>
                <w:szCs w:val="18"/>
                <w:lang w:eastAsia="en-GB"/>
                <w14:ligatures w14:val="none"/>
              </w:rPr>
            </w:pPr>
            <w:r>
              <w:rPr>
                <w:rFonts w:ascii="Arial Narrow" w:eastAsia="Times New Roman" w:hAnsi="Arial Narrow" w:cs="Arial"/>
                <w:kern w:val="0"/>
                <w:sz w:val="18"/>
                <w:szCs w:val="18"/>
                <w:lang w:eastAsia="en-GB"/>
                <w14:ligatures w14:val="none"/>
              </w:rPr>
              <w:t>-</w:t>
            </w:r>
          </w:p>
        </w:tc>
        <w:tc>
          <w:tcPr>
            <w:tcW w:w="393" w:type="pct"/>
            <w:tcBorders>
              <w:top w:val="nil"/>
              <w:left w:val="nil"/>
              <w:bottom w:val="single" w:sz="4" w:space="0" w:color="auto"/>
              <w:right w:val="single" w:sz="4" w:space="0" w:color="auto"/>
            </w:tcBorders>
            <w:shd w:val="clear" w:color="auto" w:fill="auto"/>
            <w:noWrap/>
            <w:vAlign w:val="center"/>
          </w:tcPr>
          <w:p w14:paraId="465C7CFE" w14:textId="77777777" w:rsidR="007D4F84" w:rsidRDefault="007D4F84" w:rsidP="001F56FA">
            <w:pPr>
              <w:spacing w:after="0" w:line="240" w:lineRule="auto"/>
              <w:jc w:val="center"/>
              <w:rPr>
                <w:rFonts w:ascii="Arial Narrow" w:eastAsia="Times New Roman" w:hAnsi="Arial Narrow" w:cs="Arial"/>
                <w:color w:val="000000"/>
                <w:kern w:val="0"/>
                <w:sz w:val="18"/>
                <w:szCs w:val="18"/>
                <w:lang w:eastAsia="en-GB"/>
                <w14:ligatures w14:val="none"/>
              </w:rPr>
            </w:pPr>
            <w:r>
              <w:rPr>
                <w:rFonts w:ascii="Arial Narrow" w:eastAsia="Times New Roman" w:hAnsi="Arial Narrow" w:cs="Arial"/>
                <w:color w:val="000000"/>
                <w:kern w:val="0"/>
                <w:sz w:val="18"/>
                <w:szCs w:val="18"/>
                <w:lang w:eastAsia="en-GB"/>
                <w14:ligatures w14:val="none"/>
              </w:rPr>
              <w:t>49,94</w:t>
            </w:r>
            <w:r>
              <w:rPr>
                <w:rFonts w:ascii="Arial Narrow" w:eastAsia="Times New Roman" w:hAnsi="Arial Narrow" w:cs="Arial"/>
                <w:kern w:val="0"/>
                <w:sz w:val="18"/>
                <w:szCs w:val="18"/>
                <w:lang w:eastAsia="en-GB"/>
                <w14:ligatures w14:val="none"/>
              </w:rPr>
              <w:t>%</w:t>
            </w:r>
          </w:p>
        </w:tc>
        <w:tc>
          <w:tcPr>
            <w:tcW w:w="393" w:type="pct"/>
            <w:tcBorders>
              <w:top w:val="nil"/>
              <w:left w:val="nil"/>
              <w:bottom w:val="single" w:sz="4" w:space="0" w:color="auto"/>
              <w:right w:val="single" w:sz="4" w:space="0" w:color="auto"/>
            </w:tcBorders>
            <w:shd w:val="clear" w:color="auto" w:fill="auto"/>
            <w:noWrap/>
            <w:vAlign w:val="center"/>
          </w:tcPr>
          <w:p w14:paraId="6533EE78" w14:textId="77777777" w:rsidR="007D4F84" w:rsidRDefault="007D4F84" w:rsidP="001F56FA">
            <w:pPr>
              <w:spacing w:after="0" w:line="240" w:lineRule="auto"/>
              <w:jc w:val="center"/>
              <w:rPr>
                <w:rFonts w:ascii="Arial Narrow" w:eastAsia="Times New Roman" w:hAnsi="Arial Narrow" w:cs="Arial"/>
                <w:color w:val="000000"/>
                <w:kern w:val="0"/>
                <w:sz w:val="18"/>
                <w:szCs w:val="18"/>
                <w:lang w:eastAsia="en-GB"/>
                <w14:ligatures w14:val="none"/>
              </w:rPr>
            </w:pPr>
            <w:r>
              <w:rPr>
                <w:rFonts w:ascii="Arial Narrow" w:eastAsia="Times New Roman" w:hAnsi="Arial Narrow" w:cs="Arial"/>
                <w:color w:val="000000"/>
                <w:kern w:val="0"/>
                <w:sz w:val="18"/>
                <w:szCs w:val="18"/>
                <w:lang w:eastAsia="en-GB"/>
                <w14:ligatures w14:val="none"/>
              </w:rPr>
              <w:t>48%</w:t>
            </w:r>
          </w:p>
        </w:tc>
        <w:tc>
          <w:tcPr>
            <w:tcW w:w="392" w:type="pct"/>
            <w:tcBorders>
              <w:top w:val="nil"/>
              <w:left w:val="nil"/>
              <w:bottom w:val="single" w:sz="4" w:space="0" w:color="auto"/>
              <w:right w:val="single" w:sz="4" w:space="0" w:color="auto"/>
            </w:tcBorders>
            <w:shd w:val="clear" w:color="auto" w:fill="auto"/>
            <w:noWrap/>
            <w:vAlign w:val="center"/>
          </w:tcPr>
          <w:p w14:paraId="14505567" w14:textId="77777777" w:rsidR="007D4F84" w:rsidRDefault="007D4F84" w:rsidP="001F56FA">
            <w:pPr>
              <w:spacing w:after="0" w:line="240" w:lineRule="auto"/>
              <w:jc w:val="center"/>
              <w:rPr>
                <w:rFonts w:ascii="Arial Narrow" w:eastAsia="Times New Roman" w:hAnsi="Arial Narrow" w:cs="Arial"/>
                <w:color w:val="000000"/>
                <w:kern w:val="0"/>
                <w:sz w:val="18"/>
                <w:szCs w:val="18"/>
                <w:lang w:eastAsia="en-GB"/>
                <w14:ligatures w14:val="none"/>
              </w:rPr>
            </w:pPr>
            <w:r>
              <w:rPr>
                <w:rFonts w:ascii="Arial Narrow" w:eastAsia="Times New Roman" w:hAnsi="Arial Narrow" w:cs="Arial"/>
                <w:color w:val="000000"/>
                <w:kern w:val="0"/>
                <w:sz w:val="18"/>
                <w:szCs w:val="18"/>
                <w:lang w:eastAsia="en-GB"/>
                <w14:ligatures w14:val="none"/>
              </w:rPr>
              <w:t>-</w:t>
            </w:r>
          </w:p>
        </w:tc>
        <w:tc>
          <w:tcPr>
            <w:tcW w:w="601" w:type="pct"/>
            <w:tcBorders>
              <w:top w:val="single" w:sz="4" w:space="0" w:color="auto"/>
              <w:left w:val="single" w:sz="4" w:space="0" w:color="auto"/>
              <w:bottom w:val="single" w:sz="4" w:space="0" w:color="auto"/>
              <w:right w:val="single" w:sz="4" w:space="0" w:color="auto"/>
            </w:tcBorders>
            <w:shd w:val="clear" w:color="auto" w:fill="FFC000"/>
            <w:noWrap/>
            <w:vAlign w:val="center"/>
          </w:tcPr>
          <w:p w14:paraId="68E901CB" w14:textId="77777777" w:rsidR="007D4F84" w:rsidRPr="00D212E6" w:rsidRDefault="007D4F84" w:rsidP="001F56FA">
            <w:pPr>
              <w:spacing w:after="0" w:line="240" w:lineRule="auto"/>
              <w:jc w:val="center"/>
              <w:rPr>
                <w:rFonts w:ascii="Arial Narrow" w:eastAsia="Times New Roman" w:hAnsi="Arial Narrow" w:cs="Arial"/>
                <w:color w:val="9C0006"/>
                <w:kern w:val="0"/>
                <w:sz w:val="18"/>
                <w:szCs w:val="18"/>
                <w:lang w:eastAsia="en-GB"/>
                <w14:ligatures w14:val="none"/>
              </w:rPr>
            </w:pPr>
          </w:p>
        </w:tc>
      </w:tr>
      <w:tr w:rsidR="007D4F84" w:rsidRPr="00D212E6" w14:paraId="46BD2CEB" w14:textId="77777777" w:rsidTr="001F56FA">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tcPr>
          <w:p w14:paraId="0DD017BD" w14:textId="77777777" w:rsidR="007D4F84" w:rsidRPr="00D212E6" w:rsidRDefault="007D4F84" w:rsidP="001F56FA">
            <w:pPr>
              <w:spacing w:after="0" w:line="240" w:lineRule="auto"/>
              <w:jc w:val="center"/>
              <w:rPr>
                <w:rFonts w:ascii="Arial Narrow" w:eastAsia="Times New Roman" w:hAnsi="Arial Narrow" w:cs="Arial"/>
                <w:kern w:val="0"/>
                <w:sz w:val="18"/>
                <w:szCs w:val="18"/>
                <w:lang w:eastAsia="en-GB"/>
                <w14:ligatures w14:val="none"/>
              </w:rPr>
            </w:pPr>
            <w:r>
              <w:rPr>
                <w:rFonts w:ascii="Arial Narrow" w:eastAsia="Times New Roman" w:hAnsi="Arial Narrow" w:cs="Arial"/>
                <w:kern w:val="0"/>
                <w:sz w:val="18"/>
                <w:szCs w:val="18"/>
                <w:lang w:eastAsia="en-GB"/>
                <w14:ligatures w14:val="none"/>
              </w:rPr>
              <w:t>16</w:t>
            </w:r>
          </w:p>
        </w:tc>
        <w:tc>
          <w:tcPr>
            <w:tcW w:w="1354" w:type="pct"/>
            <w:tcBorders>
              <w:top w:val="nil"/>
              <w:left w:val="nil"/>
              <w:bottom w:val="single" w:sz="4" w:space="0" w:color="auto"/>
              <w:right w:val="single" w:sz="4" w:space="0" w:color="auto"/>
            </w:tcBorders>
            <w:shd w:val="clear" w:color="auto" w:fill="auto"/>
            <w:vAlign w:val="center"/>
          </w:tcPr>
          <w:p w14:paraId="032B7166" w14:textId="77777777" w:rsidR="007D4F84" w:rsidRDefault="007D4F84" w:rsidP="001F56FA">
            <w:pPr>
              <w:spacing w:after="0" w:line="240" w:lineRule="auto"/>
              <w:rPr>
                <w:rFonts w:ascii="Arial Narrow" w:eastAsia="Times New Roman" w:hAnsi="Arial Narrow" w:cs="Arial"/>
                <w:kern w:val="0"/>
                <w:sz w:val="18"/>
                <w:szCs w:val="18"/>
                <w:lang w:eastAsia="en-GB"/>
                <w14:ligatures w14:val="none"/>
              </w:rPr>
            </w:pPr>
            <w:r>
              <w:rPr>
                <w:rFonts w:ascii="Arial Narrow" w:eastAsia="Times New Roman" w:hAnsi="Arial Narrow" w:cs="Arial"/>
                <w:kern w:val="0"/>
                <w:sz w:val="18"/>
                <w:szCs w:val="18"/>
                <w:lang w:eastAsia="en-GB"/>
                <w14:ligatures w14:val="none"/>
              </w:rPr>
              <w:t>Taux de prévalence contraceptive moderne</w:t>
            </w:r>
          </w:p>
        </w:tc>
        <w:tc>
          <w:tcPr>
            <w:tcW w:w="552" w:type="pct"/>
            <w:tcBorders>
              <w:top w:val="nil"/>
              <w:left w:val="nil"/>
              <w:bottom w:val="single" w:sz="4" w:space="0" w:color="auto"/>
              <w:right w:val="single" w:sz="4" w:space="0" w:color="auto"/>
            </w:tcBorders>
            <w:vAlign w:val="center"/>
          </w:tcPr>
          <w:p w14:paraId="34AA1153" w14:textId="77777777" w:rsidR="007D4F84" w:rsidRDefault="007D4F84" w:rsidP="001F56FA">
            <w:pPr>
              <w:spacing w:after="0" w:line="240" w:lineRule="auto"/>
              <w:jc w:val="center"/>
              <w:rPr>
                <w:rFonts w:ascii="Arial Narrow" w:eastAsia="Times New Roman" w:hAnsi="Arial Narrow" w:cs="Arial"/>
                <w:kern w:val="0"/>
                <w:sz w:val="18"/>
                <w:szCs w:val="18"/>
                <w:lang w:eastAsia="en-GB"/>
                <w14:ligatures w14:val="none"/>
              </w:rPr>
            </w:pPr>
            <w:r>
              <w:rPr>
                <w:rFonts w:ascii="Arial Narrow" w:eastAsia="Times New Roman" w:hAnsi="Arial Narrow" w:cs="Arial"/>
                <w:kern w:val="0"/>
                <w:sz w:val="18"/>
                <w:szCs w:val="18"/>
                <w:lang w:eastAsia="en-GB"/>
                <w14:ligatures w14:val="none"/>
              </w:rPr>
              <w:t>21</w:t>
            </w:r>
          </w:p>
          <w:p w14:paraId="7B676AA1" w14:textId="77777777" w:rsidR="007D4F84" w:rsidRDefault="007D4F84" w:rsidP="001F56FA">
            <w:pPr>
              <w:spacing w:after="0" w:line="240" w:lineRule="auto"/>
              <w:jc w:val="center"/>
              <w:rPr>
                <w:rFonts w:ascii="Arial Narrow" w:eastAsia="Times New Roman" w:hAnsi="Arial Narrow" w:cs="Arial"/>
                <w:kern w:val="0"/>
                <w:sz w:val="18"/>
                <w:szCs w:val="18"/>
                <w:lang w:eastAsia="en-GB"/>
                <w14:ligatures w14:val="none"/>
              </w:rPr>
            </w:pPr>
            <w:r>
              <w:rPr>
                <w:rFonts w:ascii="Arial Narrow" w:eastAsia="Times New Roman" w:hAnsi="Arial Narrow" w:cs="Arial"/>
                <w:kern w:val="0"/>
                <w:sz w:val="18"/>
                <w:szCs w:val="18"/>
                <w:lang w:eastAsia="en-GB"/>
                <w14:ligatures w14:val="none"/>
              </w:rPr>
              <w:t>(2020)</w:t>
            </w:r>
          </w:p>
        </w:tc>
        <w:tc>
          <w:tcPr>
            <w:tcW w:w="313" w:type="pct"/>
            <w:tcBorders>
              <w:top w:val="nil"/>
              <w:left w:val="single" w:sz="4" w:space="0" w:color="auto"/>
              <w:bottom w:val="single" w:sz="4" w:space="0" w:color="auto"/>
              <w:right w:val="single" w:sz="4" w:space="0" w:color="auto"/>
            </w:tcBorders>
            <w:shd w:val="clear" w:color="auto" w:fill="auto"/>
            <w:vAlign w:val="center"/>
          </w:tcPr>
          <w:p w14:paraId="49728C49" w14:textId="77777777" w:rsidR="007D4F84" w:rsidRDefault="007D4F84" w:rsidP="001F56FA">
            <w:pPr>
              <w:spacing w:after="0" w:line="240" w:lineRule="auto"/>
              <w:jc w:val="center"/>
              <w:rPr>
                <w:rFonts w:ascii="Arial Narrow" w:eastAsia="Times New Roman" w:hAnsi="Arial Narrow" w:cs="Arial"/>
                <w:kern w:val="0"/>
                <w:sz w:val="18"/>
                <w:szCs w:val="18"/>
                <w:lang w:eastAsia="en-GB"/>
                <w14:ligatures w14:val="none"/>
              </w:rPr>
            </w:pPr>
            <w:r>
              <w:rPr>
                <w:rFonts w:ascii="Arial Narrow" w:eastAsia="Times New Roman" w:hAnsi="Arial Narrow" w:cs="Arial"/>
                <w:kern w:val="0"/>
                <w:sz w:val="18"/>
                <w:szCs w:val="18"/>
                <w:lang w:eastAsia="en-GB"/>
                <w14:ligatures w14:val="none"/>
              </w:rPr>
              <w:t>24,9</w:t>
            </w:r>
          </w:p>
        </w:tc>
        <w:tc>
          <w:tcPr>
            <w:tcW w:w="393" w:type="pct"/>
            <w:tcBorders>
              <w:top w:val="nil"/>
              <w:left w:val="nil"/>
              <w:bottom w:val="single" w:sz="4" w:space="0" w:color="auto"/>
              <w:right w:val="single" w:sz="4" w:space="0" w:color="auto"/>
            </w:tcBorders>
            <w:shd w:val="clear" w:color="auto" w:fill="auto"/>
            <w:vAlign w:val="center"/>
          </w:tcPr>
          <w:p w14:paraId="4A7CB8A4" w14:textId="77777777" w:rsidR="007D4F84" w:rsidRDefault="007D4F84" w:rsidP="001F56FA">
            <w:pPr>
              <w:spacing w:after="0" w:line="240" w:lineRule="auto"/>
              <w:jc w:val="center"/>
              <w:rPr>
                <w:rFonts w:ascii="Arial Narrow" w:eastAsia="Times New Roman" w:hAnsi="Arial Narrow" w:cs="Arial"/>
                <w:kern w:val="0"/>
                <w:sz w:val="18"/>
                <w:szCs w:val="18"/>
                <w:lang w:eastAsia="en-GB"/>
                <w14:ligatures w14:val="none"/>
              </w:rPr>
            </w:pPr>
            <w:r>
              <w:rPr>
                <w:rFonts w:ascii="Arial Narrow" w:eastAsia="Times New Roman" w:hAnsi="Arial Narrow" w:cs="Arial"/>
                <w:kern w:val="0"/>
                <w:sz w:val="18"/>
                <w:szCs w:val="18"/>
                <w:lang w:eastAsia="en-GB"/>
                <w14:ligatures w14:val="none"/>
              </w:rPr>
              <w:t>28,8</w:t>
            </w:r>
          </w:p>
        </w:tc>
        <w:tc>
          <w:tcPr>
            <w:tcW w:w="394" w:type="pct"/>
            <w:tcBorders>
              <w:top w:val="nil"/>
              <w:left w:val="nil"/>
              <w:bottom w:val="single" w:sz="4" w:space="0" w:color="auto"/>
              <w:right w:val="single" w:sz="4" w:space="0" w:color="auto"/>
            </w:tcBorders>
            <w:shd w:val="clear" w:color="auto" w:fill="auto"/>
            <w:vAlign w:val="center"/>
          </w:tcPr>
          <w:p w14:paraId="2DC4498A" w14:textId="77777777" w:rsidR="007D4F84" w:rsidRDefault="007D4F84" w:rsidP="001F56FA">
            <w:pPr>
              <w:spacing w:after="0" w:line="240" w:lineRule="auto"/>
              <w:jc w:val="center"/>
              <w:rPr>
                <w:rFonts w:ascii="Arial Narrow" w:eastAsia="Times New Roman" w:hAnsi="Arial Narrow" w:cs="Arial"/>
                <w:kern w:val="0"/>
                <w:sz w:val="18"/>
                <w:szCs w:val="18"/>
                <w:lang w:eastAsia="en-GB"/>
                <w14:ligatures w14:val="none"/>
              </w:rPr>
            </w:pPr>
            <w:r>
              <w:rPr>
                <w:rFonts w:ascii="Arial Narrow" w:eastAsia="Times New Roman" w:hAnsi="Arial Narrow" w:cs="Arial"/>
                <w:kern w:val="0"/>
                <w:sz w:val="18"/>
                <w:szCs w:val="18"/>
                <w:lang w:eastAsia="en-GB"/>
                <w14:ligatures w14:val="none"/>
              </w:rPr>
              <w:t>32,7</w:t>
            </w:r>
          </w:p>
        </w:tc>
        <w:tc>
          <w:tcPr>
            <w:tcW w:w="393" w:type="pct"/>
            <w:tcBorders>
              <w:top w:val="nil"/>
              <w:left w:val="nil"/>
              <w:bottom w:val="single" w:sz="4" w:space="0" w:color="auto"/>
              <w:right w:val="single" w:sz="4" w:space="0" w:color="auto"/>
            </w:tcBorders>
            <w:shd w:val="clear" w:color="auto" w:fill="auto"/>
            <w:noWrap/>
            <w:vAlign w:val="center"/>
          </w:tcPr>
          <w:p w14:paraId="5E46046E" w14:textId="77777777" w:rsidR="007D4F84" w:rsidRDefault="007D4F84" w:rsidP="001F56FA">
            <w:pPr>
              <w:spacing w:after="0" w:line="240" w:lineRule="auto"/>
              <w:jc w:val="center"/>
              <w:rPr>
                <w:rFonts w:ascii="Arial Narrow" w:eastAsia="Times New Roman" w:hAnsi="Arial Narrow" w:cs="Arial"/>
                <w:color w:val="000000"/>
                <w:kern w:val="0"/>
                <w:sz w:val="18"/>
                <w:szCs w:val="18"/>
                <w:lang w:eastAsia="en-GB"/>
                <w14:ligatures w14:val="none"/>
              </w:rPr>
            </w:pPr>
            <w:r>
              <w:rPr>
                <w:rFonts w:ascii="Arial Narrow" w:eastAsia="Times New Roman" w:hAnsi="Arial Narrow" w:cs="Arial"/>
                <w:color w:val="000000"/>
                <w:kern w:val="0"/>
                <w:sz w:val="18"/>
                <w:szCs w:val="18"/>
                <w:lang w:eastAsia="en-GB"/>
                <w14:ligatures w14:val="none"/>
              </w:rPr>
              <w:t>18</w:t>
            </w:r>
          </w:p>
        </w:tc>
        <w:tc>
          <w:tcPr>
            <w:tcW w:w="393" w:type="pct"/>
            <w:tcBorders>
              <w:top w:val="nil"/>
              <w:left w:val="nil"/>
              <w:bottom w:val="single" w:sz="4" w:space="0" w:color="auto"/>
              <w:right w:val="single" w:sz="4" w:space="0" w:color="auto"/>
            </w:tcBorders>
            <w:shd w:val="clear" w:color="auto" w:fill="auto"/>
            <w:noWrap/>
            <w:vAlign w:val="center"/>
          </w:tcPr>
          <w:p w14:paraId="3F24CCDF" w14:textId="77777777" w:rsidR="007D4F84" w:rsidRDefault="007D4F84" w:rsidP="001F56FA">
            <w:pPr>
              <w:spacing w:after="0" w:line="240" w:lineRule="auto"/>
              <w:jc w:val="center"/>
              <w:rPr>
                <w:rFonts w:ascii="Arial Narrow" w:eastAsia="Times New Roman" w:hAnsi="Arial Narrow" w:cs="Arial"/>
                <w:color w:val="000000"/>
                <w:kern w:val="0"/>
                <w:sz w:val="18"/>
                <w:szCs w:val="18"/>
                <w:lang w:eastAsia="en-GB"/>
                <w14:ligatures w14:val="none"/>
              </w:rPr>
            </w:pPr>
            <w:r>
              <w:rPr>
                <w:rFonts w:ascii="Arial Narrow" w:eastAsia="Times New Roman" w:hAnsi="Arial Narrow" w:cs="Arial"/>
                <w:color w:val="000000"/>
                <w:kern w:val="0"/>
                <w:sz w:val="18"/>
                <w:szCs w:val="18"/>
                <w:lang w:eastAsia="en-GB"/>
                <w14:ligatures w14:val="none"/>
              </w:rPr>
              <w:t>23,3</w:t>
            </w:r>
          </w:p>
        </w:tc>
        <w:tc>
          <w:tcPr>
            <w:tcW w:w="392" w:type="pct"/>
            <w:tcBorders>
              <w:top w:val="nil"/>
              <w:left w:val="nil"/>
              <w:bottom w:val="single" w:sz="4" w:space="0" w:color="auto"/>
              <w:right w:val="single" w:sz="4" w:space="0" w:color="auto"/>
            </w:tcBorders>
            <w:shd w:val="clear" w:color="auto" w:fill="auto"/>
            <w:noWrap/>
            <w:vAlign w:val="center"/>
          </w:tcPr>
          <w:p w14:paraId="01D469D9" w14:textId="77777777" w:rsidR="007D4F84" w:rsidRDefault="007D4F84" w:rsidP="001F56FA">
            <w:pPr>
              <w:spacing w:after="0" w:line="240" w:lineRule="auto"/>
              <w:jc w:val="center"/>
              <w:rPr>
                <w:rFonts w:ascii="Arial Narrow" w:eastAsia="Times New Roman" w:hAnsi="Arial Narrow" w:cs="Arial"/>
                <w:color w:val="000000"/>
                <w:kern w:val="0"/>
                <w:sz w:val="18"/>
                <w:szCs w:val="18"/>
                <w:lang w:eastAsia="en-GB"/>
                <w14:ligatures w14:val="none"/>
              </w:rPr>
            </w:pPr>
            <w:r>
              <w:rPr>
                <w:rFonts w:ascii="Arial Narrow" w:eastAsia="Times New Roman" w:hAnsi="Arial Narrow" w:cs="Arial"/>
                <w:color w:val="000000"/>
                <w:kern w:val="0"/>
                <w:sz w:val="18"/>
                <w:szCs w:val="18"/>
                <w:lang w:eastAsia="en-GB"/>
                <w14:ligatures w14:val="none"/>
              </w:rPr>
              <w:t>24,1</w:t>
            </w:r>
          </w:p>
        </w:tc>
        <w:tc>
          <w:tcPr>
            <w:tcW w:w="601" w:type="pct"/>
            <w:tcBorders>
              <w:top w:val="single" w:sz="4" w:space="0" w:color="auto"/>
              <w:left w:val="single" w:sz="4" w:space="0" w:color="auto"/>
              <w:bottom w:val="single" w:sz="4" w:space="0" w:color="auto"/>
              <w:right w:val="single" w:sz="4" w:space="0" w:color="auto"/>
            </w:tcBorders>
            <w:shd w:val="clear" w:color="auto" w:fill="FFC000"/>
            <w:noWrap/>
            <w:vAlign w:val="center"/>
          </w:tcPr>
          <w:p w14:paraId="4CED4D59" w14:textId="77777777" w:rsidR="007D4F84" w:rsidRPr="00D212E6" w:rsidRDefault="007D4F84" w:rsidP="001F56FA">
            <w:pPr>
              <w:spacing w:after="0" w:line="240" w:lineRule="auto"/>
              <w:jc w:val="center"/>
              <w:rPr>
                <w:rFonts w:ascii="Arial Narrow" w:eastAsia="Times New Roman" w:hAnsi="Arial Narrow" w:cs="Arial"/>
                <w:color w:val="9C0006"/>
                <w:kern w:val="0"/>
                <w:sz w:val="18"/>
                <w:szCs w:val="18"/>
                <w:lang w:eastAsia="en-GB"/>
                <w14:ligatures w14:val="none"/>
              </w:rPr>
            </w:pPr>
          </w:p>
        </w:tc>
      </w:tr>
      <w:tr w:rsidR="007D4F84" w:rsidRPr="00D212E6" w14:paraId="62A61008" w14:textId="77777777" w:rsidTr="001F56FA">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tcPr>
          <w:p w14:paraId="62711F31" w14:textId="77777777" w:rsidR="007D4F84" w:rsidRPr="00D212E6" w:rsidRDefault="007D4F84" w:rsidP="001F56FA">
            <w:pPr>
              <w:spacing w:after="0" w:line="240" w:lineRule="auto"/>
              <w:rPr>
                <w:rFonts w:ascii="Arial Narrow" w:eastAsia="Times New Roman" w:hAnsi="Arial Narrow" w:cs="Arial"/>
                <w:i/>
                <w:kern w:val="0"/>
                <w:sz w:val="18"/>
                <w:szCs w:val="18"/>
                <w:u w:val="single"/>
                <w:lang w:eastAsia="en-GB"/>
                <w14:ligatures w14:val="none"/>
              </w:rPr>
            </w:pPr>
            <w:r w:rsidRPr="00D212E6">
              <w:rPr>
                <w:rFonts w:ascii="Arial Narrow" w:eastAsia="Times New Roman" w:hAnsi="Arial Narrow" w:cs="Arial"/>
                <w:i/>
                <w:kern w:val="0"/>
                <w:sz w:val="18"/>
                <w:szCs w:val="18"/>
                <w:u w:val="single"/>
                <w:lang w:eastAsia="en-GB"/>
                <w14:ligatures w14:val="none"/>
              </w:rPr>
              <w:t>Légende</w:t>
            </w:r>
            <w:r>
              <w:rPr>
                <w:rFonts w:ascii="Arial Narrow" w:eastAsia="Times New Roman" w:hAnsi="Arial Narrow" w:cs="Arial"/>
                <w:i/>
                <w:kern w:val="0"/>
                <w:sz w:val="18"/>
                <w:szCs w:val="18"/>
                <w:u w:val="single"/>
                <w:lang w:eastAsia="en-GB"/>
                <w14:ligatures w14:val="none"/>
              </w:rPr>
              <w:t> :</w:t>
            </w:r>
          </w:p>
          <w:p w14:paraId="28C68341" w14:textId="77777777" w:rsidR="007D4F84" w:rsidRPr="00D212E6" w:rsidRDefault="007D4F84" w:rsidP="001F56FA">
            <w:pPr>
              <w:spacing w:after="0" w:line="240" w:lineRule="auto"/>
              <w:rPr>
                <w:rFonts w:ascii="Arial Narrow" w:eastAsia="Times New Roman" w:hAnsi="Arial Narrow" w:cs="Arial"/>
                <w:b/>
                <w:i/>
                <w:color w:val="9C0006"/>
                <w:kern w:val="0"/>
                <w:sz w:val="18"/>
                <w:szCs w:val="18"/>
                <w:lang w:eastAsia="en-GB"/>
                <w14:ligatures w14:val="none"/>
              </w:rPr>
            </w:pPr>
            <w:r w:rsidRPr="00D212E6">
              <w:rPr>
                <w:rFonts w:ascii="Arial Narrow" w:eastAsia="Times New Roman" w:hAnsi="Arial Narrow" w:cs="Arial"/>
                <w:b/>
                <w:i/>
                <w:color w:val="FF0000"/>
                <w:kern w:val="0"/>
                <w:sz w:val="18"/>
                <w:szCs w:val="18"/>
                <w:lang w:eastAsia="en-GB"/>
                <w14:ligatures w14:val="none"/>
              </w:rPr>
              <w:t>Rouge : </w:t>
            </w:r>
            <w:r w:rsidRPr="00D212E6">
              <w:rPr>
                <w:rFonts w:ascii="Arial Narrow" w:eastAsia="Times New Roman" w:hAnsi="Arial Narrow" w:cs="Arial"/>
                <w:b/>
                <w:i/>
                <w:kern w:val="0"/>
                <w:sz w:val="18"/>
                <w:szCs w:val="18"/>
                <w:lang w:eastAsia="en-GB"/>
                <w14:ligatures w14:val="none"/>
              </w:rPr>
              <w:t>Evolution défavorable ; </w:t>
            </w:r>
            <w:r w:rsidRPr="00D212E6">
              <w:rPr>
                <w:rFonts w:ascii="Arial Narrow" w:eastAsia="Times New Roman" w:hAnsi="Arial Narrow" w:cs="Arial"/>
                <w:b/>
                <w:i/>
                <w:color w:val="FFC000"/>
                <w:kern w:val="0"/>
                <w:sz w:val="18"/>
                <w:szCs w:val="18"/>
                <w:lang w:eastAsia="en-GB"/>
                <w14:ligatures w14:val="none"/>
              </w:rPr>
              <w:t xml:space="preserve">Orange : </w:t>
            </w:r>
            <w:r w:rsidRPr="00D212E6">
              <w:rPr>
                <w:rFonts w:ascii="Arial Narrow" w:eastAsia="Times New Roman" w:hAnsi="Arial Narrow" w:cs="Arial"/>
                <w:b/>
                <w:i/>
                <w:kern w:val="0"/>
                <w:sz w:val="18"/>
                <w:szCs w:val="18"/>
                <w:lang w:eastAsia="en-GB"/>
                <w14:ligatures w14:val="none"/>
              </w:rPr>
              <w:t xml:space="preserve">Evolution </w:t>
            </w:r>
            <w:r>
              <w:rPr>
                <w:rFonts w:ascii="Arial Narrow" w:eastAsia="Times New Roman" w:hAnsi="Arial Narrow" w:cs="Arial"/>
                <w:b/>
                <w:i/>
                <w:kern w:val="0"/>
                <w:sz w:val="18"/>
                <w:szCs w:val="18"/>
                <w:lang w:eastAsia="en-GB"/>
                <w14:ligatures w14:val="none"/>
              </w:rPr>
              <w:t>favorable – cible non-atteinte</w:t>
            </w:r>
            <w:r w:rsidRPr="00D212E6">
              <w:rPr>
                <w:rFonts w:ascii="Arial Narrow" w:eastAsia="Times New Roman" w:hAnsi="Arial Narrow" w:cs="Arial"/>
                <w:b/>
                <w:i/>
                <w:kern w:val="0"/>
                <w:sz w:val="18"/>
                <w:szCs w:val="18"/>
                <w:lang w:eastAsia="en-GB"/>
                <w14:ligatures w14:val="none"/>
              </w:rPr>
              <w:t xml:space="preserve"> ; </w:t>
            </w:r>
            <w:r w:rsidRPr="00D212E6">
              <w:rPr>
                <w:rFonts w:ascii="Arial Narrow" w:eastAsia="Times New Roman" w:hAnsi="Arial Narrow" w:cs="Arial"/>
                <w:b/>
                <w:i/>
                <w:color w:val="92D050"/>
                <w:kern w:val="0"/>
                <w:sz w:val="18"/>
                <w:szCs w:val="18"/>
                <w:lang w:eastAsia="en-GB"/>
                <w14:ligatures w14:val="none"/>
              </w:rPr>
              <w:t xml:space="preserve">Vert : </w:t>
            </w:r>
            <w:r w:rsidRPr="00D212E6">
              <w:rPr>
                <w:rFonts w:ascii="Arial Narrow" w:eastAsia="Times New Roman" w:hAnsi="Arial Narrow" w:cs="Arial"/>
                <w:b/>
                <w:i/>
                <w:kern w:val="0"/>
                <w:sz w:val="18"/>
                <w:szCs w:val="18"/>
                <w:lang w:eastAsia="en-GB"/>
                <w14:ligatures w14:val="none"/>
              </w:rPr>
              <w:t>Evolution favorable</w:t>
            </w:r>
            <w:r>
              <w:rPr>
                <w:rFonts w:ascii="Arial Narrow" w:eastAsia="Times New Roman" w:hAnsi="Arial Narrow" w:cs="Arial"/>
                <w:b/>
                <w:i/>
                <w:kern w:val="0"/>
                <w:sz w:val="18"/>
                <w:szCs w:val="18"/>
                <w:lang w:eastAsia="en-GB"/>
                <w14:ligatures w14:val="none"/>
              </w:rPr>
              <w:t xml:space="preserve"> – cible atteinte</w:t>
            </w:r>
          </w:p>
        </w:tc>
      </w:tr>
    </w:tbl>
    <w:p w14:paraId="4F8FE315" w14:textId="77777777" w:rsidR="007D4F84" w:rsidRPr="007D4F84" w:rsidRDefault="007D4F84" w:rsidP="007A001B"/>
    <w:p w14:paraId="21D69368" w14:textId="4A1A099B" w:rsidR="00B4208A" w:rsidRPr="007E7C5B" w:rsidRDefault="00457EA9" w:rsidP="00DC5897">
      <w:pPr>
        <w:pStyle w:val="Lgende"/>
      </w:pPr>
      <w:r w:rsidRPr="007E7C5B">
        <w:t xml:space="preserve">Source : </w:t>
      </w:r>
      <w:r w:rsidR="00473AA9" w:rsidRPr="007E7C5B">
        <w:t xml:space="preserve">Données collectées auprès des </w:t>
      </w:r>
      <w:r w:rsidR="00575860" w:rsidRPr="007E7C5B">
        <w:t xml:space="preserve">structures dans le cadre de la </w:t>
      </w:r>
      <w:r w:rsidR="00B635D8">
        <w:t>revue</w:t>
      </w:r>
      <w:r w:rsidRPr="007E7C5B">
        <w:t xml:space="preserve"> du PNDS 2021-2025</w:t>
      </w:r>
      <w:r w:rsidR="00DA4BE3" w:rsidRPr="007E7C5B">
        <w:t xml:space="preserve"> et analysées par les consultant</w:t>
      </w:r>
      <w:r w:rsidR="00207F0F">
        <w:t>s</w:t>
      </w:r>
      <w:r w:rsidR="00D266A7" w:rsidRPr="007E7C5B">
        <w:t xml:space="preserve">. </w:t>
      </w:r>
    </w:p>
    <w:p w14:paraId="7C869D0D" w14:textId="03FB3631" w:rsidR="00D42568" w:rsidRPr="007E7C5B" w:rsidRDefault="00D42568" w:rsidP="00761F55">
      <w:pPr>
        <w:pStyle w:val="Titre3"/>
        <w:jc w:val="both"/>
        <w:rPr>
          <w:rFonts w:ascii="Arial Narrow" w:hAnsi="Arial Narrow" w:cs="Arial"/>
          <w:sz w:val="24"/>
          <w:szCs w:val="24"/>
        </w:rPr>
      </w:pPr>
      <w:bookmarkStart w:id="50" w:name="_Toc190677478"/>
      <w:r w:rsidRPr="007E7C5B">
        <w:rPr>
          <w:rFonts w:ascii="Arial Narrow" w:hAnsi="Arial Narrow" w:cs="Arial"/>
          <w:sz w:val="24"/>
          <w:szCs w:val="24"/>
        </w:rPr>
        <w:t xml:space="preserve">Principales réalisations du PNDS </w:t>
      </w:r>
      <w:r w:rsidR="009E3475" w:rsidRPr="007E7C5B">
        <w:rPr>
          <w:rFonts w:ascii="Arial Narrow" w:hAnsi="Arial Narrow" w:cs="Arial"/>
          <w:sz w:val="24"/>
          <w:szCs w:val="24"/>
        </w:rPr>
        <w:t>2021-2025</w:t>
      </w:r>
      <w:r w:rsidRPr="007E7C5B">
        <w:rPr>
          <w:rFonts w:ascii="Arial Narrow" w:hAnsi="Arial Narrow" w:cs="Arial"/>
          <w:sz w:val="24"/>
          <w:szCs w:val="24"/>
        </w:rPr>
        <w:t xml:space="preserve"> par axe stratégique</w:t>
      </w:r>
      <w:bookmarkEnd w:id="50"/>
    </w:p>
    <w:p w14:paraId="534407B0" w14:textId="630C304C" w:rsidR="00D42568" w:rsidRPr="007E7C5B" w:rsidRDefault="00F55456" w:rsidP="00761F55">
      <w:pPr>
        <w:jc w:val="both"/>
        <w:rPr>
          <w:rFonts w:ascii="Arial Narrow" w:hAnsi="Arial Narrow" w:cs="Arial"/>
          <w:sz w:val="24"/>
          <w:szCs w:val="24"/>
        </w:rPr>
      </w:pPr>
      <w:r w:rsidRPr="007E7C5B">
        <w:rPr>
          <w:rFonts w:ascii="Arial Narrow" w:hAnsi="Arial Narrow" w:cs="Arial"/>
          <w:sz w:val="24"/>
          <w:szCs w:val="24"/>
        </w:rPr>
        <w:t xml:space="preserve">Le Gouvernement ambitionne </w:t>
      </w:r>
      <w:r w:rsidR="007C2188" w:rsidRPr="007E7C5B">
        <w:rPr>
          <w:rFonts w:ascii="Arial Narrow" w:hAnsi="Arial Narrow" w:cs="Arial"/>
          <w:sz w:val="24"/>
          <w:szCs w:val="24"/>
        </w:rPr>
        <w:t>à travers le PNDS</w:t>
      </w:r>
      <w:r w:rsidR="00E6411F" w:rsidRPr="007E7C5B">
        <w:rPr>
          <w:rFonts w:ascii="Arial Narrow" w:hAnsi="Arial Narrow" w:cs="Arial"/>
          <w:sz w:val="24"/>
          <w:szCs w:val="24"/>
        </w:rPr>
        <w:t xml:space="preserve"> « améliorer l’état de santé des populations d’ici à 2025</w:t>
      </w:r>
      <w:r w:rsidR="00573D95">
        <w:rPr>
          <w:rFonts w:ascii="Arial Narrow" w:hAnsi="Arial Narrow" w:cs="Arial"/>
          <w:sz w:val="24"/>
          <w:szCs w:val="24"/>
        </w:rPr>
        <w:t> </w:t>
      </w:r>
      <w:r w:rsidR="00E6411F" w:rsidRPr="007E7C5B">
        <w:rPr>
          <w:rFonts w:ascii="Arial Narrow" w:hAnsi="Arial Narrow" w:cs="Arial"/>
          <w:sz w:val="24"/>
          <w:szCs w:val="24"/>
        </w:rPr>
        <w:t>» à travers</w:t>
      </w:r>
      <w:r w:rsidR="007C2188" w:rsidRPr="007E7C5B">
        <w:rPr>
          <w:rFonts w:ascii="Arial Narrow" w:hAnsi="Arial Narrow" w:cs="Arial"/>
          <w:sz w:val="24"/>
          <w:szCs w:val="24"/>
        </w:rPr>
        <w:t xml:space="preserve"> </w:t>
      </w:r>
      <w:r w:rsidR="000054A9" w:rsidRPr="007E7C5B">
        <w:rPr>
          <w:rFonts w:ascii="Arial Narrow" w:hAnsi="Arial Narrow" w:cs="Arial"/>
          <w:sz w:val="24"/>
          <w:szCs w:val="24"/>
        </w:rPr>
        <w:t xml:space="preserve">le renforcement de </w:t>
      </w:r>
      <w:r w:rsidR="00D42568" w:rsidRPr="007E7C5B">
        <w:rPr>
          <w:rFonts w:ascii="Arial Narrow" w:hAnsi="Arial Narrow" w:cs="Arial"/>
          <w:sz w:val="24"/>
          <w:szCs w:val="24"/>
        </w:rPr>
        <w:t xml:space="preserve">la gouvernance et </w:t>
      </w:r>
      <w:r w:rsidR="007C2188" w:rsidRPr="007E7C5B">
        <w:rPr>
          <w:rFonts w:ascii="Arial Narrow" w:hAnsi="Arial Narrow" w:cs="Arial"/>
          <w:sz w:val="24"/>
          <w:szCs w:val="24"/>
        </w:rPr>
        <w:t>le</w:t>
      </w:r>
      <w:r w:rsidR="00D42568" w:rsidRPr="007E7C5B">
        <w:rPr>
          <w:rFonts w:ascii="Arial Narrow" w:hAnsi="Arial Narrow" w:cs="Arial"/>
          <w:sz w:val="24"/>
          <w:szCs w:val="24"/>
        </w:rPr>
        <w:t xml:space="preserve"> financement de la </w:t>
      </w:r>
      <w:r w:rsidR="00BE7DED" w:rsidRPr="007E7C5B">
        <w:rPr>
          <w:rFonts w:ascii="Arial Narrow" w:eastAsiaTheme="minorEastAsia" w:hAnsi="Arial Narrow" w:cs="Arial"/>
          <w:sz w:val="24"/>
          <w:szCs w:val="24"/>
        </w:rPr>
        <w:t>santé</w:t>
      </w:r>
      <w:r w:rsidR="0053443D" w:rsidRPr="007E7C5B">
        <w:rPr>
          <w:rFonts w:ascii="Arial Narrow" w:hAnsi="Arial Narrow" w:cs="Arial"/>
          <w:sz w:val="24"/>
          <w:szCs w:val="24"/>
        </w:rPr>
        <w:t>,</w:t>
      </w:r>
      <w:r w:rsidR="007C2188" w:rsidRPr="007E7C5B">
        <w:rPr>
          <w:rFonts w:ascii="Arial Narrow" w:hAnsi="Arial Narrow" w:cs="Arial"/>
          <w:sz w:val="24"/>
          <w:szCs w:val="24"/>
        </w:rPr>
        <w:t xml:space="preserve"> </w:t>
      </w:r>
      <w:r w:rsidR="000054A9" w:rsidRPr="007E7C5B">
        <w:rPr>
          <w:rFonts w:ascii="Arial Narrow" w:hAnsi="Arial Narrow" w:cs="Arial"/>
          <w:sz w:val="24"/>
          <w:szCs w:val="24"/>
        </w:rPr>
        <w:t xml:space="preserve">le </w:t>
      </w:r>
      <w:r w:rsidR="007C2188" w:rsidRPr="007E7C5B">
        <w:rPr>
          <w:rFonts w:ascii="Arial Narrow" w:hAnsi="Arial Narrow" w:cs="Arial"/>
          <w:sz w:val="24"/>
          <w:szCs w:val="24"/>
        </w:rPr>
        <w:t>renforce</w:t>
      </w:r>
      <w:r w:rsidR="000054A9" w:rsidRPr="007E7C5B">
        <w:rPr>
          <w:rFonts w:ascii="Arial Narrow" w:hAnsi="Arial Narrow" w:cs="Arial"/>
          <w:sz w:val="24"/>
          <w:szCs w:val="24"/>
        </w:rPr>
        <w:t>ment de</w:t>
      </w:r>
      <w:r w:rsidR="007C2188" w:rsidRPr="007E7C5B">
        <w:rPr>
          <w:rFonts w:ascii="Arial Narrow" w:hAnsi="Arial Narrow" w:cs="Arial"/>
          <w:sz w:val="24"/>
          <w:szCs w:val="24"/>
        </w:rPr>
        <w:t xml:space="preserve"> </w:t>
      </w:r>
      <w:r w:rsidR="00D42568" w:rsidRPr="007E7C5B">
        <w:rPr>
          <w:rFonts w:ascii="Arial Narrow" w:hAnsi="Arial Narrow" w:cs="Arial"/>
          <w:sz w:val="24"/>
          <w:szCs w:val="24"/>
        </w:rPr>
        <w:t>l’offre et</w:t>
      </w:r>
      <w:r w:rsidR="000054A9" w:rsidRPr="007E7C5B">
        <w:rPr>
          <w:rFonts w:ascii="Arial Narrow" w:hAnsi="Arial Narrow" w:cs="Arial"/>
          <w:sz w:val="24"/>
          <w:szCs w:val="24"/>
        </w:rPr>
        <w:t xml:space="preserve"> de</w:t>
      </w:r>
      <w:r w:rsidR="00D42568" w:rsidRPr="007E7C5B">
        <w:rPr>
          <w:rFonts w:ascii="Arial Narrow" w:hAnsi="Arial Narrow" w:cs="Arial"/>
          <w:sz w:val="24"/>
          <w:szCs w:val="24"/>
        </w:rPr>
        <w:t xml:space="preserve"> l’accessibilité des populations aux soins de qualité </w:t>
      </w:r>
      <w:r w:rsidR="007C2188" w:rsidRPr="007E7C5B">
        <w:rPr>
          <w:rFonts w:ascii="Arial Narrow" w:hAnsi="Arial Narrow" w:cs="Arial"/>
          <w:sz w:val="24"/>
          <w:szCs w:val="24"/>
        </w:rPr>
        <w:t xml:space="preserve">et </w:t>
      </w:r>
      <w:r w:rsidR="000054A9" w:rsidRPr="007E7C5B">
        <w:rPr>
          <w:rFonts w:ascii="Arial Narrow" w:hAnsi="Arial Narrow" w:cs="Arial"/>
          <w:sz w:val="24"/>
          <w:szCs w:val="24"/>
        </w:rPr>
        <w:t xml:space="preserve">la </w:t>
      </w:r>
      <w:r w:rsidR="009E27FD" w:rsidRPr="007E7C5B">
        <w:rPr>
          <w:rFonts w:ascii="Arial Narrow" w:hAnsi="Arial Narrow" w:cs="Arial"/>
          <w:sz w:val="24"/>
          <w:szCs w:val="24"/>
        </w:rPr>
        <w:t>promo</w:t>
      </w:r>
      <w:r w:rsidR="000054A9" w:rsidRPr="007E7C5B">
        <w:rPr>
          <w:rFonts w:ascii="Arial Narrow" w:hAnsi="Arial Narrow" w:cs="Arial"/>
          <w:sz w:val="24"/>
          <w:szCs w:val="24"/>
        </w:rPr>
        <w:t>tion de</w:t>
      </w:r>
      <w:r w:rsidR="00E33227">
        <w:rPr>
          <w:rFonts w:ascii="Arial Narrow" w:hAnsi="Arial Narrow" w:cs="Arial"/>
          <w:sz w:val="24"/>
          <w:szCs w:val="24"/>
        </w:rPr>
        <w:t xml:space="preserve"> </w:t>
      </w:r>
      <w:r w:rsidR="009E27FD" w:rsidRPr="007E7C5B">
        <w:rPr>
          <w:rFonts w:ascii="Arial Narrow" w:eastAsiaTheme="minorEastAsia" w:hAnsi="Arial Narrow" w:cs="Arial"/>
          <w:sz w:val="24"/>
          <w:szCs w:val="24"/>
        </w:rPr>
        <w:t xml:space="preserve">la </w:t>
      </w:r>
      <w:r w:rsidR="00BE7DED" w:rsidRPr="007E7C5B">
        <w:rPr>
          <w:rFonts w:ascii="Arial Narrow" w:eastAsiaTheme="minorEastAsia" w:hAnsi="Arial Narrow" w:cs="Arial"/>
          <w:sz w:val="24"/>
          <w:szCs w:val="24"/>
        </w:rPr>
        <w:t>santé</w:t>
      </w:r>
      <w:r w:rsidR="00D42568" w:rsidRPr="007E7C5B">
        <w:rPr>
          <w:rFonts w:ascii="Arial Narrow" w:hAnsi="Arial Narrow" w:cs="Arial"/>
          <w:sz w:val="24"/>
          <w:szCs w:val="24"/>
        </w:rPr>
        <w:t xml:space="preserve"> et</w:t>
      </w:r>
      <w:r w:rsidR="009E27FD" w:rsidRPr="007E7C5B">
        <w:rPr>
          <w:rFonts w:ascii="Arial Narrow" w:hAnsi="Arial Narrow" w:cs="Arial"/>
          <w:sz w:val="24"/>
          <w:szCs w:val="24"/>
        </w:rPr>
        <w:t xml:space="preserve"> </w:t>
      </w:r>
      <w:r w:rsidR="00D42568" w:rsidRPr="007E7C5B">
        <w:rPr>
          <w:rFonts w:ascii="Arial Narrow" w:hAnsi="Arial Narrow" w:cs="Arial"/>
          <w:sz w:val="24"/>
          <w:szCs w:val="24"/>
        </w:rPr>
        <w:t xml:space="preserve">la lutte contre les maladies. </w:t>
      </w:r>
    </w:p>
    <w:p w14:paraId="608B6333" w14:textId="298C5BA1" w:rsidR="00D66FAA" w:rsidRPr="007A001B" w:rsidRDefault="00F5150A" w:rsidP="00D42568">
      <w:pPr>
        <w:jc w:val="both"/>
        <w:rPr>
          <w:rFonts w:ascii="Arial Narrow" w:hAnsi="Arial Narrow" w:cs="Arial"/>
          <w:b/>
          <w:bCs/>
          <w:lang w:val="fr-CI"/>
        </w:rPr>
      </w:pPr>
      <w:r w:rsidRPr="007E7C5B">
        <w:rPr>
          <w:rFonts w:ascii="Arial Narrow" w:hAnsi="Arial Narrow" w:cs="Arial"/>
          <w:sz w:val="24"/>
          <w:szCs w:val="24"/>
        </w:rPr>
        <w:t>L</w:t>
      </w:r>
      <w:r w:rsidR="007A69FC" w:rsidRPr="007E7C5B">
        <w:rPr>
          <w:rFonts w:ascii="Arial Narrow" w:hAnsi="Arial Narrow" w:cs="Arial"/>
          <w:sz w:val="24"/>
          <w:szCs w:val="24"/>
        </w:rPr>
        <w:t xml:space="preserve">e bilan </w:t>
      </w:r>
      <w:r w:rsidR="004857FA" w:rsidRPr="007E7C5B">
        <w:rPr>
          <w:rFonts w:ascii="Arial Narrow" w:hAnsi="Arial Narrow" w:cs="Arial"/>
          <w:sz w:val="24"/>
          <w:szCs w:val="24"/>
        </w:rPr>
        <w:t>à</w:t>
      </w:r>
      <w:r w:rsidR="007A69FC" w:rsidRPr="007E7C5B">
        <w:rPr>
          <w:rFonts w:ascii="Arial Narrow" w:hAnsi="Arial Narrow" w:cs="Arial"/>
          <w:sz w:val="24"/>
          <w:szCs w:val="24"/>
        </w:rPr>
        <w:t xml:space="preserve"> mi-parcours fait ressortir</w:t>
      </w:r>
      <w:r w:rsidR="000D64F3">
        <w:rPr>
          <w:rFonts w:ascii="Arial Narrow" w:hAnsi="Arial Narrow" w:cs="Arial"/>
          <w:sz w:val="24"/>
          <w:szCs w:val="24"/>
        </w:rPr>
        <w:t xml:space="preserve"> que 75% </w:t>
      </w:r>
      <w:r w:rsidR="000D64F3" w:rsidRPr="007D4F84">
        <w:rPr>
          <w:rFonts w:ascii="Arial Narrow" w:hAnsi="Arial Narrow" w:cs="Arial"/>
          <w:sz w:val="24"/>
          <w:szCs w:val="24"/>
        </w:rPr>
        <w:t>d</w:t>
      </w:r>
      <w:r w:rsidR="000D64F3" w:rsidRPr="007A001B">
        <w:rPr>
          <w:rFonts w:ascii="Arial Narrow" w:hAnsi="Arial Narrow" w:cs="Arial"/>
          <w:sz w:val="24"/>
          <w:szCs w:val="24"/>
        </w:rPr>
        <w:t>es indicateurs d’effets ont vu leurs données régulièrement collectées ce qui dénote une bonne qualité de suivi</w:t>
      </w:r>
      <w:r w:rsidR="001D33EE" w:rsidRPr="007A001B">
        <w:rPr>
          <w:rFonts w:ascii="Arial Narrow" w:hAnsi="Arial Narrow" w:cs="Arial"/>
          <w:sz w:val="24"/>
          <w:szCs w:val="24"/>
        </w:rPr>
        <w:t>. Le</w:t>
      </w:r>
      <w:r w:rsidR="007D4F84" w:rsidRPr="007A001B">
        <w:rPr>
          <w:rFonts w:ascii="Arial Narrow" w:hAnsi="Arial Narrow" w:cs="Arial"/>
          <w:sz w:val="24"/>
          <w:szCs w:val="24"/>
        </w:rPr>
        <w:t xml:space="preserve"> </w:t>
      </w:r>
      <w:r w:rsidR="00D42568" w:rsidRPr="007A001B">
        <w:rPr>
          <w:rFonts w:ascii="Arial Narrow" w:hAnsi="Arial Narrow" w:cs="Arial"/>
          <w:sz w:val="24"/>
          <w:szCs w:val="24"/>
        </w:rPr>
        <w:t>taux d’atteinte des cibles du PNDS</w:t>
      </w:r>
      <w:r w:rsidR="00826EB8" w:rsidRPr="007A001B">
        <w:rPr>
          <w:rFonts w:ascii="Arial Narrow" w:hAnsi="Arial Narrow" w:cs="Arial"/>
          <w:sz w:val="24"/>
          <w:szCs w:val="24"/>
        </w:rPr>
        <w:t xml:space="preserve"> relativement bas</w:t>
      </w:r>
      <w:r w:rsidR="0023478E" w:rsidRPr="007A001B">
        <w:rPr>
          <w:rFonts w:ascii="Arial Narrow" w:hAnsi="Arial Narrow" w:cs="Arial"/>
          <w:sz w:val="24"/>
          <w:szCs w:val="24"/>
        </w:rPr>
        <w:t xml:space="preserve"> (</w:t>
      </w:r>
      <w:r w:rsidR="001B50BB" w:rsidRPr="007A001B">
        <w:rPr>
          <w:rFonts w:ascii="Arial Narrow" w:hAnsi="Arial Narrow" w:cs="Arial"/>
          <w:sz w:val="24"/>
          <w:szCs w:val="24"/>
        </w:rPr>
        <w:t>31,8</w:t>
      </w:r>
      <w:r w:rsidR="0023478E" w:rsidRPr="007A001B">
        <w:rPr>
          <w:rFonts w:ascii="Arial Narrow" w:hAnsi="Arial Narrow" w:cs="Arial"/>
          <w:sz w:val="24"/>
          <w:szCs w:val="24"/>
        </w:rPr>
        <w:t>%</w:t>
      </w:r>
      <w:r w:rsidR="00091423" w:rsidRPr="007A001B">
        <w:footnoteReference w:id="11"/>
      </w:r>
      <w:r w:rsidR="0023478E" w:rsidRPr="007A001B">
        <w:rPr>
          <w:rFonts w:ascii="Arial Narrow" w:hAnsi="Arial Narrow" w:cs="Arial"/>
          <w:sz w:val="24"/>
          <w:szCs w:val="24"/>
        </w:rPr>
        <w:t>)</w:t>
      </w:r>
      <w:r w:rsidR="00AB7489" w:rsidRPr="007A001B">
        <w:rPr>
          <w:rFonts w:ascii="Arial Narrow" w:hAnsi="Arial Narrow" w:cs="Arial"/>
          <w:sz w:val="24"/>
          <w:szCs w:val="24"/>
        </w:rPr>
        <w:t>,</w:t>
      </w:r>
      <w:r w:rsidR="00826EB8" w:rsidRPr="007A001B">
        <w:rPr>
          <w:rFonts w:ascii="Arial Narrow" w:hAnsi="Arial Narrow" w:cs="Arial"/>
          <w:sz w:val="24"/>
          <w:szCs w:val="24"/>
        </w:rPr>
        <w:t xml:space="preserve"> bien qu’en </w:t>
      </w:r>
      <w:r w:rsidR="000E4F54" w:rsidRPr="007A001B">
        <w:rPr>
          <w:rFonts w:ascii="Arial Narrow" w:hAnsi="Arial Narrow" w:cs="Arial"/>
          <w:sz w:val="24"/>
          <w:szCs w:val="24"/>
        </w:rPr>
        <w:t>progression</w:t>
      </w:r>
      <w:r w:rsidR="00826EB8" w:rsidRPr="007A001B">
        <w:rPr>
          <w:rFonts w:ascii="Arial Narrow" w:hAnsi="Arial Narrow" w:cs="Arial"/>
          <w:sz w:val="24"/>
          <w:szCs w:val="24"/>
        </w:rPr>
        <w:t xml:space="preserve">. </w:t>
      </w:r>
      <w:r w:rsidR="00D66FAA" w:rsidRPr="007D4F84">
        <w:rPr>
          <w:rFonts w:ascii="Arial Narrow" w:hAnsi="Arial Narrow" w:cs="Arial"/>
          <w:sz w:val="24"/>
          <w:szCs w:val="24"/>
        </w:rPr>
        <w:t>L</w:t>
      </w:r>
      <w:r w:rsidR="00D66FAA" w:rsidRPr="007E7C5B">
        <w:rPr>
          <w:rFonts w:ascii="Arial Narrow" w:hAnsi="Arial Narrow" w:cs="Arial"/>
          <w:sz w:val="24"/>
          <w:szCs w:val="24"/>
        </w:rPr>
        <w:t>es indicateurs n’ont certes tous pas atteint leur</w:t>
      </w:r>
      <w:r w:rsidR="00F87AD6">
        <w:rPr>
          <w:rFonts w:ascii="Arial Narrow" w:hAnsi="Arial Narrow" w:cs="Arial"/>
          <w:sz w:val="24"/>
          <w:szCs w:val="24"/>
        </w:rPr>
        <w:t xml:space="preserve">s </w:t>
      </w:r>
      <w:r w:rsidR="00D66FAA" w:rsidRPr="007E7C5B">
        <w:rPr>
          <w:rFonts w:ascii="Arial Narrow" w:hAnsi="Arial Narrow" w:cs="Arial"/>
          <w:sz w:val="24"/>
          <w:szCs w:val="24"/>
        </w:rPr>
        <w:t>cible</w:t>
      </w:r>
      <w:r w:rsidR="00F87AD6">
        <w:rPr>
          <w:rFonts w:ascii="Arial Narrow" w:hAnsi="Arial Narrow" w:cs="Arial"/>
          <w:sz w:val="24"/>
          <w:szCs w:val="24"/>
        </w:rPr>
        <w:t>s</w:t>
      </w:r>
      <w:r w:rsidR="00D66FAA" w:rsidRPr="007E7C5B">
        <w:rPr>
          <w:rFonts w:ascii="Arial Narrow" w:hAnsi="Arial Narrow" w:cs="Arial"/>
          <w:sz w:val="24"/>
          <w:szCs w:val="24"/>
        </w:rPr>
        <w:t xml:space="preserve"> au cours </w:t>
      </w:r>
      <w:r w:rsidR="00D66FAA" w:rsidRPr="007E7C5B">
        <w:rPr>
          <w:rFonts w:ascii="Arial Narrow" w:hAnsi="Arial Narrow" w:cs="Arial"/>
          <w:sz w:val="24"/>
          <w:szCs w:val="24"/>
        </w:rPr>
        <w:lastRenderedPageBreak/>
        <w:t xml:space="preserve">de la période d’observation, mais ont tout de même enregistré une progression vers ces dernières : </w:t>
      </w:r>
      <w:r w:rsidR="00D66FAA" w:rsidRPr="007E7C5B">
        <w:rPr>
          <w:rFonts w:ascii="Arial Narrow" w:hAnsi="Arial Narrow" w:cs="Arial"/>
          <w:b/>
          <w:sz w:val="24"/>
          <w:szCs w:val="24"/>
        </w:rPr>
        <w:t xml:space="preserve">en moyenne, les indicateurs d’effets, tous effets du PNDS confondus, ont enregistré </w:t>
      </w:r>
      <w:r w:rsidR="00576466">
        <w:rPr>
          <w:rFonts w:ascii="Arial Narrow" w:hAnsi="Arial Narrow" w:cs="Arial"/>
          <w:b/>
          <w:sz w:val="24"/>
          <w:szCs w:val="24"/>
        </w:rPr>
        <w:t>51</w:t>
      </w:r>
      <w:r w:rsidR="00D66FAA" w:rsidRPr="007E7C5B">
        <w:rPr>
          <w:rFonts w:ascii="Arial Narrow" w:hAnsi="Arial Narrow" w:cs="Arial"/>
          <w:b/>
          <w:sz w:val="24"/>
          <w:szCs w:val="24"/>
        </w:rPr>
        <w:t>% de la progression prévisionnelle vers leurs cibles</w:t>
      </w:r>
      <w:r w:rsidR="00D66FAA" w:rsidRPr="007E7C5B">
        <w:rPr>
          <w:rFonts w:ascii="Arial Narrow" w:hAnsi="Arial Narrow" w:cs="Arial"/>
          <w:sz w:val="24"/>
          <w:szCs w:val="24"/>
        </w:rPr>
        <w:t xml:space="preserve">, ce qui indique un gap de performance de </w:t>
      </w:r>
      <w:r w:rsidR="00F71C66">
        <w:rPr>
          <w:rFonts w:ascii="Arial Narrow" w:hAnsi="Arial Narrow" w:cs="Arial"/>
          <w:sz w:val="24"/>
          <w:szCs w:val="24"/>
        </w:rPr>
        <w:t>49</w:t>
      </w:r>
      <w:r w:rsidR="00D66FAA" w:rsidRPr="007E7C5B">
        <w:rPr>
          <w:rFonts w:ascii="Arial Narrow" w:hAnsi="Arial Narrow" w:cs="Arial"/>
          <w:sz w:val="24"/>
          <w:szCs w:val="24"/>
        </w:rPr>
        <w:t>%.</w:t>
      </w:r>
      <w:r w:rsidR="000D64F3">
        <w:rPr>
          <w:rFonts w:ascii="Arial Narrow" w:hAnsi="Arial Narrow" w:cs="Arial"/>
          <w:sz w:val="24"/>
          <w:szCs w:val="24"/>
        </w:rPr>
        <w:t xml:space="preserve"> </w:t>
      </w:r>
    </w:p>
    <w:p w14:paraId="6720E2B4" w14:textId="181C2111" w:rsidR="0071485F" w:rsidRPr="007E7C5B" w:rsidRDefault="00950BE8" w:rsidP="0071485F">
      <w:pPr>
        <w:jc w:val="both"/>
        <w:rPr>
          <w:rFonts w:ascii="Arial Narrow" w:hAnsi="Arial Narrow" w:cs="Arial"/>
          <w:sz w:val="24"/>
          <w:szCs w:val="24"/>
        </w:rPr>
      </w:pPr>
      <w:r w:rsidRPr="007E7C5B">
        <w:rPr>
          <w:rFonts w:ascii="Arial Narrow" w:hAnsi="Arial Narrow" w:cs="Arial"/>
          <w:sz w:val="24"/>
          <w:szCs w:val="24"/>
        </w:rPr>
        <w:t>P</w:t>
      </w:r>
      <w:r w:rsidR="00AB6F75" w:rsidRPr="007E7C5B">
        <w:rPr>
          <w:rFonts w:ascii="Arial Narrow" w:hAnsi="Arial Narrow" w:cs="Arial"/>
          <w:sz w:val="24"/>
          <w:szCs w:val="24"/>
        </w:rPr>
        <w:t>our l’axe 1</w:t>
      </w:r>
      <w:r w:rsidR="000E4F54" w:rsidRPr="007E7C5B">
        <w:rPr>
          <w:rFonts w:ascii="Arial Narrow" w:hAnsi="Arial Narrow" w:cs="Arial"/>
          <w:sz w:val="24"/>
          <w:szCs w:val="24"/>
        </w:rPr>
        <w:t xml:space="preserve">, </w:t>
      </w:r>
      <w:r w:rsidR="004B0CF8" w:rsidRPr="007E7C5B">
        <w:rPr>
          <w:rFonts w:ascii="Arial Narrow" w:hAnsi="Arial Narrow" w:cs="Arial"/>
          <w:b/>
          <w:sz w:val="24"/>
          <w:szCs w:val="24"/>
        </w:rPr>
        <w:t xml:space="preserve">un indicateur sur </w:t>
      </w:r>
      <w:r w:rsidR="00172DF8" w:rsidRPr="007E7C5B">
        <w:rPr>
          <w:rFonts w:ascii="Arial Narrow" w:hAnsi="Arial Narrow" w:cs="Arial"/>
          <w:b/>
          <w:sz w:val="24"/>
          <w:szCs w:val="24"/>
        </w:rPr>
        <w:t>trois</w:t>
      </w:r>
      <w:r w:rsidR="004B0CF8" w:rsidRPr="007E7C5B">
        <w:rPr>
          <w:rFonts w:ascii="Arial Narrow" w:hAnsi="Arial Narrow" w:cs="Arial"/>
          <w:b/>
          <w:sz w:val="24"/>
          <w:szCs w:val="24"/>
        </w:rPr>
        <w:t xml:space="preserve"> </w:t>
      </w:r>
      <w:r w:rsidR="004B0CF8" w:rsidRPr="007E7C5B">
        <w:rPr>
          <w:rFonts w:ascii="Arial Narrow" w:hAnsi="Arial Narrow" w:cs="Arial"/>
          <w:bCs/>
          <w:sz w:val="24"/>
          <w:szCs w:val="24"/>
        </w:rPr>
        <w:t>a</w:t>
      </w:r>
      <w:r w:rsidR="004B0CF8" w:rsidRPr="007E7C5B">
        <w:rPr>
          <w:rFonts w:ascii="Arial Narrow" w:hAnsi="Arial Narrow" w:cs="Arial"/>
          <w:b/>
          <w:sz w:val="24"/>
          <w:szCs w:val="24"/>
        </w:rPr>
        <w:t xml:space="preserve"> </w:t>
      </w:r>
      <w:r w:rsidR="004B0CF8" w:rsidRPr="007E7C5B">
        <w:rPr>
          <w:rFonts w:ascii="Arial Narrow" w:hAnsi="Arial Narrow" w:cs="Arial"/>
          <w:bCs/>
          <w:sz w:val="24"/>
          <w:szCs w:val="24"/>
        </w:rPr>
        <w:t>atteint</w:t>
      </w:r>
      <w:r w:rsidR="004B0CF8" w:rsidRPr="007E7C5B">
        <w:rPr>
          <w:rFonts w:ascii="Arial Narrow" w:hAnsi="Arial Narrow" w:cs="Arial"/>
          <w:sz w:val="24"/>
          <w:szCs w:val="24"/>
        </w:rPr>
        <w:t xml:space="preserve"> sa cible, à savoir</w:t>
      </w:r>
      <w:r w:rsidR="005A52E9" w:rsidRPr="007E7C5B">
        <w:rPr>
          <w:rFonts w:ascii="Arial Narrow" w:hAnsi="Arial Narrow" w:cs="Arial"/>
          <w:sz w:val="24"/>
          <w:szCs w:val="24"/>
        </w:rPr>
        <w:t xml:space="preserve"> </w:t>
      </w:r>
      <w:r w:rsidR="00F143EF" w:rsidRPr="007E7C5B">
        <w:rPr>
          <w:rFonts w:ascii="Arial Narrow" w:hAnsi="Arial Narrow" w:cs="Arial"/>
          <w:sz w:val="24"/>
          <w:szCs w:val="24"/>
        </w:rPr>
        <w:t>le taux d'accroissement annuel du budget du Ministère en charge de la santé</w:t>
      </w:r>
      <w:r w:rsidR="00056B46" w:rsidRPr="007E7C5B">
        <w:rPr>
          <w:rFonts w:ascii="Arial Narrow" w:hAnsi="Arial Narrow" w:cs="Arial"/>
          <w:sz w:val="24"/>
          <w:szCs w:val="24"/>
        </w:rPr>
        <w:t xml:space="preserve"> </w:t>
      </w:r>
      <w:r w:rsidR="009E7AD5" w:rsidRPr="007E7C5B">
        <w:rPr>
          <w:rFonts w:ascii="Arial Narrow" w:hAnsi="Arial Narrow" w:cs="Arial"/>
          <w:sz w:val="24"/>
          <w:szCs w:val="24"/>
        </w:rPr>
        <w:t xml:space="preserve">passé de </w:t>
      </w:r>
      <w:r w:rsidR="009660B5" w:rsidRPr="007E7C5B">
        <w:rPr>
          <w:rFonts w:ascii="Arial Narrow" w:hAnsi="Arial Narrow" w:cs="Arial"/>
          <w:sz w:val="24"/>
          <w:szCs w:val="24"/>
        </w:rPr>
        <w:t xml:space="preserve">-16% en 2018, à </w:t>
      </w:r>
      <w:r w:rsidR="001F2E25" w:rsidRPr="007E7C5B">
        <w:rPr>
          <w:rFonts w:ascii="Arial Narrow" w:hAnsi="Arial Narrow" w:cs="Arial"/>
          <w:sz w:val="24"/>
          <w:szCs w:val="24"/>
        </w:rPr>
        <w:t xml:space="preserve">-7% en 2021 </w:t>
      </w:r>
      <w:r w:rsidR="009660B5" w:rsidRPr="007E7C5B">
        <w:rPr>
          <w:rFonts w:ascii="Arial Narrow" w:hAnsi="Arial Narrow" w:cs="Arial"/>
          <w:sz w:val="24"/>
          <w:szCs w:val="24"/>
        </w:rPr>
        <w:t xml:space="preserve">puis </w:t>
      </w:r>
      <w:r w:rsidR="001F2E25" w:rsidRPr="007E7C5B">
        <w:rPr>
          <w:rFonts w:ascii="Arial Narrow" w:hAnsi="Arial Narrow" w:cs="Arial"/>
          <w:sz w:val="24"/>
          <w:szCs w:val="24"/>
        </w:rPr>
        <w:t>à 56% en 2023</w:t>
      </w:r>
      <w:r w:rsidR="006C40DC" w:rsidRPr="007E7C5B">
        <w:rPr>
          <w:rFonts w:ascii="Arial Narrow" w:hAnsi="Arial Narrow" w:cs="Arial"/>
          <w:sz w:val="24"/>
          <w:szCs w:val="24"/>
        </w:rPr>
        <w:t>.</w:t>
      </w:r>
      <w:r w:rsidR="0054041D" w:rsidRPr="007E7C5B">
        <w:rPr>
          <w:rFonts w:ascii="Arial Narrow" w:hAnsi="Arial Narrow" w:cs="Arial"/>
          <w:sz w:val="24"/>
          <w:szCs w:val="24"/>
        </w:rPr>
        <w:t xml:space="preserve"> </w:t>
      </w:r>
      <w:r w:rsidR="0066314D" w:rsidRPr="007E7C5B">
        <w:rPr>
          <w:rFonts w:ascii="Arial Narrow" w:hAnsi="Arial Narrow" w:cs="Arial"/>
          <w:sz w:val="24"/>
          <w:szCs w:val="24"/>
        </w:rPr>
        <w:t>Le même constat se fait sur l’axe 2, o</w:t>
      </w:r>
      <w:r w:rsidR="001F2E25" w:rsidRPr="007E7C5B">
        <w:rPr>
          <w:rFonts w:ascii="Arial Narrow" w:hAnsi="Arial Narrow" w:cs="Arial"/>
          <w:sz w:val="24"/>
          <w:szCs w:val="24"/>
        </w:rPr>
        <w:t>ù</w:t>
      </w:r>
      <w:r w:rsidR="0066314D" w:rsidRPr="007E7C5B">
        <w:rPr>
          <w:rFonts w:ascii="Arial Narrow" w:hAnsi="Arial Narrow" w:cs="Arial"/>
          <w:sz w:val="24"/>
          <w:szCs w:val="24"/>
        </w:rPr>
        <w:t xml:space="preserve"> </w:t>
      </w:r>
      <w:r w:rsidR="00E14BE1" w:rsidRPr="007E7C5B">
        <w:rPr>
          <w:rFonts w:ascii="Arial Narrow" w:hAnsi="Arial Narrow" w:cs="Arial"/>
          <w:sz w:val="24"/>
          <w:szCs w:val="24"/>
        </w:rPr>
        <w:t xml:space="preserve">les cibles ont été atteintes </w:t>
      </w:r>
      <w:r w:rsidR="00E14BE1" w:rsidRPr="007D4F84">
        <w:rPr>
          <w:rFonts w:ascii="Arial Narrow" w:hAnsi="Arial Narrow" w:cs="Arial"/>
          <w:sz w:val="24"/>
          <w:szCs w:val="24"/>
        </w:rPr>
        <w:t xml:space="preserve">pour </w:t>
      </w:r>
      <w:r w:rsidR="001B50BB" w:rsidRPr="007A001B">
        <w:rPr>
          <w:rFonts w:ascii="Arial Narrow" w:hAnsi="Arial Narrow" w:cs="Arial"/>
          <w:b/>
          <w:bCs/>
          <w:sz w:val="24"/>
          <w:szCs w:val="24"/>
        </w:rPr>
        <w:t>dix</w:t>
      </w:r>
      <w:r w:rsidR="001B50BB" w:rsidRPr="007D4F84">
        <w:rPr>
          <w:rFonts w:ascii="Arial Narrow" w:hAnsi="Arial Narrow" w:cs="Arial"/>
          <w:sz w:val="24"/>
          <w:szCs w:val="24"/>
        </w:rPr>
        <w:t xml:space="preserve"> </w:t>
      </w:r>
      <w:r w:rsidR="00E14BE1" w:rsidRPr="007D4F84">
        <w:rPr>
          <w:rFonts w:ascii="Arial Narrow" w:hAnsi="Arial Narrow" w:cs="Arial"/>
          <w:b/>
          <w:sz w:val="24"/>
          <w:szCs w:val="24"/>
        </w:rPr>
        <w:t>indicateurs</w:t>
      </w:r>
      <w:r w:rsidR="00E14BE1" w:rsidRPr="007E7C5B">
        <w:rPr>
          <w:rFonts w:ascii="Arial Narrow" w:hAnsi="Arial Narrow" w:cs="Arial"/>
          <w:b/>
          <w:sz w:val="24"/>
          <w:szCs w:val="24"/>
        </w:rPr>
        <w:t xml:space="preserve"> d’effet</w:t>
      </w:r>
      <w:r w:rsidR="00E31332" w:rsidRPr="007E7C5B">
        <w:rPr>
          <w:rFonts w:ascii="Arial Narrow" w:hAnsi="Arial Narrow" w:cs="Arial"/>
          <w:b/>
          <w:sz w:val="24"/>
          <w:szCs w:val="24"/>
        </w:rPr>
        <w:t xml:space="preserve"> sur trente et un</w:t>
      </w:r>
      <w:r w:rsidR="00F758EA" w:rsidRPr="007E7C5B">
        <w:rPr>
          <w:rFonts w:ascii="Arial Narrow" w:hAnsi="Arial Narrow" w:cs="Arial"/>
          <w:sz w:val="24"/>
          <w:szCs w:val="24"/>
        </w:rPr>
        <w:t>.</w:t>
      </w:r>
      <w:r w:rsidR="00D60364" w:rsidRPr="007E7C5B">
        <w:rPr>
          <w:rFonts w:ascii="Arial Narrow" w:hAnsi="Arial Narrow" w:cs="Arial"/>
          <w:sz w:val="24"/>
          <w:szCs w:val="24"/>
        </w:rPr>
        <w:t xml:space="preserve"> </w:t>
      </w:r>
      <w:r w:rsidR="00E83A86" w:rsidRPr="007E7C5B">
        <w:rPr>
          <w:rFonts w:ascii="Arial Narrow" w:hAnsi="Arial Narrow" w:cs="Arial"/>
          <w:sz w:val="24"/>
          <w:szCs w:val="24"/>
        </w:rPr>
        <w:t xml:space="preserve">Quant </w:t>
      </w:r>
      <w:r w:rsidR="002450E3" w:rsidRPr="007E7C5B">
        <w:rPr>
          <w:rFonts w:ascii="Arial Narrow" w:hAnsi="Arial Narrow" w:cs="Arial"/>
          <w:sz w:val="24"/>
          <w:szCs w:val="24"/>
        </w:rPr>
        <w:t>à</w:t>
      </w:r>
      <w:r w:rsidR="00E83A86" w:rsidRPr="007E7C5B">
        <w:rPr>
          <w:rFonts w:ascii="Arial Narrow" w:hAnsi="Arial Narrow" w:cs="Arial"/>
          <w:sz w:val="24"/>
          <w:szCs w:val="24"/>
        </w:rPr>
        <w:t xml:space="preserve"> l’axe 3, </w:t>
      </w:r>
      <w:r w:rsidR="00D55EEF">
        <w:rPr>
          <w:rFonts w:ascii="Arial Narrow" w:hAnsi="Arial Narrow" w:cs="Arial"/>
          <w:b/>
          <w:sz w:val="24"/>
          <w:szCs w:val="24"/>
        </w:rPr>
        <w:t>trois</w:t>
      </w:r>
      <w:r w:rsidR="004160D7" w:rsidRPr="007E7C5B">
        <w:rPr>
          <w:rFonts w:ascii="Arial Narrow" w:hAnsi="Arial Narrow" w:cs="Arial"/>
          <w:b/>
          <w:sz w:val="24"/>
          <w:szCs w:val="24"/>
        </w:rPr>
        <w:t xml:space="preserve"> </w:t>
      </w:r>
      <w:r w:rsidR="00ED3571" w:rsidRPr="007E7C5B">
        <w:rPr>
          <w:rFonts w:ascii="Arial Narrow" w:hAnsi="Arial Narrow" w:cs="Arial"/>
          <w:b/>
          <w:sz w:val="24"/>
          <w:szCs w:val="24"/>
        </w:rPr>
        <w:t>indicateur</w:t>
      </w:r>
      <w:r w:rsidR="004160D7" w:rsidRPr="007E7C5B">
        <w:rPr>
          <w:rFonts w:ascii="Arial Narrow" w:hAnsi="Arial Narrow" w:cs="Arial"/>
          <w:b/>
          <w:sz w:val="24"/>
          <w:szCs w:val="24"/>
        </w:rPr>
        <w:t>s</w:t>
      </w:r>
      <w:r w:rsidR="00ED3571" w:rsidRPr="007E7C5B">
        <w:rPr>
          <w:rFonts w:ascii="Arial Narrow" w:hAnsi="Arial Narrow" w:cs="Arial"/>
          <w:b/>
          <w:sz w:val="24"/>
          <w:szCs w:val="24"/>
        </w:rPr>
        <w:t xml:space="preserve"> sur </w:t>
      </w:r>
      <w:r w:rsidR="005C5956" w:rsidRPr="007E7C5B">
        <w:rPr>
          <w:rFonts w:ascii="Arial Narrow" w:hAnsi="Arial Narrow" w:cs="Arial"/>
          <w:b/>
          <w:sz w:val="24"/>
          <w:szCs w:val="24"/>
        </w:rPr>
        <w:t xml:space="preserve">dix </w:t>
      </w:r>
      <w:r w:rsidR="004160D7" w:rsidRPr="007E7C5B">
        <w:rPr>
          <w:rFonts w:ascii="Arial Narrow" w:hAnsi="Arial Narrow" w:cs="Arial"/>
          <w:bCs/>
          <w:sz w:val="24"/>
          <w:szCs w:val="24"/>
        </w:rPr>
        <w:t>ont</w:t>
      </w:r>
      <w:r w:rsidR="004160D7" w:rsidRPr="007E7C5B">
        <w:rPr>
          <w:rFonts w:ascii="Arial Narrow" w:hAnsi="Arial Narrow" w:cs="Arial"/>
          <w:b/>
          <w:sz w:val="24"/>
          <w:szCs w:val="24"/>
        </w:rPr>
        <w:t xml:space="preserve"> </w:t>
      </w:r>
      <w:r w:rsidR="00ED3571" w:rsidRPr="007E7C5B">
        <w:rPr>
          <w:rFonts w:ascii="Arial Narrow" w:hAnsi="Arial Narrow" w:cs="Arial"/>
          <w:bCs/>
          <w:sz w:val="24"/>
          <w:szCs w:val="24"/>
        </w:rPr>
        <w:t>atteint</w:t>
      </w:r>
      <w:r w:rsidR="00ED3571" w:rsidRPr="007E7C5B" w:rsidDel="004160D7">
        <w:rPr>
          <w:rFonts w:ascii="Arial Narrow" w:hAnsi="Arial Narrow" w:cs="Arial"/>
          <w:sz w:val="24"/>
          <w:szCs w:val="24"/>
        </w:rPr>
        <w:t xml:space="preserve"> </w:t>
      </w:r>
      <w:r w:rsidR="004160D7" w:rsidRPr="007E7C5B">
        <w:rPr>
          <w:rFonts w:ascii="Arial Narrow" w:hAnsi="Arial Narrow" w:cs="Arial"/>
          <w:sz w:val="24"/>
          <w:szCs w:val="24"/>
        </w:rPr>
        <w:t xml:space="preserve">leur </w:t>
      </w:r>
      <w:r w:rsidR="00ED3571" w:rsidRPr="007E7C5B">
        <w:rPr>
          <w:rFonts w:ascii="Arial Narrow" w:hAnsi="Arial Narrow" w:cs="Arial"/>
          <w:sz w:val="24"/>
          <w:szCs w:val="24"/>
        </w:rPr>
        <w:t>cible</w:t>
      </w:r>
      <w:r w:rsidR="002450E3" w:rsidRPr="007E7C5B">
        <w:rPr>
          <w:rFonts w:ascii="Arial Narrow" w:hAnsi="Arial Narrow" w:cs="Arial"/>
          <w:sz w:val="24"/>
          <w:szCs w:val="24"/>
        </w:rPr>
        <w:t>.</w:t>
      </w:r>
      <w:r w:rsidR="00D60364" w:rsidRPr="007E7C5B">
        <w:rPr>
          <w:rFonts w:ascii="Arial Narrow" w:hAnsi="Arial Narrow" w:cs="Arial"/>
          <w:sz w:val="24"/>
          <w:szCs w:val="24"/>
        </w:rPr>
        <w:t xml:space="preserve"> </w:t>
      </w:r>
      <w:r w:rsidR="0071485F" w:rsidRPr="007E7C5B">
        <w:rPr>
          <w:rFonts w:ascii="Arial Narrow" w:hAnsi="Arial Narrow" w:cs="Arial"/>
          <w:sz w:val="24"/>
          <w:szCs w:val="24"/>
        </w:rPr>
        <w:t xml:space="preserve">Dans le détail, les progrès </w:t>
      </w:r>
      <w:r w:rsidR="00130970" w:rsidRPr="007E7C5B">
        <w:rPr>
          <w:rFonts w:ascii="Arial Narrow" w:hAnsi="Arial Narrow" w:cs="Arial"/>
          <w:sz w:val="24"/>
          <w:szCs w:val="24"/>
        </w:rPr>
        <w:t xml:space="preserve">notables ci-dessous sont à noter. </w:t>
      </w:r>
    </w:p>
    <w:p w14:paraId="3FB8AD34" w14:textId="77777777" w:rsidR="00D42568" w:rsidRPr="007E7C5B" w:rsidRDefault="00D42568" w:rsidP="00761F55">
      <w:pPr>
        <w:pStyle w:val="Titre4"/>
        <w:jc w:val="both"/>
        <w:rPr>
          <w:rFonts w:ascii="Arial Narrow" w:hAnsi="Arial Narrow" w:cs="Arial"/>
          <w:b/>
          <w:sz w:val="24"/>
          <w:szCs w:val="24"/>
        </w:rPr>
      </w:pPr>
      <w:bookmarkStart w:id="51" w:name="_Toc178699560"/>
      <w:r w:rsidRPr="007E7C5B">
        <w:rPr>
          <w:rFonts w:ascii="Arial Narrow" w:hAnsi="Arial Narrow" w:cs="Arial"/>
          <w:b/>
          <w:sz w:val="24"/>
          <w:szCs w:val="24"/>
        </w:rPr>
        <w:t>Axe 1 : Amélioration de la gouvernance et du financement de la Santé</w:t>
      </w:r>
    </w:p>
    <w:p w14:paraId="6EDE706A" w14:textId="31BBF6FA" w:rsidR="001E533E" w:rsidRPr="007E7C5B" w:rsidRDefault="00A27F84" w:rsidP="00761F55">
      <w:pPr>
        <w:jc w:val="both"/>
        <w:rPr>
          <w:rFonts w:ascii="Arial Narrow" w:hAnsi="Arial Narrow" w:cs="Arial"/>
          <w:sz w:val="24"/>
          <w:szCs w:val="24"/>
        </w:rPr>
      </w:pPr>
      <w:r w:rsidRPr="007E7C5B">
        <w:rPr>
          <w:rFonts w:ascii="Arial Narrow" w:hAnsi="Arial Narrow" w:cs="Arial"/>
          <w:sz w:val="24"/>
          <w:szCs w:val="24"/>
        </w:rPr>
        <w:t xml:space="preserve">Pour la période </w:t>
      </w:r>
      <w:r w:rsidR="009E3475" w:rsidRPr="007E7C5B">
        <w:rPr>
          <w:rFonts w:ascii="Arial Narrow" w:hAnsi="Arial Narrow" w:cs="Arial"/>
          <w:sz w:val="24"/>
          <w:szCs w:val="24"/>
        </w:rPr>
        <w:t>2021-2025</w:t>
      </w:r>
      <w:r w:rsidR="001E533E" w:rsidRPr="007E7C5B">
        <w:rPr>
          <w:rFonts w:ascii="Arial Narrow" w:hAnsi="Arial Narrow" w:cs="Arial"/>
          <w:sz w:val="24"/>
          <w:szCs w:val="24"/>
        </w:rPr>
        <w:t xml:space="preserve">, le </w:t>
      </w:r>
      <w:r w:rsidR="005B4489" w:rsidRPr="007E7C5B">
        <w:rPr>
          <w:rFonts w:ascii="Arial Narrow" w:hAnsi="Arial Narrow" w:cs="Arial"/>
          <w:sz w:val="24"/>
          <w:szCs w:val="24"/>
        </w:rPr>
        <w:t>MSHPCMU</w:t>
      </w:r>
      <w:r w:rsidR="001E533E" w:rsidRPr="007E7C5B">
        <w:rPr>
          <w:rFonts w:ascii="Arial Narrow" w:hAnsi="Arial Narrow" w:cs="Arial"/>
          <w:sz w:val="24"/>
          <w:szCs w:val="24"/>
        </w:rPr>
        <w:t xml:space="preserve"> </w:t>
      </w:r>
      <w:r w:rsidR="001658D6" w:rsidRPr="007E7C5B">
        <w:rPr>
          <w:rFonts w:ascii="Arial Narrow" w:hAnsi="Arial Narrow" w:cs="Arial"/>
          <w:sz w:val="24"/>
          <w:szCs w:val="24"/>
        </w:rPr>
        <w:t xml:space="preserve">entend </w:t>
      </w:r>
      <w:r w:rsidR="00147D97" w:rsidRPr="007E7C5B">
        <w:rPr>
          <w:rFonts w:ascii="Arial Narrow" w:hAnsi="Arial Narrow" w:cs="Arial"/>
          <w:sz w:val="24"/>
          <w:szCs w:val="24"/>
        </w:rPr>
        <w:t>améliorer la gouvernance</w:t>
      </w:r>
      <w:r w:rsidR="000054A9" w:rsidRPr="007E7C5B">
        <w:rPr>
          <w:rFonts w:ascii="Arial Narrow" w:hAnsi="Arial Narrow" w:cs="Arial"/>
          <w:sz w:val="24"/>
          <w:szCs w:val="24"/>
        </w:rPr>
        <w:t xml:space="preserve"> et le financement de la santé</w:t>
      </w:r>
      <w:r w:rsidR="00F3446F" w:rsidRPr="007E7C5B">
        <w:rPr>
          <w:rFonts w:ascii="Arial Narrow" w:hAnsi="Arial Narrow" w:cs="Arial"/>
          <w:sz w:val="24"/>
          <w:szCs w:val="24"/>
        </w:rPr>
        <w:t xml:space="preserve">, et </w:t>
      </w:r>
      <w:r w:rsidR="009B5B8D" w:rsidRPr="007E7C5B">
        <w:rPr>
          <w:rFonts w:ascii="Arial Narrow" w:hAnsi="Arial Narrow" w:cs="Arial"/>
          <w:sz w:val="24"/>
          <w:szCs w:val="24"/>
        </w:rPr>
        <w:t>renforcer la planification</w:t>
      </w:r>
      <w:r w:rsidR="000054A9" w:rsidRPr="007E7C5B">
        <w:rPr>
          <w:rFonts w:ascii="Arial Narrow" w:hAnsi="Arial Narrow" w:cs="Arial"/>
          <w:sz w:val="24"/>
          <w:szCs w:val="24"/>
        </w:rPr>
        <w:t>, le</w:t>
      </w:r>
      <w:r w:rsidR="0098446B">
        <w:rPr>
          <w:rFonts w:ascii="Arial Narrow" w:hAnsi="Arial Narrow" w:cs="Arial"/>
          <w:sz w:val="24"/>
          <w:szCs w:val="24"/>
        </w:rPr>
        <w:t xml:space="preserve"> </w:t>
      </w:r>
      <w:r w:rsidR="009B5B8D" w:rsidRPr="007E7C5B">
        <w:rPr>
          <w:rFonts w:ascii="Arial Narrow" w:hAnsi="Arial Narrow" w:cs="Arial"/>
          <w:sz w:val="24"/>
          <w:szCs w:val="24"/>
        </w:rPr>
        <w:t>suivi-évaluation et la gestion de</w:t>
      </w:r>
      <w:r w:rsidR="007F56CB" w:rsidRPr="007E7C5B">
        <w:rPr>
          <w:rFonts w:ascii="Arial Narrow" w:hAnsi="Arial Narrow" w:cs="Arial"/>
          <w:sz w:val="24"/>
          <w:szCs w:val="24"/>
        </w:rPr>
        <w:t xml:space="preserve"> l’information</w:t>
      </w:r>
      <w:r w:rsidR="000054A9" w:rsidRPr="007E7C5B">
        <w:rPr>
          <w:rFonts w:ascii="Arial Narrow" w:hAnsi="Arial Narrow" w:cs="Arial"/>
          <w:sz w:val="24"/>
          <w:szCs w:val="24"/>
        </w:rPr>
        <w:t xml:space="preserve"> sanitaire</w:t>
      </w:r>
      <w:r w:rsidR="007F56CB" w:rsidRPr="007E7C5B">
        <w:rPr>
          <w:rFonts w:ascii="Arial Narrow" w:hAnsi="Arial Narrow" w:cs="Arial"/>
          <w:sz w:val="24"/>
          <w:szCs w:val="24"/>
        </w:rPr>
        <w:t xml:space="preserve"> </w:t>
      </w:r>
      <w:r w:rsidR="000054A9" w:rsidRPr="007E7C5B">
        <w:rPr>
          <w:rFonts w:ascii="Arial Narrow" w:hAnsi="Arial Narrow" w:cs="Arial"/>
          <w:sz w:val="24"/>
          <w:szCs w:val="24"/>
        </w:rPr>
        <w:t xml:space="preserve">pour </w:t>
      </w:r>
      <w:r w:rsidR="007F56CB" w:rsidRPr="007E7C5B">
        <w:rPr>
          <w:rFonts w:ascii="Arial Narrow" w:hAnsi="Arial Narrow" w:cs="Arial"/>
          <w:sz w:val="24"/>
          <w:szCs w:val="24"/>
        </w:rPr>
        <w:t>la prise de décision.</w:t>
      </w:r>
      <w:r w:rsidR="00707185" w:rsidRPr="007E7C5B">
        <w:rPr>
          <w:rFonts w:ascii="Arial Narrow" w:hAnsi="Arial Narrow" w:cs="Arial"/>
          <w:sz w:val="24"/>
          <w:szCs w:val="24"/>
        </w:rPr>
        <w:t xml:space="preserve"> </w:t>
      </w:r>
      <w:r w:rsidR="006003A9" w:rsidRPr="007E7C5B">
        <w:rPr>
          <w:rFonts w:ascii="Arial Narrow" w:hAnsi="Arial Narrow" w:cs="Arial"/>
          <w:sz w:val="24"/>
          <w:szCs w:val="24"/>
        </w:rPr>
        <w:t>D</w:t>
      </w:r>
      <w:r w:rsidR="001E533E" w:rsidRPr="007E7C5B">
        <w:rPr>
          <w:rFonts w:ascii="Arial Narrow" w:hAnsi="Arial Narrow" w:cs="Arial"/>
          <w:sz w:val="24"/>
          <w:szCs w:val="24"/>
        </w:rPr>
        <w:t>ifférentes actions ont été entreprises entre 2021 et 2023, dont les principales sont</w:t>
      </w:r>
      <w:r w:rsidR="00805CED" w:rsidRPr="007E7C5B">
        <w:rPr>
          <w:rFonts w:ascii="Arial Narrow" w:hAnsi="Arial Narrow" w:cs="Arial"/>
          <w:sz w:val="24"/>
          <w:szCs w:val="24"/>
        </w:rPr>
        <w:t xml:space="preserve"> </w:t>
      </w:r>
      <w:r w:rsidR="001E533E" w:rsidRPr="007E7C5B">
        <w:rPr>
          <w:rFonts w:ascii="Arial Narrow" w:hAnsi="Arial Narrow" w:cs="Arial"/>
          <w:sz w:val="24"/>
          <w:szCs w:val="24"/>
        </w:rPr>
        <w:t>:</w:t>
      </w:r>
    </w:p>
    <w:p w14:paraId="0DDF8D27" w14:textId="768C017A" w:rsidR="001E533E" w:rsidRPr="007E7C5B" w:rsidRDefault="001E533E" w:rsidP="00AA7D22">
      <w:pPr>
        <w:pStyle w:val="Titre5"/>
        <w:shd w:val="clear" w:color="auto" w:fill="FBE4D5" w:themeFill="accent2" w:themeFillTint="33"/>
        <w:jc w:val="both"/>
        <w:rPr>
          <w:rFonts w:ascii="Arial Narrow" w:hAnsi="Arial Narrow"/>
          <w:b/>
          <w:sz w:val="24"/>
          <w:szCs w:val="24"/>
        </w:rPr>
      </w:pPr>
      <w:r w:rsidRPr="007E7C5B">
        <w:rPr>
          <w:rFonts w:ascii="Arial Narrow" w:hAnsi="Arial Narrow"/>
          <w:b/>
          <w:color w:val="auto"/>
          <w:sz w:val="24"/>
          <w:szCs w:val="24"/>
        </w:rPr>
        <w:t>Élaboration et mise en œuvre des politiques, normes et règlements</w:t>
      </w:r>
    </w:p>
    <w:p w14:paraId="622AEEB4" w14:textId="6BA73C5D" w:rsidR="001E533E" w:rsidRPr="007E7C5B" w:rsidRDefault="006E5AF3" w:rsidP="00761F55">
      <w:pPr>
        <w:jc w:val="both"/>
        <w:rPr>
          <w:rFonts w:ascii="Arial Narrow" w:eastAsia="Times New Roman" w:hAnsi="Arial Narrow" w:cs="Arial"/>
          <w:iCs/>
          <w:kern w:val="0"/>
          <w:sz w:val="24"/>
          <w:szCs w:val="24"/>
          <w:lang w:eastAsia="fr-FR"/>
          <w14:ligatures w14:val="none"/>
        </w:rPr>
      </w:pPr>
      <w:r w:rsidRPr="007E7C5B">
        <w:rPr>
          <w:rFonts w:ascii="Arial Narrow" w:eastAsia="Times New Roman" w:hAnsi="Arial Narrow" w:cs="Arial"/>
          <w:iCs/>
          <w:kern w:val="0"/>
          <w:sz w:val="24"/>
          <w:szCs w:val="24"/>
          <w:lang w:eastAsia="fr-FR"/>
          <w14:ligatures w14:val="none"/>
        </w:rPr>
        <w:t xml:space="preserve">A </w:t>
      </w:r>
      <w:r w:rsidR="00655513" w:rsidRPr="007E7C5B">
        <w:rPr>
          <w:rFonts w:ascii="Arial Narrow" w:eastAsia="Times New Roman" w:hAnsi="Arial Narrow" w:cs="Arial"/>
          <w:iCs/>
          <w:kern w:val="0"/>
          <w:sz w:val="24"/>
          <w:szCs w:val="24"/>
          <w:lang w:eastAsia="fr-FR"/>
          <w14:ligatures w14:val="none"/>
        </w:rPr>
        <w:t>ce</w:t>
      </w:r>
      <w:r w:rsidRPr="007E7C5B">
        <w:rPr>
          <w:rFonts w:ascii="Arial Narrow" w:eastAsia="Times New Roman" w:hAnsi="Arial Narrow" w:cs="Arial"/>
          <w:iCs/>
          <w:kern w:val="0"/>
          <w:sz w:val="24"/>
          <w:szCs w:val="24"/>
          <w:lang w:eastAsia="fr-FR"/>
          <w14:ligatures w14:val="none"/>
        </w:rPr>
        <w:t xml:space="preserve"> titre, le </w:t>
      </w:r>
      <w:r w:rsidR="005B4489" w:rsidRPr="007E7C5B">
        <w:rPr>
          <w:rFonts w:ascii="Arial Narrow" w:eastAsia="Times New Roman" w:hAnsi="Arial Narrow" w:cs="Arial"/>
          <w:iCs/>
          <w:kern w:val="0"/>
          <w:sz w:val="24"/>
          <w:szCs w:val="24"/>
          <w:lang w:eastAsia="fr-FR"/>
          <w14:ligatures w14:val="none"/>
        </w:rPr>
        <w:t>MSHPCMU</w:t>
      </w:r>
      <w:r w:rsidR="001E533E" w:rsidRPr="007E7C5B">
        <w:rPr>
          <w:rFonts w:ascii="Arial Narrow" w:eastAsia="Times New Roman" w:hAnsi="Arial Narrow" w:cs="Arial"/>
          <w:kern w:val="0"/>
          <w:sz w:val="24"/>
          <w:szCs w:val="24"/>
          <w:lang w:eastAsia="fr-FR"/>
          <w14:ligatures w14:val="none"/>
        </w:rPr>
        <w:t xml:space="preserve"> s’est engagé à renforcer les capacités du système de santé dans l’élaboration et la mise en œuvre des politiques, normes et règlements. </w:t>
      </w:r>
      <w:r w:rsidR="006C05E8" w:rsidRPr="007E7C5B">
        <w:rPr>
          <w:rFonts w:ascii="Arial Narrow" w:eastAsia="Times New Roman" w:hAnsi="Arial Narrow" w:cs="Arial"/>
          <w:iCs/>
          <w:kern w:val="0"/>
          <w:sz w:val="24"/>
          <w:szCs w:val="24"/>
          <w:lang w:eastAsia="fr-FR"/>
          <w14:ligatures w14:val="none"/>
        </w:rPr>
        <w:t xml:space="preserve">Cela via </w:t>
      </w:r>
      <w:r w:rsidR="001E533E" w:rsidRPr="00A918AC">
        <w:rPr>
          <w:rFonts w:ascii="Arial Narrow" w:eastAsia="Times New Roman" w:hAnsi="Arial Narrow" w:cs="Arial"/>
          <w:i/>
          <w:kern w:val="0"/>
          <w:sz w:val="24"/>
          <w:szCs w:val="24"/>
          <w:lang w:eastAsia="fr-FR"/>
          <w14:ligatures w14:val="none"/>
        </w:rPr>
        <w:t>(i)</w:t>
      </w:r>
      <w:r w:rsidR="001E533E" w:rsidRPr="007E7C5B">
        <w:rPr>
          <w:rFonts w:ascii="Arial Narrow" w:eastAsia="Times New Roman" w:hAnsi="Arial Narrow" w:cs="Arial"/>
          <w:iCs/>
          <w:kern w:val="0"/>
          <w:sz w:val="24"/>
          <w:szCs w:val="24"/>
          <w:lang w:eastAsia="fr-FR"/>
          <w14:ligatures w14:val="none"/>
        </w:rPr>
        <w:t xml:space="preserve"> </w:t>
      </w:r>
      <w:r w:rsidR="001E533E" w:rsidRPr="007E7C5B">
        <w:rPr>
          <w:rFonts w:ascii="Arial Narrow" w:eastAsia="Times New Roman" w:hAnsi="Arial Narrow" w:cs="Arial"/>
          <w:kern w:val="0"/>
          <w:sz w:val="24"/>
          <w:szCs w:val="24"/>
          <w:lang w:eastAsia="fr-FR"/>
          <w14:ligatures w14:val="none"/>
        </w:rPr>
        <w:t xml:space="preserve">le renforcement du cadre législatif, réglementaire, institutionnel et organisationnel du secteur de la santé </w:t>
      </w:r>
      <w:r w:rsidR="006C05E8" w:rsidRPr="007E7C5B">
        <w:rPr>
          <w:rFonts w:ascii="Arial Narrow" w:eastAsia="Times New Roman" w:hAnsi="Arial Narrow" w:cs="Arial"/>
          <w:iCs/>
          <w:kern w:val="0"/>
          <w:sz w:val="24"/>
          <w:szCs w:val="24"/>
          <w:lang w:eastAsia="fr-FR"/>
          <w14:ligatures w14:val="none"/>
        </w:rPr>
        <w:t xml:space="preserve">et </w:t>
      </w:r>
      <w:r w:rsidR="001E533E" w:rsidRPr="00A918AC">
        <w:rPr>
          <w:rFonts w:ascii="Arial Narrow" w:eastAsia="Times New Roman" w:hAnsi="Arial Narrow" w:cs="Arial"/>
          <w:i/>
          <w:kern w:val="0"/>
          <w:sz w:val="24"/>
          <w:szCs w:val="24"/>
          <w:lang w:eastAsia="fr-FR"/>
          <w14:ligatures w14:val="none"/>
        </w:rPr>
        <w:t>(ii)</w:t>
      </w:r>
      <w:r w:rsidR="001E533E" w:rsidRPr="007E7C5B" w:rsidDel="007F28C9">
        <w:rPr>
          <w:rFonts w:ascii="Arial Narrow" w:eastAsia="Times New Roman" w:hAnsi="Arial Narrow" w:cs="Arial"/>
          <w:kern w:val="0"/>
          <w:sz w:val="24"/>
          <w:szCs w:val="24"/>
          <w:lang w:eastAsia="fr-FR"/>
          <w14:ligatures w14:val="none"/>
        </w:rPr>
        <w:t xml:space="preserve"> </w:t>
      </w:r>
      <w:r w:rsidR="001E533E" w:rsidRPr="007E7C5B">
        <w:rPr>
          <w:rFonts w:ascii="Arial Narrow" w:eastAsia="Times New Roman" w:hAnsi="Arial Narrow" w:cs="Arial"/>
          <w:kern w:val="0"/>
          <w:sz w:val="24"/>
          <w:szCs w:val="24"/>
          <w:lang w:eastAsia="fr-FR"/>
          <w14:ligatures w14:val="none"/>
        </w:rPr>
        <w:t>le renforce</w:t>
      </w:r>
      <w:r w:rsidR="00805CED" w:rsidRPr="007E7C5B">
        <w:rPr>
          <w:rFonts w:ascii="Arial Narrow" w:eastAsia="Times New Roman" w:hAnsi="Arial Narrow" w:cs="Arial"/>
          <w:kern w:val="0"/>
          <w:sz w:val="24"/>
          <w:szCs w:val="24"/>
          <w:lang w:eastAsia="fr-FR"/>
          <w14:ligatures w14:val="none"/>
        </w:rPr>
        <w:t>ment</w:t>
      </w:r>
      <w:r w:rsidR="001E533E" w:rsidRPr="007E7C5B">
        <w:rPr>
          <w:rFonts w:ascii="Arial Narrow" w:eastAsia="Times New Roman" w:hAnsi="Arial Narrow" w:cs="Arial"/>
          <w:kern w:val="0"/>
          <w:sz w:val="24"/>
          <w:szCs w:val="24"/>
          <w:lang w:eastAsia="fr-FR"/>
          <w14:ligatures w14:val="none"/>
        </w:rPr>
        <w:t xml:space="preserve"> des mécanismes de diffusion et d’archivage des textes règlementaires et normatifs du secteur de la santé</w:t>
      </w:r>
      <w:r w:rsidR="00C90B75" w:rsidRPr="007E7C5B">
        <w:rPr>
          <w:rFonts w:ascii="Arial Narrow" w:eastAsia="Times New Roman" w:hAnsi="Arial Narrow" w:cs="Arial"/>
          <w:kern w:val="0"/>
          <w:sz w:val="24"/>
          <w:szCs w:val="24"/>
          <w:lang w:eastAsia="fr-FR"/>
          <w14:ligatures w14:val="none"/>
        </w:rPr>
        <w:t>.</w:t>
      </w:r>
      <w:r w:rsidR="001E533E" w:rsidRPr="007E7C5B">
        <w:rPr>
          <w:rFonts w:ascii="Arial Narrow" w:eastAsia="Times New Roman" w:hAnsi="Arial Narrow" w:cs="Arial"/>
          <w:kern w:val="0"/>
          <w:sz w:val="24"/>
          <w:szCs w:val="24"/>
          <w:lang w:eastAsia="fr-FR"/>
          <w14:ligatures w14:val="none"/>
        </w:rPr>
        <w:t xml:space="preserve"> </w:t>
      </w:r>
    </w:p>
    <w:p w14:paraId="6C4FB372" w14:textId="48C69962" w:rsidR="007569D1" w:rsidRPr="007E7C5B" w:rsidRDefault="007569D1" w:rsidP="00A918AC">
      <w:pPr>
        <w:jc w:val="both"/>
        <w:rPr>
          <w:rFonts w:ascii="Arial Narrow" w:hAnsi="Arial Narrow" w:cs="Arial"/>
          <w:sz w:val="24"/>
          <w:szCs w:val="24"/>
        </w:rPr>
      </w:pPr>
      <w:r w:rsidRPr="007E7C5B">
        <w:rPr>
          <w:rFonts w:ascii="Arial Narrow" w:hAnsi="Arial Narrow" w:cs="Arial"/>
          <w:sz w:val="24"/>
          <w:szCs w:val="24"/>
        </w:rPr>
        <w:t xml:space="preserve">Plusieurs dispositions légales et règlementaires ont été adoptées pour contribuer à renforcer l’éthique et le professionnalisme au niveau du personnel de santé : </w:t>
      </w:r>
      <w:r w:rsidRPr="00A918AC">
        <w:rPr>
          <w:rFonts w:ascii="Arial Narrow" w:hAnsi="Arial Narrow" w:cs="Arial"/>
          <w:i/>
          <w:sz w:val="24"/>
          <w:szCs w:val="24"/>
        </w:rPr>
        <w:t>(i)</w:t>
      </w:r>
      <w:r w:rsidRPr="007E7C5B">
        <w:rPr>
          <w:rFonts w:ascii="Arial Narrow" w:hAnsi="Arial Narrow" w:cs="Arial"/>
          <w:sz w:val="24"/>
          <w:szCs w:val="24"/>
        </w:rPr>
        <w:t xml:space="preserve"> la loi n°2024-240 du 24 avril 2024 portant exercice de la médecine ; </w:t>
      </w:r>
      <w:r w:rsidRPr="00A918AC">
        <w:rPr>
          <w:rFonts w:ascii="Arial Narrow" w:hAnsi="Arial Narrow" w:cs="Arial"/>
          <w:i/>
          <w:sz w:val="24"/>
          <w:szCs w:val="24"/>
        </w:rPr>
        <w:t>(ii)</w:t>
      </w:r>
      <w:r w:rsidRPr="007E7C5B">
        <w:rPr>
          <w:rFonts w:ascii="Arial Narrow" w:hAnsi="Arial Narrow" w:cs="Arial"/>
          <w:sz w:val="24"/>
          <w:szCs w:val="24"/>
        </w:rPr>
        <w:t xml:space="preserve"> la loi n°2024-241 du 24 avril 2024 portant organisation et fonctionnement de l’Ordre National des Chirurgiens-Dentistes de Côte d’Ivoire ainsi que les </w:t>
      </w:r>
      <w:r w:rsidR="00F87AD6">
        <w:rPr>
          <w:rFonts w:ascii="Arial Narrow" w:hAnsi="Arial Narrow" w:cs="Arial"/>
          <w:sz w:val="24"/>
          <w:szCs w:val="24"/>
        </w:rPr>
        <w:t>p</w:t>
      </w:r>
      <w:r w:rsidRPr="007E7C5B">
        <w:rPr>
          <w:rFonts w:ascii="Arial Narrow" w:hAnsi="Arial Narrow" w:cs="Arial"/>
          <w:sz w:val="24"/>
          <w:szCs w:val="24"/>
        </w:rPr>
        <w:t>rojet</w:t>
      </w:r>
      <w:r w:rsidR="00F87AD6">
        <w:rPr>
          <w:rFonts w:ascii="Arial Narrow" w:hAnsi="Arial Narrow" w:cs="Arial"/>
          <w:sz w:val="24"/>
          <w:szCs w:val="24"/>
        </w:rPr>
        <w:t>s</w:t>
      </w:r>
      <w:r w:rsidRPr="007E7C5B">
        <w:rPr>
          <w:rFonts w:ascii="Arial Narrow" w:hAnsi="Arial Narrow" w:cs="Arial"/>
          <w:sz w:val="24"/>
          <w:szCs w:val="24"/>
        </w:rPr>
        <w:t xml:space="preserve"> de </w:t>
      </w:r>
      <w:r w:rsidR="00F87AD6">
        <w:rPr>
          <w:rFonts w:ascii="Arial Narrow" w:hAnsi="Arial Narrow" w:cs="Arial"/>
          <w:sz w:val="24"/>
          <w:szCs w:val="24"/>
        </w:rPr>
        <w:t>L</w:t>
      </w:r>
      <w:r w:rsidRPr="007E7C5B">
        <w:rPr>
          <w:rFonts w:ascii="Arial Narrow" w:hAnsi="Arial Narrow" w:cs="Arial"/>
          <w:sz w:val="24"/>
          <w:szCs w:val="24"/>
        </w:rPr>
        <w:t xml:space="preserve">oi portant code de déontologie ; </w:t>
      </w:r>
      <w:r w:rsidRPr="00A918AC">
        <w:rPr>
          <w:rFonts w:ascii="Arial Narrow" w:hAnsi="Arial Narrow" w:cs="Arial"/>
          <w:i/>
          <w:sz w:val="24"/>
          <w:szCs w:val="24"/>
        </w:rPr>
        <w:t>(iii)</w:t>
      </w:r>
      <w:r w:rsidRPr="007E7C5B">
        <w:rPr>
          <w:rFonts w:ascii="Arial Narrow" w:hAnsi="Arial Narrow" w:cs="Arial"/>
          <w:sz w:val="24"/>
          <w:szCs w:val="24"/>
        </w:rPr>
        <w:t xml:space="preserve"> la loi 2022-794 du 13 Octobre 2022 portant création, attribution, organisation et fonctionnement de l’ordre national des infirmiers et infirmières de Côte d’Ivoire et </w:t>
      </w:r>
      <w:r w:rsidRPr="00A918AC">
        <w:rPr>
          <w:rFonts w:ascii="Arial Narrow" w:hAnsi="Arial Narrow" w:cs="Arial"/>
          <w:i/>
          <w:sz w:val="24"/>
          <w:szCs w:val="24"/>
        </w:rPr>
        <w:t>(vi)</w:t>
      </w:r>
      <w:r w:rsidRPr="007E7C5B">
        <w:rPr>
          <w:rFonts w:ascii="Arial Narrow" w:hAnsi="Arial Narrow" w:cs="Arial"/>
          <w:sz w:val="24"/>
          <w:szCs w:val="24"/>
        </w:rPr>
        <w:t xml:space="preserve"> les codes portant déontologie et exercice des différentes professions. C’est une première et une avancée majeure pour les corps des </w:t>
      </w:r>
      <w:r w:rsidR="000054A9" w:rsidRPr="007E7C5B">
        <w:rPr>
          <w:rFonts w:ascii="Arial Narrow" w:hAnsi="Arial Narrow" w:cs="Arial"/>
          <w:sz w:val="24"/>
          <w:szCs w:val="24"/>
        </w:rPr>
        <w:t>i</w:t>
      </w:r>
      <w:r w:rsidRPr="007E7C5B">
        <w:rPr>
          <w:rFonts w:ascii="Arial Narrow" w:hAnsi="Arial Narrow" w:cs="Arial"/>
          <w:sz w:val="24"/>
          <w:szCs w:val="24"/>
        </w:rPr>
        <w:t xml:space="preserve">nfirmiers et </w:t>
      </w:r>
      <w:r w:rsidR="000054A9" w:rsidRPr="007E7C5B">
        <w:rPr>
          <w:rFonts w:ascii="Arial Narrow" w:hAnsi="Arial Narrow" w:cs="Arial"/>
          <w:sz w:val="24"/>
          <w:szCs w:val="24"/>
        </w:rPr>
        <w:t>i</w:t>
      </w:r>
      <w:r w:rsidRPr="007E7C5B">
        <w:rPr>
          <w:rFonts w:ascii="Arial Narrow" w:hAnsi="Arial Narrow" w:cs="Arial"/>
          <w:sz w:val="24"/>
          <w:szCs w:val="24"/>
        </w:rPr>
        <w:t xml:space="preserve">nfirmières et </w:t>
      </w:r>
      <w:proofErr w:type="spellStart"/>
      <w:r w:rsidR="0098446B" w:rsidRPr="007E7C5B">
        <w:rPr>
          <w:rFonts w:ascii="Arial Narrow" w:hAnsi="Arial Narrow" w:cs="Arial"/>
          <w:sz w:val="24"/>
          <w:szCs w:val="24"/>
        </w:rPr>
        <w:t>sage</w:t>
      </w:r>
      <w:r w:rsidR="00F87AD6">
        <w:rPr>
          <w:rFonts w:ascii="Arial Narrow" w:hAnsi="Arial Narrow" w:cs="Arial"/>
          <w:sz w:val="24"/>
          <w:szCs w:val="24"/>
        </w:rPr>
        <w:t>s</w:t>
      </w:r>
      <w:r w:rsidR="0098446B" w:rsidRPr="007E7C5B">
        <w:rPr>
          <w:rFonts w:ascii="Arial Narrow" w:hAnsi="Arial Narrow" w:cs="Arial"/>
          <w:sz w:val="24"/>
          <w:szCs w:val="24"/>
        </w:rPr>
        <w:t>-femmes</w:t>
      </w:r>
      <w:proofErr w:type="spellEnd"/>
      <w:r w:rsidRPr="007E7C5B">
        <w:rPr>
          <w:rFonts w:ascii="Arial Narrow" w:hAnsi="Arial Narrow" w:cs="Arial"/>
          <w:sz w:val="24"/>
          <w:szCs w:val="24"/>
        </w:rPr>
        <w:t xml:space="preserve"> qui représentent plus de 54% du personnel de santé.</w:t>
      </w:r>
    </w:p>
    <w:p w14:paraId="4F77F451" w14:textId="3085D6F1" w:rsidR="001E533E" w:rsidRDefault="007569D1" w:rsidP="00A5607A">
      <w:pPr>
        <w:shd w:val="clear" w:color="auto" w:fill="FFFFFF"/>
        <w:spacing w:before="120" w:after="80" w:line="240" w:lineRule="auto"/>
        <w:jc w:val="both"/>
        <w:rPr>
          <w:rFonts w:ascii="Arial Narrow" w:eastAsia="Times New Roman" w:hAnsi="Arial Narrow" w:cs="Segoe UI"/>
          <w:color w:val="000000"/>
          <w:kern w:val="0"/>
          <w:sz w:val="24"/>
          <w:szCs w:val="24"/>
          <w:lang w:eastAsia="fr-FR"/>
          <w14:ligatures w14:val="none"/>
        </w:rPr>
      </w:pPr>
      <w:r w:rsidRPr="00A918AC">
        <w:rPr>
          <w:rFonts w:ascii="Arial Narrow" w:eastAsia="Times New Roman" w:hAnsi="Arial Narrow" w:cs="Segoe UI"/>
          <w:color w:val="000000"/>
          <w:kern w:val="0"/>
          <w:sz w:val="24"/>
          <w:szCs w:val="24"/>
          <w:lang w:eastAsia="fr-FR"/>
          <w14:ligatures w14:val="none"/>
        </w:rPr>
        <w:t xml:space="preserve">Dans le cadre du renforcement de l’application des mesures de radioprotection, le MSHPCMU a pris trois arrêtés : </w:t>
      </w:r>
      <w:r w:rsidRPr="00A918AC">
        <w:rPr>
          <w:rFonts w:ascii="Arial Narrow" w:eastAsia="Times New Roman" w:hAnsi="Arial Narrow" w:cs="Segoe UI"/>
          <w:i/>
          <w:color w:val="000000"/>
          <w:kern w:val="0"/>
          <w:sz w:val="24"/>
          <w:szCs w:val="24"/>
          <w:lang w:eastAsia="fr-FR"/>
          <w14:ligatures w14:val="none"/>
        </w:rPr>
        <w:t>(i)</w:t>
      </w:r>
      <w:r w:rsidRPr="00A918AC">
        <w:rPr>
          <w:rFonts w:ascii="Arial Narrow" w:eastAsia="Times New Roman" w:hAnsi="Arial Narrow" w:cs="Segoe UI"/>
          <w:color w:val="000000"/>
          <w:kern w:val="0"/>
          <w:sz w:val="24"/>
          <w:szCs w:val="24"/>
          <w:lang w:eastAsia="fr-FR"/>
          <w14:ligatures w14:val="none"/>
        </w:rPr>
        <w:t xml:space="preserve"> l’arrêté n°00035 MSHPCMU du 07/03/2023 fixant les modalités d’inspection et de contrôle en matière de radioprotection, de sûreté et sécurité nucléaires ; </w:t>
      </w:r>
      <w:r w:rsidRPr="00A918AC">
        <w:rPr>
          <w:rFonts w:ascii="Arial Narrow" w:eastAsia="Times New Roman" w:hAnsi="Arial Narrow" w:cs="Segoe UI"/>
          <w:i/>
          <w:color w:val="000000"/>
          <w:kern w:val="0"/>
          <w:sz w:val="24"/>
          <w:szCs w:val="24"/>
          <w:lang w:eastAsia="fr-FR"/>
          <w14:ligatures w14:val="none"/>
        </w:rPr>
        <w:t>(ii)</w:t>
      </w:r>
      <w:r w:rsidRPr="00A918AC">
        <w:rPr>
          <w:rFonts w:ascii="Arial Narrow" w:eastAsia="Times New Roman" w:hAnsi="Arial Narrow" w:cs="Segoe UI"/>
          <w:color w:val="000000"/>
          <w:kern w:val="0"/>
          <w:sz w:val="24"/>
          <w:szCs w:val="24"/>
          <w:lang w:eastAsia="fr-FR"/>
          <w14:ligatures w14:val="none"/>
        </w:rPr>
        <w:t xml:space="preserve"> l’arrêté n°00036 MSHPCMU/CAB/ARSN du 07/03/2023 portant fixation des critères de désignation de la Personne Compétente en Radioprotection (PCR) et désignation de ses missions ; et </w:t>
      </w:r>
      <w:r w:rsidRPr="00A918AC">
        <w:rPr>
          <w:rFonts w:ascii="Arial Narrow" w:eastAsia="Times New Roman" w:hAnsi="Arial Narrow" w:cs="Segoe UI"/>
          <w:i/>
          <w:color w:val="000000"/>
          <w:kern w:val="0"/>
          <w:sz w:val="24"/>
          <w:szCs w:val="24"/>
          <w:lang w:eastAsia="fr-FR"/>
          <w14:ligatures w14:val="none"/>
        </w:rPr>
        <w:t>(iii)</w:t>
      </w:r>
      <w:r w:rsidRPr="00A918AC">
        <w:rPr>
          <w:rFonts w:ascii="Arial Narrow" w:eastAsia="Times New Roman" w:hAnsi="Arial Narrow" w:cs="Segoe UI"/>
          <w:color w:val="000000"/>
          <w:kern w:val="0"/>
          <w:sz w:val="24"/>
          <w:szCs w:val="24"/>
          <w:lang w:eastAsia="fr-FR"/>
          <w14:ligatures w14:val="none"/>
        </w:rPr>
        <w:t xml:space="preserve"> l’arrêté n°00037 MSHPCMU/CAB/ARSN du 07/03/2023 déterminant le profil, les critères de désignation et les rôles du physicien médical.</w:t>
      </w:r>
    </w:p>
    <w:p w14:paraId="584B9FA4" w14:textId="1F3BC330" w:rsidR="00050B39" w:rsidRPr="00050B39" w:rsidRDefault="00050B39" w:rsidP="0044167B">
      <w:pPr>
        <w:spacing w:after="120" w:line="276" w:lineRule="auto"/>
        <w:jc w:val="both"/>
        <w:rPr>
          <w:rFonts w:ascii="Arial Narrow" w:eastAsia="Times New Roman" w:hAnsi="Arial Narrow" w:cs="Segoe UI"/>
          <w:color w:val="000000"/>
          <w:kern w:val="0"/>
          <w:sz w:val="24"/>
          <w:szCs w:val="24"/>
          <w:lang w:eastAsia="fr-FR"/>
          <w14:ligatures w14:val="none"/>
        </w:rPr>
      </w:pPr>
      <w:r w:rsidRPr="0044167B">
        <w:rPr>
          <w:rFonts w:ascii="Arial Narrow" w:eastAsia="Times New Roman" w:hAnsi="Arial Narrow" w:cs="Segoe UI"/>
          <w:color w:val="000000"/>
          <w:kern w:val="0"/>
          <w:sz w:val="24"/>
          <w:szCs w:val="24"/>
          <w:lang w:eastAsia="fr-FR"/>
          <w14:ligatures w14:val="none"/>
        </w:rPr>
        <w:t>En matière de santé sexuelle et reproductive, la Loi sur la Santé de la Reproduction a été examinée en Conseil de Gouvernement en janvier 2024. Ce projet de loi s'inscrit dans le cadre des engagements nationaux et internationaux pour promouvoir le bien-être des populations, réduire la mortalité maternelle et infantile, et assurer l'accès équitable aux services de santé sexuelle et reproductive</w:t>
      </w:r>
      <w:r>
        <w:rPr>
          <w:rFonts w:ascii="Arial Narrow" w:eastAsia="Times New Roman" w:hAnsi="Arial Narrow" w:cs="Segoe UI"/>
          <w:color w:val="000000"/>
          <w:kern w:val="0"/>
          <w:sz w:val="24"/>
          <w:szCs w:val="24"/>
          <w:lang w:eastAsia="fr-FR"/>
          <w14:ligatures w14:val="none"/>
        </w:rPr>
        <w:t>.</w:t>
      </w:r>
    </w:p>
    <w:p w14:paraId="14B7F59C" w14:textId="77777777" w:rsidR="00A5607A" w:rsidRPr="00A5607A" w:rsidRDefault="00A5607A" w:rsidP="00A5607A">
      <w:pPr>
        <w:shd w:val="clear" w:color="auto" w:fill="FFFFFF"/>
        <w:spacing w:before="120" w:after="80" w:line="240" w:lineRule="auto"/>
        <w:jc w:val="both"/>
        <w:rPr>
          <w:rFonts w:ascii="Arial Narrow" w:eastAsia="Times New Roman" w:hAnsi="Arial Narrow" w:cs="Segoe UI"/>
          <w:color w:val="000000"/>
          <w:kern w:val="0"/>
          <w:sz w:val="24"/>
          <w:szCs w:val="24"/>
          <w:lang w:eastAsia="fr-FR"/>
          <w14:ligatures w14:val="none"/>
        </w:rPr>
      </w:pPr>
    </w:p>
    <w:p w14:paraId="481C171A" w14:textId="4EAE1265" w:rsidR="001E533E" w:rsidRPr="007E7C5B" w:rsidRDefault="00313B84" w:rsidP="00AA7D22">
      <w:pPr>
        <w:pStyle w:val="Titre5"/>
        <w:shd w:val="clear" w:color="auto" w:fill="FBE4D5" w:themeFill="accent2" w:themeFillTint="33"/>
        <w:rPr>
          <w:rFonts w:ascii="Arial Narrow" w:hAnsi="Arial Narrow"/>
          <w:b/>
          <w:color w:val="auto"/>
          <w:sz w:val="24"/>
          <w:szCs w:val="24"/>
        </w:rPr>
      </w:pPr>
      <w:r w:rsidRPr="007E7C5B">
        <w:rPr>
          <w:rFonts w:ascii="Arial Narrow" w:hAnsi="Arial Narrow"/>
          <w:b/>
          <w:color w:val="auto"/>
          <w:sz w:val="24"/>
          <w:szCs w:val="24"/>
        </w:rPr>
        <w:t xml:space="preserve">Coordination, régulation </w:t>
      </w:r>
      <w:r w:rsidR="43789BDC" w:rsidRPr="00A918AC">
        <w:rPr>
          <w:rFonts w:ascii="Arial Narrow" w:hAnsi="Arial Narrow"/>
          <w:b/>
          <w:color w:val="auto"/>
          <w:sz w:val="24"/>
          <w:szCs w:val="24"/>
          <w:lang w:val="fr"/>
        </w:rPr>
        <w:t xml:space="preserve">aux différents niveaux de la pyramide </w:t>
      </w:r>
      <w:r w:rsidRPr="007E7C5B">
        <w:rPr>
          <w:rFonts w:ascii="Arial Narrow" w:hAnsi="Arial Narrow"/>
          <w:b/>
          <w:color w:val="auto"/>
          <w:sz w:val="24"/>
          <w:szCs w:val="24"/>
        </w:rPr>
        <w:t xml:space="preserve">et collaboration </w:t>
      </w:r>
      <w:r w:rsidR="00EF41F3" w:rsidRPr="007E7C5B">
        <w:rPr>
          <w:rFonts w:ascii="Arial Narrow" w:hAnsi="Arial Narrow"/>
          <w:b/>
          <w:color w:val="auto"/>
          <w:sz w:val="24"/>
          <w:szCs w:val="24"/>
        </w:rPr>
        <w:t>a</w:t>
      </w:r>
      <w:r w:rsidRPr="007E7C5B">
        <w:rPr>
          <w:rFonts w:ascii="Arial Narrow" w:hAnsi="Arial Narrow"/>
          <w:b/>
          <w:color w:val="auto"/>
          <w:sz w:val="24"/>
          <w:szCs w:val="24"/>
        </w:rPr>
        <w:t>vec les autres secteurs et les partenaires au développement</w:t>
      </w:r>
    </w:p>
    <w:p w14:paraId="1E679095" w14:textId="7359DB34" w:rsidR="001E533E" w:rsidRPr="007E7C5B" w:rsidRDefault="001E533E" w:rsidP="00761F55">
      <w:pPr>
        <w:spacing w:before="100" w:beforeAutospacing="1" w:after="100" w:afterAutospacing="1"/>
        <w:jc w:val="both"/>
        <w:rPr>
          <w:rFonts w:ascii="Arial Narrow" w:eastAsia="Times New Roman" w:hAnsi="Arial Narrow" w:cs="Arial"/>
          <w:kern w:val="0"/>
          <w:sz w:val="24"/>
          <w:szCs w:val="24"/>
          <w:lang w:eastAsia="fr-FR"/>
          <w14:ligatures w14:val="none"/>
        </w:rPr>
      </w:pPr>
      <w:r w:rsidRPr="007E7C5B">
        <w:rPr>
          <w:rFonts w:ascii="Arial Narrow" w:eastAsia="Times New Roman" w:hAnsi="Arial Narrow" w:cs="Arial"/>
          <w:kern w:val="0"/>
          <w:sz w:val="24"/>
          <w:szCs w:val="24"/>
          <w:lang w:eastAsia="fr-FR"/>
          <w14:ligatures w14:val="none"/>
        </w:rPr>
        <w:t xml:space="preserve">En matière de coordination, de régulation et de </w:t>
      </w:r>
      <w:r w:rsidR="00094D69" w:rsidRPr="007E7C5B">
        <w:rPr>
          <w:rFonts w:ascii="Arial Narrow" w:eastAsia="Times New Roman" w:hAnsi="Arial Narrow" w:cs="Arial"/>
          <w:sz w:val="24"/>
          <w:szCs w:val="24"/>
          <w:lang w:eastAsia="fr-FR"/>
        </w:rPr>
        <w:t>collaboration</w:t>
      </w:r>
      <w:r w:rsidR="2CB3B5C6" w:rsidRPr="007E7C5B">
        <w:rPr>
          <w:rFonts w:ascii="Arial Narrow" w:eastAsia="Times New Roman" w:hAnsi="Arial Narrow" w:cs="Arial"/>
          <w:sz w:val="24"/>
          <w:szCs w:val="24"/>
          <w:lang w:eastAsia="fr-FR"/>
        </w:rPr>
        <w:t xml:space="preserve"> </w:t>
      </w:r>
      <w:r w:rsidRPr="007E7C5B" w:rsidDel="007A666F">
        <w:rPr>
          <w:rFonts w:ascii="Arial Narrow" w:eastAsia="Times New Roman" w:hAnsi="Arial Narrow" w:cs="Arial"/>
          <w:kern w:val="0"/>
          <w:sz w:val="24"/>
          <w:szCs w:val="24"/>
          <w:lang w:eastAsia="fr-FR"/>
          <w14:ligatures w14:val="none"/>
        </w:rPr>
        <w:t>au sein des différentes structures sanitaires</w:t>
      </w:r>
      <w:r w:rsidRPr="007E7C5B">
        <w:rPr>
          <w:rFonts w:ascii="Arial Narrow" w:eastAsia="Times New Roman" w:hAnsi="Arial Narrow" w:cs="Arial"/>
          <w:kern w:val="0"/>
          <w:sz w:val="24"/>
          <w:szCs w:val="24"/>
          <w:lang w:eastAsia="fr-FR"/>
          <w14:ligatures w14:val="none"/>
        </w:rPr>
        <w:t xml:space="preserve">, </w:t>
      </w:r>
      <w:r w:rsidR="000B002B" w:rsidRPr="007E7C5B">
        <w:rPr>
          <w:rFonts w:ascii="Arial Narrow" w:eastAsia="Times New Roman" w:hAnsi="Arial Narrow" w:cs="Arial"/>
          <w:sz w:val="24"/>
          <w:szCs w:val="24"/>
          <w:lang w:eastAsia="fr-FR"/>
        </w:rPr>
        <w:t>l</w:t>
      </w:r>
      <w:r w:rsidRPr="007E7C5B">
        <w:rPr>
          <w:rFonts w:ascii="Arial Narrow" w:eastAsia="Times New Roman" w:hAnsi="Arial Narrow" w:cs="Arial"/>
          <w:kern w:val="0"/>
          <w:sz w:val="24"/>
          <w:szCs w:val="24"/>
          <w:lang w:eastAsia="fr-FR"/>
          <w14:ligatures w14:val="none"/>
        </w:rPr>
        <w:t xml:space="preserve">es 33 </w:t>
      </w:r>
      <w:r w:rsidR="002E1637" w:rsidRPr="007E7C5B">
        <w:rPr>
          <w:rFonts w:ascii="Arial Narrow" w:eastAsia="Times New Roman" w:hAnsi="Arial Narrow" w:cs="Arial"/>
          <w:sz w:val="24"/>
          <w:szCs w:val="24"/>
          <w:lang w:eastAsia="fr-FR"/>
        </w:rPr>
        <w:t>directions r</w:t>
      </w:r>
      <w:r w:rsidRPr="007E7C5B">
        <w:rPr>
          <w:rFonts w:ascii="Arial Narrow" w:eastAsia="Times New Roman" w:hAnsi="Arial Narrow" w:cs="Arial"/>
          <w:kern w:val="0"/>
          <w:sz w:val="24"/>
          <w:szCs w:val="24"/>
          <w:lang w:eastAsia="fr-FR"/>
          <w14:ligatures w14:val="none"/>
        </w:rPr>
        <w:t>égiona</w:t>
      </w:r>
      <w:r w:rsidR="002E1637" w:rsidRPr="007E7C5B">
        <w:rPr>
          <w:rFonts w:ascii="Arial Narrow" w:eastAsia="Times New Roman" w:hAnsi="Arial Narrow" w:cs="Arial"/>
          <w:sz w:val="24"/>
          <w:szCs w:val="24"/>
          <w:lang w:eastAsia="fr-FR"/>
        </w:rPr>
        <w:t>les</w:t>
      </w:r>
      <w:r w:rsidRPr="007E7C5B">
        <w:rPr>
          <w:rFonts w:ascii="Arial Narrow" w:eastAsia="Times New Roman" w:hAnsi="Arial Narrow" w:cs="Arial"/>
          <w:kern w:val="0"/>
          <w:sz w:val="24"/>
          <w:szCs w:val="24"/>
          <w:lang w:eastAsia="fr-FR"/>
          <w14:ligatures w14:val="none"/>
        </w:rPr>
        <w:t xml:space="preserve"> de la </w:t>
      </w:r>
      <w:r w:rsidR="002E1637" w:rsidRPr="007E7C5B">
        <w:rPr>
          <w:rFonts w:ascii="Arial Narrow" w:eastAsia="Times New Roman" w:hAnsi="Arial Narrow" w:cs="Arial"/>
          <w:sz w:val="24"/>
          <w:szCs w:val="24"/>
          <w:lang w:eastAsia="fr-FR"/>
        </w:rPr>
        <w:t xml:space="preserve">santé </w:t>
      </w:r>
      <w:r w:rsidRPr="007E7C5B">
        <w:rPr>
          <w:rFonts w:ascii="Arial Narrow" w:eastAsia="Times New Roman" w:hAnsi="Arial Narrow" w:cs="Arial"/>
          <w:kern w:val="0"/>
          <w:sz w:val="24"/>
          <w:szCs w:val="24"/>
          <w:lang w:eastAsia="fr-FR"/>
          <w14:ligatures w14:val="none"/>
        </w:rPr>
        <w:t xml:space="preserve">et les 113 </w:t>
      </w:r>
      <w:r w:rsidR="002E1637" w:rsidRPr="007E7C5B">
        <w:rPr>
          <w:rFonts w:ascii="Arial Narrow" w:eastAsia="Times New Roman" w:hAnsi="Arial Narrow" w:cs="Arial"/>
          <w:sz w:val="24"/>
          <w:szCs w:val="24"/>
          <w:lang w:eastAsia="fr-FR"/>
        </w:rPr>
        <w:t>directions d</w:t>
      </w:r>
      <w:r w:rsidRPr="007E7C5B">
        <w:rPr>
          <w:rFonts w:ascii="Arial Narrow" w:eastAsia="Times New Roman" w:hAnsi="Arial Narrow" w:cs="Arial"/>
          <w:kern w:val="0"/>
          <w:sz w:val="24"/>
          <w:szCs w:val="24"/>
          <w:lang w:eastAsia="fr-FR"/>
          <w14:ligatures w14:val="none"/>
        </w:rPr>
        <w:t>épartementa</w:t>
      </w:r>
      <w:r w:rsidR="002E1637" w:rsidRPr="007E7C5B">
        <w:rPr>
          <w:rFonts w:ascii="Arial Narrow" w:eastAsia="Times New Roman" w:hAnsi="Arial Narrow" w:cs="Arial"/>
          <w:sz w:val="24"/>
          <w:szCs w:val="24"/>
          <w:lang w:eastAsia="fr-FR"/>
        </w:rPr>
        <w:t>les</w:t>
      </w:r>
      <w:r w:rsidRPr="007E7C5B">
        <w:rPr>
          <w:rFonts w:ascii="Arial Narrow" w:eastAsia="Times New Roman" w:hAnsi="Arial Narrow" w:cs="Arial"/>
          <w:kern w:val="0"/>
          <w:sz w:val="24"/>
          <w:szCs w:val="24"/>
          <w:lang w:eastAsia="fr-FR"/>
          <w14:ligatures w14:val="none"/>
        </w:rPr>
        <w:t xml:space="preserve"> ont </w:t>
      </w:r>
      <w:r w:rsidR="00C61BE3" w:rsidRPr="007E7C5B">
        <w:rPr>
          <w:rFonts w:ascii="Arial Narrow" w:eastAsia="Times New Roman" w:hAnsi="Arial Narrow" w:cs="Arial"/>
          <w:sz w:val="24"/>
          <w:szCs w:val="24"/>
          <w:lang w:eastAsia="fr-FR"/>
        </w:rPr>
        <w:t xml:space="preserve">reçu un renforcement de capacité </w:t>
      </w:r>
      <w:r w:rsidRPr="007E7C5B">
        <w:rPr>
          <w:rFonts w:ascii="Arial Narrow" w:hAnsi="Arial Narrow" w:cs="Arial"/>
          <w:sz w:val="24"/>
          <w:szCs w:val="24"/>
        </w:rPr>
        <w:t>dans la mise en œuvre opérationnelle de la politique sanitaire.</w:t>
      </w:r>
      <w:r w:rsidRPr="007E7C5B">
        <w:rPr>
          <w:rFonts w:ascii="Arial Narrow" w:eastAsia="Times New Roman" w:hAnsi="Arial Narrow" w:cs="Arial"/>
          <w:kern w:val="0"/>
          <w:sz w:val="24"/>
          <w:szCs w:val="24"/>
          <w:lang w:eastAsia="fr-FR"/>
          <w14:ligatures w14:val="none"/>
        </w:rPr>
        <w:t xml:space="preserve"> Les organes de gouvernance, </w:t>
      </w:r>
      <w:r w:rsidRPr="007E7C5B">
        <w:rPr>
          <w:rFonts w:ascii="Arial Narrow" w:eastAsia="Times New Roman" w:hAnsi="Arial Narrow" w:cs="Arial"/>
          <w:kern w:val="0"/>
          <w:sz w:val="24"/>
          <w:szCs w:val="24"/>
          <w:lang w:eastAsia="fr-FR"/>
          <w14:ligatures w14:val="none"/>
        </w:rPr>
        <w:lastRenderedPageBreak/>
        <w:t>tels que les Équipes Régionales de Santé (ERS) et les Équipes Cadres de District (ECD)</w:t>
      </w:r>
      <w:r w:rsidR="00951AAB" w:rsidRPr="007E7C5B">
        <w:rPr>
          <w:rFonts w:ascii="Arial Narrow" w:eastAsia="Times New Roman" w:hAnsi="Arial Narrow" w:cs="Arial"/>
          <w:sz w:val="24"/>
          <w:szCs w:val="24"/>
          <w:lang w:eastAsia="fr-FR"/>
        </w:rPr>
        <w:t>,</w:t>
      </w:r>
      <w:r w:rsidRPr="007E7C5B">
        <w:rPr>
          <w:rFonts w:ascii="Arial Narrow" w:eastAsia="Times New Roman" w:hAnsi="Arial Narrow" w:cs="Arial"/>
          <w:kern w:val="0"/>
          <w:sz w:val="24"/>
          <w:szCs w:val="24"/>
          <w:lang w:eastAsia="fr-FR"/>
          <w14:ligatures w14:val="none"/>
        </w:rPr>
        <w:t xml:space="preserve"> ont été </w:t>
      </w:r>
      <w:r w:rsidR="0068335B" w:rsidRPr="007E7C5B">
        <w:rPr>
          <w:rFonts w:ascii="Arial Narrow" w:eastAsia="Times New Roman" w:hAnsi="Arial Narrow" w:cs="Arial"/>
          <w:sz w:val="24"/>
          <w:szCs w:val="24"/>
          <w:lang w:eastAsia="fr-FR"/>
        </w:rPr>
        <w:t>redynamisés</w:t>
      </w:r>
      <w:r w:rsidRPr="007E7C5B">
        <w:rPr>
          <w:rFonts w:ascii="Arial Narrow" w:eastAsia="Times New Roman" w:hAnsi="Arial Narrow" w:cs="Arial"/>
          <w:kern w:val="0"/>
          <w:sz w:val="24"/>
          <w:szCs w:val="24"/>
          <w:lang w:eastAsia="fr-FR"/>
          <w14:ligatures w14:val="none"/>
        </w:rPr>
        <w:t xml:space="preserve">. </w:t>
      </w:r>
    </w:p>
    <w:p w14:paraId="5A93C9DC" w14:textId="0BAEF010" w:rsidR="00243271" w:rsidRPr="007E7C5B" w:rsidRDefault="00243271" w:rsidP="00243271">
      <w:pPr>
        <w:spacing w:before="100" w:beforeAutospacing="1" w:after="100" w:afterAutospacing="1"/>
        <w:jc w:val="both"/>
        <w:rPr>
          <w:rFonts w:ascii="Arial Narrow" w:eastAsia="Times New Roman" w:hAnsi="Arial Narrow" w:cs="Arial"/>
          <w:kern w:val="0"/>
          <w:sz w:val="24"/>
          <w:szCs w:val="24"/>
          <w:lang w:val="fr-CI" w:eastAsia="fr-FR"/>
          <w14:ligatures w14:val="none"/>
        </w:rPr>
      </w:pPr>
      <w:r w:rsidRPr="007E7C5B">
        <w:rPr>
          <w:rFonts w:ascii="Arial Narrow" w:eastAsia="Times New Roman" w:hAnsi="Arial Narrow" w:cs="Arial"/>
          <w:kern w:val="0"/>
          <w:sz w:val="24"/>
          <w:szCs w:val="24"/>
          <w:lang w:val="fr-CI" w:eastAsia="fr-FR"/>
          <w14:ligatures w14:val="none"/>
        </w:rPr>
        <w:t>I</w:t>
      </w:r>
      <w:r w:rsidR="00F82873" w:rsidRPr="007E7C5B">
        <w:rPr>
          <w:rFonts w:ascii="Arial Narrow" w:eastAsia="Times New Roman" w:hAnsi="Arial Narrow" w:cs="Arial"/>
          <w:kern w:val="0"/>
          <w:sz w:val="24"/>
          <w:szCs w:val="24"/>
          <w:lang w:eastAsia="fr-FR"/>
          <w14:ligatures w14:val="none"/>
        </w:rPr>
        <w:t xml:space="preserve">Il convient également de souligner l'existence d'une synergie intersectorielle avec le </w:t>
      </w:r>
      <w:r w:rsidR="004B2F6C">
        <w:rPr>
          <w:rFonts w:ascii="Arial Narrow" w:eastAsia="Times New Roman" w:hAnsi="Arial Narrow" w:cs="Arial"/>
          <w:kern w:val="0"/>
          <w:sz w:val="24"/>
          <w:szCs w:val="24"/>
          <w:lang w:eastAsia="fr-FR"/>
          <w14:ligatures w14:val="none"/>
        </w:rPr>
        <w:t>M</w:t>
      </w:r>
      <w:r w:rsidR="00F82873" w:rsidRPr="007E7C5B">
        <w:rPr>
          <w:rFonts w:ascii="Arial Narrow" w:eastAsia="Times New Roman" w:hAnsi="Arial Narrow" w:cs="Arial"/>
          <w:kern w:val="0"/>
          <w:sz w:val="24"/>
          <w:szCs w:val="24"/>
          <w:lang w:eastAsia="fr-FR"/>
          <w14:ligatures w14:val="none"/>
        </w:rPr>
        <w:t>inistère chargé du Plan et du Développement, dans le suivi de la mise en œuvre du Plan National de Développement, ainsi qu'avec les ministères concernés par le pilier 4 du PND.</w:t>
      </w:r>
    </w:p>
    <w:p w14:paraId="059B65DA" w14:textId="0A2D5010" w:rsidR="00BE2CBD" w:rsidRPr="00A918AC" w:rsidRDefault="007D57C6" w:rsidP="00A918AC">
      <w:pPr>
        <w:spacing w:line="240" w:lineRule="auto"/>
        <w:jc w:val="both"/>
        <w:rPr>
          <w:rFonts w:ascii="Arial Narrow" w:hAnsi="Arial Narrow" w:cs="Segoe UI Historic"/>
          <w:sz w:val="24"/>
          <w:szCs w:val="24"/>
        </w:rPr>
      </w:pPr>
      <w:r w:rsidRPr="007E7C5B">
        <w:rPr>
          <w:rFonts w:ascii="Arial Narrow" w:eastAsia="Times New Roman" w:hAnsi="Arial Narrow" w:cs="Arial"/>
          <w:kern w:val="0"/>
          <w:sz w:val="24"/>
          <w:szCs w:val="24"/>
          <w:lang w:eastAsia="fr-FR"/>
          <w14:ligatures w14:val="none"/>
        </w:rPr>
        <w:t xml:space="preserve">En matière de collaboration, le secteur de la santé a bénéficié de nombreux appuis extérieurs notamment les partenaires multilatéraux (SNU, UE, BM, UA), les partenaires bilatéraux, les initiatives mondiales pour la santé (FM, GAVI, GFF, PEPFAR, AFD…) et les ONG internationales. Pour assurer la coordination de tous ces intervenants et un dialogue politique et stratégique constructif afin d’obtenir plus d’efficacité et d’efficience dans la mise en œuvre des programmes de santé, divers organes de coordination </w:t>
      </w:r>
      <w:r w:rsidR="00ED127A" w:rsidRPr="007E7C5B">
        <w:rPr>
          <w:rFonts w:ascii="Arial Narrow" w:eastAsia="Times New Roman" w:hAnsi="Arial Narrow" w:cs="Arial"/>
          <w:kern w:val="0"/>
          <w:sz w:val="24"/>
          <w:szCs w:val="24"/>
          <w:lang w:eastAsia="fr-FR"/>
          <w14:ligatures w14:val="none"/>
        </w:rPr>
        <w:t>avaient</w:t>
      </w:r>
      <w:r w:rsidRPr="007E7C5B">
        <w:rPr>
          <w:rFonts w:ascii="Arial Narrow" w:eastAsia="Times New Roman" w:hAnsi="Arial Narrow" w:cs="Arial"/>
          <w:kern w:val="0"/>
          <w:sz w:val="24"/>
          <w:szCs w:val="24"/>
          <w:lang w:eastAsia="fr-FR"/>
          <w14:ligatures w14:val="none"/>
        </w:rPr>
        <w:t xml:space="preserve"> été mis en place </w:t>
      </w:r>
      <w:r w:rsidR="00ED127A" w:rsidRPr="007E7C5B">
        <w:rPr>
          <w:rFonts w:ascii="Arial Narrow" w:eastAsia="Times New Roman" w:hAnsi="Arial Narrow" w:cs="Arial"/>
          <w:kern w:val="0"/>
          <w:sz w:val="24"/>
          <w:szCs w:val="24"/>
          <w:lang w:eastAsia="fr-FR"/>
          <w14:ligatures w14:val="none"/>
        </w:rPr>
        <w:t xml:space="preserve">notamment </w:t>
      </w:r>
      <w:r w:rsidRPr="007E7C5B">
        <w:rPr>
          <w:rFonts w:ascii="Arial Narrow" w:eastAsia="Times New Roman" w:hAnsi="Arial Narrow" w:cs="Arial"/>
          <w:kern w:val="0"/>
          <w:sz w:val="24"/>
          <w:szCs w:val="24"/>
          <w:lang w:eastAsia="fr-FR"/>
          <w14:ligatures w14:val="none"/>
        </w:rPr>
        <w:t xml:space="preserve">le mécanisme de coordination du secteur de la santé. </w:t>
      </w:r>
      <w:r w:rsidR="00AB633F" w:rsidRPr="007E7C5B">
        <w:rPr>
          <w:rFonts w:ascii="Arial Narrow" w:eastAsia="Times New Roman" w:hAnsi="Arial Narrow" w:cs="Arial"/>
          <w:kern w:val="0"/>
          <w:sz w:val="24"/>
          <w:szCs w:val="24"/>
          <w:lang w:eastAsia="fr-FR"/>
          <w14:ligatures w14:val="none"/>
        </w:rPr>
        <w:t>Entre 2021 et 2024, deux réunions du MCSS ont eu lieu, présidées par le Ministre de la Santé. Ces rencontres ont permis de suivre les interventions sanitaires et de coordonner les actions pour relever les défis sanitaires.</w:t>
      </w:r>
      <w:r w:rsidR="00E33227">
        <w:rPr>
          <w:rFonts w:ascii="Arial Narrow" w:eastAsia="Times New Roman" w:hAnsi="Arial Narrow" w:cs="Arial"/>
          <w:kern w:val="0"/>
          <w:sz w:val="24"/>
          <w:szCs w:val="24"/>
          <w:lang w:eastAsia="fr-FR"/>
          <w14:ligatures w14:val="none"/>
        </w:rPr>
        <w:t xml:space="preserve"> </w:t>
      </w:r>
      <w:r w:rsidR="00AB633F" w:rsidRPr="007E7C5B">
        <w:rPr>
          <w:rFonts w:ascii="Arial Narrow" w:eastAsia="Times New Roman" w:hAnsi="Arial Narrow" w:cs="Arial"/>
          <w:kern w:val="0"/>
          <w:sz w:val="24"/>
          <w:szCs w:val="24"/>
          <w:lang w:eastAsia="fr-FR"/>
          <w14:ligatures w14:val="none"/>
        </w:rPr>
        <w:t>Par ailleurs, le MSHPCMU</w:t>
      </w:r>
      <w:r w:rsidR="00AB633F" w:rsidRPr="00A918AC">
        <w:rPr>
          <w:rFonts w:ascii="Arial Narrow" w:eastAsia="Times New Roman" w:hAnsi="Arial Narrow" w:cs="Arial"/>
          <w:kern w:val="0"/>
          <w:sz w:val="24"/>
          <w:szCs w:val="24"/>
          <w:lang w:eastAsia="fr-FR"/>
          <w14:ligatures w14:val="none"/>
        </w:rPr>
        <w:t xml:space="preserve">, </w:t>
      </w:r>
      <w:r w:rsidR="00F82873" w:rsidRPr="00A918AC">
        <w:rPr>
          <w:rFonts w:ascii="Arial Narrow" w:eastAsia="Times New Roman" w:hAnsi="Arial Narrow" w:cs="Arial"/>
          <w:kern w:val="0"/>
          <w:sz w:val="24"/>
          <w:szCs w:val="24"/>
          <w:lang w:eastAsia="fr-FR"/>
          <w14:ligatures w14:val="none"/>
        </w:rPr>
        <w:t xml:space="preserve">en tant que </w:t>
      </w:r>
      <w:r w:rsidR="00AB633F" w:rsidRPr="00A918AC">
        <w:rPr>
          <w:rFonts w:ascii="Arial Narrow" w:eastAsia="Times New Roman" w:hAnsi="Arial Narrow" w:cs="Arial"/>
          <w:kern w:val="0"/>
          <w:sz w:val="24"/>
          <w:szCs w:val="24"/>
          <w:lang w:eastAsia="fr-FR"/>
          <w14:ligatures w14:val="none"/>
        </w:rPr>
        <w:t>membre du Groupe de Résultat Quatre (GR4) du Cadre de Coopération pour le Développement Durable du Système des Nations Unies (SNU)</w:t>
      </w:r>
      <w:r w:rsidR="00AB633F" w:rsidRPr="007E7C5B">
        <w:rPr>
          <w:rFonts w:ascii="Arial Narrow" w:eastAsia="Times New Roman" w:hAnsi="Arial Narrow" w:cs="Arial"/>
          <w:kern w:val="0"/>
          <w:sz w:val="24"/>
          <w:szCs w:val="24"/>
          <w:lang w:eastAsia="fr-FR"/>
          <w14:ligatures w14:val="none"/>
        </w:rPr>
        <w:t xml:space="preserve"> a pris un</w:t>
      </w:r>
      <w:r w:rsidR="00F82873" w:rsidRPr="007E7C5B">
        <w:rPr>
          <w:rFonts w:ascii="Arial Narrow" w:eastAsia="Times New Roman" w:hAnsi="Arial Narrow" w:cs="Arial"/>
          <w:kern w:val="0"/>
          <w:sz w:val="24"/>
          <w:szCs w:val="24"/>
          <w:lang w:eastAsia="fr-FR"/>
          <w14:ligatures w14:val="none"/>
        </w:rPr>
        <w:t>e</w:t>
      </w:r>
      <w:r w:rsidR="00AB633F" w:rsidRPr="007E7C5B">
        <w:rPr>
          <w:rFonts w:ascii="Arial Narrow" w:eastAsia="Times New Roman" w:hAnsi="Arial Narrow" w:cs="Arial"/>
          <w:kern w:val="0"/>
          <w:sz w:val="24"/>
          <w:szCs w:val="24"/>
          <w:lang w:eastAsia="fr-FR"/>
          <w14:ligatures w14:val="none"/>
        </w:rPr>
        <w:t xml:space="preserve"> part active aux </w:t>
      </w:r>
      <w:r w:rsidR="00F82873" w:rsidRPr="007E7C5B">
        <w:rPr>
          <w:rFonts w:ascii="Arial Narrow" w:eastAsia="Times New Roman" w:hAnsi="Arial Narrow" w:cs="Arial"/>
          <w:sz w:val="24"/>
          <w:szCs w:val="24"/>
          <w:lang w:eastAsia="fr-FR"/>
        </w:rPr>
        <w:t xml:space="preserve">processus de </w:t>
      </w:r>
      <w:r w:rsidR="00B635D8">
        <w:rPr>
          <w:rFonts w:ascii="Arial Narrow" w:eastAsia="Times New Roman" w:hAnsi="Arial Narrow" w:cs="Arial"/>
          <w:sz w:val="24"/>
          <w:szCs w:val="24"/>
          <w:lang w:eastAsia="fr-FR"/>
        </w:rPr>
        <w:t>revue</w:t>
      </w:r>
      <w:r w:rsidR="00F82873" w:rsidRPr="007E7C5B">
        <w:rPr>
          <w:rFonts w:ascii="Arial Narrow" w:eastAsia="Times New Roman" w:hAnsi="Arial Narrow" w:cs="Arial"/>
          <w:sz w:val="24"/>
          <w:szCs w:val="24"/>
          <w:lang w:eastAsia="fr-FR"/>
        </w:rPr>
        <w:t xml:space="preserve"> et d’évaluation du Cadre de Coopération pour le Développement Durable 2021-2025.</w:t>
      </w:r>
    </w:p>
    <w:p w14:paraId="4782183C" w14:textId="368905A4" w:rsidR="00AB633F" w:rsidRPr="007E7C5B" w:rsidRDefault="00AB633F" w:rsidP="00AB633F">
      <w:pPr>
        <w:spacing w:before="100" w:beforeAutospacing="1" w:after="100" w:afterAutospacing="1"/>
        <w:jc w:val="both"/>
        <w:rPr>
          <w:rFonts w:ascii="Arial Narrow" w:eastAsia="Times New Roman" w:hAnsi="Arial Narrow" w:cs="Arial"/>
          <w:kern w:val="0"/>
          <w:sz w:val="24"/>
          <w:szCs w:val="24"/>
          <w:lang w:eastAsia="fr-FR"/>
          <w14:ligatures w14:val="none"/>
        </w:rPr>
      </w:pPr>
      <w:r w:rsidRPr="007E7C5B">
        <w:rPr>
          <w:rFonts w:ascii="Arial Narrow" w:eastAsia="Times New Roman" w:hAnsi="Arial Narrow" w:cs="Arial"/>
          <w:sz w:val="24"/>
          <w:szCs w:val="24"/>
          <w:lang w:val="fr-CI" w:eastAsia="fr-FR"/>
        </w:rPr>
        <w:t xml:space="preserve">Dans le cadre de la coopération internationale, </w:t>
      </w:r>
      <w:r w:rsidRPr="007E7C5B">
        <w:rPr>
          <w:rFonts w:ascii="Arial Narrow" w:eastAsia="Times New Roman" w:hAnsi="Arial Narrow" w:cs="Arial"/>
          <w:kern w:val="0"/>
          <w:sz w:val="24"/>
          <w:szCs w:val="24"/>
          <w:lang w:eastAsia="fr-FR"/>
          <w14:ligatures w14:val="none"/>
        </w:rPr>
        <w:t>en particulier les projets d’accord de coopération bilatérale,</w:t>
      </w:r>
      <w:r w:rsidRPr="007E7C5B" w:rsidDel="00AB633F">
        <w:rPr>
          <w:rFonts w:ascii="Arial Narrow" w:eastAsia="Times New Roman" w:hAnsi="Arial Narrow" w:cs="Arial"/>
          <w:kern w:val="0"/>
          <w:sz w:val="24"/>
          <w:szCs w:val="24"/>
          <w:lang w:eastAsia="fr-FR"/>
          <w14:ligatures w14:val="none"/>
        </w:rPr>
        <w:t xml:space="preserve"> </w:t>
      </w:r>
      <w:r w:rsidRPr="007E7C5B">
        <w:rPr>
          <w:rFonts w:ascii="Arial Narrow" w:eastAsia="Times New Roman" w:hAnsi="Arial Narrow" w:cs="Arial"/>
          <w:kern w:val="0"/>
          <w:sz w:val="24"/>
          <w:szCs w:val="24"/>
          <w:lang w:eastAsia="fr-FR"/>
          <w14:ligatures w14:val="none"/>
        </w:rPr>
        <w:t>on note</w:t>
      </w:r>
      <w:r w:rsidR="00E33227">
        <w:rPr>
          <w:rFonts w:ascii="Arial Narrow" w:eastAsia="Times New Roman" w:hAnsi="Arial Narrow" w:cs="Arial"/>
          <w:kern w:val="0"/>
          <w:sz w:val="24"/>
          <w:szCs w:val="24"/>
          <w:lang w:eastAsia="fr-FR"/>
          <w14:ligatures w14:val="none"/>
        </w:rPr>
        <w:t xml:space="preserve"> </w:t>
      </w:r>
      <w:r w:rsidRPr="007E7C5B">
        <w:rPr>
          <w:rFonts w:ascii="Arial Narrow" w:eastAsia="Times New Roman" w:hAnsi="Arial Narrow" w:cs="Arial"/>
          <w:kern w:val="0"/>
          <w:sz w:val="24"/>
          <w:szCs w:val="24"/>
          <w:lang w:eastAsia="fr-FR"/>
          <w14:ligatures w14:val="none"/>
        </w:rPr>
        <w:t>la finalisation d'un projet d'accord avec l'Afrique du Sud. Également,</w:t>
      </w:r>
      <w:r w:rsidR="00E33227">
        <w:rPr>
          <w:rFonts w:ascii="Arial Narrow" w:eastAsia="Times New Roman" w:hAnsi="Arial Narrow" w:cs="Arial"/>
          <w:kern w:val="0"/>
          <w:sz w:val="24"/>
          <w:szCs w:val="24"/>
          <w:lang w:eastAsia="fr-FR"/>
          <w14:ligatures w14:val="none"/>
        </w:rPr>
        <w:t xml:space="preserve"> </w:t>
      </w:r>
      <w:r w:rsidRPr="007E7C5B">
        <w:rPr>
          <w:rFonts w:ascii="Arial Narrow" w:eastAsia="Times New Roman" w:hAnsi="Arial Narrow" w:cs="Arial"/>
          <w:kern w:val="0"/>
          <w:sz w:val="24"/>
          <w:szCs w:val="24"/>
          <w:lang w:eastAsia="fr-FR"/>
          <w14:ligatures w14:val="none"/>
        </w:rPr>
        <w:t xml:space="preserve">des négociations sont en cours avec la Chine pour renouveler la phase d'assistance technique à l'Hôpital Général de Gagnoa. </w:t>
      </w:r>
    </w:p>
    <w:p w14:paraId="3E27AB46" w14:textId="34AC026F" w:rsidR="001E533E" w:rsidRPr="007E7C5B" w:rsidRDefault="001E533E" w:rsidP="00AA7D22">
      <w:pPr>
        <w:pStyle w:val="Titre5"/>
        <w:shd w:val="clear" w:color="auto" w:fill="FBE4D5" w:themeFill="accent2" w:themeFillTint="33"/>
        <w:rPr>
          <w:rFonts w:ascii="Arial Narrow" w:hAnsi="Arial Narrow"/>
          <w:b/>
          <w:color w:val="auto"/>
          <w:sz w:val="24"/>
          <w:szCs w:val="24"/>
        </w:rPr>
      </w:pPr>
      <w:r w:rsidRPr="007E7C5B">
        <w:rPr>
          <w:rFonts w:ascii="Arial Narrow" w:hAnsi="Arial Narrow"/>
          <w:b/>
          <w:color w:val="auto"/>
          <w:sz w:val="24"/>
          <w:szCs w:val="24"/>
        </w:rPr>
        <w:t>Mobilisation et gestion efficiente des ressources financières</w:t>
      </w:r>
    </w:p>
    <w:p w14:paraId="731B7B65" w14:textId="7695A99D" w:rsidR="00742F9B" w:rsidRPr="00A918AC" w:rsidRDefault="61049103" w:rsidP="00761F55">
      <w:pPr>
        <w:jc w:val="both"/>
        <w:rPr>
          <w:rFonts w:ascii="Arial Narrow" w:eastAsia="Times New Roman" w:hAnsi="Arial Narrow" w:cs="Arial"/>
          <w:kern w:val="0"/>
          <w:sz w:val="24"/>
          <w:szCs w:val="24"/>
          <w:lang w:eastAsia="fr-FR"/>
          <w14:ligatures w14:val="none"/>
        </w:rPr>
      </w:pPr>
      <w:r w:rsidRPr="007E7C5B">
        <w:rPr>
          <w:rFonts w:ascii="Arial Narrow" w:eastAsia="Times New Roman" w:hAnsi="Arial Narrow" w:cs="Arial"/>
          <w:sz w:val="24"/>
          <w:szCs w:val="24"/>
          <w:lang w:eastAsia="fr-FR"/>
        </w:rPr>
        <w:t>S’agissant du financement de la santé,</w:t>
      </w:r>
      <w:r w:rsidR="73867009" w:rsidRPr="007E7C5B">
        <w:rPr>
          <w:rFonts w:ascii="Arial Narrow" w:eastAsia="Times New Roman" w:hAnsi="Arial Narrow" w:cs="Arial"/>
          <w:sz w:val="24"/>
          <w:szCs w:val="24"/>
          <w:lang w:eastAsia="fr-FR"/>
        </w:rPr>
        <w:t xml:space="preserve"> le Gouvernement s’est engagé à augmenter </w:t>
      </w:r>
      <w:r w:rsidR="7EEF81E3" w:rsidRPr="007E7C5B">
        <w:rPr>
          <w:rFonts w:ascii="Arial Narrow" w:eastAsia="Times New Roman" w:hAnsi="Arial Narrow" w:cs="Arial"/>
          <w:sz w:val="24"/>
          <w:szCs w:val="24"/>
          <w:lang w:eastAsia="fr-FR"/>
        </w:rPr>
        <w:t xml:space="preserve">annuellement </w:t>
      </w:r>
      <w:r w:rsidR="73867009" w:rsidRPr="007E7C5B">
        <w:rPr>
          <w:rFonts w:ascii="Arial Narrow" w:eastAsia="Times New Roman" w:hAnsi="Arial Narrow" w:cs="Arial"/>
          <w:sz w:val="24"/>
          <w:szCs w:val="24"/>
          <w:lang w:eastAsia="fr-FR"/>
        </w:rPr>
        <w:t>la contribution de l’Etat à 15%</w:t>
      </w:r>
      <w:r w:rsidR="7EEF81E3" w:rsidRPr="007E7C5B">
        <w:rPr>
          <w:rFonts w:ascii="Arial Narrow" w:eastAsia="Times New Roman" w:hAnsi="Arial Narrow" w:cs="Arial"/>
          <w:sz w:val="24"/>
          <w:szCs w:val="24"/>
          <w:lang w:eastAsia="fr-FR"/>
        </w:rPr>
        <w:t>.</w:t>
      </w:r>
      <w:r w:rsidR="0CBB0EBC" w:rsidRPr="007E7C5B">
        <w:rPr>
          <w:rFonts w:ascii="Arial Narrow" w:eastAsia="Times New Roman" w:hAnsi="Arial Narrow" w:cs="Arial"/>
          <w:sz w:val="24"/>
          <w:szCs w:val="24"/>
          <w:lang w:eastAsia="fr-FR"/>
        </w:rPr>
        <w:t xml:space="preserve"> Par ailleurs, </w:t>
      </w:r>
      <w:r w:rsidR="7AFD1C6E" w:rsidRPr="007E7C5B">
        <w:rPr>
          <w:rFonts w:ascii="Arial Narrow" w:eastAsia="Times New Roman" w:hAnsi="Arial Narrow" w:cs="Arial"/>
          <w:sz w:val="24"/>
          <w:szCs w:val="24"/>
          <w:lang w:eastAsia="fr-FR"/>
        </w:rPr>
        <w:t>la part du budget de l’Etat allouée au secteur de la santé de</w:t>
      </w:r>
      <w:r w:rsidR="5D421CE3" w:rsidRPr="007E7C5B">
        <w:rPr>
          <w:rFonts w:ascii="Arial Narrow" w:eastAsia="Times New Roman" w:hAnsi="Arial Narrow" w:cs="Arial"/>
          <w:sz w:val="24"/>
          <w:szCs w:val="24"/>
          <w:lang w:eastAsia="fr-FR"/>
        </w:rPr>
        <w:t>vrait passer de 7,43% en 2020 à 7,77% en 2023, puis à 8% à la fin de la mise en œuvre du PNDS 2021-2025.</w:t>
      </w:r>
    </w:p>
    <w:p w14:paraId="1B50B2A5" w14:textId="65A5B59D" w:rsidR="000D556D" w:rsidRPr="007E7C5B" w:rsidRDefault="58DF6B88" w:rsidP="1CF6F113">
      <w:pPr>
        <w:spacing w:line="257" w:lineRule="auto"/>
        <w:jc w:val="both"/>
        <w:rPr>
          <w:rFonts w:ascii="Arial Narrow" w:eastAsia="Arial Narrow" w:hAnsi="Arial Narrow" w:cs="Arial Narrow"/>
          <w:sz w:val="24"/>
          <w:szCs w:val="24"/>
        </w:rPr>
      </w:pPr>
      <w:r w:rsidRPr="007E7C5B">
        <w:rPr>
          <w:rFonts w:ascii="Arial Narrow" w:eastAsia="Times New Roman" w:hAnsi="Arial Narrow" w:cs="Arial"/>
          <w:sz w:val="24"/>
          <w:szCs w:val="24"/>
          <w:lang w:eastAsia="fr-FR"/>
        </w:rPr>
        <w:t xml:space="preserve">Pour assurer une </w:t>
      </w:r>
      <w:r w:rsidRPr="0044167B">
        <w:rPr>
          <w:rFonts w:ascii="Arial Narrow" w:eastAsia="Times New Roman" w:hAnsi="Arial Narrow" w:cs="Arial"/>
          <w:b/>
          <w:bCs/>
          <w:sz w:val="24"/>
          <w:szCs w:val="24"/>
          <w:lang w:eastAsia="fr-FR"/>
        </w:rPr>
        <w:t>meilleure mobilisation et une gestion efficiente des ressources financières</w:t>
      </w:r>
      <w:r w:rsidRPr="007E7C5B">
        <w:rPr>
          <w:rFonts w:ascii="Arial Narrow" w:eastAsia="Times New Roman" w:hAnsi="Arial Narrow" w:cs="Arial"/>
          <w:sz w:val="24"/>
          <w:szCs w:val="24"/>
          <w:lang w:eastAsia="fr-FR"/>
        </w:rPr>
        <w:t xml:space="preserve"> pour la santé</w:t>
      </w:r>
      <w:r w:rsidR="705DFE43" w:rsidRPr="00A918AC">
        <w:rPr>
          <w:rFonts w:ascii="Arial Narrow" w:eastAsia="Times New Roman" w:hAnsi="Arial Narrow" w:cs="Arial"/>
          <w:sz w:val="24"/>
          <w:szCs w:val="24"/>
          <w:lang w:eastAsia="fr-FR"/>
        </w:rPr>
        <w:t>, plusieurs réalisations ont été enregistrées sur la période d’observation.</w:t>
      </w:r>
      <w:r w:rsidR="17C2B630" w:rsidRPr="007E7C5B">
        <w:rPr>
          <w:rFonts w:ascii="Arial Narrow" w:eastAsia="Times New Roman" w:hAnsi="Arial Narrow" w:cs="Arial"/>
          <w:sz w:val="24"/>
          <w:szCs w:val="24"/>
          <w:lang w:eastAsia="fr-FR"/>
        </w:rPr>
        <w:t xml:space="preserve"> </w:t>
      </w:r>
      <w:r w:rsidR="69466805" w:rsidRPr="007E7C5B">
        <w:rPr>
          <w:rFonts w:ascii="Arial Narrow" w:eastAsia="Times New Roman" w:hAnsi="Arial Narrow" w:cs="Arial"/>
          <w:sz w:val="24"/>
          <w:szCs w:val="24"/>
          <w:lang w:eastAsia="fr-FR"/>
        </w:rPr>
        <w:t xml:space="preserve">Ainsi, </w:t>
      </w:r>
      <w:r w:rsidR="43D4B243" w:rsidRPr="007E7C5B">
        <w:rPr>
          <w:rFonts w:ascii="Arial Narrow" w:eastAsia="Arial Narrow" w:hAnsi="Arial Narrow" w:cs="Arial Narrow"/>
          <w:sz w:val="24"/>
          <w:szCs w:val="24"/>
        </w:rPr>
        <w:t xml:space="preserve">des outils ont été développés </w:t>
      </w:r>
      <w:r w:rsidR="43D4B243" w:rsidRPr="00A918AC">
        <w:rPr>
          <w:rFonts w:ascii="Arial Narrow" w:eastAsia="Arial Narrow" w:hAnsi="Arial Narrow" w:cs="Arial Narrow"/>
          <w:sz w:val="24"/>
          <w:szCs w:val="24"/>
        </w:rPr>
        <w:t xml:space="preserve">(Projet d’investissement Public, Document de programmation pluriannuel des dépenses, Projet annuel de performance, lettres d’engagements, rapports d’activités semestrielles de performance, rapports annuels de performance) </w:t>
      </w:r>
      <w:r w:rsidR="43D4B243" w:rsidRPr="007E7C5B">
        <w:rPr>
          <w:rFonts w:ascii="Arial Narrow" w:eastAsia="Arial Narrow" w:hAnsi="Arial Narrow" w:cs="Arial Narrow"/>
          <w:sz w:val="24"/>
          <w:szCs w:val="24"/>
        </w:rPr>
        <w:t>dans le cadre de la mise en œuvre du budget programme</w:t>
      </w:r>
      <w:r w:rsidR="3F9C7363" w:rsidRPr="007E7C5B">
        <w:rPr>
          <w:rFonts w:ascii="Arial Narrow" w:eastAsia="Arial Narrow" w:hAnsi="Arial Narrow" w:cs="Arial Narrow"/>
          <w:sz w:val="24"/>
          <w:szCs w:val="24"/>
        </w:rPr>
        <w:t>. Pour ce qui est</w:t>
      </w:r>
      <w:r w:rsidR="43D4B243" w:rsidRPr="007E7C5B">
        <w:rPr>
          <w:rFonts w:ascii="Arial Narrow" w:eastAsia="Arial Narrow" w:hAnsi="Arial Narrow" w:cs="Arial Narrow"/>
          <w:sz w:val="24"/>
          <w:szCs w:val="24"/>
        </w:rPr>
        <w:t xml:space="preserve"> du financement basé sur la performance</w:t>
      </w:r>
      <w:r w:rsidR="4FE94B4A" w:rsidRPr="007E7C5B">
        <w:rPr>
          <w:rFonts w:ascii="Arial Narrow" w:eastAsia="Arial Narrow" w:hAnsi="Arial Narrow" w:cs="Arial Narrow"/>
          <w:sz w:val="24"/>
          <w:szCs w:val="24"/>
        </w:rPr>
        <w:t xml:space="preserve"> des c</w:t>
      </w:r>
      <w:r w:rsidR="43D4B243" w:rsidRPr="007E7C5B">
        <w:rPr>
          <w:rFonts w:ascii="Arial Narrow" w:eastAsia="Arial Narrow" w:hAnsi="Arial Narrow" w:cs="Arial Narrow"/>
          <w:sz w:val="24"/>
          <w:szCs w:val="24"/>
        </w:rPr>
        <w:t xml:space="preserve">ontrats de performance, </w:t>
      </w:r>
      <w:r w:rsidR="3C46F6BF" w:rsidRPr="007E7C5B">
        <w:rPr>
          <w:rFonts w:ascii="Arial Narrow" w:eastAsia="Arial Narrow" w:hAnsi="Arial Narrow" w:cs="Arial Narrow"/>
          <w:sz w:val="24"/>
          <w:szCs w:val="24"/>
        </w:rPr>
        <w:t>p</w:t>
      </w:r>
      <w:r w:rsidR="43D4B243" w:rsidRPr="007E7C5B">
        <w:rPr>
          <w:rFonts w:ascii="Arial Narrow" w:eastAsia="Arial Narrow" w:hAnsi="Arial Narrow" w:cs="Arial Narrow"/>
          <w:sz w:val="24"/>
          <w:szCs w:val="24"/>
        </w:rPr>
        <w:t>lans d’affaires semestriels, manuels de gestion financière simplifiés, les grilles d’évaluation de la qualité/performance, etc</w:t>
      </w:r>
      <w:r w:rsidR="00E20565">
        <w:rPr>
          <w:rFonts w:ascii="Arial Narrow" w:eastAsia="Arial Narrow" w:hAnsi="Arial Narrow" w:cs="Arial Narrow"/>
          <w:sz w:val="24"/>
          <w:szCs w:val="24"/>
        </w:rPr>
        <w:t>.</w:t>
      </w:r>
      <w:r w:rsidR="5CFFC82F" w:rsidRPr="007E7C5B">
        <w:rPr>
          <w:rFonts w:ascii="Arial Narrow" w:eastAsia="Arial Narrow" w:hAnsi="Arial Narrow" w:cs="Arial Narrow"/>
          <w:sz w:val="24"/>
          <w:szCs w:val="24"/>
        </w:rPr>
        <w:t xml:space="preserve"> ont été élaborés.</w:t>
      </w:r>
    </w:p>
    <w:p w14:paraId="272C7E98" w14:textId="3E1D0F9E" w:rsidR="001E533E" w:rsidRPr="007E7C5B" w:rsidRDefault="009D344B" w:rsidP="1CF6F113">
      <w:pPr>
        <w:spacing w:before="100" w:beforeAutospacing="1" w:after="100" w:afterAutospacing="1"/>
        <w:jc w:val="both"/>
        <w:rPr>
          <w:rFonts w:ascii="Arial Narrow" w:eastAsia="Times New Roman" w:hAnsi="Arial Narrow" w:cs="Arial"/>
          <w:sz w:val="24"/>
          <w:szCs w:val="24"/>
          <w:lang w:eastAsia="fr-FR"/>
        </w:rPr>
      </w:pPr>
      <w:r w:rsidRPr="00F15898">
        <w:rPr>
          <w:rFonts w:ascii="Arial Narrow" w:eastAsia="Times New Roman" w:hAnsi="Arial Narrow" w:cs="Arial"/>
          <w:kern w:val="0"/>
          <w:sz w:val="24"/>
          <w:szCs w:val="24"/>
          <w:lang w:val="fr-CI" w:eastAsia="fr-FR"/>
          <w14:ligatures w14:val="none"/>
        </w:rPr>
        <w:t>En termes d’impact</w:t>
      </w:r>
      <w:r w:rsidR="00471A43" w:rsidRPr="00F15898">
        <w:rPr>
          <w:rFonts w:ascii="Arial Narrow" w:eastAsia="Times New Roman" w:hAnsi="Arial Narrow" w:cs="Arial"/>
          <w:kern w:val="0"/>
          <w:sz w:val="24"/>
          <w:szCs w:val="24"/>
          <w:lang w:val="fr-CI" w:eastAsia="fr-FR"/>
          <w14:ligatures w14:val="none"/>
        </w:rPr>
        <w:t xml:space="preserve"> de ces réalisations</w:t>
      </w:r>
      <w:r w:rsidRPr="00F15898">
        <w:rPr>
          <w:rFonts w:ascii="Arial Narrow" w:eastAsia="Times New Roman" w:hAnsi="Arial Narrow" w:cs="Arial"/>
          <w:kern w:val="0"/>
          <w:sz w:val="24"/>
          <w:szCs w:val="24"/>
          <w:lang w:val="fr-CI" w:eastAsia="fr-FR"/>
          <w14:ligatures w14:val="none"/>
        </w:rPr>
        <w:t>,</w:t>
      </w:r>
      <w:r w:rsidRPr="00A918AC">
        <w:rPr>
          <w:rFonts w:eastAsia="Times New Roman"/>
          <w:kern w:val="0"/>
          <w:sz w:val="24"/>
          <w:szCs w:val="24"/>
          <w:lang w:val="fr-CI" w:eastAsia="fr-FR"/>
          <w14:ligatures w14:val="none"/>
        </w:rPr>
        <w:t xml:space="preserve"> m</w:t>
      </w:r>
      <w:r w:rsidR="18690570" w:rsidRPr="007E7C5B">
        <w:rPr>
          <w:rFonts w:ascii="Arial Narrow" w:eastAsia="Times New Roman" w:hAnsi="Arial Narrow" w:cs="Arial"/>
          <w:kern w:val="0"/>
          <w:sz w:val="24"/>
          <w:szCs w:val="24"/>
          <w:lang w:val="fr-CI" w:eastAsia="fr-FR"/>
          <w14:ligatures w14:val="none"/>
        </w:rPr>
        <w:t>algré</w:t>
      </w:r>
      <w:r w:rsidR="001E533E" w:rsidRPr="00A918AC" w:rsidDel="18690570">
        <w:rPr>
          <w:rFonts w:ascii="Arial Narrow" w:eastAsia="Times New Roman" w:hAnsi="Arial Narrow" w:cs="Arial"/>
          <w:kern w:val="0"/>
          <w:sz w:val="24"/>
          <w:szCs w:val="24"/>
          <w:lang w:val="fr-CI" w:eastAsia="fr-FR"/>
          <w14:ligatures w14:val="none"/>
        </w:rPr>
        <w:t xml:space="preserve"> </w:t>
      </w:r>
      <w:r w:rsidR="18690570" w:rsidRPr="007E7C5B">
        <w:rPr>
          <w:rFonts w:ascii="Arial Narrow" w:eastAsia="Times New Roman" w:hAnsi="Arial Narrow" w:cs="Arial"/>
          <w:kern w:val="0"/>
          <w:sz w:val="24"/>
          <w:szCs w:val="24"/>
          <w:lang w:val="fr-CI" w:eastAsia="fr-FR"/>
          <w14:ligatures w14:val="none"/>
        </w:rPr>
        <w:t xml:space="preserve">la dynamique de croissance économique, la proportion des dépenses publiques allouées au secteur de la santé en Côte d'Ivoire demeure </w:t>
      </w:r>
      <w:r w:rsidR="18690570" w:rsidRPr="007E7C5B" w:rsidDel="00F82873">
        <w:rPr>
          <w:rFonts w:ascii="Arial Narrow" w:eastAsia="Times New Roman" w:hAnsi="Arial Narrow" w:cs="Arial"/>
          <w:kern w:val="0"/>
          <w:sz w:val="24"/>
          <w:szCs w:val="24"/>
          <w:lang w:val="fr-CI" w:eastAsia="fr-FR"/>
          <w14:ligatures w14:val="none"/>
        </w:rPr>
        <w:t>limitée.</w:t>
      </w:r>
      <w:r w:rsidR="001E533E" w:rsidRPr="007E7C5B" w:rsidDel="00F82873">
        <w:rPr>
          <w:rFonts w:ascii="Arial Narrow" w:eastAsia="Times New Roman" w:hAnsi="Arial Narrow" w:cs="Arial"/>
          <w:sz w:val="24"/>
          <w:szCs w:val="24"/>
          <w:lang w:val="fr-CI" w:eastAsia="fr-FR"/>
        </w:rPr>
        <w:t xml:space="preserve"> </w:t>
      </w:r>
      <w:r w:rsidR="00F82873" w:rsidRPr="007E7C5B">
        <w:rPr>
          <w:rFonts w:ascii="Arial Narrow" w:eastAsia="Times New Roman" w:hAnsi="Arial Narrow" w:cs="Arial"/>
          <w:sz w:val="24"/>
          <w:szCs w:val="24"/>
          <w:lang w:val="fr-CI" w:eastAsia="fr-FR"/>
        </w:rPr>
        <w:t>Selon</w:t>
      </w:r>
      <w:r w:rsidR="001E533E" w:rsidRPr="007E7C5B">
        <w:rPr>
          <w:rFonts w:ascii="Arial Narrow" w:eastAsia="Times New Roman" w:hAnsi="Arial Narrow" w:cs="Arial"/>
          <w:sz w:val="24"/>
          <w:szCs w:val="24"/>
          <w:lang w:val="fr-CI" w:eastAsia="fr-FR"/>
        </w:rPr>
        <w:t xml:space="preserve"> les Comptes de la santé de 2020, l</w:t>
      </w:r>
      <w:r w:rsidR="18690570" w:rsidRPr="007E7C5B">
        <w:rPr>
          <w:rFonts w:ascii="Arial Narrow" w:eastAsia="Times New Roman" w:hAnsi="Arial Narrow" w:cs="Arial"/>
          <w:kern w:val="0"/>
          <w:sz w:val="24"/>
          <w:szCs w:val="24"/>
          <w:lang w:val="fr-CI" w:eastAsia="fr-FR"/>
          <w14:ligatures w14:val="none"/>
        </w:rPr>
        <w:t xml:space="preserve">a contribution des ménages aux dépenses courantes de santé (DCS) est, pour la première fois, passée en dessous de celle du gouvernement, passant de </w:t>
      </w:r>
      <w:r w:rsidR="001E533E" w:rsidRPr="007E7C5B">
        <w:rPr>
          <w:rFonts w:ascii="Arial Narrow" w:eastAsia="Times New Roman" w:hAnsi="Arial Narrow" w:cs="Arial"/>
          <w:b/>
          <w:bCs/>
          <w:sz w:val="24"/>
          <w:szCs w:val="24"/>
          <w:lang w:val="fr-CI" w:eastAsia="fr-FR"/>
        </w:rPr>
        <w:t>37</w:t>
      </w:r>
      <w:r w:rsidR="18690570" w:rsidRPr="007E7C5B">
        <w:rPr>
          <w:rFonts w:ascii="Arial Narrow" w:eastAsia="Times New Roman" w:hAnsi="Arial Narrow" w:cs="Arial"/>
          <w:b/>
          <w:bCs/>
          <w:kern w:val="0"/>
          <w:sz w:val="24"/>
          <w:szCs w:val="24"/>
          <w:lang w:val="fr-CI" w:eastAsia="fr-FR"/>
          <w14:ligatures w14:val="none"/>
        </w:rPr>
        <w:t>% en 2019</w:t>
      </w:r>
      <w:r w:rsidR="001E533E" w:rsidRPr="007E7C5B">
        <w:rPr>
          <w:rFonts w:ascii="Arial Narrow" w:eastAsia="Times New Roman" w:hAnsi="Arial Narrow" w:cs="Arial"/>
          <w:b/>
          <w:bCs/>
          <w:sz w:val="24"/>
          <w:szCs w:val="24"/>
          <w:lang w:val="fr-CI" w:eastAsia="fr-FR"/>
        </w:rPr>
        <w:t xml:space="preserve"> à</w:t>
      </w:r>
      <w:r w:rsidR="18690570" w:rsidRPr="007E7C5B">
        <w:rPr>
          <w:rFonts w:ascii="Arial Narrow" w:eastAsia="Times New Roman" w:hAnsi="Arial Narrow" w:cs="Arial"/>
          <w:b/>
          <w:bCs/>
          <w:kern w:val="0"/>
          <w:sz w:val="24"/>
          <w:szCs w:val="24"/>
          <w:lang w:val="fr-CI" w:eastAsia="fr-FR"/>
          <w14:ligatures w14:val="none"/>
        </w:rPr>
        <w:t xml:space="preserve"> </w:t>
      </w:r>
      <w:r w:rsidR="001E533E" w:rsidRPr="007E7C5B">
        <w:rPr>
          <w:rFonts w:ascii="Arial Narrow" w:eastAsia="Times New Roman" w:hAnsi="Arial Narrow" w:cs="Arial"/>
          <w:b/>
          <w:bCs/>
          <w:sz w:val="24"/>
          <w:szCs w:val="24"/>
          <w:lang w:val="fr-CI" w:eastAsia="fr-FR"/>
        </w:rPr>
        <w:t>31,99</w:t>
      </w:r>
      <w:r w:rsidR="18690570" w:rsidRPr="007E7C5B">
        <w:rPr>
          <w:rFonts w:ascii="Arial Narrow" w:eastAsia="Times New Roman" w:hAnsi="Arial Narrow" w:cs="Arial"/>
          <w:b/>
          <w:bCs/>
          <w:kern w:val="0"/>
          <w:sz w:val="24"/>
          <w:szCs w:val="24"/>
          <w:lang w:val="fr-CI" w:eastAsia="fr-FR"/>
          <w14:ligatures w14:val="none"/>
        </w:rPr>
        <w:t xml:space="preserve">% en </w:t>
      </w:r>
      <w:r w:rsidR="001E533E" w:rsidRPr="007E7C5B">
        <w:rPr>
          <w:rFonts w:ascii="Arial Narrow" w:eastAsia="Times New Roman" w:hAnsi="Arial Narrow" w:cs="Arial"/>
          <w:b/>
          <w:bCs/>
          <w:sz w:val="24"/>
          <w:szCs w:val="24"/>
          <w:lang w:val="fr-CI" w:eastAsia="fr-FR"/>
        </w:rPr>
        <w:t>2020</w:t>
      </w:r>
      <w:r w:rsidR="18690570" w:rsidRPr="007E7C5B">
        <w:rPr>
          <w:rFonts w:ascii="Arial Narrow" w:eastAsia="Times New Roman" w:hAnsi="Arial Narrow" w:cs="Arial"/>
          <w:b/>
          <w:bCs/>
          <w:kern w:val="0"/>
          <w:sz w:val="24"/>
          <w:szCs w:val="24"/>
          <w:lang w:val="fr-CI" w:eastAsia="fr-FR"/>
          <w14:ligatures w14:val="none"/>
        </w:rPr>
        <w:t xml:space="preserve">, tandis que la part de l'État s’élevait à </w:t>
      </w:r>
      <w:r w:rsidR="001E533E" w:rsidRPr="007E7C5B">
        <w:rPr>
          <w:rFonts w:ascii="Arial Narrow" w:eastAsia="Times New Roman" w:hAnsi="Arial Narrow" w:cs="Arial"/>
          <w:b/>
          <w:bCs/>
          <w:sz w:val="24"/>
          <w:szCs w:val="24"/>
          <w:lang w:val="fr-CI" w:eastAsia="fr-FR"/>
        </w:rPr>
        <w:t>36</w:t>
      </w:r>
      <w:r w:rsidR="18690570" w:rsidRPr="007E7C5B">
        <w:rPr>
          <w:rFonts w:ascii="Arial Narrow" w:eastAsia="Times New Roman" w:hAnsi="Arial Narrow" w:cs="Arial"/>
          <w:b/>
          <w:bCs/>
          <w:kern w:val="0"/>
          <w:sz w:val="24"/>
          <w:szCs w:val="24"/>
          <w:lang w:val="fr-CI" w:eastAsia="fr-FR"/>
          <w14:ligatures w14:val="none"/>
        </w:rPr>
        <w:t>,</w:t>
      </w:r>
      <w:r w:rsidR="001E533E" w:rsidRPr="007E7C5B">
        <w:rPr>
          <w:rFonts w:ascii="Arial Narrow" w:eastAsia="Times New Roman" w:hAnsi="Arial Narrow" w:cs="Arial"/>
          <w:b/>
          <w:bCs/>
          <w:sz w:val="24"/>
          <w:szCs w:val="24"/>
          <w:lang w:val="fr-CI" w:eastAsia="fr-FR"/>
        </w:rPr>
        <w:t>76</w:t>
      </w:r>
      <w:r w:rsidR="18690570" w:rsidRPr="007E7C5B">
        <w:rPr>
          <w:rFonts w:ascii="Arial Narrow" w:eastAsia="Times New Roman" w:hAnsi="Arial Narrow" w:cs="Arial"/>
          <w:b/>
          <w:bCs/>
          <w:kern w:val="0"/>
          <w:sz w:val="24"/>
          <w:szCs w:val="24"/>
          <w:lang w:val="fr-CI" w:eastAsia="fr-FR"/>
          <w14:ligatures w14:val="none"/>
        </w:rPr>
        <w:t>%</w:t>
      </w:r>
      <w:r w:rsidR="18690570" w:rsidRPr="007E7C5B">
        <w:rPr>
          <w:rFonts w:ascii="Arial Narrow" w:eastAsia="Times New Roman" w:hAnsi="Arial Narrow" w:cs="Arial"/>
          <w:kern w:val="0"/>
          <w:sz w:val="24"/>
          <w:szCs w:val="24"/>
          <w:lang w:val="fr-CI" w:eastAsia="fr-FR"/>
          <w14:ligatures w14:val="none"/>
        </w:rPr>
        <w:t xml:space="preserve">. </w:t>
      </w:r>
    </w:p>
    <w:p w14:paraId="766CB122" w14:textId="77777777" w:rsidR="00891789" w:rsidRPr="00891789" w:rsidRDefault="18690570" w:rsidP="00891789">
      <w:pPr>
        <w:jc w:val="both"/>
        <w:textAlignment w:val="baseline"/>
        <w:rPr>
          <w:rFonts w:ascii="Arial Narrow" w:eastAsia="Times New Roman" w:hAnsi="Arial Narrow" w:cs="Arial"/>
          <w:kern w:val="0"/>
          <w:sz w:val="24"/>
          <w:szCs w:val="24"/>
          <w:lang w:eastAsia="fr-FR"/>
          <w14:ligatures w14:val="none"/>
        </w:rPr>
      </w:pPr>
      <w:r w:rsidRPr="007E7C5B">
        <w:rPr>
          <w:rFonts w:ascii="Arial Narrow" w:eastAsia="Times New Roman" w:hAnsi="Arial Narrow" w:cs="Arial"/>
          <w:kern w:val="0"/>
          <w:sz w:val="24"/>
          <w:szCs w:val="24"/>
          <w:lang w:val="fr-CI" w:eastAsia="fr-FR"/>
          <w14:ligatures w14:val="none"/>
        </w:rPr>
        <w:t xml:space="preserve">L’analyse du budget 2023 (estimation GTT3 PNCFS) révèle qu'entre 2018 et 2023, la part moyenne du budget national consacrée à la santé s'est établie à 5,95%, atteignant un pic de 7,43% en 2020, en grande partie grâce aux financements supplémentaires liés au plan de riposte contre la pandémie de COVID-19. Ces chiffres illustrent les défis structurels auxquels la Côte d'Ivoire est confrontée pour </w:t>
      </w:r>
      <w:r w:rsidRPr="007E7C5B">
        <w:rPr>
          <w:rFonts w:ascii="Arial Narrow" w:eastAsia="Times New Roman" w:hAnsi="Arial Narrow" w:cs="Arial"/>
          <w:kern w:val="0"/>
          <w:sz w:val="24"/>
          <w:szCs w:val="24"/>
          <w:lang w:val="fr-CI" w:eastAsia="fr-FR"/>
          <w14:ligatures w14:val="none"/>
        </w:rPr>
        <w:lastRenderedPageBreak/>
        <w:t>atteindre l'objectif de 15</w:t>
      </w:r>
      <w:r w:rsidR="5328F09F" w:rsidRPr="007E7C5B">
        <w:rPr>
          <w:rFonts w:ascii="Arial Narrow" w:eastAsia="Times New Roman" w:hAnsi="Arial Narrow" w:cs="Arial"/>
          <w:kern w:val="0"/>
          <w:sz w:val="24"/>
          <w:szCs w:val="24"/>
          <w:lang w:val="fr-CI" w:eastAsia="fr-FR"/>
          <w14:ligatures w14:val="none"/>
        </w:rPr>
        <w:t>%</w:t>
      </w:r>
      <w:r w:rsidRPr="007E7C5B">
        <w:rPr>
          <w:rFonts w:ascii="Arial Narrow" w:eastAsia="Times New Roman" w:hAnsi="Arial Narrow" w:cs="Arial"/>
          <w:kern w:val="0"/>
          <w:sz w:val="24"/>
          <w:szCs w:val="24"/>
          <w:lang w:val="fr-CI" w:eastAsia="fr-FR"/>
          <w14:ligatures w14:val="none"/>
        </w:rPr>
        <w:t xml:space="preserve"> fixé par la Déclaration d'Abuja en 2001.</w:t>
      </w:r>
      <w:r w:rsidR="52B83A46" w:rsidRPr="007E7C5B">
        <w:rPr>
          <w:rFonts w:ascii="Arial Narrow" w:eastAsia="Times New Roman" w:hAnsi="Arial Narrow" w:cs="Arial"/>
          <w:kern w:val="0"/>
          <w:sz w:val="24"/>
          <w:szCs w:val="24"/>
          <w:lang w:val="fr-CI" w:eastAsia="fr-FR"/>
          <w14:ligatures w14:val="none"/>
        </w:rPr>
        <w:t xml:space="preserve"> </w:t>
      </w:r>
      <w:r w:rsidRPr="007E7C5B">
        <w:rPr>
          <w:rFonts w:ascii="Arial Narrow" w:eastAsia="Times New Roman" w:hAnsi="Arial Narrow" w:cs="Arial"/>
          <w:kern w:val="0"/>
          <w:sz w:val="24"/>
          <w:szCs w:val="24"/>
          <w:lang w:val="fr-CI" w:eastAsia="fr-FR"/>
          <w14:ligatures w14:val="none"/>
        </w:rPr>
        <w:t xml:space="preserve">Par ailleurs, selon les données du </w:t>
      </w:r>
      <w:r w:rsidRPr="007E7C5B">
        <w:rPr>
          <w:rFonts w:ascii="Arial Narrow" w:eastAsia="Times New Roman" w:hAnsi="Arial Narrow" w:cs="Arial"/>
          <w:i/>
          <w:iCs/>
          <w:kern w:val="0"/>
          <w:sz w:val="24"/>
          <w:szCs w:val="24"/>
          <w:lang w:val="fr-CI" w:eastAsia="fr-FR"/>
          <w14:ligatures w14:val="none"/>
        </w:rPr>
        <w:t>Millennium Challenge Corporation</w:t>
      </w:r>
      <w:r w:rsidRPr="007E7C5B">
        <w:rPr>
          <w:rFonts w:ascii="Arial Narrow" w:eastAsia="Times New Roman" w:hAnsi="Arial Narrow" w:cs="Arial"/>
          <w:kern w:val="0"/>
          <w:sz w:val="24"/>
          <w:szCs w:val="24"/>
          <w:lang w:val="fr-CI" w:eastAsia="fr-FR"/>
          <w14:ligatures w14:val="none"/>
        </w:rPr>
        <w:t xml:space="preserve"> (MCC), les dépenses publiques de santé rapportées au PIB représentaient 1,3% en 2020, situant la Côte d'Ivoire en deçà de la médiane africaine, fixée à 2,63%.</w:t>
      </w:r>
      <w:r w:rsidRPr="007E7C5B">
        <w:rPr>
          <w:rFonts w:ascii="Arial Narrow" w:eastAsia="Times New Roman" w:hAnsi="Arial Narrow" w:cs="Arial"/>
          <w:kern w:val="0"/>
          <w:sz w:val="24"/>
          <w:szCs w:val="24"/>
          <w:lang w:eastAsia="fr-FR"/>
          <w14:ligatures w14:val="none"/>
        </w:rPr>
        <w:t> </w:t>
      </w:r>
    </w:p>
    <w:p w14:paraId="16A2BA0E" w14:textId="580AB2BF" w:rsidR="001E533E" w:rsidRPr="007E7C5B" w:rsidDel="00FC2ED5" w:rsidRDefault="002B4EF6" w:rsidP="00761F55">
      <w:pPr>
        <w:jc w:val="both"/>
        <w:rPr>
          <w:rFonts w:ascii="Arial Narrow" w:hAnsi="Arial Narrow" w:cs="Arial"/>
          <w:sz w:val="24"/>
          <w:szCs w:val="24"/>
        </w:rPr>
      </w:pPr>
      <w:r w:rsidRPr="00B82295">
        <w:rPr>
          <w:rFonts w:cstheme="minorHAnsi"/>
          <w:noProof/>
          <w:sz w:val="24"/>
          <w:szCs w:val="24"/>
        </w:rPr>
        <mc:AlternateContent>
          <mc:Choice Requires="wps">
            <w:drawing>
              <wp:anchor distT="0" distB="0" distL="114300" distR="114300" simplePos="0" relativeHeight="251658255" behindDoc="0" locked="0" layoutInCell="1" allowOverlap="1" wp14:anchorId="31DA9305" wp14:editId="2D782BD8">
                <wp:simplePos x="0" y="0"/>
                <wp:positionH relativeFrom="column">
                  <wp:posOffset>2545715</wp:posOffset>
                </wp:positionH>
                <wp:positionV relativeFrom="paragraph">
                  <wp:posOffset>0</wp:posOffset>
                </wp:positionV>
                <wp:extent cx="3157855" cy="2693670"/>
                <wp:effectExtent l="0" t="0" r="23495" b="11430"/>
                <wp:wrapSquare wrapText="bothSides"/>
                <wp:docPr id="1805120245" name="Text Box 7"/>
                <wp:cNvGraphicFramePr/>
                <a:graphic xmlns:a="http://schemas.openxmlformats.org/drawingml/2006/main">
                  <a:graphicData uri="http://schemas.microsoft.com/office/word/2010/wordprocessingShape">
                    <wps:wsp>
                      <wps:cNvSpPr txBox="1"/>
                      <wps:spPr>
                        <a:xfrm>
                          <a:off x="0" y="0"/>
                          <a:ext cx="3157855" cy="2693670"/>
                        </a:xfrm>
                        <a:prstGeom prst="rect">
                          <a:avLst/>
                        </a:prstGeom>
                        <a:solidFill>
                          <a:schemeClr val="lt1"/>
                        </a:solidFill>
                        <a:ln w="6350">
                          <a:solidFill>
                            <a:schemeClr val="bg1">
                              <a:lumMod val="75000"/>
                            </a:schemeClr>
                          </a:solidFill>
                        </a:ln>
                      </wps:spPr>
                      <wps:txbx>
                        <w:txbxContent>
                          <w:p w14:paraId="3190C7E7" w14:textId="7EB4B5B6" w:rsidR="00630E52" w:rsidRDefault="00630E52" w:rsidP="00DC5897">
                            <w:pPr>
                              <w:pStyle w:val="Lgende"/>
                            </w:pPr>
                            <w:bookmarkStart w:id="52" w:name="_Toc183688791"/>
                            <w:r>
                              <w:t xml:space="preserve">Graphique </w:t>
                            </w:r>
                            <w:r>
                              <w:fldChar w:fldCharType="begin"/>
                            </w:r>
                            <w:r>
                              <w:instrText xml:space="preserve"> SEQ Graphique \* ARABIC </w:instrText>
                            </w:r>
                            <w:r>
                              <w:fldChar w:fldCharType="separate"/>
                            </w:r>
                            <w:r w:rsidR="00F546EB">
                              <w:rPr>
                                <w:noProof/>
                              </w:rPr>
                              <w:t>4</w:t>
                            </w:r>
                            <w:r>
                              <w:fldChar w:fldCharType="end"/>
                            </w:r>
                            <w:r>
                              <w:t xml:space="preserve"> : </w:t>
                            </w:r>
                            <w:r w:rsidRPr="001F0D29">
                              <w:t>Taux d'accroissement annuel du budget du Ministère en charge de la santé</w:t>
                            </w:r>
                            <w:bookmarkEnd w:id="52"/>
                          </w:p>
                          <w:p w14:paraId="34C2C35A" w14:textId="3B8452AE" w:rsidR="002B4EF6" w:rsidRPr="00B82295" w:rsidRDefault="002B0723" w:rsidP="002B4EF6">
                            <w:pPr>
                              <w:keepNext/>
                            </w:pPr>
                            <w:r>
                              <w:rPr>
                                <w:noProof/>
                              </w:rPr>
                              <w:drawing>
                                <wp:inline distT="0" distB="0" distL="0" distR="0" wp14:anchorId="5E64A690" wp14:editId="11231325">
                                  <wp:extent cx="2947182" cy="1829435"/>
                                  <wp:effectExtent l="0" t="0" r="5715" b="18415"/>
                                  <wp:docPr id="232530469" name="Chart 1">
                                    <a:extLst xmlns:a="http://schemas.openxmlformats.org/drawingml/2006/main">
                                      <a:ext uri="{FF2B5EF4-FFF2-40B4-BE49-F238E27FC236}">
                                        <a16:creationId xmlns:a16="http://schemas.microsoft.com/office/drawing/2014/main" id="{B3B33BA7-E94D-79E5-D7C9-334C37C01D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ECD1290" w14:textId="77777777" w:rsidR="002B4EF6" w:rsidRPr="002A5075" w:rsidRDefault="002B4EF6" w:rsidP="00DC5897">
                            <w:pPr>
                              <w:pStyle w:val="Lgende"/>
                            </w:pPr>
                            <w:bookmarkStart w:id="53" w:name="_Hlk174190585"/>
                            <w:r w:rsidRPr="002A5075">
                              <w:t>Sources : Comptes de la Santé, DAF</w:t>
                            </w:r>
                            <w:bookmarkEnd w:id="53"/>
                          </w:p>
                          <w:p w14:paraId="0C4DE101" w14:textId="77777777" w:rsidR="002B4EF6" w:rsidRPr="002A5075" w:rsidRDefault="002B4EF6" w:rsidP="002B4E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1DA9305" id="Text Box 7" o:spid="_x0000_s1035" type="#_x0000_t202" style="position:absolute;left:0;text-align:left;margin-left:200.45pt;margin-top:0;width:248.65pt;height:212.1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" fillcolor="white [3201]" strokecolor="#bfbfbf [2412]" strokeweight=".5pt">
                <v:textbox>
                  <w:txbxContent>
                    <w:p w14:paraId="3190C7E7" w14:textId="7EB4B5B6" w:rsidR="00630E52" w:rsidRDefault="00630E52" w:rsidP="00DC5897">
                      <w:pPr>
                        <w:pStyle w:val="Lgende"/>
                      </w:pPr>
                      <w:bookmarkStart w:id="57" w:name="_Toc183688791"/>
                      <w:r>
                        <w:t xml:space="preserve">Graphique </w:t>
                      </w:r>
                      <w:r>
                        <w:fldChar w:fldCharType="begin"/>
                      </w:r>
                      <w:r>
                        <w:instrText xml:space="preserve"> SEQ Graphique \* ARABIC </w:instrText>
                      </w:r>
                      <w:r>
                        <w:fldChar w:fldCharType="separate"/>
                      </w:r>
                      <w:r w:rsidR="00F546EB">
                        <w:rPr>
                          <w:noProof/>
                        </w:rPr>
                        <w:t>4</w:t>
                      </w:r>
                      <w:r>
                        <w:fldChar w:fldCharType="end"/>
                      </w:r>
                      <w:r>
                        <w:t xml:space="preserve"> : </w:t>
                      </w:r>
                      <w:r w:rsidRPr="001F0D29">
                        <w:t>Taux d'accroissement annuel du budget du Ministère en charge de la santé</w:t>
                      </w:r>
                      <w:bookmarkEnd w:id="57"/>
                    </w:p>
                    <w:p w14:paraId="34C2C35A" w14:textId="3B8452AE" w:rsidR="002B4EF6" w:rsidRPr="00B82295" w:rsidRDefault="002B0723" w:rsidP="002B4EF6">
                      <w:pPr>
                        <w:keepNext/>
                      </w:pPr>
                      <w:r>
                        <w:rPr>
                          <w:noProof/>
                        </w:rPr>
                        <w:drawing>
                          <wp:inline distT="0" distB="0" distL="0" distR="0" wp14:anchorId="5E64A690" wp14:editId="11231325">
                            <wp:extent cx="2947182" cy="1829435"/>
                            <wp:effectExtent l="0" t="0" r="5715" b="18415"/>
                            <wp:docPr id="232530469" name="Chart 1">
                              <a:extLst xmlns:a="http://schemas.openxmlformats.org/drawingml/2006/main">
                                <a:ext uri="{FF2B5EF4-FFF2-40B4-BE49-F238E27FC236}">
                                  <a16:creationId xmlns:a16="http://schemas.microsoft.com/office/drawing/2014/main" id="{B3B33BA7-E94D-79E5-D7C9-334C37C01D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ECD1290" w14:textId="77777777" w:rsidR="002B4EF6" w:rsidRPr="002A5075" w:rsidRDefault="002B4EF6" w:rsidP="00DC5897">
                      <w:pPr>
                        <w:pStyle w:val="Lgende"/>
                      </w:pPr>
                      <w:bookmarkStart w:id="58" w:name="_Hlk174190585"/>
                      <w:r w:rsidRPr="002A5075">
                        <w:t>Sources : Comptes de la Santé, DAF</w:t>
                      </w:r>
                      <w:bookmarkEnd w:id="58"/>
                    </w:p>
                    <w:p w14:paraId="0C4DE101" w14:textId="77777777" w:rsidR="002B4EF6" w:rsidRPr="002A5075" w:rsidRDefault="002B4EF6" w:rsidP="002B4EF6"/>
                  </w:txbxContent>
                </v:textbox>
                <w10:wrap type="square"/>
              </v:shape>
            </w:pict>
          </mc:Fallback>
        </mc:AlternateContent>
      </w:r>
      <w:r w:rsidR="00AC0E0D" w:rsidRPr="007E7C5B" w:rsidDel="00FC2ED5">
        <w:rPr>
          <w:rFonts w:ascii="Arial Narrow" w:hAnsi="Arial Narrow" w:cs="Arial"/>
          <w:sz w:val="24"/>
          <w:szCs w:val="24"/>
        </w:rPr>
        <w:t>L</w:t>
      </w:r>
      <w:r w:rsidR="001E533E" w:rsidRPr="007E7C5B" w:rsidDel="00FC2ED5">
        <w:rPr>
          <w:rFonts w:ascii="Arial Narrow" w:hAnsi="Arial Narrow" w:cs="Arial"/>
          <w:sz w:val="24"/>
          <w:szCs w:val="24"/>
        </w:rPr>
        <w:t>e budget voté alloué au Ministère en charge de la santé est passé de 414 254 898 441 FCFA en 2021 à 691 721 447 907 FCFA en 2023. Ce budget a connu de 2021 à 2022 une hausse de 7% et de 2022 à 2023 une hausse de 56%.</w:t>
      </w:r>
      <w:r w:rsidR="00AC0E0D" w:rsidRPr="007E7C5B" w:rsidDel="00FC2ED5">
        <w:rPr>
          <w:rFonts w:ascii="Arial Narrow" w:hAnsi="Arial Narrow" w:cs="Arial"/>
          <w:sz w:val="24"/>
          <w:szCs w:val="24"/>
        </w:rPr>
        <w:t xml:space="preserve"> </w:t>
      </w:r>
      <w:r w:rsidR="001E533E" w:rsidRPr="007E7C5B" w:rsidDel="00FC2ED5">
        <w:rPr>
          <w:rFonts w:ascii="Arial Narrow" w:hAnsi="Arial Narrow" w:cs="Arial"/>
          <w:sz w:val="24"/>
          <w:szCs w:val="24"/>
        </w:rPr>
        <w:t>Cette progression s’explique principalement par des investissements accrus dans l’offre de soins, avec la construction de plusieurs établissements de santé, dont 226 ESPC. De plus, le recrutement et la prise en charge de nouveaux agents de santé, ainsi que l’application du décret portant sur la revalorisation salariale des fonctionnaires, ont contribué à cette hausse. Les dépenses publiques liées à la lutte contre la COVID-19 ont également joué un rôle dans l’augmentation du budget.</w:t>
      </w:r>
    </w:p>
    <w:p w14:paraId="53D489F9" w14:textId="483D98A4" w:rsidR="001E533E" w:rsidRPr="007E7C5B" w:rsidRDefault="00D81FF6" w:rsidP="00761F55">
      <w:pPr>
        <w:jc w:val="both"/>
        <w:rPr>
          <w:rFonts w:ascii="Arial Narrow" w:hAnsi="Arial Narrow" w:cs="Arial"/>
          <w:sz w:val="24"/>
          <w:szCs w:val="24"/>
        </w:rPr>
      </w:pPr>
      <w:r w:rsidRPr="00BC577B">
        <w:rPr>
          <w:rFonts w:ascii="Arial Narrow" w:hAnsi="Arial Narrow" w:cstheme="minorHAnsi"/>
          <w:noProof/>
          <w:sz w:val="24"/>
          <w:szCs w:val="24"/>
          <w:lang w:eastAsia="fr-FR"/>
        </w:rPr>
        <mc:AlternateContent>
          <mc:Choice Requires="wps">
            <w:drawing>
              <wp:anchor distT="0" distB="0" distL="114300" distR="114300" simplePos="0" relativeHeight="251658254" behindDoc="1" locked="0" layoutInCell="1" allowOverlap="1" wp14:anchorId="4B76EFE2" wp14:editId="1C7470A1">
                <wp:simplePos x="0" y="0"/>
                <wp:positionH relativeFrom="margin">
                  <wp:posOffset>0</wp:posOffset>
                </wp:positionH>
                <wp:positionV relativeFrom="paragraph">
                  <wp:posOffset>463697</wp:posOffset>
                </wp:positionV>
                <wp:extent cx="3003550" cy="2369820"/>
                <wp:effectExtent l="0" t="0" r="25400" b="11430"/>
                <wp:wrapTight wrapText="bothSides">
                  <wp:wrapPolygon edited="0">
                    <wp:start x="0" y="0"/>
                    <wp:lineTo x="0" y="21531"/>
                    <wp:lineTo x="21646" y="21531"/>
                    <wp:lineTo x="21646" y="0"/>
                    <wp:lineTo x="0" y="0"/>
                  </wp:wrapPolygon>
                </wp:wrapTight>
                <wp:docPr id="506089984" name="Text Box 7"/>
                <wp:cNvGraphicFramePr/>
                <a:graphic xmlns:a="http://schemas.openxmlformats.org/drawingml/2006/main">
                  <a:graphicData uri="http://schemas.microsoft.com/office/word/2010/wordprocessingShape">
                    <wps:wsp>
                      <wps:cNvSpPr txBox="1"/>
                      <wps:spPr>
                        <a:xfrm>
                          <a:off x="0" y="0"/>
                          <a:ext cx="3003550" cy="2369820"/>
                        </a:xfrm>
                        <a:prstGeom prst="rect">
                          <a:avLst/>
                        </a:prstGeom>
                        <a:solidFill>
                          <a:schemeClr val="lt1"/>
                        </a:solidFill>
                        <a:ln w="6350">
                          <a:solidFill>
                            <a:schemeClr val="bg1">
                              <a:lumMod val="75000"/>
                            </a:schemeClr>
                          </a:solidFill>
                        </a:ln>
                      </wps:spPr>
                      <wps:txbx>
                        <w:txbxContent>
                          <w:p w14:paraId="50C36E27" w14:textId="6C26A046" w:rsidR="00661745" w:rsidRDefault="00661745" w:rsidP="00DC5897">
                            <w:pPr>
                              <w:pStyle w:val="Lgende"/>
                            </w:pPr>
                            <w:bookmarkStart w:id="54" w:name="_Toc183688792"/>
                            <w:r>
                              <w:t xml:space="preserve">Graphique </w:t>
                            </w:r>
                            <w:r>
                              <w:fldChar w:fldCharType="begin"/>
                            </w:r>
                            <w:r>
                              <w:instrText xml:space="preserve"> SEQ Graphique \* ARABIC </w:instrText>
                            </w:r>
                            <w:r>
                              <w:fldChar w:fldCharType="separate"/>
                            </w:r>
                            <w:r w:rsidR="00F546EB">
                              <w:rPr>
                                <w:noProof/>
                              </w:rPr>
                              <w:t>5</w:t>
                            </w:r>
                            <w:r>
                              <w:fldChar w:fldCharType="end"/>
                            </w:r>
                            <w:r>
                              <w:t xml:space="preserve"> : </w:t>
                            </w:r>
                            <w:r w:rsidRPr="004D7EFF">
                              <w:t>Part du budget de l'Etat alloué au secteur de la santé</w:t>
                            </w:r>
                            <w:bookmarkEnd w:id="54"/>
                          </w:p>
                          <w:p w14:paraId="159BCC51" w14:textId="7DCFFEAA" w:rsidR="00D81FF6" w:rsidRPr="00B82295" w:rsidRDefault="00E92A92" w:rsidP="00D81FF6">
                            <w:pPr>
                              <w:keepNext/>
                            </w:pPr>
                            <w:r>
                              <w:rPr>
                                <w:noProof/>
                              </w:rPr>
                              <w:drawing>
                                <wp:inline distT="0" distB="0" distL="0" distR="0" wp14:anchorId="2F69B0FA" wp14:editId="31FD5B53">
                                  <wp:extent cx="2814320" cy="1554480"/>
                                  <wp:effectExtent l="0" t="0" r="5080" b="7620"/>
                                  <wp:docPr id="1678922186" name="Chart 1">
                                    <a:extLst xmlns:a="http://schemas.openxmlformats.org/drawingml/2006/main">
                                      <a:ext uri="{FF2B5EF4-FFF2-40B4-BE49-F238E27FC236}">
                                        <a16:creationId xmlns:a16="http://schemas.microsoft.com/office/drawing/2014/main" id="{3A9DC917-60A3-8E81-3AA2-AFF9864622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59A6610" w14:textId="36B6117C" w:rsidR="00D81FF6" w:rsidRPr="002A5075" w:rsidRDefault="00D81FF6" w:rsidP="00DC5897">
                            <w:pPr>
                              <w:pStyle w:val="Lgende"/>
                            </w:pPr>
                            <w:r w:rsidRPr="002A5075">
                              <w:t xml:space="preserve">Sources : </w:t>
                            </w:r>
                            <w:r w:rsidR="003E3166" w:rsidRPr="002A5075">
                              <w:t>Bases budgétaires, DAF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B76EFE2" id="_x0000_s1036" type="#_x0000_t202" style="position:absolute;left:0;text-align:left;margin-left:0;margin-top:36.5pt;width:236.5pt;height:186.6pt;z-index:-2516582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" fillcolor="white [3201]" strokecolor="#bfbfbf [2412]" strokeweight=".5pt">
                <v:textbox>
                  <w:txbxContent>
                    <w:p w14:paraId="50C36E27" w14:textId="6C26A046" w:rsidR="00661745" w:rsidRDefault="00661745" w:rsidP="00DC5897">
                      <w:pPr>
                        <w:pStyle w:val="Lgende"/>
                      </w:pPr>
                      <w:bookmarkStart w:id="60" w:name="_Toc183688792"/>
                      <w:r>
                        <w:t xml:space="preserve">Graphique </w:t>
                      </w:r>
                      <w:r>
                        <w:fldChar w:fldCharType="begin"/>
                      </w:r>
                      <w:r>
                        <w:instrText xml:space="preserve"> SEQ Graphique \* ARABIC </w:instrText>
                      </w:r>
                      <w:r>
                        <w:fldChar w:fldCharType="separate"/>
                      </w:r>
                      <w:r w:rsidR="00F546EB">
                        <w:rPr>
                          <w:noProof/>
                        </w:rPr>
                        <w:t>5</w:t>
                      </w:r>
                      <w:r>
                        <w:fldChar w:fldCharType="end"/>
                      </w:r>
                      <w:r>
                        <w:t xml:space="preserve"> : </w:t>
                      </w:r>
                      <w:r w:rsidRPr="004D7EFF">
                        <w:t>Part du budget de l'Etat alloué au secteur de la santé</w:t>
                      </w:r>
                      <w:bookmarkEnd w:id="60"/>
                    </w:p>
                    <w:p w14:paraId="159BCC51" w14:textId="7DCFFEAA" w:rsidR="00D81FF6" w:rsidRPr="00B82295" w:rsidRDefault="00E92A92" w:rsidP="00D81FF6">
                      <w:pPr>
                        <w:keepNext/>
                      </w:pPr>
                      <w:r>
                        <w:rPr>
                          <w:noProof/>
                        </w:rPr>
                        <w:drawing>
                          <wp:inline distT="0" distB="0" distL="0" distR="0" wp14:anchorId="2F69B0FA" wp14:editId="31FD5B53">
                            <wp:extent cx="2814320" cy="1554480"/>
                            <wp:effectExtent l="0" t="0" r="5080" b="7620"/>
                            <wp:docPr id="1678922186" name="Chart 1">
                              <a:extLst xmlns:a="http://schemas.openxmlformats.org/drawingml/2006/main">
                                <a:ext uri="{FF2B5EF4-FFF2-40B4-BE49-F238E27FC236}">
                                  <a16:creationId xmlns:a16="http://schemas.microsoft.com/office/drawing/2014/main" id="{3A9DC917-60A3-8E81-3AA2-AFF9864622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59A6610" w14:textId="36B6117C" w:rsidR="00D81FF6" w:rsidRPr="002A5075" w:rsidRDefault="00D81FF6" w:rsidP="00DC5897">
                      <w:pPr>
                        <w:pStyle w:val="Lgende"/>
                      </w:pPr>
                      <w:r w:rsidRPr="002A5075">
                        <w:t xml:space="preserve">Sources : </w:t>
                      </w:r>
                      <w:r w:rsidR="003E3166" w:rsidRPr="002A5075">
                        <w:t>Bases budgétaires, DAF</w:t>
                      </w:r>
                    </w:p>
                  </w:txbxContent>
                </v:textbox>
                <w10:wrap type="tight" anchorx="margin"/>
              </v:shape>
            </w:pict>
          </mc:Fallback>
        </mc:AlternateContent>
      </w:r>
      <w:r w:rsidR="001E533E" w:rsidRPr="007E7C5B" w:rsidDel="00FC2ED5">
        <w:rPr>
          <w:rFonts w:ascii="Arial Narrow" w:hAnsi="Arial Narrow" w:cs="Arial"/>
          <w:sz w:val="24"/>
          <w:szCs w:val="24"/>
        </w:rPr>
        <w:t>Toutefois, le budget du MSHPCMU devrait évoluer de 15% conformément à l’engagement pris par le gouvernement lors de la conférence d’Oslo (2018) mais cet engagement n’a été respecté qu’en 2020 (16%) et 2023 (</w:t>
      </w:r>
      <w:r w:rsidR="00A221EB" w:rsidRPr="007E7C5B" w:rsidDel="00FC2ED5">
        <w:rPr>
          <w:rFonts w:ascii="Arial Narrow" w:hAnsi="Arial Narrow" w:cs="Arial"/>
          <w:sz w:val="24"/>
          <w:szCs w:val="24"/>
        </w:rPr>
        <w:t>56</w:t>
      </w:r>
      <w:r w:rsidR="001E533E" w:rsidRPr="007E7C5B" w:rsidDel="00FC2ED5">
        <w:rPr>
          <w:rFonts w:ascii="Arial Narrow" w:hAnsi="Arial Narrow" w:cs="Arial"/>
          <w:sz w:val="24"/>
          <w:szCs w:val="24"/>
        </w:rPr>
        <w:t>%).</w:t>
      </w:r>
      <w:r w:rsidR="0017725A" w:rsidRPr="007E7C5B" w:rsidDel="00FC2ED5">
        <w:rPr>
          <w:rFonts w:ascii="Arial Narrow" w:hAnsi="Arial Narrow" w:cs="Arial"/>
          <w:sz w:val="24"/>
          <w:szCs w:val="24"/>
        </w:rPr>
        <w:t xml:space="preserve"> </w:t>
      </w:r>
      <w:r w:rsidR="001E533E" w:rsidRPr="007E7C5B" w:rsidDel="00FC2ED5">
        <w:rPr>
          <w:rFonts w:ascii="Arial Narrow" w:hAnsi="Arial Narrow" w:cs="Arial"/>
          <w:sz w:val="24"/>
          <w:szCs w:val="24"/>
        </w:rPr>
        <w:t xml:space="preserve">Par ailleurs, </w:t>
      </w:r>
      <w:r w:rsidR="001E533E" w:rsidRPr="007E7C5B" w:rsidDel="00FC2ED5">
        <w:rPr>
          <w:rFonts w:ascii="Arial Narrow" w:hAnsi="Arial Narrow" w:cs="Arial"/>
          <w:b/>
          <w:sz w:val="24"/>
          <w:szCs w:val="24"/>
        </w:rPr>
        <w:t xml:space="preserve">la part du budget de l'État alloué </w:t>
      </w:r>
      <w:r w:rsidR="002633FB">
        <w:rPr>
          <w:rFonts w:ascii="Arial Narrow" w:hAnsi="Arial Narrow" w:cs="Arial"/>
          <w:b/>
          <w:sz w:val="24"/>
          <w:szCs w:val="24"/>
        </w:rPr>
        <w:t>au secteur de</w:t>
      </w:r>
      <w:r w:rsidR="001E533E" w:rsidRPr="007E7C5B" w:rsidDel="00FC2ED5">
        <w:rPr>
          <w:rFonts w:ascii="Arial Narrow" w:hAnsi="Arial Narrow" w:cs="Arial"/>
          <w:b/>
          <w:sz w:val="24"/>
          <w:szCs w:val="24"/>
        </w:rPr>
        <w:t xml:space="preserve"> la santé</w:t>
      </w:r>
      <w:r w:rsidR="001E533E" w:rsidRPr="007E7C5B" w:rsidDel="00FC2ED5">
        <w:rPr>
          <w:rFonts w:ascii="Arial Narrow" w:hAnsi="Arial Narrow" w:cs="Arial"/>
          <w:sz w:val="24"/>
          <w:szCs w:val="24"/>
        </w:rPr>
        <w:t xml:space="preserve"> </w:t>
      </w:r>
      <w:r w:rsidR="001E533E" w:rsidRPr="007E7C5B" w:rsidDel="00FC2ED5">
        <w:rPr>
          <w:rFonts w:ascii="Arial Narrow" w:hAnsi="Arial Narrow" w:cs="Arial"/>
          <w:b/>
          <w:bCs/>
          <w:sz w:val="24"/>
          <w:szCs w:val="24"/>
        </w:rPr>
        <w:t>reste en deçà des cibles annuelles prévues</w:t>
      </w:r>
      <w:r w:rsidR="001E533E" w:rsidRPr="007E7C5B" w:rsidDel="00FC2ED5">
        <w:rPr>
          <w:rFonts w:ascii="Arial Narrow" w:hAnsi="Arial Narrow" w:cs="Arial"/>
          <w:sz w:val="24"/>
          <w:szCs w:val="24"/>
        </w:rPr>
        <w:t xml:space="preserve"> (2021</w:t>
      </w:r>
      <w:r w:rsidR="001D22FA" w:rsidRPr="007E7C5B" w:rsidDel="00FC2ED5">
        <w:rPr>
          <w:rFonts w:ascii="Arial Narrow" w:hAnsi="Arial Narrow" w:cs="Arial"/>
          <w:sz w:val="24"/>
          <w:szCs w:val="24"/>
        </w:rPr>
        <w:t xml:space="preserve"> </w:t>
      </w:r>
      <w:r w:rsidR="001E533E" w:rsidRPr="007E7C5B" w:rsidDel="00FC2ED5">
        <w:rPr>
          <w:rFonts w:ascii="Arial Narrow" w:hAnsi="Arial Narrow" w:cs="Arial"/>
          <w:sz w:val="24"/>
          <w:szCs w:val="24"/>
        </w:rPr>
        <w:t>: 6,28% ; 2022</w:t>
      </w:r>
      <w:r w:rsidR="001D22FA" w:rsidRPr="007E7C5B" w:rsidDel="00FC2ED5">
        <w:rPr>
          <w:rFonts w:ascii="Arial Narrow" w:hAnsi="Arial Narrow" w:cs="Arial"/>
          <w:sz w:val="24"/>
          <w:szCs w:val="24"/>
        </w:rPr>
        <w:t xml:space="preserve"> </w:t>
      </w:r>
      <w:r w:rsidR="001E533E" w:rsidRPr="007E7C5B" w:rsidDel="00FC2ED5">
        <w:rPr>
          <w:rFonts w:ascii="Arial Narrow" w:hAnsi="Arial Narrow" w:cs="Arial"/>
          <w:sz w:val="24"/>
          <w:szCs w:val="24"/>
        </w:rPr>
        <w:t>: 5,36% ; 2023</w:t>
      </w:r>
      <w:r w:rsidR="001D22FA" w:rsidRPr="007E7C5B" w:rsidDel="00FC2ED5">
        <w:rPr>
          <w:rFonts w:ascii="Arial Narrow" w:hAnsi="Arial Narrow" w:cs="Arial"/>
          <w:sz w:val="24"/>
          <w:szCs w:val="24"/>
        </w:rPr>
        <w:t xml:space="preserve"> </w:t>
      </w:r>
      <w:r w:rsidR="001E533E" w:rsidRPr="007E7C5B" w:rsidDel="00FC2ED5">
        <w:rPr>
          <w:rFonts w:ascii="Arial Narrow" w:hAnsi="Arial Narrow" w:cs="Arial"/>
          <w:sz w:val="24"/>
          <w:szCs w:val="24"/>
        </w:rPr>
        <w:t xml:space="preserve">: 6,32% contre une prévision variant de 7,54% à 7,77% sur la période). </w:t>
      </w:r>
    </w:p>
    <w:p w14:paraId="0ABA9D6C" w14:textId="77777777" w:rsidR="00E57876" w:rsidRDefault="00E57876" w:rsidP="006B094E">
      <w:pPr>
        <w:jc w:val="both"/>
        <w:rPr>
          <w:rFonts w:ascii="Arial Narrow" w:hAnsi="Arial Narrow" w:cs="Arial"/>
          <w:sz w:val="24"/>
          <w:szCs w:val="24"/>
        </w:rPr>
      </w:pPr>
    </w:p>
    <w:p w14:paraId="7D508587" w14:textId="3435EDCF" w:rsidR="006B094E" w:rsidRPr="007E7C5B" w:rsidRDefault="006B094E" w:rsidP="006B094E">
      <w:pPr>
        <w:jc w:val="both"/>
        <w:rPr>
          <w:rFonts w:ascii="Arial Narrow" w:hAnsi="Arial Narrow" w:cs="Arial"/>
          <w:sz w:val="24"/>
          <w:szCs w:val="24"/>
        </w:rPr>
      </w:pPr>
      <w:r w:rsidRPr="007E7C5B">
        <w:rPr>
          <w:rFonts w:ascii="Arial Narrow" w:hAnsi="Arial Narrow" w:cs="Arial"/>
          <w:sz w:val="24"/>
          <w:szCs w:val="24"/>
        </w:rPr>
        <w:t xml:space="preserve">Les efforts entrepris ces dernières années pour améliorer la gestion financière au sein du MSHPCMU ont porté leurs fruits. En effet, la proportion des structures du ministère de la santé en conformité avec les règles de gestion financière a connu une nette augmentation, </w:t>
      </w:r>
      <w:r w:rsidRPr="007E7C5B">
        <w:rPr>
          <w:rFonts w:ascii="Arial Narrow" w:hAnsi="Arial Narrow" w:cs="Arial"/>
          <w:b/>
          <w:sz w:val="24"/>
          <w:szCs w:val="24"/>
        </w:rPr>
        <w:t>passant de 47% en 2021 à 61% en 2023.</w:t>
      </w:r>
      <w:r w:rsidRPr="007E7C5B">
        <w:rPr>
          <w:rFonts w:ascii="Arial Narrow" w:hAnsi="Arial Narrow" w:cs="Arial"/>
          <w:sz w:val="24"/>
          <w:szCs w:val="24"/>
        </w:rPr>
        <w:t xml:space="preserve"> Cette progression est le résultat d'une série de mesures mises en œuvre, notamment la réalisation de missions de contrôle pour évaluer l'évolution des recettes des établissements et la mise à échelle de la stratégie du financement basé sur la performance.</w:t>
      </w:r>
    </w:p>
    <w:p w14:paraId="78AFB8C1" w14:textId="77777777" w:rsidR="009A2DBB" w:rsidRPr="007E7C5B" w:rsidRDefault="009A2DBB" w:rsidP="009A2DBB">
      <w:pPr>
        <w:jc w:val="both"/>
        <w:rPr>
          <w:rFonts w:ascii="Arial Narrow" w:hAnsi="Arial Narrow" w:cs="Arial"/>
          <w:bCs/>
          <w:sz w:val="24"/>
          <w:szCs w:val="24"/>
        </w:rPr>
      </w:pPr>
      <w:r w:rsidRPr="007E7C5B">
        <w:rPr>
          <w:rFonts w:ascii="Arial Narrow" w:hAnsi="Arial Narrow" w:cs="Arial"/>
          <w:b/>
          <w:sz w:val="24"/>
          <w:szCs w:val="24"/>
        </w:rPr>
        <w:t xml:space="preserve">S’agissant du financement du PNDS, </w:t>
      </w:r>
      <w:r w:rsidRPr="007E7C5B">
        <w:rPr>
          <w:rFonts w:ascii="Arial Narrow" w:hAnsi="Arial Narrow" w:cs="Arial"/>
          <w:bCs/>
          <w:sz w:val="24"/>
          <w:szCs w:val="24"/>
        </w:rPr>
        <w:t>selon le</w:t>
      </w:r>
      <w:r w:rsidRPr="007E7C5B">
        <w:rPr>
          <w:rFonts w:ascii="Arial Narrow" w:hAnsi="Arial Narrow" w:cs="Arial"/>
          <w:b/>
          <w:sz w:val="24"/>
          <w:szCs w:val="24"/>
        </w:rPr>
        <w:t xml:space="preserve"> </w:t>
      </w:r>
      <w:r w:rsidRPr="007E7C5B">
        <w:rPr>
          <w:rFonts w:ascii="Arial Narrow" w:hAnsi="Arial Narrow" w:cs="Arial"/>
          <w:sz w:val="24"/>
          <w:szCs w:val="24"/>
        </w:rPr>
        <w:t>rapport de la Cartographie des Ressources et de Suivi des Dépenses du secteur de la santé</w:t>
      </w:r>
      <w:r w:rsidRPr="007E7C5B">
        <w:rPr>
          <w:rFonts w:ascii="Arial Narrow" w:hAnsi="Arial Narrow" w:cs="Arial"/>
          <w:bCs/>
          <w:sz w:val="24"/>
          <w:szCs w:val="24"/>
        </w:rPr>
        <w:t xml:space="preserve"> les prévisions de financement annoncé pour les cinq années de mise en œuvre du PNDS s’élèvent à 6,7 milliards de dollars (USD), sur un besoin de financement estimé à 10,5 milliards USD. La contribution annoncée de l’Etat s’élève à 4,4 milliards USD (66%), contre 2,3 milliards USD (34%) pour les PTF.</w:t>
      </w:r>
    </w:p>
    <w:p w14:paraId="084FBFD3" w14:textId="77777777" w:rsidR="009A2DBB" w:rsidRPr="007E7C5B" w:rsidRDefault="009A2DBB" w:rsidP="009A2DBB">
      <w:pPr>
        <w:jc w:val="both"/>
        <w:rPr>
          <w:rFonts w:ascii="Arial Narrow" w:hAnsi="Arial Narrow" w:cs="Arial"/>
          <w:sz w:val="24"/>
          <w:szCs w:val="24"/>
        </w:rPr>
      </w:pPr>
      <w:r w:rsidRPr="007E7C5B">
        <w:rPr>
          <w:rFonts w:ascii="Arial Narrow" w:hAnsi="Arial Narrow" w:cs="Arial"/>
          <w:b/>
          <w:bCs/>
          <w:sz w:val="24"/>
          <w:szCs w:val="24"/>
        </w:rPr>
        <w:t>En ce qui concerne l’exécution des financements,</w:t>
      </w:r>
      <w:r w:rsidRPr="007E7C5B">
        <w:rPr>
          <w:rFonts w:ascii="Arial Narrow" w:hAnsi="Arial Narrow" w:cs="Arial"/>
          <w:sz w:val="24"/>
          <w:szCs w:val="24"/>
        </w:rPr>
        <w:t xml:space="preserve"> le taux d’exécution des dépenses en 2021 est de 83% soit 1,072 milliards USD engagés sur un budget de 1,289 milliards USD.</w:t>
      </w:r>
    </w:p>
    <w:p w14:paraId="24791E33" w14:textId="12126AEE" w:rsidR="001E533E" w:rsidRPr="007E7C5B" w:rsidRDefault="001E533E" w:rsidP="00761F55">
      <w:pPr>
        <w:jc w:val="both"/>
        <w:rPr>
          <w:rFonts w:ascii="Arial Narrow" w:hAnsi="Arial Narrow" w:cs="Arial"/>
          <w:sz w:val="24"/>
          <w:szCs w:val="24"/>
        </w:rPr>
      </w:pPr>
      <w:r w:rsidRPr="007E7C5B">
        <w:rPr>
          <w:rFonts w:ascii="Arial Narrow" w:hAnsi="Arial Narrow" w:cs="Arial"/>
          <w:sz w:val="24"/>
          <w:szCs w:val="24"/>
        </w:rPr>
        <w:lastRenderedPageBreak/>
        <w:t xml:space="preserve">En dépit de ces résultats, certains défis persistent dans le financement de la santé en </w:t>
      </w:r>
      <w:r w:rsidR="003546E6" w:rsidRPr="007E7C5B">
        <w:rPr>
          <w:rFonts w:ascii="Arial Narrow" w:hAnsi="Arial Narrow" w:cs="Arial"/>
          <w:sz w:val="24"/>
          <w:szCs w:val="24"/>
        </w:rPr>
        <w:t>Côte</w:t>
      </w:r>
      <w:r w:rsidRPr="007E7C5B">
        <w:rPr>
          <w:rFonts w:ascii="Arial Narrow" w:hAnsi="Arial Narrow" w:cs="Arial"/>
          <w:sz w:val="24"/>
          <w:szCs w:val="24"/>
        </w:rPr>
        <w:t xml:space="preserve"> d’Ivoire. Ces défis sont en lien avec : </w:t>
      </w:r>
      <w:r w:rsidRPr="007E7C5B">
        <w:rPr>
          <w:rFonts w:ascii="Arial Narrow" w:hAnsi="Arial Narrow" w:cs="Arial"/>
          <w:i/>
          <w:sz w:val="24"/>
          <w:szCs w:val="24"/>
        </w:rPr>
        <w:t>(i)</w:t>
      </w:r>
      <w:r w:rsidRPr="007E7C5B">
        <w:rPr>
          <w:rFonts w:ascii="Arial Narrow" w:hAnsi="Arial Narrow" w:cs="Arial"/>
          <w:sz w:val="24"/>
          <w:szCs w:val="24"/>
        </w:rPr>
        <w:t xml:space="preserve"> la dotation de toutes les structures sanitaires en budget adapté à leur fonctionnement ; </w:t>
      </w:r>
      <w:r w:rsidRPr="007E7C5B">
        <w:rPr>
          <w:rFonts w:ascii="Arial Narrow" w:hAnsi="Arial Narrow" w:cs="Arial"/>
          <w:i/>
          <w:sz w:val="24"/>
          <w:szCs w:val="24"/>
        </w:rPr>
        <w:t>(ii)</w:t>
      </w:r>
      <w:r w:rsidRPr="007E7C5B">
        <w:rPr>
          <w:rFonts w:ascii="Arial Narrow" w:hAnsi="Arial Narrow" w:cs="Arial"/>
          <w:sz w:val="24"/>
          <w:szCs w:val="24"/>
        </w:rPr>
        <w:t xml:space="preserve"> la généralisation de la CMU ; </w:t>
      </w:r>
      <w:r w:rsidRPr="007E7C5B">
        <w:rPr>
          <w:rFonts w:ascii="Arial Narrow" w:hAnsi="Arial Narrow" w:cs="Arial"/>
          <w:i/>
          <w:sz w:val="24"/>
          <w:szCs w:val="24"/>
        </w:rPr>
        <w:t>(iii)</w:t>
      </w:r>
      <w:r w:rsidRPr="007E7C5B">
        <w:rPr>
          <w:rFonts w:ascii="Arial Narrow" w:hAnsi="Arial Narrow" w:cs="Arial"/>
          <w:sz w:val="24"/>
          <w:szCs w:val="24"/>
        </w:rPr>
        <w:t xml:space="preserve"> l’opérationnalisation du budget-programme ; </w:t>
      </w:r>
      <w:r w:rsidRPr="007E7C5B">
        <w:rPr>
          <w:rFonts w:ascii="Arial Narrow" w:hAnsi="Arial Narrow" w:cs="Arial"/>
          <w:i/>
          <w:sz w:val="24"/>
          <w:szCs w:val="24"/>
        </w:rPr>
        <w:t>(iv)</w:t>
      </w:r>
      <w:r w:rsidRPr="007E7C5B">
        <w:rPr>
          <w:rFonts w:ascii="Arial Narrow" w:hAnsi="Arial Narrow" w:cs="Arial"/>
          <w:sz w:val="24"/>
          <w:szCs w:val="24"/>
        </w:rPr>
        <w:t xml:space="preserve"> le contrôle de gestion à tous les niveaux de la pyramide sanitaire.</w:t>
      </w:r>
    </w:p>
    <w:p w14:paraId="5E2A05E2" w14:textId="077F5D75" w:rsidR="001E533E" w:rsidRPr="007E7C5B" w:rsidRDefault="001E533E" w:rsidP="00AA7D22">
      <w:pPr>
        <w:pStyle w:val="Titre5"/>
        <w:shd w:val="clear" w:color="auto" w:fill="FBE4D5" w:themeFill="accent2" w:themeFillTint="33"/>
        <w:rPr>
          <w:rFonts w:ascii="Arial Narrow" w:hAnsi="Arial Narrow"/>
          <w:b/>
          <w:color w:val="auto"/>
          <w:sz w:val="24"/>
          <w:szCs w:val="24"/>
        </w:rPr>
      </w:pPr>
      <w:r w:rsidRPr="007E7C5B">
        <w:rPr>
          <w:rFonts w:ascii="Arial Narrow" w:hAnsi="Arial Narrow"/>
          <w:b/>
          <w:color w:val="auto"/>
          <w:sz w:val="24"/>
          <w:szCs w:val="24"/>
        </w:rPr>
        <w:t>Production, analyse et transformation des données de qualité en information utilisable pour la prise de décision</w:t>
      </w:r>
    </w:p>
    <w:p w14:paraId="4528BEF2" w14:textId="26CE5A29" w:rsidR="001E533E" w:rsidRPr="007E7C5B" w:rsidRDefault="0027279E" w:rsidP="00761F55">
      <w:pPr>
        <w:pStyle w:val="paragraph"/>
        <w:spacing w:before="0" w:beforeAutospacing="0" w:after="0" w:afterAutospacing="0"/>
        <w:jc w:val="both"/>
        <w:textAlignment w:val="baseline"/>
        <w:rPr>
          <w:rStyle w:val="normaltextrun"/>
          <w:rFonts w:ascii="Arial Narrow" w:eastAsiaTheme="majorEastAsia" w:hAnsi="Arial Narrow"/>
          <w:iCs/>
        </w:rPr>
      </w:pPr>
      <w:r w:rsidRPr="00A918AC">
        <w:rPr>
          <w:rStyle w:val="normaltextrun"/>
          <w:rFonts w:ascii="Arial Narrow" w:eastAsiaTheme="majorEastAsia" w:hAnsi="Arial Narrow" w:cs="Arial"/>
          <w:lang w:val="fr-CI"/>
        </w:rPr>
        <w:t xml:space="preserve">En matière </w:t>
      </w:r>
      <w:r w:rsidRPr="007E7C5B">
        <w:rPr>
          <w:rStyle w:val="normaltextrun"/>
          <w:rFonts w:ascii="Arial Narrow" w:eastAsiaTheme="majorEastAsia" w:hAnsi="Arial Narrow" w:cs="Arial"/>
          <w:bCs/>
          <w:iCs/>
          <w:lang w:val="fr-CI"/>
        </w:rPr>
        <w:t xml:space="preserve">de production d’analyse et de traitement des données, </w:t>
      </w:r>
      <w:r w:rsidR="006B094E" w:rsidRPr="007E7C5B">
        <w:rPr>
          <w:rStyle w:val="normaltextrun"/>
          <w:rFonts w:ascii="Arial Narrow" w:eastAsiaTheme="majorEastAsia" w:hAnsi="Arial Narrow" w:cs="Arial"/>
          <w:iCs/>
          <w:lang w:val="fr-CI"/>
        </w:rPr>
        <w:t>les objectifs pour le PNDS</w:t>
      </w:r>
      <w:r w:rsidR="00E33227">
        <w:rPr>
          <w:rStyle w:val="normaltextrun"/>
          <w:rFonts w:ascii="Arial Narrow" w:eastAsiaTheme="majorEastAsia" w:hAnsi="Arial Narrow" w:cs="Arial"/>
          <w:iCs/>
          <w:lang w:val="fr-CI"/>
        </w:rPr>
        <w:t xml:space="preserve"> </w:t>
      </w:r>
      <w:r w:rsidR="006B094E" w:rsidRPr="007E7C5B">
        <w:rPr>
          <w:rStyle w:val="normaltextrun"/>
          <w:rFonts w:ascii="Arial Narrow" w:eastAsiaTheme="majorEastAsia" w:hAnsi="Arial Narrow" w:cs="Arial"/>
          <w:iCs/>
          <w:lang w:val="fr-CI"/>
        </w:rPr>
        <w:t>étaient de</w:t>
      </w:r>
      <w:r w:rsidR="00F16898">
        <w:rPr>
          <w:rStyle w:val="normaltextrun"/>
          <w:rFonts w:ascii="Arial Narrow" w:eastAsiaTheme="majorEastAsia" w:hAnsi="Arial Narrow" w:cs="Arial"/>
          <w:iCs/>
          <w:lang w:val="fr-CI"/>
        </w:rPr>
        <w:t> </w:t>
      </w:r>
      <w:r w:rsidR="001E533E" w:rsidRPr="007E7C5B">
        <w:rPr>
          <w:rStyle w:val="normaltextrun"/>
          <w:rFonts w:ascii="Arial Narrow" w:eastAsiaTheme="majorEastAsia" w:hAnsi="Arial Narrow" w:cs="Arial"/>
          <w:iCs/>
          <w:lang w:val="fr-CI"/>
        </w:rPr>
        <w:t xml:space="preserve">: </w:t>
      </w:r>
      <w:r w:rsidR="001E533E" w:rsidRPr="00A918AC">
        <w:rPr>
          <w:rStyle w:val="normaltextrun"/>
          <w:rFonts w:ascii="Arial Narrow" w:eastAsiaTheme="majorEastAsia" w:hAnsi="Arial Narrow" w:cs="Arial"/>
          <w:i/>
          <w:lang w:val="fr-CI"/>
        </w:rPr>
        <w:t>(i)</w:t>
      </w:r>
      <w:r w:rsidR="001E533E" w:rsidRPr="007E7C5B">
        <w:rPr>
          <w:rStyle w:val="normaltextrun"/>
          <w:rFonts w:ascii="Arial Narrow" w:eastAsiaTheme="majorEastAsia" w:hAnsi="Arial Narrow" w:cs="Arial"/>
          <w:iCs/>
          <w:lang w:val="fr-CI"/>
        </w:rPr>
        <w:t xml:space="preserve"> renforce</w:t>
      </w:r>
      <w:r w:rsidR="006B094E" w:rsidRPr="007E7C5B">
        <w:rPr>
          <w:rStyle w:val="normaltextrun"/>
          <w:rFonts w:ascii="Arial Narrow" w:eastAsiaTheme="majorEastAsia" w:hAnsi="Arial Narrow" w:cs="Arial"/>
          <w:iCs/>
          <w:lang w:val="fr-CI"/>
        </w:rPr>
        <w:t>r</w:t>
      </w:r>
      <w:r w:rsidR="001E533E" w:rsidRPr="007E7C5B">
        <w:rPr>
          <w:rStyle w:val="normaltextrun"/>
          <w:rFonts w:ascii="Arial Narrow" w:eastAsiaTheme="majorEastAsia" w:hAnsi="Arial Narrow" w:cs="Arial"/>
          <w:iCs/>
          <w:lang w:val="fr-CI"/>
        </w:rPr>
        <w:t xml:space="preserve"> de la disponibilité des données sanitaires à travers la production annuelle de RASS nationaux et régionaux dans les délais</w:t>
      </w:r>
      <w:r w:rsidR="001E533E" w:rsidRPr="007E7C5B">
        <w:rPr>
          <w:rStyle w:val="normaltextrun"/>
          <w:rFonts w:ascii="Arial" w:eastAsiaTheme="majorEastAsia" w:hAnsi="Arial" w:cs="Arial"/>
          <w:iCs/>
          <w:lang w:val="fr-CI"/>
        </w:rPr>
        <w:t> </w:t>
      </w:r>
      <w:r w:rsidR="001E533E" w:rsidRPr="007E7C5B">
        <w:rPr>
          <w:rStyle w:val="normaltextrun"/>
          <w:rFonts w:ascii="Arial Narrow" w:eastAsiaTheme="majorEastAsia" w:hAnsi="Arial Narrow" w:cs="Arial"/>
          <w:iCs/>
          <w:lang w:val="fr-CI"/>
        </w:rPr>
        <w:t>;</w:t>
      </w:r>
      <w:r w:rsidR="00BE079C" w:rsidRPr="007E7C5B">
        <w:rPr>
          <w:rStyle w:val="normaltextrun"/>
          <w:rFonts w:ascii="Arial Narrow" w:eastAsiaTheme="majorEastAsia" w:hAnsi="Arial Narrow" w:cs="Arial"/>
          <w:iCs/>
          <w:lang w:val="fr-CI"/>
        </w:rPr>
        <w:t xml:space="preserve"> </w:t>
      </w:r>
      <w:r w:rsidR="001E533E" w:rsidRPr="00A918AC">
        <w:rPr>
          <w:rStyle w:val="normaltextrun"/>
          <w:rFonts w:ascii="Arial Narrow" w:eastAsiaTheme="majorEastAsia" w:hAnsi="Arial Narrow" w:cs="Arial"/>
          <w:i/>
          <w:lang w:val="fr-CI"/>
        </w:rPr>
        <w:t>(ii)</w:t>
      </w:r>
      <w:r w:rsidR="00E33227">
        <w:rPr>
          <w:rStyle w:val="normaltextrun"/>
          <w:rFonts w:ascii="Arial Narrow" w:eastAsiaTheme="majorEastAsia" w:hAnsi="Arial Narrow" w:cs="Arial"/>
          <w:iCs/>
          <w:lang w:val="fr-CI"/>
        </w:rPr>
        <w:t xml:space="preserve"> </w:t>
      </w:r>
      <w:r w:rsidR="001E533E" w:rsidRPr="007E7C5B">
        <w:rPr>
          <w:rStyle w:val="normaltextrun"/>
          <w:rFonts w:ascii="Arial Narrow" w:eastAsiaTheme="majorEastAsia" w:hAnsi="Arial Narrow" w:cs="Arial"/>
          <w:iCs/>
          <w:lang w:val="fr-CI"/>
        </w:rPr>
        <w:t>renforce</w:t>
      </w:r>
      <w:r w:rsidR="006B094E" w:rsidRPr="007E7C5B">
        <w:rPr>
          <w:rStyle w:val="normaltextrun"/>
          <w:rFonts w:ascii="Arial Narrow" w:eastAsiaTheme="majorEastAsia" w:hAnsi="Arial Narrow" w:cs="Arial"/>
          <w:iCs/>
          <w:lang w:val="fr-CI"/>
        </w:rPr>
        <w:t>r</w:t>
      </w:r>
      <w:r w:rsidR="00E33227">
        <w:rPr>
          <w:rStyle w:val="normaltextrun"/>
          <w:rFonts w:ascii="Arial Narrow" w:eastAsiaTheme="majorEastAsia" w:hAnsi="Arial Narrow" w:cs="Arial"/>
          <w:iCs/>
          <w:lang w:val="fr-CI"/>
        </w:rPr>
        <w:t xml:space="preserve"> </w:t>
      </w:r>
      <w:r w:rsidR="001E533E" w:rsidRPr="007E7C5B">
        <w:rPr>
          <w:rStyle w:val="normaltextrun"/>
          <w:rFonts w:ascii="Arial Narrow" w:eastAsiaTheme="majorEastAsia" w:hAnsi="Arial Narrow" w:cs="Arial"/>
          <w:iCs/>
          <w:lang w:val="fr-CI"/>
        </w:rPr>
        <w:t>l'analyse des données sanitaires</w:t>
      </w:r>
      <w:r w:rsidR="001E533E" w:rsidRPr="007E7C5B">
        <w:rPr>
          <w:rStyle w:val="normaltextrun"/>
          <w:rFonts w:ascii="Arial" w:eastAsiaTheme="majorEastAsia" w:hAnsi="Arial" w:cs="Arial"/>
          <w:iCs/>
          <w:lang w:val="fr-CI"/>
        </w:rPr>
        <w:t> </w:t>
      </w:r>
      <w:r w:rsidR="001E533E" w:rsidRPr="007E7C5B">
        <w:rPr>
          <w:rStyle w:val="normaltextrun"/>
          <w:rFonts w:ascii="Arial Narrow" w:eastAsiaTheme="majorEastAsia" w:hAnsi="Arial Narrow" w:cs="Arial"/>
          <w:iCs/>
          <w:lang w:val="fr-CI"/>
        </w:rPr>
        <w:t xml:space="preserve">; </w:t>
      </w:r>
      <w:r w:rsidR="00FC0E0B" w:rsidRPr="007E7C5B">
        <w:rPr>
          <w:rStyle w:val="normaltextrun"/>
          <w:rFonts w:ascii="Arial Narrow" w:eastAsiaTheme="majorEastAsia" w:hAnsi="Arial Narrow" w:cs="Arial"/>
          <w:iCs/>
          <w:lang w:val="fr-CI"/>
        </w:rPr>
        <w:t>et</w:t>
      </w:r>
      <w:r w:rsidR="001E533E" w:rsidRPr="007E7C5B">
        <w:rPr>
          <w:rStyle w:val="normaltextrun"/>
          <w:rFonts w:ascii="Arial Narrow" w:eastAsiaTheme="majorEastAsia" w:hAnsi="Arial Narrow" w:cs="Arial"/>
          <w:iCs/>
          <w:lang w:val="fr-CI"/>
        </w:rPr>
        <w:t xml:space="preserve"> </w:t>
      </w:r>
      <w:r w:rsidR="001E533E" w:rsidRPr="00A918AC">
        <w:rPr>
          <w:rStyle w:val="normaltextrun"/>
          <w:rFonts w:ascii="Arial Narrow" w:eastAsiaTheme="majorEastAsia" w:hAnsi="Arial Narrow" w:cs="Arial"/>
          <w:i/>
          <w:lang w:val="fr-CI"/>
        </w:rPr>
        <w:t>(iii)</w:t>
      </w:r>
      <w:r w:rsidR="00E33227">
        <w:rPr>
          <w:rStyle w:val="normaltextrun"/>
          <w:rFonts w:ascii="Arial Narrow" w:eastAsiaTheme="majorEastAsia" w:hAnsi="Arial Narrow" w:cs="Arial"/>
          <w:iCs/>
          <w:lang w:val="fr-CI"/>
        </w:rPr>
        <w:t xml:space="preserve"> </w:t>
      </w:r>
      <w:r w:rsidR="001E533E" w:rsidRPr="007E7C5B">
        <w:rPr>
          <w:rStyle w:val="normaltextrun"/>
          <w:rFonts w:ascii="Arial Narrow" w:eastAsiaTheme="majorEastAsia" w:hAnsi="Arial Narrow" w:cs="Arial"/>
          <w:iCs/>
          <w:lang w:val="fr-CI"/>
        </w:rPr>
        <w:t>développe</w:t>
      </w:r>
      <w:r w:rsidR="006B094E" w:rsidRPr="007E7C5B">
        <w:rPr>
          <w:rStyle w:val="normaltextrun"/>
          <w:rFonts w:ascii="Arial Narrow" w:eastAsiaTheme="majorEastAsia" w:hAnsi="Arial Narrow" w:cs="Arial"/>
          <w:iCs/>
          <w:lang w:val="fr-CI"/>
        </w:rPr>
        <w:t>r</w:t>
      </w:r>
      <w:r w:rsidR="001E533E" w:rsidRPr="007E7C5B">
        <w:rPr>
          <w:rStyle w:val="normaltextrun"/>
          <w:rFonts w:ascii="Arial Narrow" w:eastAsiaTheme="majorEastAsia" w:hAnsi="Arial Narrow" w:cs="Arial"/>
          <w:iCs/>
          <w:lang w:val="fr-CI"/>
        </w:rPr>
        <w:t xml:space="preserve"> </w:t>
      </w:r>
      <w:r w:rsidR="006B094E" w:rsidRPr="007E7C5B">
        <w:rPr>
          <w:rStyle w:val="normaltextrun"/>
          <w:rFonts w:ascii="Arial Narrow" w:eastAsiaTheme="majorEastAsia" w:hAnsi="Arial Narrow" w:cs="Arial"/>
          <w:iCs/>
          <w:lang w:val="fr-CI"/>
        </w:rPr>
        <w:t>l</w:t>
      </w:r>
      <w:r w:rsidR="001E533E" w:rsidRPr="007E7C5B">
        <w:rPr>
          <w:rStyle w:val="normaltextrun"/>
          <w:rFonts w:ascii="Arial Narrow" w:eastAsiaTheme="majorEastAsia" w:hAnsi="Arial Narrow" w:cs="Arial"/>
          <w:iCs/>
          <w:lang w:val="fr-CI"/>
        </w:rPr>
        <w:t>e mécanisme d'assurance qualité des données sanitaires.</w:t>
      </w:r>
      <w:r w:rsidR="00E33227">
        <w:rPr>
          <w:rStyle w:val="normaltextrun"/>
          <w:rFonts w:ascii="Arial Narrow" w:eastAsiaTheme="majorEastAsia" w:hAnsi="Arial Narrow" w:cs="Arial"/>
          <w:iCs/>
          <w:lang w:val="fr-CI"/>
        </w:rPr>
        <w:t xml:space="preserve"> </w:t>
      </w:r>
    </w:p>
    <w:p w14:paraId="47321A50" w14:textId="77777777" w:rsidR="001E533E" w:rsidRPr="007E7C5B" w:rsidRDefault="001E533E" w:rsidP="00761F55">
      <w:pPr>
        <w:pStyle w:val="paragraph"/>
        <w:spacing w:before="0" w:beforeAutospacing="0" w:after="0" w:afterAutospacing="0"/>
        <w:jc w:val="both"/>
        <w:textAlignment w:val="baseline"/>
        <w:rPr>
          <w:rStyle w:val="normaltextrun"/>
          <w:rFonts w:ascii="Arial Narrow" w:eastAsiaTheme="majorEastAsia" w:hAnsi="Arial Narrow"/>
          <w:lang w:val="fr-CI"/>
        </w:rPr>
      </w:pPr>
    </w:p>
    <w:p w14:paraId="5FD80F59" w14:textId="2FEFDD1D" w:rsidR="000A45D6" w:rsidRPr="000A45D6" w:rsidRDefault="001E533E" w:rsidP="000A45D6">
      <w:pPr>
        <w:pStyle w:val="paragraph"/>
        <w:spacing w:before="0" w:beforeAutospacing="0" w:after="0" w:afterAutospacing="0"/>
        <w:jc w:val="both"/>
        <w:textAlignment w:val="baseline"/>
        <w:rPr>
          <w:rFonts w:ascii="Arial Narrow" w:eastAsiaTheme="majorEastAsia" w:hAnsi="Arial Narrow" w:cs="Arial"/>
          <w:lang w:val="fr-CI"/>
        </w:rPr>
      </w:pPr>
      <w:r w:rsidRPr="007E7C5B">
        <w:rPr>
          <w:rStyle w:val="normaltextrun"/>
          <w:rFonts w:ascii="Arial Narrow" w:eastAsiaTheme="majorEastAsia" w:hAnsi="Arial Narrow" w:cs="Arial"/>
          <w:b/>
          <w:lang w:val="fr-CI"/>
        </w:rPr>
        <w:t>Concernant le renforcement de la disponibilité des données sanitaires,</w:t>
      </w:r>
      <w:r w:rsidRPr="007E7C5B">
        <w:rPr>
          <w:rStyle w:val="normaltextrun"/>
          <w:rFonts w:ascii="Arial Narrow" w:eastAsiaTheme="majorEastAsia" w:hAnsi="Arial Narrow" w:cs="Arial"/>
          <w:b/>
          <w:bCs/>
          <w:i/>
          <w:iCs/>
          <w:lang w:val="fr-CI"/>
        </w:rPr>
        <w:t xml:space="preserve"> </w:t>
      </w:r>
      <w:r w:rsidRPr="007E7C5B">
        <w:rPr>
          <w:rStyle w:val="normaltextrun"/>
          <w:rFonts w:ascii="Arial Narrow" w:eastAsiaTheme="majorEastAsia" w:hAnsi="Arial Narrow" w:cs="Arial"/>
          <w:lang w:val="fr-CI"/>
        </w:rPr>
        <w:t>le Ministère a procédé à l’interopérabilité entre le DHIS2 et les autres logiciels existant</w:t>
      </w:r>
      <w:r w:rsidR="004C7678" w:rsidRPr="007E7C5B">
        <w:rPr>
          <w:rStyle w:val="normaltextrun"/>
          <w:rFonts w:ascii="Arial Narrow" w:eastAsiaTheme="majorEastAsia" w:hAnsi="Arial Narrow" w:cs="Arial"/>
          <w:lang w:val="fr-CI"/>
        </w:rPr>
        <w:t>s</w:t>
      </w:r>
      <w:r w:rsidR="00E32BBE" w:rsidRPr="007E7C5B">
        <w:rPr>
          <w:rStyle w:val="normaltextrun"/>
          <w:rFonts w:ascii="Arial Narrow" w:eastAsiaTheme="majorEastAsia" w:hAnsi="Arial Narrow" w:cs="Arial"/>
          <w:lang w:val="fr-CI"/>
        </w:rPr>
        <w:t xml:space="preserve"> (</w:t>
      </w:r>
      <w:r w:rsidR="006252E8" w:rsidRPr="007E7C5B">
        <w:rPr>
          <w:rStyle w:val="normaltextrun"/>
          <w:rFonts w:ascii="Arial Narrow" w:eastAsiaTheme="majorEastAsia" w:hAnsi="Arial Narrow" w:cs="Arial"/>
          <w:lang w:val="fr-CI"/>
        </w:rPr>
        <w:t>S</w:t>
      </w:r>
      <w:r w:rsidR="002E61BD" w:rsidRPr="007E7C5B">
        <w:rPr>
          <w:rStyle w:val="normaltextrun"/>
          <w:rFonts w:ascii="Arial Narrow" w:eastAsiaTheme="majorEastAsia" w:hAnsi="Arial Narrow" w:cs="Arial"/>
          <w:lang w:val="fr-CI"/>
        </w:rPr>
        <w:t xml:space="preserve">IGDEP3, </w:t>
      </w:r>
      <w:r w:rsidR="00B675B4" w:rsidRPr="007E7C5B">
        <w:rPr>
          <w:rStyle w:val="normaltextrun"/>
          <w:rFonts w:ascii="Arial Narrow" w:eastAsiaTheme="majorEastAsia" w:hAnsi="Arial Narrow" w:cs="Arial"/>
          <w:lang w:val="fr-CI"/>
        </w:rPr>
        <w:t>O</w:t>
      </w:r>
      <w:r w:rsidR="007728E4" w:rsidRPr="007E7C5B">
        <w:rPr>
          <w:rStyle w:val="normaltextrun"/>
          <w:rFonts w:ascii="Arial Narrow" w:eastAsiaTheme="majorEastAsia" w:hAnsi="Arial Narrow" w:cs="Arial"/>
          <w:lang w:val="fr-CI"/>
        </w:rPr>
        <w:t>pen</w:t>
      </w:r>
      <w:r w:rsidR="00B675B4" w:rsidRPr="007E7C5B">
        <w:rPr>
          <w:rStyle w:val="normaltextrun"/>
          <w:rFonts w:ascii="Arial Narrow" w:eastAsiaTheme="majorEastAsia" w:hAnsi="Arial Narrow" w:cs="Arial"/>
          <w:lang w:val="fr-CI"/>
        </w:rPr>
        <w:t xml:space="preserve"> </w:t>
      </w:r>
      <w:r w:rsidR="00836236" w:rsidRPr="007E7C5B">
        <w:rPr>
          <w:rStyle w:val="normaltextrun"/>
          <w:rFonts w:ascii="Arial Narrow" w:eastAsiaTheme="majorEastAsia" w:hAnsi="Arial Narrow" w:cs="Arial"/>
          <w:lang w:val="fr-CI"/>
        </w:rPr>
        <w:t>E</w:t>
      </w:r>
      <w:r w:rsidR="00B675B4" w:rsidRPr="007E7C5B">
        <w:rPr>
          <w:rStyle w:val="normaltextrun"/>
          <w:rFonts w:ascii="Arial Narrow" w:eastAsiaTheme="majorEastAsia" w:hAnsi="Arial Narrow" w:cs="Arial"/>
          <w:lang w:val="fr-CI"/>
        </w:rPr>
        <w:t>li</w:t>
      </w:r>
      <w:r w:rsidR="00836236" w:rsidRPr="007E7C5B">
        <w:rPr>
          <w:rStyle w:val="normaltextrun"/>
          <w:rFonts w:ascii="Arial Narrow" w:eastAsiaTheme="majorEastAsia" w:hAnsi="Arial Narrow" w:cs="Arial"/>
          <w:lang w:val="fr-CI"/>
        </w:rPr>
        <w:t>s</w:t>
      </w:r>
      <w:r w:rsidR="00D81265" w:rsidRPr="007E7C5B">
        <w:rPr>
          <w:rStyle w:val="normaltextrun"/>
          <w:rFonts w:ascii="Arial Narrow" w:eastAsiaTheme="majorEastAsia" w:hAnsi="Arial Narrow" w:cs="Arial"/>
          <w:lang w:val="fr-CI"/>
        </w:rPr>
        <w:t>,</w:t>
      </w:r>
      <w:r w:rsidR="00B675B4" w:rsidRPr="007E7C5B">
        <w:rPr>
          <w:rStyle w:val="normaltextrun"/>
          <w:rFonts w:ascii="Arial Narrow" w:eastAsiaTheme="majorEastAsia" w:hAnsi="Arial Narrow" w:cs="Arial"/>
          <w:lang w:val="fr-CI"/>
        </w:rPr>
        <w:t xml:space="preserve"> Power-bi, </w:t>
      </w:r>
      <w:proofErr w:type="spellStart"/>
      <w:r w:rsidR="00B675B4" w:rsidRPr="007E7C5B">
        <w:rPr>
          <w:rStyle w:val="normaltextrun"/>
          <w:rFonts w:ascii="Arial Narrow" w:eastAsiaTheme="majorEastAsia" w:hAnsi="Arial Narrow" w:cs="Arial"/>
          <w:lang w:val="fr-CI"/>
        </w:rPr>
        <w:t>m</w:t>
      </w:r>
      <w:r w:rsidR="0090352E" w:rsidRPr="007E7C5B">
        <w:rPr>
          <w:rStyle w:val="normaltextrun"/>
          <w:rFonts w:ascii="Arial Narrow" w:eastAsiaTheme="majorEastAsia" w:hAnsi="Arial Narrow" w:cs="Arial"/>
          <w:lang w:val="fr-CI"/>
        </w:rPr>
        <w:t>S</w:t>
      </w:r>
      <w:r w:rsidR="00B675B4" w:rsidRPr="007E7C5B">
        <w:rPr>
          <w:rStyle w:val="normaltextrun"/>
          <w:rFonts w:ascii="Arial Narrow" w:eastAsiaTheme="majorEastAsia" w:hAnsi="Arial Narrow" w:cs="Arial"/>
          <w:lang w:val="fr-CI"/>
        </w:rPr>
        <w:t>upply</w:t>
      </w:r>
      <w:proofErr w:type="spellEnd"/>
      <w:r w:rsidR="00B675B4" w:rsidRPr="007E7C5B">
        <w:rPr>
          <w:rStyle w:val="normaltextrun"/>
          <w:rFonts w:ascii="Arial Narrow" w:eastAsiaTheme="majorEastAsia" w:hAnsi="Arial Narrow" w:cs="Arial"/>
          <w:lang w:val="fr-CI"/>
        </w:rPr>
        <w:t xml:space="preserve">, </w:t>
      </w:r>
      <w:r w:rsidR="00384CB6" w:rsidRPr="007E7C5B">
        <w:rPr>
          <w:rStyle w:val="normaltextrun"/>
          <w:rFonts w:ascii="Arial Narrow" w:eastAsiaTheme="majorEastAsia" w:hAnsi="Arial Narrow" w:cs="Arial"/>
          <w:lang w:val="fr-CI"/>
        </w:rPr>
        <w:t>etc.</w:t>
      </w:r>
      <w:r w:rsidR="000D7159" w:rsidRPr="007E7C5B">
        <w:rPr>
          <w:rStyle w:val="normaltextrun"/>
          <w:rFonts w:ascii="Arial Narrow" w:eastAsiaTheme="majorEastAsia" w:hAnsi="Arial Narrow" w:cs="Arial"/>
          <w:lang w:val="fr-CI"/>
        </w:rPr>
        <w:t>)</w:t>
      </w:r>
      <w:r w:rsidRPr="007E7C5B">
        <w:rPr>
          <w:rStyle w:val="normaltextrun"/>
          <w:rFonts w:ascii="Arial Narrow" w:eastAsiaTheme="majorEastAsia" w:hAnsi="Arial Narrow" w:cs="Arial"/>
          <w:lang w:val="fr-CI"/>
        </w:rPr>
        <w:t>, à l’intégration des données</w:t>
      </w:r>
      <w:r w:rsidRPr="007E7C5B">
        <w:rPr>
          <w:rStyle w:val="normaltextrun"/>
          <w:rFonts w:ascii="Arial Narrow" w:eastAsiaTheme="majorEastAsia" w:hAnsi="Arial Narrow" w:cs="Arial"/>
          <w:color w:val="000000"/>
          <w:lang w:val="fr-CI"/>
        </w:rPr>
        <w:t xml:space="preserve"> </w:t>
      </w:r>
      <w:r w:rsidRPr="007E7C5B">
        <w:rPr>
          <w:rStyle w:val="normaltextrun"/>
          <w:rFonts w:ascii="Arial Narrow" w:eastAsiaTheme="majorEastAsia" w:hAnsi="Arial Narrow" w:cs="Arial"/>
          <w:lang w:val="fr-CI"/>
        </w:rPr>
        <w:t xml:space="preserve">du secteur privé, des EPN et de toutes les composantes non encore enrôlées (l'armée, l’éducation) dans le SIG (DHIS 2), ainsi qu’au développement d’outils de collectes des données. De plus des études </w:t>
      </w:r>
      <w:r w:rsidR="00BA3393" w:rsidRPr="007E7C5B">
        <w:rPr>
          <w:rStyle w:val="normaltextrun"/>
          <w:rFonts w:ascii="Arial Narrow" w:eastAsiaTheme="majorEastAsia" w:hAnsi="Arial Narrow" w:cs="Arial"/>
          <w:lang w:val="fr-CI"/>
        </w:rPr>
        <w:t xml:space="preserve">de référence </w:t>
      </w:r>
      <w:r w:rsidRPr="007E7C5B">
        <w:rPr>
          <w:rStyle w:val="normaltextrun"/>
          <w:rFonts w:ascii="Arial Narrow" w:eastAsiaTheme="majorEastAsia" w:hAnsi="Arial Narrow" w:cs="Arial"/>
          <w:lang w:val="fr-CI"/>
        </w:rPr>
        <w:t>en santé</w:t>
      </w:r>
      <w:r w:rsidR="006B094E" w:rsidRPr="007E7C5B">
        <w:rPr>
          <w:rStyle w:val="normaltextrun"/>
          <w:rFonts w:ascii="Arial Narrow" w:eastAsiaTheme="majorEastAsia" w:hAnsi="Arial Narrow" w:cs="Arial"/>
          <w:lang w:val="fr-CI"/>
        </w:rPr>
        <w:t>, telles qu</w:t>
      </w:r>
      <w:r w:rsidR="006B094E" w:rsidRPr="00544137">
        <w:rPr>
          <w:rStyle w:val="normaltextrun"/>
          <w:rFonts w:ascii="Arial Narrow" w:eastAsiaTheme="majorEastAsia" w:hAnsi="Arial Narrow" w:cs="Arial"/>
          <w:lang w:val="fr-CI"/>
        </w:rPr>
        <w:t xml:space="preserve">e </w:t>
      </w:r>
      <w:r w:rsidR="006B094E" w:rsidRPr="0044167B">
        <w:rPr>
          <w:rStyle w:val="normaltextrun"/>
          <w:rFonts w:ascii="Arial Narrow" w:eastAsiaTheme="majorEastAsia" w:hAnsi="Arial Narrow" w:cs="Arial"/>
          <w:lang w:val="fr-CI"/>
        </w:rPr>
        <w:t>IPSS, HHFA, EDS-CI</w:t>
      </w:r>
      <w:r w:rsidR="002D2EE7" w:rsidRPr="00544137">
        <w:rPr>
          <w:rStyle w:val="normaltextrun"/>
          <w:rFonts w:ascii="Arial Narrow" w:eastAsiaTheme="majorEastAsia" w:hAnsi="Arial Narrow" w:cs="Arial"/>
          <w:lang w:val="fr-CI"/>
        </w:rPr>
        <w:t xml:space="preserve"> </w:t>
      </w:r>
      <w:r w:rsidRPr="00544137">
        <w:rPr>
          <w:rStyle w:val="normaltextrun"/>
          <w:rFonts w:ascii="Arial Narrow" w:eastAsiaTheme="majorEastAsia" w:hAnsi="Arial Narrow" w:cs="Arial"/>
          <w:lang w:val="fr-CI"/>
        </w:rPr>
        <w:t>ont été conduites.</w:t>
      </w:r>
      <w:r w:rsidRPr="007E7C5B">
        <w:rPr>
          <w:rStyle w:val="eop"/>
          <w:rFonts w:ascii="Arial Narrow" w:eastAsiaTheme="majorEastAsia" w:hAnsi="Arial Narrow" w:cs="Arial"/>
        </w:rPr>
        <w:t> </w:t>
      </w:r>
      <w:r w:rsidR="000A45D6" w:rsidRPr="000A45D6">
        <w:rPr>
          <w:rFonts w:ascii="Arial Narrow" w:eastAsiaTheme="majorEastAsia" w:hAnsi="Arial Narrow" w:cs="Arial"/>
          <w:lang w:val="fr-CI"/>
        </w:rPr>
        <w:t xml:space="preserve"> Ainsi l’enquête HHFA permis de collecter des informations sur la disponibilité des services, la capacité opérationnelle des établissements sanitaires à fournir ces services, la qualité des soins, la gestion administrative et financière des établissements sanitaires.</w:t>
      </w:r>
    </w:p>
    <w:p w14:paraId="45A9C9E1" w14:textId="4F645301" w:rsidR="001E533E" w:rsidRPr="007E7C5B" w:rsidRDefault="001E533E" w:rsidP="00761F55">
      <w:pPr>
        <w:pStyle w:val="paragraph"/>
        <w:spacing w:before="0" w:beforeAutospacing="0" w:after="0" w:afterAutospacing="0"/>
        <w:jc w:val="both"/>
        <w:textAlignment w:val="baseline"/>
        <w:rPr>
          <w:rStyle w:val="eop"/>
          <w:rFonts w:ascii="Arial Narrow" w:eastAsiaTheme="majorEastAsia" w:hAnsi="Arial Narrow" w:cs="Arial"/>
        </w:rPr>
      </w:pPr>
    </w:p>
    <w:p w14:paraId="4C83D381" w14:textId="77777777" w:rsidR="00BF2CD9" w:rsidRPr="007E7C5B" w:rsidRDefault="00BF2CD9" w:rsidP="00761F55">
      <w:pPr>
        <w:pStyle w:val="paragraph"/>
        <w:spacing w:before="0" w:beforeAutospacing="0" w:after="0" w:afterAutospacing="0"/>
        <w:jc w:val="both"/>
        <w:textAlignment w:val="baseline"/>
        <w:rPr>
          <w:rFonts w:ascii="Arial Narrow" w:eastAsiaTheme="majorEastAsia" w:hAnsi="Arial Narrow" w:cs="Arial"/>
        </w:rPr>
      </w:pPr>
    </w:p>
    <w:p w14:paraId="68C2EC5D" w14:textId="57F672F3" w:rsidR="001E533E" w:rsidRPr="007E7C5B" w:rsidRDefault="001E533E" w:rsidP="00761F55">
      <w:pPr>
        <w:pStyle w:val="paragraph"/>
        <w:spacing w:before="0" w:beforeAutospacing="0" w:after="0" w:afterAutospacing="0"/>
        <w:jc w:val="both"/>
        <w:textAlignment w:val="baseline"/>
        <w:rPr>
          <w:rFonts w:ascii="Arial Narrow" w:hAnsi="Arial Narrow" w:cs="Arial"/>
        </w:rPr>
      </w:pPr>
      <w:r w:rsidRPr="007E7C5B">
        <w:rPr>
          <w:rStyle w:val="normaltextrun"/>
          <w:rFonts w:ascii="Arial Narrow" w:eastAsiaTheme="majorEastAsia" w:hAnsi="Arial Narrow" w:cs="Arial"/>
          <w:b/>
          <w:lang w:val="fr-CI"/>
        </w:rPr>
        <w:t>S’agissant du renforcement de l’analyse des données sanitaires</w:t>
      </w:r>
      <w:r w:rsidRPr="007E7C5B">
        <w:rPr>
          <w:rStyle w:val="normaltextrun"/>
          <w:rFonts w:ascii="Arial Narrow" w:eastAsiaTheme="majorEastAsia" w:hAnsi="Arial Narrow" w:cs="Arial"/>
          <w:lang w:val="fr-CI"/>
        </w:rPr>
        <w:t>, l’on peut enregistrer la production du Rapport Annuel sur la Situation Sanitaire (RASS) national</w:t>
      </w:r>
      <w:r w:rsidR="0046321B" w:rsidRPr="007E7C5B">
        <w:rPr>
          <w:rStyle w:val="normaltextrun"/>
          <w:rFonts w:ascii="Arial Narrow" w:eastAsiaTheme="majorEastAsia" w:hAnsi="Arial Narrow" w:cs="Arial"/>
          <w:lang w:val="fr-CI"/>
        </w:rPr>
        <w:t xml:space="preserve"> 2021</w:t>
      </w:r>
      <w:r w:rsidRPr="007E7C5B">
        <w:rPr>
          <w:rStyle w:val="normaltextrun"/>
          <w:rFonts w:ascii="Arial Narrow" w:eastAsiaTheme="majorEastAsia" w:hAnsi="Arial Narrow" w:cs="Arial"/>
          <w:lang w:val="fr-CI"/>
        </w:rPr>
        <w:t>, les RASS régionaux</w:t>
      </w:r>
      <w:r w:rsidR="000541DA" w:rsidRPr="007E7C5B">
        <w:rPr>
          <w:rStyle w:val="normaltextrun"/>
          <w:rFonts w:ascii="Arial Narrow" w:eastAsiaTheme="majorEastAsia" w:hAnsi="Arial Narrow" w:cs="Arial"/>
          <w:lang w:val="fr-CI"/>
        </w:rPr>
        <w:t xml:space="preserve"> </w:t>
      </w:r>
      <w:r w:rsidR="00585BA7" w:rsidRPr="007E7C5B">
        <w:rPr>
          <w:rStyle w:val="normaltextrun"/>
          <w:rFonts w:ascii="Arial Narrow" w:eastAsiaTheme="majorEastAsia" w:hAnsi="Arial Narrow" w:cs="Arial"/>
          <w:lang w:val="fr-CI"/>
        </w:rPr>
        <w:t xml:space="preserve">2021 </w:t>
      </w:r>
      <w:r w:rsidRPr="007E7C5B">
        <w:rPr>
          <w:rStyle w:val="normaltextrun"/>
          <w:rFonts w:ascii="Arial Narrow" w:eastAsiaTheme="majorEastAsia" w:hAnsi="Arial Narrow" w:cs="Arial"/>
          <w:lang w:val="fr-CI"/>
        </w:rPr>
        <w:t>et des rapports spécifiques par pathologie</w:t>
      </w:r>
      <w:r w:rsidR="00F43000">
        <w:rPr>
          <w:rStyle w:val="normaltextrun"/>
          <w:rFonts w:ascii="Arial Narrow" w:eastAsiaTheme="majorEastAsia" w:hAnsi="Arial Narrow" w:cs="Arial"/>
          <w:lang w:val="fr-CI"/>
        </w:rPr>
        <w:t xml:space="preserve"> (VIH, tuberculose, paludisme, </w:t>
      </w:r>
      <w:proofErr w:type="spellStart"/>
      <w:r w:rsidR="00F43000">
        <w:rPr>
          <w:rStyle w:val="normaltextrun"/>
          <w:rFonts w:ascii="Arial Narrow" w:eastAsiaTheme="majorEastAsia" w:hAnsi="Arial Narrow" w:cs="Arial"/>
          <w:lang w:val="fr-CI"/>
        </w:rPr>
        <w:t>etc</w:t>
      </w:r>
      <w:proofErr w:type="spellEnd"/>
      <w:r w:rsidR="00F43000">
        <w:rPr>
          <w:rStyle w:val="normaltextrun"/>
          <w:rFonts w:ascii="Arial Narrow" w:eastAsiaTheme="majorEastAsia" w:hAnsi="Arial Narrow" w:cs="Arial"/>
          <w:lang w:val="fr-CI"/>
        </w:rPr>
        <w:t>)</w:t>
      </w:r>
      <w:r w:rsidRPr="007E7C5B">
        <w:rPr>
          <w:rStyle w:val="normaltextrun"/>
          <w:rFonts w:ascii="Arial Narrow" w:eastAsiaTheme="majorEastAsia" w:hAnsi="Arial Narrow" w:cs="Arial"/>
          <w:lang w:val="fr-CI"/>
        </w:rPr>
        <w:t xml:space="preserve"> ou grands problèmes de santé qui sont également produits chaque année. Ces documents permettent d’apprécier les performances atteintes par domaine programmatique et sont destinés à aider à la prise de décision. On enregistre aussi une nette amélioration de la rétro-information du niveau central vers le niveau déconcentré sur la qualité des données dans la base DHIS2</w:t>
      </w:r>
      <w:r w:rsidR="00387957" w:rsidRPr="007E7C5B">
        <w:rPr>
          <w:rStyle w:val="eop"/>
          <w:rFonts w:ascii="Arial Narrow" w:eastAsiaTheme="majorEastAsia" w:hAnsi="Arial Narrow" w:cs="Arial"/>
        </w:rPr>
        <w:t>.</w:t>
      </w:r>
    </w:p>
    <w:p w14:paraId="388FE55A" w14:textId="77777777" w:rsidR="001E533E" w:rsidRPr="007E7C5B" w:rsidRDefault="001E533E" w:rsidP="00761F55">
      <w:pPr>
        <w:pStyle w:val="paragraph"/>
        <w:spacing w:before="0" w:beforeAutospacing="0" w:after="0" w:afterAutospacing="0"/>
        <w:jc w:val="both"/>
        <w:textAlignment w:val="baseline"/>
        <w:rPr>
          <w:rStyle w:val="normaltextrun"/>
          <w:rFonts w:ascii="Arial Narrow" w:eastAsiaTheme="majorEastAsia" w:hAnsi="Arial Narrow" w:cs="Arial"/>
          <w:b/>
          <w:lang w:val="fr-CI"/>
        </w:rPr>
      </w:pPr>
    </w:p>
    <w:p w14:paraId="18F2A4A6" w14:textId="5E2D6E95" w:rsidR="001E533E" w:rsidRPr="007E7C5B" w:rsidRDefault="00CC6943" w:rsidP="00761F55">
      <w:pPr>
        <w:pStyle w:val="paragraph"/>
        <w:spacing w:before="0" w:beforeAutospacing="0" w:after="0" w:afterAutospacing="0"/>
        <w:jc w:val="both"/>
        <w:textAlignment w:val="baseline"/>
        <w:rPr>
          <w:rFonts w:ascii="Arial Narrow" w:hAnsi="Arial Narrow" w:cs="Arial"/>
        </w:rPr>
      </w:pPr>
      <w:r w:rsidRPr="007E7C5B">
        <w:rPr>
          <w:rStyle w:val="normaltextrun"/>
          <w:rFonts w:ascii="Arial Narrow" w:eastAsiaTheme="majorEastAsia" w:hAnsi="Arial Narrow" w:cs="Arial"/>
          <w:b/>
          <w:lang w:val="fr-CI"/>
        </w:rPr>
        <w:t xml:space="preserve">Au titre du </w:t>
      </w:r>
      <w:r w:rsidR="001E533E" w:rsidRPr="007E7C5B">
        <w:rPr>
          <w:rStyle w:val="normaltextrun"/>
          <w:rFonts w:ascii="Arial Narrow" w:eastAsiaTheme="majorEastAsia" w:hAnsi="Arial Narrow" w:cs="Arial"/>
          <w:b/>
          <w:lang w:val="fr-CI"/>
        </w:rPr>
        <w:t>développement de mécanismes d'assurance qualité des données sanitaires</w:t>
      </w:r>
      <w:r w:rsidR="001E533E" w:rsidRPr="007E7C5B">
        <w:rPr>
          <w:rStyle w:val="normaltextrun"/>
          <w:rFonts w:ascii="Arial Narrow" w:eastAsiaTheme="majorEastAsia" w:hAnsi="Arial Narrow" w:cs="Arial"/>
          <w:lang w:val="fr-CI"/>
        </w:rPr>
        <w:t>,</w:t>
      </w:r>
      <w:r w:rsidR="001E533E" w:rsidRPr="007E7C5B">
        <w:rPr>
          <w:rStyle w:val="normaltextrun"/>
          <w:rFonts w:ascii="Arial Narrow" w:eastAsiaTheme="majorEastAsia" w:hAnsi="Arial Narrow" w:cs="Arial"/>
          <w:i/>
          <w:lang w:val="fr-CI"/>
        </w:rPr>
        <w:t xml:space="preserve"> </w:t>
      </w:r>
      <w:r w:rsidR="001E533E" w:rsidRPr="007E7C5B">
        <w:rPr>
          <w:rStyle w:val="normaltextrun"/>
          <w:rFonts w:ascii="Arial Narrow" w:eastAsiaTheme="majorEastAsia" w:hAnsi="Arial Narrow" w:cs="Arial"/>
          <w:lang w:val="fr-CI"/>
        </w:rPr>
        <w:t>l’on note</w:t>
      </w:r>
      <w:r w:rsidR="005E7FE8" w:rsidRPr="007E7C5B">
        <w:rPr>
          <w:rStyle w:val="normaltextrun"/>
          <w:rFonts w:ascii="Arial Narrow" w:eastAsiaTheme="majorEastAsia" w:hAnsi="Arial Narrow" w:cs="Arial"/>
          <w:lang w:val="fr-CI"/>
        </w:rPr>
        <w:t> :</w:t>
      </w:r>
      <w:r w:rsidR="001E533E" w:rsidRPr="007E7C5B">
        <w:rPr>
          <w:rStyle w:val="normaltextrun"/>
          <w:rFonts w:ascii="Arial Narrow" w:eastAsiaTheme="majorEastAsia" w:hAnsi="Arial Narrow" w:cs="Arial"/>
          <w:lang w:val="fr-CI"/>
        </w:rPr>
        <w:t xml:space="preserve"> </w:t>
      </w:r>
      <w:r w:rsidR="00AF6F1C" w:rsidRPr="007E7C5B">
        <w:rPr>
          <w:rStyle w:val="normaltextrun"/>
          <w:rFonts w:ascii="Arial Narrow" w:eastAsiaTheme="majorEastAsia" w:hAnsi="Arial Narrow" w:cs="Arial"/>
          <w:i/>
          <w:lang w:val="fr-CI"/>
        </w:rPr>
        <w:t>(</w:t>
      </w:r>
      <w:r w:rsidR="001E533E" w:rsidRPr="007E7C5B">
        <w:rPr>
          <w:rStyle w:val="normaltextrun"/>
          <w:rFonts w:ascii="Arial Narrow" w:eastAsiaTheme="majorEastAsia" w:hAnsi="Arial Narrow" w:cs="Arial"/>
          <w:i/>
          <w:lang w:val="fr-CI"/>
        </w:rPr>
        <w:t>i)</w:t>
      </w:r>
      <w:r w:rsidR="001E533E" w:rsidRPr="007E7C5B">
        <w:rPr>
          <w:rStyle w:val="normaltextrun"/>
          <w:rFonts w:ascii="Arial Narrow" w:eastAsiaTheme="majorEastAsia" w:hAnsi="Arial Narrow" w:cs="Arial"/>
          <w:lang w:val="fr-CI"/>
        </w:rPr>
        <w:t xml:space="preserve"> la production et</w:t>
      </w:r>
      <w:r w:rsidR="005E7FE8" w:rsidRPr="007E7C5B">
        <w:rPr>
          <w:rStyle w:val="normaltextrun"/>
          <w:rFonts w:ascii="Arial Narrow" w:eastAsiaTheme="majorEastAsia" w:hAnsi="Arial Narrow" w:cs="Arial"/>
          <w:lang w:val="fr-CI"/>
        </w:rPr>
        <w:t xml:space="preserve"> la</w:t>
      </w:r>
      <w:r w:rsidR="001E533E" w:rsidRPr="007E7C5B">
        <w:rPr>
          <w:rStyle w:val="normaltextrun"/>
          <w:rFonts w:ascii="Arial Narrow" w:eastAsiaTheme="majorEastAsia" w:hAnsi="Arial Narrow" w:cs="Arial"/>
          <w:lang w:val="fr-CI"/>
        </w:rPr>
        <w:t xml:space="preserve"> diffusion d’algorithme de procédure, de traitement et de contrôle de cohérences des indicateurs au niveau des établissements de soins (cliniques, logistiques, communautaires)</w:t>
      </w:r>
      <w:r w:rsidR="005E7FE8" w:rsidRPr="007E7C5B">
        <w:rPr>
          <w:rStyle w:val="normaltextrun"/>
          <w:rFonts w:ascii="Arial Narrow" w:eastAsiaTheme="majorEastAsia" w:hAnsi="Arial Narrow" w:cs="Arial"/>
          <w:lang w:val="fr-CI"/>
        </w:rPr>
        <w:t> ;</w:t>
      </w:r>
      <w:r w:rsidR="001E533E" w:rsidRPr="007E7C5B">
        <w:rPr>
          <w:rStyle w:val="normaltextrun"/>
          <w:rFonts w:ascii="Arial Narrow" w:eastAsiaTheme="majorEastAsia" w:hAnsi="Arial Narrow" w:cs="Arial"/>
          <w:lang w:val="fr-CI"/>
        </w:rPr>
        <w:t xml:space="preserve"> </w:t>
      </w:r>
      <w:r w:rsidR="00AF6F1C" w:rsidRPr="007E7C5B">
        <w:rPr>
          <w:rStyle w:val="normaltextrun"/>
          <w:rFonts w:ascii="Arial Narrow" w:eastAsiaTheme="majorEastAsia" w:hAnsi="Arial Narrow" w:cs="Arial"/>
          <w:i/>
          <w:lang w:val="fr-CI"/>
        </w:rPr>
        <w:t>(</w:t>
      </w:r>
      <w:r w:rsidR="001E533E" w:rsidRPr="007E7C5B">
        <w:rPr>
          <w:rStyle w:val="normaltextrun"/>
          <w:rFonts w:ascii="Arial Narrow" w:eastAsiaTheme="majorEastAsia" w:hAnsi="Arial Narrow" w:cs="Arial"/>
          <w:i/>
          <w:lang w:val="fr-CI"/>
        </w:rPr>
        <w:t>ii)</w:t>
      </w:r>
      <w:r w:rsidR="001E533E" w:rsidRPr="007E7C5B">
        <w:rPr>
          <w:rStyle w:val="normaltextrun"/>
          <w:rFonts w:ascii="Arial Narrow" w:eastAsiaTheme="majorEastAsia" w:hAnsi="Arial Narrow" w:cs="Arial"/>
          <w:lang w:val="fr-CI"/>
        </w:rPr>
        <w:t xml:space="preserve"> la production et </w:t>
      </w:r>
      <w:r w:rsidR="00DD2FBC" w:rsidRPr="007E7C5B">
        <w:rPr>
          <w:rStyle w:val="normaltextrun"/>
          <w:rFonts w:ascii="Arial Narrow" w:eastAsiaTheme="majorEastAsia" w:hAnsi="Arial Narrow" w:cs="Arial"/>
          <w:lang w:val="fr-CI"/>
        </w:rPr>
        <w:t xml:space="preserve">la </w:t>
      </w:r>
      <w:r w:rsidR="001E533E" w:rsidRPr="007E7C5B">
        <w:rPr>
          <w:rStyle w:val="normaltextrun"/>
          <w:rFonts w:ascii="Arial Narrow" w:eastAsiaTheme="majorEastAsia" w:hAnsi="Arial Narrow" w:cs="Arial"/>
          <w:lang w:val="fr-CI"/>
        </w:rPr>
        <w:t>diffusion de Rapport Annuel sur la performance.</w:t>
      </w:r>
      <w:r w:rsidR="001E533E" w:rsidRPr="007E7C5B">
        <w:rPr>
          <w:rStyle w:val="eop"/>
          <w:rFonts w:ascii="Arial Narrow" w:eastAsiaTheme="majorEastAsia" w:hAnsi="Arial Narrow" w:cs="Arial"/>
        </w:rPr>
        <w:t> </w:t>
      </w:r>
    </w:p>
    <w:p w14:paraId="5F5FAD03" w14:textId="4A474E1B" w:rsidR="001E533E" w:rsidRPr="007E7C5B" w:rsidRDefault="001E533E" w:rsidP="00761F55">
      <w:pPr>
        <w:pStyle w:val="paragraph"/>
        <w:spacing w:before="0" w:beforeAutospacing="0" w:after="0" w:afterAutospacing="0"/>
        <w:jc w:val="both"/>
        <w:textAlignment w:val="baseline"/>
        <w:rPr>
          <w:rStyle w:val="normaltextrun"/>
          <w:rFonts w:ascii="Arial Narrow" w:eastAsiaTheme="majorEastAsia" w:hAnsi="Arial Narrow" w:cs="Arial"/>
          <w:lang w:val="fr-CI"/>
        </w:rPr>
      </w:pPr>
    </w:p>
    <w:p w14:paraId="6CD203D6" w14:textId="2C8C2FBC" w:rsidR="00F87AD6" w:rsidRDefault="00057EDD" w:rsidP="00F87AD6">
      <w:pPr>
        <w:pStyle w:val="paragraph"/>
        <w:spacing w:before="0" w:beforeAutospacing="0" w:after="0" w:afterAutospacing="0"/>
        <w:jc w:val="both"/>
        <w:textAlignment w:val="baseline"/>
        <w:rPr>
          <w:rStyle w:val="normaltextrun"/>
          <w:rFonts w:ascii="Arial Narrow" w:eastAsiaTheme="majorEastAsia" w:hAnsi="Arial Narrow" w:cs="Arial"/>
          <w:lang w:val="fr-CI"/>
        </w:rPr>
      </w:pPr>
      <w:r w:rsidRPr="007E7C5B">
        <w:rPr>
          <w:rStyle w:val="normaltextrun"/>
          <w:rFonts w:ascii="Arial Narrow" w:eastAsiaTheme="majorEastAsia" w:hAnsi="Arial Narrow" w:cs="Arial"/>
          <w:lang w:val="fr-CI"/>
        </w:rPr>
        <w:t>En dépit des actions menées</w:t>
      </w:r>
      <w:r w:rsidR="001E533E" w:rsidRPr="007E7C5B">
        <w:rPr>
          <w:rStyle w:val="normaltextrun"/>
          <w:rFonts w:ascii="Arial Narrow" w:eastAsiaTheme="majorEastAsia" w:hAnsi="Arial Narrow" w:cs="Arial"/>
          <w:lang w:val="fr-CI"/>
        </w:rPr>
        <w:t>,</w:t>
      </w:r>
      <w:r w:rsidR="00F87AD6">
        <w:rPr>
          <w:rStyle w:val="normaltextrun"/>
          <w:rFonts w:ascii="Arial Narrow" w:eastAsiaTheme="majorEastAsia" w:hAnsi="Arial Narrow" w:cs="Arial"/>
          <w:lang w:val="fr-CI"/>
        </w:rPr>
        <w:t xml:space="preserve"> </w:t>
      </w:r>
      <w:r w:rsidR="00F87AD6" w:rsidRPr="007E7C5B">
        <w:rPr>
          <w:rStyle w:val="normaltextrun"/>
          <w:rFonts w:ascii="Arial Narrow" w:eastAsiaTheme="majorEastAsia" w:hAnsi="Arial Narrow" w:cs="Arial"/>
          <w:lang w:val="fr-CI"/>
        </w:rPr>
        <w:t>on enregistre au niveau national une baisse de la complétude et de la promptitude des formulaires des rapports SIG</w:t>
      </w:r>
      <w:r w:rsidR="00F87AD6" w:rsidRPr="007E7C5B">
        <w:rPr>
          <w:rStyle w:val="normaltextrun"/>
          <w:rFonts w:ascii="Arial" w:eastAsiaTheme="majorEastAsia" w:hAnsi="Arial" w:cs="Arial"/>
          <w:lang w:val="fr-CI"/>
        </w:rPr>
        <w:t> </w:t>
      </w:r>
      <w:r w:rsidR="00F87AD6" w:rsidRPr="007E7C5B">
        <w:rPr>
          <w:rStyle w:val="normaltextrun"/>
          <w:rFonts w:ascii="Arial Narrow" w:eastAsiaTheme="majorEastAsia" w:hAnsi="Arial Narrow" w:cs="Arial"/>
          <w:lang w:val="fr-CI"/>
        </w:rPr>
        <w:t xml:space="preserve">de 2020 à 2023, respectivement de 100% à 99,89% et de </w:t>
      </w:r>
      <w:r w:rsidR="00F87AD6" w:rsidRPr="00A918AC">
        <w:rPr>
          <w:rStyle w:val="normaltextrun"/>
          <w:rFonts w:ascii="Arial Narrow" w:eastAsiaTheme="majorEastAsia" w:hAnsi="Arial Narrow"/>
          <w:lang w:val="fr-CI"/>
        </w:rPr>
        <w:t xml:space="preserve">89,23% </w:t>
      </w:r>
      <w:r w:rsidR="00F87AD6" w:rsidRPr="007E7C5B">
        <w:rPr>
          <w:rStyle w:val="normaltextrun"/>
          <w:rFonts w:ascii="Arial Narrow" w:eastAsiaTheme="majorEastAsia" w:hAnsi="Arial Narrow" w:cs="Arial"/>
          <w:lang w:val="fr-CI"/>
        </w:rPr>
        <w:t>à 82,35%</w:t>
      </w:r>
      <w:r w:rsidR="00F87AD6" w:rsidRPr="00A918AC">
        <w:rPr>
          <w:rStyle w:val="normaltextrun"/>
          <w:rFonts w:ascii="Arial Narrow" w:eastAsiaTheme="majorEastAsia" w:hAnsi="Arial Narrow" w:cs="Arial"/>
          <w:lang w:val="fr-CI"/>
        </w:rPr>
        <w:t>.</w:t>
      </w:r>
      <w:r w:rsidR="00F87AD6">
        <w:rPr>
          <w:rStyle w:val="normaltextrun"/>
          <w:rFonts w:ascii="Arial Narrow" w:eastAsiaTheme="majorEastAsia" w:hAnsi="Arial Narrow" w:cs="Arial"/>
          <w:lang w:val="fr-CI"/>
        </w:rPr>
        <w:t xml:space="preserve"> </w:t>
      </w:r>
    </w:p>
    <w:p w14:paraId="4D956083" w14:textId="77777777" w:rsidR="007B5412" w:rsidRDefault="007B5412" w:rsidP="00F87AD6">
      <w:pPr>
        <w:pStyle w:val="paragraph"/>
        <w:spacing w:before="0" w:beforeAutospacing="0" w:after="0" w:afterAutospacing="0"/>
        <w:jc w:val="both"/>
        <w:textAlignment w:val="baseline"/>
        <w:rPr>
          <w:rStyle w:val="normaltextrun"/>
          <w:rFonts w:ascii="Arial Narrow" w:eastAsiaTheme="majorEastAsia" w:hAnsi="Arial Narrow" w:cs="Arial"/>
          <w:lang w:val="fr-CI"/>
        </w:rPr>
      </w:pPr>
    </w:p>
    <w:p w14:paraId="737E515A" w14:textId="1910158B" w:rsidR="001E533E" w:rsidRPr="0044167B" w:rsidRDefault="00F87AD6" w:rsidP="0044167B">
      <w:pPr>
        <w:pStyle w:val="paragraph"/>
        <w:spacing w:before="0" w:beforeAutospacing="0" w:after="0" w:afterAutospacing="0"/>
        <w:jc w:val="both"/>
        <w:textAlignment w:val="baseline"/>
        <w:rPr>
          <w:rStyle w:val="normaltextrun"/>
          <w:rFonts w:ascii="Arial Narrow" w:eastAsiaTheme="majorEastAsia" w:hAnsi="Arial Narrow" w:cs="Arial"/>
          <w:lang w:val="fr-CI"/>
        </w:rPr>
      </w:pPr>
      <w:r>
        <w:rPr>
          <w:rStyle w:val="normaltextrun"/>
          <w:rFonts w:ascii="Arial Narrow" w:eastAsiaTheme="majorEastAsia" w:hAnsi="Arial Narrow" w:cs="Arial"/>
          <w:lang w:val="fr-CI"/>
        </w:rPr>
        <w:t>C</w:t>
      </w:r>
      <w:r w:rsidR="001E533E" w:rsidRPr="007E7C5B">
        <w:rPr>
          <w:rStyle w:val="normaltextrun"/>
          <w:rFonts w:ascii="Arial Narrow" w:eastAsiaTheme="majorEastAsia" w:hAnsi="Arial Narrow" w:cs="Arial"/>
          <w:lang w:val="fr-CI"/>
        </w:rPr>
        <w:t>ertains</w:t>
      </w:r>
      <w:r w:rsidR="001E533E" w:rsidRPr="007E7C5B" w:rsidDel="00057EDD">
        <w:rPr>
          <w:rStyle w:val="normaltextrun"/>
          <w:rFonts w:ascii="Arial Narrow" w:eastAsiaTheme="majorEastAsia" w:hAnsi="Arial Narrow" w:cs="Arial"/>
          <w:lang w:val="fr-CI"/>
        </w:rPr>
        <w:t xml:space="preserve"> </w:t>
      </w:r>
      <w:r w:rsidR="00057EDD" w:rsidRPr="007E7C5B">
        <w:rPr>
          <w:rStyle w:val="normaltextrun"/>
          <w:rFonts w:ascii="Arial Narrow" w:eastAsiaTheme="majorEastAsia" w:hAnsi="Arial Narrow" w:cs="Arial"/>
          <w:lang w:val="fr-CI"/>
        </w:rPr>
        <w:t xml:space="preserve">défis persistent </w:t>
      </w:r>
      <w:r w:rsidR="001E533E" w:rsidRPr="007E7C5B">
        <w:rPr>
          <w:rStyle w:val="normaltextrun"/>
          <w:rFonts w:ascii="Arial Narrow" w:eastAsiaTheme="majorEastAsia" w:hAnsi="Arial Narrow" w:cs="Arial"/>
          <w:lang w:val="fr-CI"/>
        </w:rPr>
        <w:t>notamment</w:t>
      </w:r>
      <w:r w:rsidR="001E533E" w:rsidRPr="007E7C5B">
        <w:rPr>
          <w:rStyle w:val="normaltextrun"/>
          <w:rFonts w:ascii="Arial" w:eastAsiaTheme="majorEastAsia" w:hAnsi="Arial" w:cs="Arial"/>
          <w:lang w:val="fr-CI"/>
        </w:rPr>
        <w:t> </w:t>
      </w:r>
      <w:r w:rsidR="001E533E" w:rsidRPr="007E7C5B">
        <w:rPr>
          <w:rStyle w:val="normaltextrun"/>
          <w:rFonts w:ascii="Arial Narrow" w:eastAsiaTheme="majorEastAsia" w:hAnsi="Arial Narrow" w:cs="Arial"/>
          <w:lang w:val="fr-CI"/>
        </w:rPr>
        <w:t xml:space="preserve">: </w:t>
      </w:r>
      <w:r w:rsidR="001E533E" w:rsidRPr="007E7C5B">
        <w:rPr>
          <w:rStyle w:val="normaltextrun"/>
          <w:rFonts w:ascii="Arial Narrow" w:eastAsiaTheme="majorEastAsia" w:hAnsi="Arial Narrow" w:cs="Arial"/>
          <w:i/>
          <w:lang w:val="fr-CI"/>
        </w:rPr>
        <w:t>(i)</w:t>
      </w:r>
      <w:r w:rsidR="001E533E" w:rsidRPr="007E7C5B">
        <w:rPr>
          <w:rStyle w:val="normaltextrun"/>
          <w:rFonts w:ascii="Arial Narrow" w:eastAsiaTheme="majorEastAsia" w:hAnsi="Arial Narrow" w:cs="Arial"/>
          <w:lang w:val="fr-CI"/>
        </w:rPr>
        <w:t xml:space="preserve"> la disponibilité d</w:t>
      </w:r>
      <w:r w:rsidR="00B273AA" w:rsidRPr="007E7C5B">
        <w:rPr>
          <w:rStyle w:val="normaltextrun"/>
          <w:rFonts w:ascii="Arial Narrow" w:eastAsiaTheme="majorEastAsia" w:hAnsi="Arial Narrow" w:cs="Arial"/>
          <w:lang w:val="fr-CI"/>
        </w:rPr>
        <w:t xml:space="preserve">u financement pour la production du </w:t>
      </w:r>
      <w:r w:rsidR="001E533E" w:rsidRPr="007E7C5B">
        <w:rPr>
          <w:rStyle w:val="normaltextrun"/>
          <w:rFonts w:ascii="Arial Narrow" w:eastAsiaTheme="majorEastAsia" w:hAnsi="Arial Narrow" w:cs="Arial"/>
          <w:lang w:val="fr-CI"/>
        </w:rPr>
        <w:t xml:space="preserve">RASS </w:t>
      </w:r>
      <w:r w:rsidR="001E533E" w:rsidRPr="007E7C5B">
        <w:rPr>
          <w:rStyle w:val="normaltextrun"/>
          <w:rFonts w:ascii="Arial Narrow" w:eastAsiaTheme="majorEastAsia" w:hAnsi="Arial Narrow" w:cs="Arial Narrow"/>
          <w:lang w:val="fr-CI"/>
        </w:rPr>
        <w:t xml:space="preserve">dans les </w:t>
      </w:r>
      <w:proofErr w:type="gramStart"/>
      <w:r w:rsidR="001E533E" w:rsidRPr="007E7C5B">
        <w:rPr>
          <w:rStyle w:val="normaltextrun"/>
          <w:rFonts w:ascii="Arial Narrow" w:eastAsiaTheme="majorEastAsia" w:hAnsi="Arial Narrow" w:cs="Arial Narrow"/>
          <w:lang w:val="fr-CI"/>
        </w:rPr>
        <w:t>délais</w:t>
      </w:r>
      <w:r w:rsidR="00A42370" w:rsidRPr="007E7C5B">
        <w:rPr>
          <w:rStyle w:val="normaltextrun"/>
          <w:rFonts w:ascii="Arial Narrow" w:eastAsiaTheme="majorEastAsia" w:hAnsi="Arial Narrow" w:cs="Arial"/>
          <w:lang w:val="fr-CI"/>
        </w:rPr>
        <w:t>;</w:t>
      </w:r>
      <w:proofErr w:type="gramEnd"/>
      <w:r w:rsidR="001E533E" w:rsidRPr="007E7C5B">
        <w:rPr>
          <w:rStyle w:val="normaltextrun"/>
          <w:rFonts w:ascii="Arial Narrow" w:eastAsiaTheme="majorEastAsia" w:hAnsi="Arial Narrow" w:cs="Arial"/>
          <w:lang w:val="fr-CI"/>
        </w:rPr>
        <w:t xml:space="preserve"> </w:t>
      </w:r>
      <w:r w:rsidR="001E533E" w:rsidRPr="007E7C5B">
        <w:rPr>
          <w:rStyle w:val="normaltextrun"/>
          <w:rFonts w:ascii="Arial Narrow" w:eastAsiaTheme="majorEastAsia" w:hAnsi="Arial Narrow" w:cs="Arial"/>
          <w:i/>
          <w:lang w:val="fr-CI"/>
        </w:rPr>
        <w:t>(ii)</w:t>
      </w:r>
      <w:r w:rsidR="001E533E" w:rsidRPr="007E7C5B">
        <w:rPr>
          <w:rStyle w:val="normaltextrun"/>
          <w:rFonts w:ascii="Arial Narrow" w:eastAsiaTheme="majorEastAsia" w:hAnsi="Arial Narrow" w:cs="Arial"/>
          <w:lang w:val="fr-CI"/>
        </w:rPr>
        <w:t xml:space="preserve"> </w:t>
      </w:r>
      <w:r w:rsidR="00B273AA" w:rsidRPr="007E7C5B">
        <w:rPr>
          <w:rStyle w:val="normaltextrun"/>
          <w:rFonts w:ascii="Arial Narrow" w:eastAsiaTheme="majorEastAsia" w:hAnsi="Arial Narrow"/>
          <w:lang w:val="fr-CI"/>
        </w:rPr>
        <w:t>la</w:t>
      </w:r>
      <w:r w:rsidR="00B273AA" w:rsidRPr="007E7C5B">
        <w:rPr>
          <w:rStyle w:val="normaltextrun"/>
          <w:rFonts w:ascii="Arial Narrow" w:eastAsiaTheme="majorEastAsia" w:hAnsi="Arial Narrow" w:cs="Arial"/>
          <w:lang w:val="fr-CI"/>
        </w:rPr>
        <w:t xml:space="preserve"> réalisation de l’évaluation </w:t>
      </w:r>
      <w:r w:rsidR="00B273AA" w:rsidRPr="007E7C5B">
        <w:rPr>
          <w:rStyle w:val="normaltextrun"/>
          <w:rFonts w:ascii="Arial Narrow" w:eastAsiaTheme="majorEastAsia" w:hAnsi="Arial Narrow"/>
          <w:lang w:val="fr-CI"/>
        </w:rPr>
        <w:t xml:space="preserve">de la performance du système d’information sanitaire à travers l’outil PRISM et </w:t>
      </w:r>
      <w:r w:rsidR="00B273AA" w:rsidRPr="00A918AC">
        <w:rPr>
          <w:rStyle w:val="normaltextrun"/>
          <w:rFonts w:ascii="Arial Narrow" w:eastAsiaTheme="majorEastAsia" w:hAnsi="Arial Narrow"/>
          <w:i/>
          <w:lang w:val="fr-CI"/>
        </w:rPr>
        <w:t>(iii)</w:t>
      </w:r>
      <w:r w:rsidR="00B273AA" w:rsidRPr="007E7C5B">
        <w:rPr>
          <w:rStyle w:val="normaltextrun"/>
          <w:rFonts w:ascii="Arial Narrow" w:eastAsiaTheme="majorEastAsia" w:hAnsi="Arial Narrow"/>
          <w:lang w:val="fr-CI"/>
        </w:rPr>
        <w:t xml:space="preserve"> </w:t>
      </w:r>
      <w:r w:rsidR="00B273AA" w:rsidRPr="007E7C5B">
        <w:rPr>
          <w:rStyle w:val="normaltextrun"/>
          <w:rFonts w:ascii="Arial Narrow" w:eastAsiaTheme="majorEastAsia" w:hAnsi="Arial Narrow" w:cs="Arial"/>
          <w:lang w:val="fr-CI"/>
        </w:rPr>
        <w:t>la production des rapports analytiques par les acteurs du niveau d</w:t>
      </w:r>
      <w:r w:rsidR="00B273AA" w:rsidRPr="007E7C5B">
        <w:rPr>
          <w:rStyle w:val="normaltextrun"/>
          <w:rFonts w:ascii="Arial Narrow" w:eastAsiaTheme="majorEastAsia" w:hAnsi="Arial Narrow" w:cs="Arial Narrow"/>
          <w:lang w:val="fr-CI"/>
        </w:rPr>
        <w:t>é</w:t>
      </w:r>
      <w:r w:rsidR="00B273AA" w:rsidRPr="007E7C5B">
        <w:rPr>
          <w:rStyle w:val="normaltextrun"/>
          <w:rFonts w:ascii="Arial Narrow" w:eastAsiaTheme="majorEastAsia" w:hAnsi="Arial Narrow" w:cs="Arial"/>
          <w:lang w:val="fr-CI"/>
        </w:rPr>
        <w:t>concentr</w:t>
      </w:r>
      <w:r w:rsidR="00B273AA" w:rsidRPr="007E7C5B">
        <w:rPr>
          <w:rStyle w:val="normaltextrun"/>
          <w:rFonts w:ascii="Arial Narrow" w:eastAsiaTheme="majorEastAsia" w:hAnsi="Arial Narrow" w:cs="Arial Narrow"/>
          <w:lang w:val="fr-CI"/>
        </w:rPr>
        <w:t>é et</w:t>
      </w:r>
      <w:r w:rsidR="00B273AA" w:rsidRPr="007E7C5B">
        <w:rPr>
          <w:rStyle w:val="normaltextrun"/>
          <w:rFonts w:ascii="Arial Narrow" w:eastAsiaTheme="majorEastAsia" w:hAnsi="Arial Narrow" w:cs="Arial"/>
          <w:lang w:val="fr-CI"/>
        </w:rPr>
        <w:t xml:space="preserve"> </w:t>
      </w:r>
      <w:r w:rsidR="00B273AA" w:rsidRPr="003B1333">
        <w:rPr>
          <w:rStyle w:val="normaltextrun"/>
          <w:rFonts w:ascii="Arial Narrow" w:eastAsiaTheme="majorEastAsia" w:hAnsi="Arial Narrow" w:cs="Arial"/>
          <w:i/>
          <w:iCs/>
          <w:lang w:val="fr-CI"/>
        </w:rPr>
        <w:t>(iv)</w:t>
      </w:r>
      <w:r w:rsidR="00B273AA" w:rsidRPr="007E7C5B">
        <w:rPr>
          <w:rStyle w:val="normaltextrun"/>
          <w:rFonts w:ascii="Arial Narrow" w:eastAsiaTheme="majorEastAsia" w:hAnsi="Arial Narrow" w:cs="Arial"/>
          <w:lang w:val="fr-CI"/>
        </w:rPr>
        <w:t xml:space="preserve"> la poursuite de l’intégration des données sanitaires des autres secteurs (EPHN, EHP, Etablissement sanitaires parapublic</w:t>
      </w:r>
      <w:r w:rsidR="007D0DBE">
        <w:rPr>
          <w:rStyle w:val="normaltextrun"/>
          <w:rFonts w:ascii="Arial Narrow" w:eastAsiaTheme="majorEastAsia" w:hAnsi="Arial Narrow" w:cs="Arial"/>
          <w:lang w:val="fr-CI"/>
        </w:rPr>
        <w:t>, etc.</w:t>
      </w:r>
      <w:r w:rsidR="00B273AA" w:rsidRPr="007E7C5B">
        <w:rPr>
          <w:rStyle w:val="normaltextrun"/>
          <w:rFonts w:ascii="Arial Narrow" w:eastAsiaTheme="majorEastAsia" w:hAnsi="Arial Narrow" w:cs="Arial"/>
          <w:lang w:val="fr-CI"/>
        </w:rPr>
        <w:t>)</w:t>
      </w:r>
      <w:r w:rsidR="000D034C">
        <w:rPr>
          <w:rStyle w:val="normaltextrun"/>
          <w:rFonts w:ascii="Arial Narrow" w:eastAsiaTheme="majorEastAsia" w:hAnsi="Arial Narrow" w:cs="Arial"/>
          <w:lang w:val="fr-CI"/>
        </w:rPr>
        <w:t>.</w:t>
      </w:r>
    </w:p>
    <w:p w14:paraId="5003ED0B" w14:textId="77777777" w:rsidR="001E533E" w:rsidRPr="007E7C5B" w:rsidRDefault="001E533E" w:rsidP="00761F55">
      <w:pPr>
        <w:pStyle w:val="paragraph"/>
        <w:spacing w:before="0" w:beforeAutospacing="0" w:after="0" w:afterAutospacing="0"/>
        <w:jc w:val="both"/>
        <w:textAlignment w:val="baseline"/>
        <w:rPr>
          <w:rStyle w:val="eop"/>
          <w:rFonts w:ascii="Arial Narrow" w:eastAsiaTheme="majorEastAsia" w:hAnsi="Arial Narrow" w:cs="Arial"/>
        </w:rPr>
      </w:pPr>
    </w:p>
    <w:p w14:paraId="7B28FFFE" w14:textId="5255A90D" w:rsidR="001E533E" w:rsidRPr="007E7C5B" w:rsidRDefault="001E533E" w:rsidP="00AA7D22">
      <w:pPr>
        <w:pStyle w:val="Titre5"/>
        <w:shd w:val="clear" w:color="auto" w:fill="FBE4D5" w:themeFill="accent2" w:themeFillTint="33"/>
        <w:rPr>
          <w:rFonts w:ascii="Arial Narrow" w:hAnsi="Arial Narrow"/>
          <w:b/>
          <w:color w:val="auto"/>
          <w:sz w:val="24"/>
          <w:szCs w:val="24"/>
        </w:rPr>
      </w:pPr>
      <w:r w:rsidRPr="007E7C5B">
        <w:rPr>
          <w:rFonts w:ascii="Arial Narrow" w:hAnsi="Arial Narrow"/>
          <w:b/>
          <w:color w:val="auto"/>
          <w:sz w:val="24"/>
          <w:szCs w:val="24"/>
        </w:rPr>
        <w:t>Planification, suivi et évaluation des interventions sanitaires</w:t>
      </w:r>
    </w:p>
    <w:p w14:paraId="61FEABD1" w14:textId="77777777" w:rsidR="00BF56AF" w:rsidRPr="007E7C5B" w:rsidRDefault="00BF56AF" w:rsidP="00761F55">
      <w:pPr>
        <w:pStyle w:val="paragraph"/>
        <w:spacing w:before="0" w:beforeAutospacing="0" w:after="0" w:afterAutospacing="0"/>
        <w:jc w:val="both"/>
        <w:textAlignment w:val="baseline"/>
        <w:rPr>
          <w:rStyle w:val="normaltextrun"/>
          <w:rFonts w:ascii="Arial Narrow" w:eastAsiaTheme="majorEastAsia" w:hAnsi="Arial Narrow" w:cs="Arial"/>
          <w:b/>
          <w:bCs/>
          <w:color w:val="000000"/>
          <w:lang w:val="fr-CI"/>
        </w:rPr>
      </w:pPr>
    </w:p>
    <w:p w14:paraId="49FB1A5B" w14:textId="0310E19F" w:rsidR="001E533E" w:rsidRPr="007E7C5B" w:rsidRDefault="001E533E" w:rsidP="00761F55">
      <w:pPr>
        <w:pStyle w:val="paragraph"/>
        <w:spacing w:before="0" w:beforeAutospacing="0" w:after="0" w:afterAutospacing="0"/>
        <w:jc w:val="both"/>
        <w:textAlignment w:val="baseline"/>
        <w:rPr>
          <w:rFonts w:ascii="Arial Narrow" w:hAnsi="Arial Narrow" w:cs="Arial"/>
          <w:iCs/>
        </w:rPr>
      </w:pPr>
      <w:r w:rsidRPr="007E7C5B">
        <w:rPr>
          <w:rStyle w:val="normaltextrun"/>
          <w:rFonts w:ascii="Arial Narrow" w:eastAsiaTheme="majorEastAsia" w:hAnsi="Arial Narrow" w:cs="Arial"/>
          <w:b/>
          <w:iCs/>
          <w:color w:val="000000"/>
          <w:lang w:val="fr-CI"/>
        </w:rPr>
        <w:t>En matière de planification</w:t>
      </w:r>
      <w:r w:rsidR="00CF0A66" w:rsidRPr="007E7C5B">
        <w:rPr>
          <w:rStyle w:val="normaltextrun"/>
          <w:rFonts w:ascii="Arial Narrow" w:eastAsiaTheme="majorEastAsia" w:hAnsi="Arial Narrow" w:cs="Arial"/>
          <w:b/>
          <w:iCs/>
          <w:color w:val="000000"/>
          <w:lang w:val="fr-CI"/>
        </w:rPr>
        <w:t xml:space="preserve"> et</w:t>
      </w:r>
      <w:r w:rsidRPr="007E7C5B">
        <w:rPr>
          <w:rStyle w:val="normaltextrun"/>
          <w:rFonts w:ascii="Arial Narrow" w:eastAsiaTheme="majorEastAsia" w:hAnsi="Arial Narrow" w:cs="Arial"/>
          <w:b/>
          <w:iCs/>
          <w:color w:val="000000"/>
          <w:lang w:val="fr-CI"/>
        </w:rPr>
        <w:t xml:space="preserve"> de suivi-évaluation</w:t>
      </w:r>
      <w:r w:rsidR="00E70442" w:rsidRPr="007E7C5B">
        <w:rPr>
          <w:rStyle w:val="normaltextrun"/>
          <w:rFonts w:ascii="Arial Narrow" w:eastAsiaTheme="majorEastAsia" w:hAnsi="Arial Narrow" w:cs="Arial"/>
          <w:b/>
          <w:iCs/>
          <w:color w:val="000000"/>
          <w:lang w:val="fr-CI"/>
        </w:rPr>
        <w:t>,</w:t>
      </w:r>
      <w:r w:rsidRPr="007E7C5B">
        <w:rPr>
          <w:rStyle w:val="normaltextrun"/>
          <w:rFonts w:ascii="Arial Narrow" w:eastAsiaTheme="majorEastAsia" w:hAnsi="Arial Narrow" w:cs="Arial"/>
          <w:b/>
          <w:bCs/>
          <w:iCs/>
          <w:lang w:val="fr-CI"/>
        </w:rPr>
        <w:t xml:space="preserve"> </w:t>
      </w:r>
      <w:r w:rsidRPr="007E7C5B">
        <w:rPr>
          <w:rStyle w:val="normaltextrun"/>
          <w:rFonts w:ascii="Arial Narrow" w:eastAsiaTheme="majorEastAsia" w:hAnsi="Arial Narrow" w:cs="Arial"/>
          <w:iCs/>
          <w:lang w:val="fr-CI"/>
        </w:rPr>
        <w:t>l</w:t>
      </w:r>
      <w:r w:rsidR="00035957" w:rsidRPr="007E7C5B">
        <w:rPr>
          <w:rStyle w:val="normaltextrun"/>
          <w:rFonts w:ascii="Arial Narrow" w:eastAsiaTheme="majorEastAsia" w:hAnsi="Arial Narrow" w:cs="Arial"/>
          <w:iCs/>
          <w:lang w:val="fr-CI"/>
        </w:rPr>
        <w:t>e MSHPCMU s’est engagé à </w:t>
      </w:r>
      <w:r w:rsidR="00F87AD6">
        <w:rPr>
          <w:rStyle w:val="normaltextrun"/>
          <w:rFonts w:ascii="Arial Narrow" w:eastAsiaTheme="majorEastAsia" w:hAnsi="Arial Narrow" w:cs="Arial"/>
          <w:iCs/>
          <w:lang w:val="fr-CI"/>
        </w:rPr>
        <w:t>renforcer</w:t>
      </w:r>
      <w:r w:rsidRPr="007E7C5B">
        <w:rPr>
          <w:rStyle w:val="normaltextrun"/>
          <w:rFonts w:ascii="Arial Narrow" w:eastAsiaTheme="majorEastAsia" w:hAnsi="Arial Narrow" w:cs="Arial"/>
          <w:iCs/>
          <w:lang w:val="fr-CI"/>
        </w:rPr>
        <w:t xml:space="preserve"> </w:t>
      </w:r>
      <w:r w:rsidRPr="00A918AC">
        <w:rPr>
          <w:rStyle w:val="normaltextrun"/>
          <w:rFonts w:ascii="Arial Narrow" w:eastAsiaTheme="majorEastAsia" w:hAnsi="Arial Narrow" w:cs="Arial"/>
          <w:i/>
          <w:lang w:val="fr-CI"/>
        </w:rPr>
        <w:t>(i)</w:t>
      </w:r>
      <w:r w:rsidRPr="007E7C5B">
        <w:rPr>
          <w:rStyle w:val="normaltextrun"/>
          <w:rFonts w:ascii="Arial Narrow" w:eastAsiaTheme="majorEastAsia" w:hAnsi="Arial Narrow" w:cs="Arial"/>
          <w:iCs/>
          <w:lang w:val="fr-CI"/>
        </w:rPr>
        <w:t xml:space="preserve"> </w:t>
      </w:r>
      <w:r w:rsidR="00F87AD6">
        <w:rPr>
          <w:rStyle w:val="normaltextrun"/>
          <w:rFonts w:ascii="Arial Narrow" w:eastAsiaTheme="majorEastAsia" w:hAnsi="Arial Narrow" w:cs="Arial"/>
          <w:iCs/>
          <w:lang w:val="fr-CI"/>
        </w:rPr>
        <w:t>le</w:t>
      </w:r>
      <w:r w:rsidRPr="007E7C5B">
        <w:rPr>
          <w:rStyle w:val="normaltextrun"/>
          <w:rFonts w:ascii="Arial Narrow" w:eastAsiaTheme="majorEastAsia" w:hAnsi="Arial Narrow" w:cs="Arial"/>
          <w:iCs/>
          <w:lang w:val="fr-CI"/>
        </w:rPr>
        <w:t xml:space="preserve"> cadre de planification et de budgétisation</w:t>
      </w:r>
      <w:r w:rsidRPr="007E7C5B">
        <w:rPr>
          <w:rStyle w:val="normaltextrun"/>
          <w:rFonts w:ascii="Arial" w:eastAsiaTheme="majorEastAsia" w:hAnsi="Arial" w:cs="Arial"/>
          <w:iCs/>
          <w:lang w:val="fr-CI"/>
        </w:rPr>
        <w:t> </w:t>
      </w:r>
      <w:r w:rsidRPr="007E7C5B">
        <w:rPr>
          <w:rStyle w:val="normaltextrun"/>
          <w:rFonts w:ascii="Arial Narrow" w:eastAsiaTheme="majorEastAsia" w:hAnsi="Arial Narrow" w:cs="Arial"/>
          <w:iCs/>
          <w:lang w:val="fr-CI"/>
        </w:rPr>
        <w:t xml:space="preserve">; </w:t>
      </w:r>
      <w:r w:rsidRPr="00A918AC">
        <w:rPr>
          <w:rStyle w:val="normaltextrun"/>
          <w:rFonts w:ascii="Arial Narrow" w:eastAsiaTheme="majorEastAsia" w:hAnsi="Arial Narrow" w:cs="Arial"/>
          <w:i/>
          <w:lang w:val="fr-CI"/>
        </w:rPr>
        <w:t>(ii</w:t>
      </w:r>
      <w:proofErr w:type="gramStart"/>
      <w:r w:rsidRPr="00A918AC">
        <w:rPr>
          <w:rStyle w:val="normaltextrun"/>
          <w:rFonts w:ascii="Arial Narrow" w:eastAsiaTheme="majorEastAsia" w:hAnsi="Arial Narrow" w:cs="Arial"/>
          <w:i/>
          <w:lang w:val="fr-CI"/>
        </w:rPr>
        <w:t>)</w:t>
      </w:r>
      <w:r w:rsidRPr="007E7C5B">
        <w:rPr>
          <w:rStyle w:val="normaltextrun"/>
          <w:rFonts w:ascii="Arial Narrow" w:eastAsiaTheme="majorEastAsia" w:hAnsi="Arial Narrow" w:cs="Arial"/>
          <w:iCs/>
          <w:lang w:val="fr-CI"/>
        </w:rPr>
        <w:t xml:space="preserve">  </w:t>
      </w:r>
      <w:r w:rsidR="00F87AD6">
        <w:rPr>
          <w:rStyle w:val="normaltextrun"/>
          <w:rFonts w:ascii="Arial Narrow" w:eastAsiaTheme="majorEastAsia" w:hAnsi="Arial Narrow" w:cs="Arial"/>
          <w:iCs/>
          <w:lang w:val="fr-CI"/>
        </w:rPr>
        <w:t>le</w:t>
      </w:r>
      <w:proofErr w:type="gramEnd"/>
      <w:r w:rsidRPr="007E7C5B">
        <w:rPr>
          <w:rStyle w:val="normaltextrun"/>
          <w:rFonts w:ascii="Arial Narrow" w:eastAsiaTheme="majorEastAsia" w:hAnsi="Arial Narrow" w:cs="Arial"/>
          <w:iCs/>
          <w:lang w:val="fr-CI"/>
        </w:rPr>
        <w:t xml:space="preserve"> cadre de suivi</w:t>
      </w:r>
      <w:r w:rsidR="00127994" w:rsidRPr="007E7C5B">
        <w:rPr>
          <w:rStyle w:val="normaltextrun"/>
          <w:rFonts w:ascii="Arial Narrow" w:eastAsiaTheme="majorEastAsia" w:hAnsi="Arial Narrow" w:cs="Arial"/>
          <w:iCs/>
          <w:lang w:val="fr-CI"/>
        </w:rPr>
        <w:t>-</w:t>
      </w:r>
      <w:r w:rsidRPr="007E7C5B">
        <w:rPr>
          <w:rStyle w:val="normaltextrun"/>
          <w:rFonts w:ascii="Arial Narrow" w:eastAsiaTheme="majorEastAsia" w:hAnsi="Arial Narrow" w:cs="Arial Narrow"/>
          <w:iCs/>
          <w:lang w:val="fr-CI"/>
        </w:rPr>
        <w:t>é</w:t>
      </w:r>
      <w:r w:rsidRPr="007E7C5B">
        <w:rPr>
          <w:rStyle w:val="normaltextrun"/>
          <w:rFonts w:ascii="Arial Narrow" w:eastAsiaTheme="majorEastAsia" w:hAnsi="Arial Narrow" w:cs="Arial"/>
          <w:iCs/>
          <w:lang w:val="fr-CI"/>
        </w:rPr>
        <w:t>valuation</w:t>
      </w:r>
      <w:r w:rsidRPr="007E7C5B">
        <w:rPr>
          <w:rStyle w:val="normaltextrun"/>
          <w:rFonts w:ascii="Arial" w:eastAsiaTheme="majorEastAsia" w:hAnsi="Arial" w:cs="Arial"/>
          <w:iCs/>
          <w:lang w:val="fr-CI"/>
        </w:rPr>
        <w:t> </w:t>
      </w:r>
      <w:r w:rsidRPr="007E7C5B">
        <w:rPr>
          <w:rStyle w:val="normaltextrun"/>
          <w:rFonts w:ascii="Arial Narrow" w:eastAsiaTheme="majorEastAsia" w:hAnsi="Arial Narrow" w:cs="Arial"/>
          <w:iCs/>
          <w:lang w:val="fr-CI"/>
        </w:rPr>
        <w:t>;</w:t>
      </w:r>
      <w:r w:rsidR="000B247C" w:rsidRPr="007E7C5B">
        <w:rPr>
          <w:rStyle w:val="normaltextrun"/>
          <w:rFonts w:ascii="Arial Narrow" w:eastAsiaTheme="majorEastAsia" w:hAnsi="Arial Narrow" w:cs="Arial"/>
          <w:iCs/>
          <w:lang w:val="fr-CI"/>
        </w:rPr>
        <w:t xml:space="preserve"> </w:t>
      </w:r>
      <w:r w:rsidRPr="00A918AC">
        <w:rPr>
          <w:rStyle w:val="normaltextrun"/>
          <w:rFonts w:ascii="Arial Narrow" w:eastAsiaTheme="majorEastAsia" w:hAnsi="Arial Narrow" w:cs="Arial"/>
          <w:i/>
          <w:lang w:val="fr-CI"/>
        </w:rPr>
        <w:t>(iii)</w:t>
      </w:r>
      <w:r w:rsidRPr="007E7C5B">
        <w:rPr>
          <w:rStyle w:val="normaltextrun"/>
          <w:rFonts w:ascii="Arial Narrow" w:eastAsiaTheme="majorEastAsia" w:hAnsi="Arial Narrow" w:cs="Arial"/>
          <w:iCs/>
          <w:lang w:val="fr-CI"/>
        </w:rPr>
        <w:t xml:space="preserve"> </w:t>
      </w:r>
      <w:r w:rsidR="00F87AD6">
        <w:rPr>
          <w:rStyle w:val="normaltextrun"/>
          <w:rFonts w:ascii="Arial Narrow" w:eastAsiaTheme="majorEastAsia" w:hAnsi="Arial Narrow" w:cs="Arial"/>
          <w:iCs/>
          <w:lang w:val="fr-CI"/>
        </w:rPr>
        <w:t>les</w:t>
      </w:r>
      <w:r w:rsidRPr="007E7C5B">
        <w:rPr>
          <w:rStyle w:val="normaltextrun"/>
          <w:rFonts w:ascii="Arial Narrow" w:eastAsiaTheme="majorEastAsia" w:hAnsi="Arial Narrow" w:cs="Arial"/>
          <w:iCs/>
          <w:lang w:val="fr-CI"/>
        </w:rPr>
        <w:t xml:space="preserve"> capacit</w:t>
      </w:r>
      <w:r w:rsidRPr="007E7C5B">
        <w:rPr>
          <w:rStyle w:val="normaltextrun"/>
          <w:rFonts w:ascii="Arial Narrow" w:eastAsiaTheme="majorEastAsia" w:hAnsi="Arial Narrow" w:cs="Arial Narrow"/>
          <w:iCs/>
          <w:lang w:val="fr-CI"/>
        </w:rPr>
        <w:t>é</w:t>
      </w:r>
      <w:r w:rsidRPr="007E7C5B">
        <w:rPr>
          <w:rStyle w:val="normaltextrun"/>
          <w:rFonts w:ascii="Arial Narrow" w:eastAsiaTheme="majorEastAsia" w:hAnsi="Arial Narrow" w:cs="Arial"/>
          <w:iCs/>
          <w:lang w:val="fr-CI"/>
        </w:rPr>
        <w:t>s des acteurs en mati</w:t>
      </w:r>
      <w:r w:rsidRPr="007E7C5B">
        <w:rPr>
          <w:rStyle w:val="normaltextrun"/>
          <w:rFonts w:ascii="Arial Narrow" w:eastAsiaTheme="majorEastAsia" w:hAnsi="Arial Narrow" w:cs="Arial Narrow"/>
          <w:iCs/>
          <w:lang w:val="fr-CI"/>
        </w:rPr>
        <w:t>è</w:t>
      </w:r>
      <w:r w:rsidRPr="007E7C5B">
        <w:rPr>
          <w:rStyle w:val="normaltextrun"/>
          <w:rFonts w:ascii="Arial Narrow" w:eastAsiaTheme="majorEastAsia" w:hAnsi="Arial Narrow" w:cs="Arial"/>
          <w:iCs/>
          <w:lang w:val="fr-CI"/>
        </w:rPr>
        <w:t>re de planification et de suivi-</w:t>
      </w:r>
      <w:r w:rsidRPr="007E7C5B">
        <w:rPr>
          <w:rStyle w:val="normaltextrun"/>
          <w:rFonts w:ascii="Arial Narrow" w:eastAsiaTheme="majorEastAsia" w:hAnsi="Arial Narrow" w:cs="Arial Narrow"/>
          <w:iCs/>
          <w:lang w:val="fr-CI"/>
        </w:rPr>
        <w:t>é</w:t>
      </w:r>
      <w:r w:rsidRPr="007E7C5B">
        <w:rPr>
          <w:rStyle w:val="normaltextrun"/>
          <w:rFonts w:ascii="Arial Narrow" w:eastAsiaTheme="majorEastAsia" w:hAnsi="Arial Narrow" w:cs="Arial"/>
          <w:iCs/>
          <w:lang w:val="fr-CI"/>
        </w:rPr>
        <w:t>valuation.</w:t>
      </w:r>
    </w:p>
    <w:p w14:paraId="577BB0A7" w14:textId="77777777" w:rsidR="00036D42" w:rsidRPr="007E7C5B" w:rsidRDefault="00036D42" w:rsidP="00761F55">
      <w:pPr>
        <w:pStyle w:val="paragraph"/>
        <w:spacing w:before="0" w:beforeAutospacing="0" w:after="0" w:afterAutospacing="0"/>
        <w:jc w:val="both"/>
        <w:textAlignment w:val="baseline"/>
        <w:rPr>
          <w:rStyle w:val="normaltextrun"/>
          <w:rFonts w:ascii="Arial Narrow" w:eastAsiaTheme="majorEastAsia" w:hAnsi="Arial Narrow" w:cs="Arial"/>
          <w:b/>
          <w:bCs/>
          <w:i/>
          <w:iCs/>
          <w:lang w:val="fr-CI"/>
        </w:rPr>
      </w:pPr>
    </w:p>
    <w:p w14:paraId="27AE3CBB" w14:textId="3C0803CD" w:rsidR="00544137" w:rsidRDefault="00C1453E" w:rsidP="00761F55">
      <w:pPr>
        <w:pStyle w:val="paragraph"/>
        <w:spacing w:before="0" w:beforeAutospacing="0" w:after="0" w:afterAutospacing="0"/>
        <w:jc w:val="both"/>
        <w:textAlignment w:val="baseline"/>
        <w:rPr>
          <w:rStyle w:val="normaltextrun"/>
          <w:rFonts w:ascii="Arial Narrow" w:eastAsiaTheme="majorEastAsia" w:hAnsi="Arial Narrow" w:cs="Arial"/>
          <w:lang w:val="fr-CI"/>
        </w:rPr>
      </w:pPr>
      <w:r w:rsidRPr="00547F48">
        <w:rPr>
          <w:rStyle w:val="normaltextrun"/>
          <w:rFonts w:ascii="Arial Narrow" w:eastAsiaTheme="majorEastAsia" w:hAnsi="Arial Narrow" w:cs="Arial"/>
          <w:b/>
          <w:bCs/>
          <w:lang w:val="fr-CI"/>
        </w:rPr>
        <w:t>S’agissant du</w:t>
      </w:r>
      <w:r w:rsidR="001E533E" w:rsidRPr="00547F48">
        <w:rPr>
          <w:rStyle w:val="normaltextrun"/>
          <w:rFonts w:ascii="Arial Narrow" w:eastAsiaTheme="majorEastAsia" w:hAnsi="Arial Narrow" w:cs="Arial"/>
          <w:b/>
          <w:lang w:val="fr-CI"/>
        </w:rPr>
        <w:t xml:space="preserve"> renforcement du cadre de planification et de budgétisation,</w:t>
      </w:r>
      <w:r w:rsidR="001E533E" w:rsidRPr="00547F48">
        <w:rPr>
          <w:rStyle w:val="normaltextrun"/>
          <w:rFonts w:ascii="Arial Narrow" w:eastAsiaTheme="majorEastAsia" w:hAnsi="Arial Narrow" w:cs="Arial"/>
          <w:i/>
          <w:lang w:val="fr-CI"/>
        </w:rPr>
        <w:t xml:space="preserve"> </w:t>
      </w:r>
      <w:r w:rsidR="001E533E" w:rsidRPr="00547F48">
        <w:rPr>
          <w:rStyle w:val="normaltextrun"/>
          <w:rFonts w:ascii="Arial Narrow" w:eastAsiaTheme="majorEastAsia" w:hAnsi="Arial Narrow" w:cs="Arial"/>
          <w:lang w:val="fr-CI"/>
        </w:rPr>
        <w:t>plusieurs activités ont été entreprises notamment</w:t>
      </w:r>
      <w:r w:rsidR="00553CB8">
        <w:rPr>
          <w:rStyle w:val="normaltextrun"/>
          <w:rFonts w:ascii="Arial Narrow" w:eastAsiaTheme="majorEastAsia" w:hAnsi="Arial Narrow" w:cs="Arial"/>
          <w:lang w:val="fr-CI"/>
        </w:rPr>
        <w:t xml:space="preserve"> l’élaboration</w:t>
      </w:r>
      <w:r w:rsidR="00BA228D" w:rsidRPr="00547F48">
        <w:rPr>
          <w:rStyle w:val="normaltextrun"/>
          <w:rFonts w:ascii="Arial Narrow" w:eastAsiaTheme="majorEastAsia" w:hAnsi="Arial Narrow" w:cs="Arial"/>
          <w:lang w:val="fr-CI"/>
        </w:rPr>
        <w:t> :</w:t>
      </w:r>
      <w:r w:rsidR="004F580D" w:rsidRPr="00547F48">
        <w:rPr>
          <w:rStyle w:val="normaltextrun"/>
          <w:rFonts w:ascii="Arial Narrow" w:eastAsiaTheme="majorEastAsia" w:hAnsi="Arial Narrow" w:cs="Arial"/>
          <w:lang w:val="fr-CI"/>
        </w:rPr>
        <w:t> </w:t>
      </w:r>
      <w:r w:rsidR="00BA228D" w:rsidRPr="00547F48">
        <w:rPr>
          <w:rStyle w:val="normaltextrun"/>
          <w:rFonts w:ascii="Arial Narrow" w:eastAsiaTheme="majorEastAsia" w:hAnsi="Arial Narrow" w:cs="Arial"/>
          <w:i/>
          <w:lang w:val="fr-CI"/>
        </w:rPr>
        <w:t>(i)</w:t>
      </w:r>
      <w:r w:rsidR="00BA228D" w:rsidRPr="00547F48">
        <w:rPr>
          <w:rStyle w:val="normaltextrun"/>
          <w:rFonts w:ascii="Arial Narrow" w:eastAsiaTheme="majorEastAsia" w:hAnsi="Arial Narrow" w:cs="Arial"/>
          <w:lang w:val="fr-CI"/>
        </w:rPr>
        <w:t xml:space="preserve"> </w:t>
      </w:r>
      <w:r w:rsidR="001E533E" w:rsidRPr="00547F48">
        <w:rPr>
          <w:rStyle w:val="normaltextrun"/>
          <w:rFonts w:ascii="Arial Narrow" w:eastAsiaTheme="majorEastAsia" w:hAnsi="Arial Narrow" w:cs="Arial"/>
          <w:lang w:val="fr-CI"/>
        </w:rPr>
        <w:t>d’un guide national de planification et de budgétisation des interventions sanitaires décrivant les processus de planification stratégique et opérationnel</w:t>
      </w:r>
      <w:r w:rsidR="001E533E" w:rsidRPr="00547F48">
        <w:rPr>
          <w:rStyle w:val="normaltextrun"/>
          <w:rFonts w:ascii="Arial" w:eastAsiaTheme="majorEastAsia" w:hAnsi="Arial" w:cs="Arial"/>
          <w:lang w:val="fr-CI"/>
        </w:rPr>
        <w:t> </w:t>
      </w:r>
      <w:r w:rsidR="00D47E23" w:rsidRPr="00547F48">
        <w:rPr>
          <w:rStyle w:val="normaltextrun"/>
          <w:rFonts w:ascii="Arial Narrow" w:eastAsiaTheme="majorEastAsia" w:hAnsi="Arial Narrow" w:cs="Arial"/>
          <w:lang w:val="fr-CI"/>
        </w:rPr>
        <w:t xml:space="preserve">, </w:t>
      </w:r>
      <w:r w:rsidR="00BA228D" w:rsidRPr="00547F48">
        <w:rPr>
          <w:rStyle w:val="normaltextrun"/>
          <w:rFonts w:ascii="Arial Narrow" w:eastAsiaTheme="majorEastAsia" w:hAnsi="Arial Narrow" w:cs="Arial"/>
          <w:i/>
          <w:iCs/>
          <w:lang w:val="fr-CI"/>
        </w:rPr>
        <w:t>(ii)</w:t>
      </w:r>
      <w:r w:rsidR="00A927A8" w:rsidRPr="00547F48">
        <w:rPr>
          <w:rStyle w:val="normaltextrun"/>
          <w:rFonts w:ascii="Arial Narrow" w:eastAsiaTheme="majorEastAsia" w:hAnsi="Arial Narrow" w:cs="Arial"/>
          <w:i/>
          <w:iCs/>
          <w:lang w:val="fr-CI"/>
        </w:rPr>
        <w:t> </w:t>
      </w:r>
      <w:r w:rsidR="001E533E" w:rsidRPr="00547F48">
        <w:rPr>
          <w:rStyle w:val="normaltextrun"/>
          <w:rFonts w:ascii="Arial Narrow" w:eastAsiaTheme="majorEastAsia" w:hAnsi="Arial Narrow" w:cs="Arial"/>
          <w:lang w:val="fr-CI"/>
        </w:rPr>
        <w:t>des plans op</w:t>
      </w:r>
      <w:r w:rsidR="001E533E" w:rsidRPr="00547F48">
        <w:rPr>
          <w:rStyle w:val="normaltextrun"/>
          <w:rFonts w:ascii="Arial Narrow" w:eastAsiaTheme="majorEastAsia" w:hAnsi="Arial Narrow" w:cs="Arial Narrow"/>
          <w:lang w:val="fr-CI"/>
        </w:rPr>
        <w:t>é</w:t>
      </w:r>
      <w:r w:rsidR="001E533E" w:rsidRPr="00547F48">
        <w:rPr>
          <w:rStyle w:val="normaltextrun"/>
          <w:rFonts w:ascii="Arial Narrow" w:eastAsiaTheme="majorEastAsia" w:hAnsi="Arial Narrow" w:cs="Arial"/>
          <w:lang w:val="fr-CI"/>
        </w:rPr>
        <w:t>rationnels (plan de travail annuel du PND</w:t>
      </w:r>
      <w:r w:rsidR="00557EA6" w:rsidRPr="00547F48">
        <w:rPr>
          <w:rStyle w:val="normaltextrun"/>
          <w:rFonts w:ascii="Arial Narrow" w:eastAsiaTheme="majorEastAsia" w:hAnsi="Arial Narrow" w:cs="Arial"/>
          <w:lang w:val="fr-CI"/>
        </w:rPr>
        <w:t>,</w:t>
      </w:r>
      <w:r w:rsidR="001E533E" w:rsidRPr="00547F48">
        <w:rPr>
          <w:rStyle w:val="normaltextrun"/>
          <w:rFonts w:ascii="Arial Narrow" w:eastAsiaTheme="majorEastAsia" w:hAnsi="Arial Narrow" w:cs="Arial"/>
          <w:lang w:val="fr-CI"/>
        </w:rPr>
        <w:t xml:space="preserve"> Plan de travail triennal du PNDS) avec tous les acteurs du MSHPCMU assurant ainsi un parfait alignement des processus de planification</w:t>
      </w:r>
      <w:r w:rsidR="00D47E23" w:rsidRPr="00547F48">
        <w:rPr>
          <w:rStyle w:val="normaltextrun"/>
          <w:rFonts w:ascii="Arial Narrow" w:eastAsiaTheme="majorEastAsia" w:hAnsi="Arial Narrow" w:cs="Arial"/>
          <w:lang w:val="fr-CI"/>
        </w:rPr>
        <w:t xml:space="preserve">, </w:t>
      </w:r>
      <w:r w:rsidR="001106EA" w:rsidRPr="00547F48">
        <w:rPr>
          <w:rStyle w:val="normaltextrun"/>
          <w:rFonts w:ascii="Arial Narrow" w:eastAsiaTheme="majorEastAsia" w:hAnsi="Arial Narrow" w:cs="Arial"/>
          <w:i/>
          <w:iCs/>
          <w:lang w:val="fr-CI"/>
        </w:rPr>
        <w:t xml:space="preserve">(iii) </w:t>
      </w:r>
      <w:r w:rsidR="001E533E" w:rsidRPr="00547F48">
        <w:rPr>
          <w:rStyle w:val="normaltextrun"/>
          <w:rFonts w:ascii="Arial Narrow" w:eastAsiaTheme="majorEastAsia" w:hAnsi="Arial Narrow" w:cs="Arial"/>
          <w:lang w:val="fr-CI"/>
        </w:rPr>
        <w:t>des Documents de Programmation Pluriannuelle des D</w:t>
      </w:r>
      <w:r w:rsidR="001E533E" w:rsidRPr="00547F48">
        <w:rPr>
          <w:rStyle w:val="normaltextrun"/>
          <w:rFonts w:ascii="Arial Narrow" w:eastAsiaTheme="majorEastAsia" w:hAnsi="Arial Narrow" w:cs="Arial Narrow"/>
          <w:lang w:val="fr-CI"/>
        </w:rPr>
        <w:t>é</w:t>
      </w:r>
      <w:r w:rsidR="001E533E" w:rsidRPr="00547F48">
        <w:rPr>
          <w:rStyle w:val="normaltextrun"/>
          <w:rFonts w:ascii="Arial Narrow" w:eastAsiaTheme="majorEastAsia" w:hAnsi="Arial Narrow" w:cs="Arial"/>
          <w:lang w:val="fr-CI"/>
        </w:rPr>
        <w:t>penses et Projet Annuel de Performance (DPPD-PAP), des Projets d’Investissement Public (PIP) et de la feuille de route du MSHPCMU</w:t>
      </w:r>
      <w:r w:rsidR="00553CB8">
        <w:rPr>
          <w:rStyle w:val="normaltextrun"/>
          <w:rFonts w:ascii="Arial Narrow" w:eastAsiaTheme="majorEastAsia" w:hAnsi="Arial Narrow" w:cs="Arial"/>
          <w:lang w:val="fr-CI"/>
        </w:rPr>
        <w:t xml:space="preserve"> ainsi que (iv) </w:t>
      </w:r>
      <w:r w:rsidR="00553CB8" w:rsidRPr="0044167B">
        <w:rPr>
          <w:rStyle w:val="normaltextrun"/>
          <w:rFonts w:ascii="Arial Narrow" w:eastAsiaTheme="majorEastAsia" w:hAnsi="Arial Narrow" w:cs="Arial"/>
          <w:lang w:val="fr-CI"/>
        </w:rPr>
        <w:t>le guide national d’élaboration des projets d’établissements hospitaliers</w:t>
      </w:r>
      <w:r w:rsidR="001E533E" w:rsidRPr="007D4F84">
        <w:rPr>
          <w:rStyle w:val="normaltextrun"/>
          <w:rFonts w:ascii="Arial Narrow" w:eastAsiaTheme="majorEastAsia" w:hAnsi="Arial Narrow" w:cs="Arial"/>
          <w:lang w:val="fr-CI"/>
        </w:rPr>
        <w:t>.</w:t>
      </w:r>
      <w:r w:rsidR="00D676D4" w:rsidRPr="007D4F84">
        <w:rPr>
          <w:rStyle w:val="normaltextrun"/>
          <w:rFonts w:ascii="Arial Narrow" w:eastAsiaTheme="majorEastAsia" w:hAnsi="Arial Narrow" w:cs="Arial"/>
          <w:lang w:val="fr-CI"/>
        </w:rPr>
        <w:t xml:space="preserve"> Il est à noter également l’élaboration de </w:t>
      </w:r>
      <w:r w:rsidR="00D676D4" w:rsidRPr="007A001B">
        <w:rPr>
          <w:rStyle w:val="normaltextrun"/>
          <w:rFonts w:ascii="Arial Narrow" w:eastAsiaTheme="majorEastAsia" w:hAnsi="Arial Narrow" w:cs="Arial"/>
          <w:lang w:val="fr-CI"/>
        </w:rPr>
        <w:t xml:space="preserve">plusieurs </w:t>
      </w:r>
      <w:r w:rsidR="00D676D4" w:rsidRPr="007D4F84">
        <w:rPr>
          <w:rStyle w:val="normaltextrun"/>
          <w:rFonts w:ascii="Arial Narrow" w:eastAsiaTheme="majorEastAsia" w:hAnsi="Arial Narrow" w:cs="Arial"/>
          <w:lang w:val="fr-CI"/>
        </w:rPr>
        <w:t>plans stratégiques pour la lutte contre les problèmes de santé.</w:t>
      </w:r>
    </w:p>
    <w:p w14:paraId="408C1764" w14:textId="6928DF88" w:rsidR="001E533E" w:rsidRDefault="00544137" w:rsidP="00761F55">
      <w:pPr>
        <w:pStyle w:val="paragraph"/>
        <w:spacing w:before="0" w:beforeAutospacing="0" w:after="0" w:afterAutospacing="0"/>
        <w:jc w:val="both"/>
        <w:textAlignment w:val="baseline"/>
        <w:rPr>
          <w:rStyle w:val="normaltextrun"/>
          <w:rFonts w:ascii="Arial Narrow" w:eastAsiaTheme="majorEastAsia" w:hAnsi="Arial Narrow" w:cs="Arial"/>
          <w:lang w:val="fr-CI"/>
        </w:rPr>
      </w:pPr>
      <w:r w:rsidRPr="0044167B">
        <w:rPr>
          <w:rStyle w:val="normaltextrun"/>
          <w:rFonts w:ascii="Arial Narrow" w:eastAsiaTheme="majorEastAsia" w:hAnsi="Arial Narrow" w:cs="Arial"/>
          <w:lang w:val="fr-CI"/>
        </w:rPr>
        <w:t>Conformément aux dispositions du Décret n°2021-762 du 1er décembre 2021, fixant les modalités de validation et de signature des Projets d’Établissement Hospitaliers (PEH), l’article 7 stipule que l’allocation des ressources aux hôpitaux s’effectue sur la base du Budget Programme, en référence au PEH validé par le Ministre en charge de la Santé. Dans ce cadre, un document de planification stratégique</w:t>
      </w:r>
      <w:r w:rsidR="007C208A">
        <w:rPr>
          <w:rStyle w:val="normaltextrun"/>
          <w:rFonts w:ascii="Arial Narrow" w:eastAsiaTheme="majorEastAsia" w:hAnsi="Arial Narrow" w:cs="Arial"/>
          <w:lang w:val="fr-CI"/>
        </w:rPr>
        <w:t>, à savoir le</w:t>
      </w:r>
      <w:r w:rsidRPr="0044167B">
        <w:rPr>
          <w:rStyle w:val="normaltextrun"/>
          <w:rFonts w:ascii="Arial Narrow" w:eastAsiaTheme="majorEastAsia" w:hAnsi="Arial Narrow" w:cs="Arial"/>
          <w:lang w:val="fr-CI"/>
        </w:rPr>
        <w:t xml:space="preserve"> </w:t>
      </w:r>
      <w:r w:rsidR="007C208A">
        <w:rPr>
          <w:rStyle w:val="normaltextrun"/>
          <w:rFonts w:ascii="Arial Narrow" w:eastAsiaTheme="majorEastAsia" w:hAnsi="Arial Narrow" w:cs="Arial"/>
          <w:lang w:val="fr-CI"/>
        </w:rPr>
        <w:t xml:space="preserve">guide national d’élaboration des </w:t>
      </w:r>
      <w:r w:rsidRPr="0044167B">
        <w:rPr>
          <w:rStyle w:val="normaltextrun"/>
          <w:rFonts w:ascii="Arial Narrow" w:eastAsiaTheme="majorEastAsia" w:hAnsi="Arial Narrow" w:cs="Arial"/>
          <w:lang w:val="fr-CI"/>
        </w:rPr>
        <w:t xml:space="preserve">Projet d’Établissement Hospitalier a été élaboré, et un pool de formateurs nationaux a été constitué afin d’apporter un appui aux </w:t>
      </w:r>
      <w:r w:rsidR="007B5412">
        <w:rPr>
          <w:rStyle w:val="normaltextrun"/>
          <w:rFonts w:ascii="Arial Narrow" w:eastAsiaTheme="majorEastAsia" w:hAnsi="Arial Narrow" w:cs="Arial"/>
          <w:lang w:val="fr-CI"/>
        </w:rPr>
        <w:t>hôpitaux</w:t>
      </w:r>
      <w:r w:rsidRPr="0044167B">
        <w:rPr>
          <w:rStyle w:val="normaltextrun"/>
          <w:rFonts w:ascii="Arial Narrow" w:eastAsiaTheme="majorEastAsia" w:hAnsi="Arial Narrow" w:cs="Arial"/>
          <w:lang w:val="fr-CI"/>
        </w:rPr>
        <w:t xml:space="preserve"> dans l’élaboration de leur PEH.</w:t>
      </w:r>
    </w:p>
    <w:p w14:paraId="5BB9DBC6" w14:textId="77777777" w:rsidR="00544137" w:rsidRPr="007E7C5B" w:rsidRDefault="00544137" w:rsidP="00761F55">
      <w:pPr>
        <w:pStyle w:val="paragraph"/>
        <w:spacing w:before="0" w:beforeAutospacing="0" w:after="0" w:afterAutospacing="0"/>
        <w:jc w:val="both"/>
        <w:textAlignment w:val="baseline"/>
        <w:rPr>
          <w:rFonts w:ascii="Arial Narrow" w:hAnsi="Arial Narrow" w:cs="Arial"/>
        </w:rPr>
      </w:pPr>
    </w:p>
    <w:p w14:paraId="596A34D6" w14:textId="045D04C7" w:rsidR="001E533E" w:rsidRPr="007E7C5B" w:rsidRDefault="00E25EE8" w:rsidP="00761F55">
      <w:pPr>
        <w:pStyle w:val="paragraph"/>
        <w:spacing w:before="0" w:beforeAutospacing="0" w:after="0" w:afterAutospacing="0"/>
        <w:jc w:val="both"/>
        <w:textAlignment w:val="baseline"/>
        <w:rPr>
          <w:rStyle w:val="eop"/>
          <w:rFonts w:ascii="Arial Narrow" w:hAnsi="Arial Narrow" w:cs="Arial"/>
        </w:rPr>
      </w:pPr>
      <w:r w:rsidRPr="007E7C5B">
        <w:rPr>
          <w:rStyle w:val="normaltextrun"/>
          <w:rFonts w:ascii="Arial Narrow" w:eastAsiaTheme="majorEastAsia" w:hAnsi="Arial Narrow" w:cs="Arial"/>
          <w:b/>
          <w:bCs/>
          <w:lang w:val="fr-CI"/>
        </w:rPr>
        <w:t>En matière de</w:t>
      </w:r>
      <w:r w:rsidR="001E533E" w:rsidRPr="007E7C5B">
        <w:rPr>
          <w:rStyle w:val="normaltextrun"/>
          <w:rFonts w:ascii="Arial Narrow" w:eastAsiaTheme="majorEastAsia" w:hAnsi="Arial Narrow" w:cs="Arial"/>
          <w:b/>
          <w:lang w:val="fr-CI"/>
        </w:rPr>
        <w:t xml:space="preserve"> renforcement du cadre de suivi et évaluation,</w:t>
      </w:r>
      <w:r w:rsidR="001E533E" w:rsidRPr="007E7C5B">
        <w:rPr>
          <w:rStyle w:val="normaltextrun"/>
          <w:rFonts w:ascii="Arial Narrow" w:eastAsiaTheme="majorEastAsia" w:hAnsi="Arial Narrow" w:cs="Arial"/>
          <w:i/>
          <w:lang w:val="fr-CI"/>
        </w:rPr>
        <w:t xml:space="preserve"> </w:t>
      </w:r>
      <w:r w:rsidR="001E533E" w:rsidRPr="007E7C5B">
        <w:rPr>
          <w:rStyle w:val="normaltextrun"/>
          <w:rFonts w:ascii="Arial Narrow" w:eastAsiaTheme="majorEastAsia" w:hAnsi="Arial Narrow" w:cs="Arial"/>
          <w:lang w:val="fr-CI"/>
        </w:rPr>
        <w:t xml:space="preserve">des groupes thématiques ont été mis en place afin de faire le suivi de la mise en œuvre du PNDS. A cela s’ajoute le suivi de la mise en œuvre du PND au niveau sectoriel à travers des matrices de suivi notamment la Matrice de suivi des indicateurs de résultats (MASIR) et la Matrice de suivi de mise en œuvre (MASMO). </w:t>
      </w:r>
      <w:r w:rsidR="00B20947" w:rsidRPr="007E7C5B">
        <w:rPr>
          <w:rStyle w:val="normaltextrun"/>
          <w:rFonts w:ascii="Arial Narrow" w:eastAsiaTheme="majorEastAsia" w:hAnsi="Arial Narrow" w:cs="Arial"/>
          <w:lang w:val="fr-CI"/>
        </w:rPr>
        <w:t>Également</w:t>
      </w:r>
      <w:r w:rsidR="00424506" w:rsidRPr="007E7C5B">
        <w:rPr>
          <w:rStyle w:val="normaltextrun"/>
          <w:rFonts w:ascii="Arial Narrow" w:eastAsiaTheme="majorEastAsia" w:hAnsi="Arial Narrow" w:cs="Arial"/>
          <w:lang w:val="fr-CI"/>
        </w:rPr>
        <w:t>,</w:t>
      </w:r>
      <w:r w:rsidR="001E533E" w:rsidRPr="007E7C5B">
        <w:rPr>
          <w:rStyle w:val="normaltextrun"/>
          <w:rFonts w:ascii="Arial Narrow" w:eastAsiaTheme="majorEastAsia" w:hAnsi="Arial Narrow" w:cs="Arial"/>
          <w:lang w:val="fr-CI"/>
        </w:rPr>
        <w:t xml:space="preserve"> le suivi régulier des DPPD-PAP, PIP et feuille de route est réalisé selon des chronogrammes bien établis permettant d’apprécier la mise en œuvre des interventions de santé. L’on peut également enregistrer la participation du MSHPCMU à la mise en œuvre du Cadre de Coopération pour le Développement Durable (CCDD) entre l’Etat Ivoirien et le système des Nations Unies, participation qui permet de faire le suivi de l’action sanitaire inscrite dans les plans du système des Nations Unies.</w:t>
      </w:r>
    </w:p>
    <w:p w14:paraId="5A79E9F4" w14:textId="77777777" w:rsidR="001E533E" w:rsidRPr="007E7C5B" w:rsidRDefault="001E533E" w:rsidP="00761F55">
      <w:pPr>
        <w:pStyle w:val="paragraph"/>
        <w:spacing w:before="0" w:beforeAutospacing="0" w:after="0" w:afterAutospacing="0"/>
        <w:jc w:val="both"/>
        <w:textAlignment w:val="baseline"/>
        <w:rPr>
          <w:rStyle w:val="normaltextrun"/>
          <w:rFonts w:ascii="Arial Narrow" w:eastAsiaTheme="majorEastAsia" w:hAnsi="Arial Narrow" w:cs="Arial"/>
          <w:b/>
          <w:bCs/>
          <w:i/>
          <w:iCs/>
          <w:lang w:val="fr-CI"/>
        </w:rPr>
      </w:pPr>
    </w:p>
    <w:p w14:paraId="12112B48" w14:textId="00F07117" w:rsidR="001E533E" w:rsidRPr="007E7C5B" w:rsidRDefault="00E46AAC" w:rsidP="00761F55">
      <w:pPr>
        <w:pStyle w:val="paragraph"/>
        <w:spacing w:before="0" w:beforeAutospacing="0" w:after="0" w:afterAutospacing="0"/>
        <w:jc w:val="both"/>
        <w:textAlignment w:val="baseline"/>
        <w:rPr>
          <w:rStyle w:val="eop"/>
          <w:rFonts w:ascii="Arial Narrow" w:eastAsiaTheme="majorEastAsia" w:hAnsi="Arial Narrow" w:cs="Arial"/>
        </w:rPr>
      </w:pPr>
      <w:r w:rsidRPr="007E7C5B">
        <w:rPr>
          <w:rStyle w:val="normaltextrun"/>
          <w:rFonts w:ascii="Arial Narrow" w:eastAsiaTheme="majorEastAsia" w:hAnsi="Arial Narrow" w:cs="Arial"/>
          <w:b/>
          <w:lang w:val="fr-CI"/>
        </w:rPr>
        <w:t>Au titre</w:t>
      </w:r>
      <w:r w:rsidR="001E533E" w:rsidRPr="007E7C5B">
        <w:rPr>
          <w:rStyle w:val="normaltextrun"/>
          <w:rFonts w:ascii="Arial Narrow" w:eastAsiaTheme="majorEastAsia" w:hAnsi="Arial Narrow" w:cs="Arial"/>
          <w:b/>
          <w:lang w:val="fr-CI"/>
        </w:rPr>
        <w:t xml:space="preserve"> du renforcement de</w:t>
      </w:r>
      <w:r w:rsidR="001E533E" w:rsidRPr="007E7C5B">
        <w:rPr>
          <w:rStyle w:val="normaltextrun"/>
          <w:rFonts w:ascii="Arial Narrow" w:eastAsiaTheme="majorEastAsia" w:hAnsi="Arial Narrow" w:cs="Arial"/>
          <w:lang w:val="fr-CI"/>
        </w:rPr>
        <w:t xml:space="preserve"> </w:t>
      </w:r>
      <w:r w:rsidR="001E533E" w:rsidRPr="007E7C5B">
        <w:rPr>
          <w:rStyle w:val="normaltextrun"/>
          <w:rFonts w:ascii="Arial Narrow" w:eastAsiaTheme="majorEastAsia" w:hAnsi="Arial Narrow" w:cs="Arial"/>
          <w:b/>
          <w:lang w:val="fr-CI"/>
        </w:rPr>
        <w:t>capacités des acteurs en matière de planification et de suivi-évaluation,</w:t>
      </w:r>
      <w:r w:rsidR="001E533E" w:rsidRPr="007E7C5B">
        <w:rPr>
          <w:rStyle w:val="normaltextrun"/>
          <w:rFonts w:ascii="Arial Narrow" w:eastAsiaTheme="majorEastAsia" w:hAnsi="Arial Narrow" w:cs="Arial"/>
          <w:b/>
          <w:bCs/>
          <w:i/>
          <w:iCs/>
          <w:lang w:val="fr-CI"/>
        </w:rPr>
        <w:t xml:space="preserve"> </w:t>
      </w:r>
      <w:r w:rsidR="001E533E" w:rsidRPr="007E7C5B">
        <w:rPr>
          <w:rStyle w:val="normaltextrun"/>
          <w:rFonts w:ascii="Arial Narrow" w:eastAsiaTheme="majorEastAsia" w:hAnsi="Arial Narrow" w:cs="Arial"/>
          <w:lang w:val="fr-CI"/>
        </w:rPr>
        <w:t xml:space="preserve">des sessions de formations </w:t>
      </w:r>
      <w:r w:rsidR="00C7301D" w:rsidRPr="007E7C5B">
        <w:rPr>
          <w:rStyle w:val="normaltextrun"/>
          <w:rFonts w:ascii="Arial Narrow" w:eastAsiaTheme="majorEastAsia" w:hAnsi="Arial Narrow" w:cs="Arial"/>
          <w:lang w:val="fr-CI"/>
        </w:rPr>
        <w:t xml:space="preserve">sur le guide de planification </w:t>
      </w:r>
      <w:r w:rsidR="001E533E" w:rsidRPr="007E7C5B">
        <w:rPr>
          <w:rStyle w:val="normaltextrun"/>
          <w:rFonts w:ascii="Arial Narrow" w:eastAsiaTheme="majorEastAsia" w:hAnsi="Arial Narrow" w:cs="Arial"/>
          <w:lang w:val="fr-CI"/>
        </w:rPr>
        <w:t>ont été réalisées avec les acteurs du niveau déconcentré (33 Directeurs régionaux, 33 chargés de suivi-évaluation régionaux, 113 chargés de suivi-évaluation de districts)</w:t>
      </w:r>
      <w:r w:rsidR="007106E2" w:rsidRPr="007E7C5B">
        <w:rPr>
          <w:rStyle w:val="normaltextrun"/>
          <w:rFonts w:ascii="Arial Narrow" w:eastAsiaTheme="majorEastAsia" w:hAnsi="Arial Narrow" w:cs="Arial"/>
          <w:lang w:val="fr-CI"/>
        </w:rPr>
        <w:t>. Pour le</w:t>
      </w:r>
      <w:r w:rsidR="001E533E" w:rsidRPr="007E7C5B" w:rsidDel="007106E2">
        <w:rPr>
          <w:rStyle w:val="normaltextrun"/>
          <w:rFonts w:ascii="Arial Narrow" w:eastAsiaTheme="majorEastAsia" w:hAnsi="Arial Narrow" w:cs="Arial"/>
          <w:lang w:val="fr-CI"/>
        </w:rPr>
        <w:t xml:space="preserve"> </w:t>
      </w:r>
      <w:r w:rsidR="001E533E" w:rsidRPr="007E7C5B">
        <w:rPr>
          <w:rStyle w:val="normaltextrun"/>
          <w:rFonts w:ascii="Arial Narrow" w:eastAsiaTheme="majorEastAsia" w:hAnsi="Arial Narrow" w:cs="Arial"/>
          <w:lang w:val="fr-CI"/>
        </w:rPr>
        <w:t>niveau central</w:t>
      </w:r>
      <w:r w:rsidR="007106E2" w:rsidRPr="007E7C5B">
        <w:rPr>
          <w:rStyle w:val="normaltextrun"/>
          <w:rFonts w:ascii="Arial Narrow" w:eastAsiaTheme="majorEastAsia" w:hAnsi="Arial Narrow" w:cs="Arial"/>
          <w:lang w:val="fr-CI"/>
        </w:rPr>
        <w:t>, les</w:t>
      </w:r>
      <w:r w:rsidR="001E533E" w:rsidRPr="007E7C5B">
        <w:rPr>
          <w:rStyle w:val="normaltextrun"/>
          <w:rFonts w:ascii="Arial Narrow" w:eastAsiaTheme="majorEastAsia" w:hAnsi="Arial Narrow" w:cs="Arial"/>
          <w:lang w:val="fr-CI"/>
        </w:rPr>
        <w:t xml:space="preserve"> </w:t>
      </w:r>
      <w:r w:rsidR="007940F3" w:rsidRPr="007E7C5B">
        <w:rPr>
          <w:rStyle w:val="normaltextrun"/>
          <w:rFonts w:ascii="Arial Narrow" w:eastAsiaTheme="majorEastAsia" w:hAnsi="Arial Narrow" w:cs="Arial"/>
          <w:lang w:val="fr-CI"/>
        </w:rPr>
        <w:t>d</w:t>
      </w:r>
      <w:r w:rsidR="001E533E" w:rsidRPr="007E7C5B">
        <w:rPr>
          <w:rStyle w:val="normaltextrun"/>
          <w:rFonts w:ascii="Arial Narrow" w:eastAsiaTheme="majorEastAsia" w:hAnsi="Arial Narrow" w:cs="Arial"/>
          <w:lang w:val="fr-CI"/>
        </w:rPr>
        <w:t>irecteurs coordonnateurs de certains programmes de santé, les chargés de planifications des programmes de santé et directions centrales</w:t>
      </w:r>
      <w:r w:rsidR="007106E2" w:rsidRPr="007E7C5B">
        <w:rPr>
          <w:rStyle w:val="normaltextrun"/>
          <w:rFonts w:ascii="Arial Narrow" w:eastAsiaTheme="majorEastAsia" w:hAnsi="Arial Narrow" w:cs="Arial"/>
          <w:lang w:val="fr-CI"/>
        </w:rPr>
        <w:t xml:space="preserve"> ont également bénéficié de renforcement de capacité</w:t>
      </w:r>
      <w:r w:rsidR="001E533E" w:rsidRPr="007E7C5B">
        <w:rPr>
          <w:rStyle w:val="normaltextrun"/>
          <w:rFonts w:ascii="Arial Narrow" w:eastAsiaTheme="majorEastAsia" w:hAnsi="Arial Narrow" w:cs="Arial"/>
          <w:lang w:val="fr-CI"/>
        </w:rPr>
        <w:t xml:space="preserve">. En outre, </w:t>
      </w:r>
      <w:r w:rsidR="00FF2595" w:rsidRPr="007E7C5B">
        <w:rPr>
          <w:rStyle w:val="normaltextrun"/>
          <w:rFonts w:ascii="Arial Narrow" w:eastAsiaTheme="majorEastAsia" w:hAnsi="Arial Narrow" w:cs="Arial"/>
          <w:lang w:val="fr-CI"/>
        </w:rPr>
        <w:t xml:space="preserve">on note </w:t>
      </w:r>
      <w:r w:rsidR="001E533E" w:rsidRPr="007E7C5B">
        <w:rPr>
          <w:rStyle w:val="normaltextrun"/>
          <w:rFonts w:ascii="Arial Narrow" w:eastAsiaTheme="majorEastAsia" w:hAnsi="Arial Narrow" w:cs="Arial"/>
          <w:lang w:val="fr-CI"/>
        </w:rPr>
        <w:t>le recrutement</w:t>
      </w:r>
      <w:r w:rsidR="001E533E" w:rsidRPr="007E7C5B" w:rsidDel="00D13D94">
        <w:rPr>
          <w:rStyle w:val="normaltextrun"/>
          <w:rFonts w:ascii="Arial Narrow" w:eastAsiaTheme="majorEastAsia" w:hAnsi="Arial Narrow" w:cs="Arial"/>
          <w:lang w:val="fr-CI"/>
        </w:rPr>
        <w:t xml:space="preserve"> </w:t>
      </w:r>
      <w:r w:rsidR="001E533E" w:rsidRPr="007E7C5B">
        <w:rPr>
          <w:rStyle w:val="normaltextrun"/>
          <w:rFonts w:ascii="Arial Narrow" w:eastAsiaTheme="majorEastAsia" w:hAnsi="Arial Narrow" w:cs="Arial"/>
          <w:lang w:val="fr-CI"/>
        </w:rPr>
        <w:t xml:space="preserve">des Conseillers Techniques Régionaux (CTR) </w:t>
      </w:r>
      <w:r w:rsidR="005A65DC" w:rsidRPr="007E7C5B">
        <w:rPr>
          <w:rStyle w:val="normaltextrun"/>
          <w:rFonts w:ascii="Arial Narrow" w:eastAsiaTheme="majorEastAsia" w:hAnsi="Arial Narrow" w:cs="Arial"/>
          <w:lang w:val="fr-CI"/>
        </w:rPr>
        <w:t>pour apporter un appui aux régions sanitaires</w:t>
      </w:r>
      <w:r w:rsidR="00B826A8" w:rsidRPr="007E7C5B">
        <w:rPr>
          <w:rStyle w:val="normaltextrun"/>
          <w:rFonts w:ascii="Arial Narrow" w:eastAsiaTheme="majorEastAsia" w:hAnsi="Arial Narrow" w:cs="Arial"/>
          <w:lang w:val="fr-CI"/>
        </w:rPr>
        <w:t xml:space="preserve"> dans les domaines de la planification</w:t>
      </w:r>
      <w:r w:rsidR="00B826A8" w:rsidRPr="007E7C5B" w:rsidDel="005A65DC">
        <w:rPr>
          <w:rStyle w:val="normaltextrun"/>
          <w:rFonts w:ascii="Arial Narrow" w:eastAsiaTheme="majorEastAsia" w:hAnsi="Arial Narrow" w:cs="Arial"/>
          <w:lang w:val="fr-CI"/>
        </w:rPr>
        <w:t xml:space="preserve"> </w:t>
      </w:r>
      <w:r w:rsidR="00B826A8" w:rsidRPr="007E7C5B">
        <w:rPr>
          <w:rStyle w:val="normaltextrun"/>
          <w:rFonts w:ascii="Arial Narrow" w:eastAsiaTheme="majorEastAsia" w:hAnsi="Arial Narrow" w:cs="Arial"/>
          <w:lang w:val="fr-CI"/>
        </w:rPr>
        <w:t xml:space="preserve">et du suivi-évaluation des </w:t>
      </w:r>
      <w:r w:rsidR="005102C0" w:rsidRPr="007E7C5B">
        <w:rPr>
          <w:rStyle w:val="normaltextrun"/>
          <w:rFonts w:ascii="Arial Narrow" w:eastAsiaTheme="majorEastAsia" w:hAnsi="Arial Narrow" w:cs="Arial"/>
          <w:lang w:val="fr-CI"/>
        </w:rPr>
        <w:t>activités</w:t>
      </w:r>
      <w:r w:rsidR="001E533E" w:rsidRPr="007E7C5B">
        <w:rPr>
          <w:rStyle w:val="normaltextrun"/>
          <w:rFonts w:ascii="Arial Narrow" w:eastAsiaTheme="majorEastAsia" w:hAnsi="Arial Narrow" w:cs="Arial"/>
          <w:lang w:val="fr-CI"/>
        </w:rPr>
        <w:t xml:space="preserve">. Les acteurs du MSHPCMU ont également </w:t>
      </w:r>
      <w:r w:rsidR="002448B4" w:rsidRPr="007E7C5B">
        <w:rPr>
          <w:rStyle w:val="normaltextrun"/>
          <w:rFonts w:ascii="Arial Narrow" w:eastAsiaTheme="majorEastAsia" w:hAnsi="Arial Narrow" w:cs="Arial"/>
          <w:lang w:val="fr-CI"/>
        </w:rPr>
        <w:t xml:space="preserve">bénéficié </w:t>
      </w:r>
      <w:r w:rsidR="001E533E" w:rsidRPr="007E7C5B">
        <w:rPr>
          <w:rStyle w:val="normaltextrun"/>
          <w:rFonts w:ascii="Arial Narrow" w:eastAsiaTheme="majorEastAsia" w:hAnsi="Arial Narrow" w:cs="Arial"/>
          <w:lang w:val="fr-CI"/>
        </w:rPr>
        <w:t>de renforcement de capacité</w:t>
      </w:r>
      <w:r w:rsidR="00C9446B" w:rsidRPr="007E7C5B">
        <w:rPr>
          <w:rStyle w:val="normaltextrun"/>
          <w:rFonts w:ascii="Arial Narrow" w:eastAsiaTheme="majorEastAsia" w:hAnsi="Arial Narrow" w:cs="Arial"/>
          <w:lang w:val="fr-CI"/>
        </w:rPr>
        <w:t>s</w:t>
      </w:r>
      <w:r w:rsidR="001E533E" w:rsidRPr="007E7C5B">
        <w:rPr>
          <w:rStyle w:val="normaltextrun"/>
          <w:rFonts w:ascii="Arial Narrow" w:eastAsiaTheme="majorEastAsia" w:hAnsi="Arial Narrow" w:cs="Arial"/>
          <w:lang w:val="fr-CI"/>
        </w:rPr>
        <w:t xml:space="preserve"> sur l’élaboration des PIP depuis la conception du projet jusqu’à la maturation.</w:t>
      </w:r>
      <w:r w:rsidR="001E533E" w:rsidRPr="007E7C5B">
        <w:rPr>
          <w:rStyle w:val="eop"/>
          <w:rFonts w:ascii="Arial Narrow" w:eastAsiaTheme="majorEastAsia" w:hAnsi="Arial Narrow" w:cs="Arial"/>
        </w:rPr>
        <w:t> </w:t>
      </w:r>
    </w:p>
    <w:p w14:paraId="37B62360" w14:textId="77777777" w:rsidR="001E533E" w:rsidRPr="007E7C5B" w:rsidRDefault="001E533E" w:rsidP="00761F55">
      <w:pPr>
        <w:pStyle w:val="paragraph"/>
        <w:spacing w:before="0" w:beforeAutospacing="0" w:after="0" w:afterAutospacing="0"/>
        <w:jc w:val="both"/>
        <w:textAlignment w:val="baseline"/>
        <w:rPr>
          <w:rStyle w:val="eop"/>
          <w:rFonts w:ascii="Arial Narrow" w:eastAsiaTheme="majorEastAsia" w:hAnsi="Arial Narrow" w:cs="Arial"/>
        </w:rPr>
      </w:pPr>
    </w:p>
    <w:p w14:paraId="5293DC3A" w14:textId="4DA49DE4" w:rsidR="001E533E" w:rsidRPr="007E7C5B" w:rsidRDefault="001E533E" w:rsidP="00761F55">
      <w:pPr>
        <w:jc w:val="both"/>
        <w:rPr>
          <w:rFonts w:ascii="Arial Narrow" w:hAnsi="Arial Narrow" w:cs="Arial"/>
          <w:b/>
          <w:sz w:val="24"/>
          <w:szCs w:val="24"/>
        </w:rPr>
      </w:pPr>
      <w:r w:rsidRPr="007E7C5B">
        <w:rPr>
          <w:rFonts w:ascii="Arial Narrow" w:hAnsi="Arial Narrow" w:cs="Arial"/>
          <w:sz w:val="24"/>
          <w:szCs w:val="24"/>
        </w:rPr>
        <w:t xml:space="preserve">Grâce à </w:t>
      </w:r>
      <w:r w:rsidR="00B24CA8" w:rsidRPr="007E7C5B">
        <w:rPr>
          <w:rFonts w:ascii="Arial Narrow" w:hAnsi="Arial Narrow" w:cs="Arial"/>
          <w:sz w:val="24"/>
          <w:szCs w:val="24"/>
        </w:rPr>
        <w:t xml:space="preserve">ces </w:t>
      </w:r>
      <w:r w:rsidRPr="007E7C5B">
        <w:rPr>
          <w:rFonts w:ascii="Arial Narrow" w:hAnsi="Arial Narrow" w:cs="Arial"/>
          <w:sz w:val="24"/>
          <w:szCs w:val="24"/>
        </w:rPr>
        <w:t>réalisation</w:t>
      </w:r>
      <w:r w:rsidR="00B24CA8" w:rsidRPr="007E7C5B">
        <w:rPr>
          <w:rFonts w:ascii="Arial Narrow" w:hAnsi="Arial Narrow" w:cs="Arial"/>
          <w:sz w:val="24"/>
          <w:szCs w:val="24"/>
        </w:rPr>
        <w:t>s</w:t>
      </w:r>
      <w:r w:rsidRPr="007E7C5B" w:rsidDel="00B24CA8">
        <w:rPr>
          <w:rFonts w:ascii="Arial Narrow" w:hAnsi="Arial Narrow" w:cs="Arial"/>
          <w:sz w:val="24"/>
          <w:szCs w:val="24"/>
        </w:rPr>
        <w:t xml:space="preserve">, </w:t>
      </w:r>
      <w:r w:rsidRPr="007E7C5B">
        <w:rPr>
          <w:rFonts w:ascii="Arial Narrow" w:hAnsi="Arial Narrow" w:cs="Arial"/>
          <w:sz w:val="24"/>
          <w:szCs w:val="24"/>
        </w:rPr>
        <w:t xml:space="preserve">le MSHPCMU a réussi à garantir la disponibilité </w:t>
      </w:r>
      <w:r w:rsidRPr="007E7C5B">
        <w:rPr>
          <w:rFonts w:ascii="Arial Narrow" w:hAnsi="Arial Narrow" w:cs="Arial"/>
          <w:b/>
          <w:sz w:val="24"/>
          <w:szCs w:val="24"/>
        </w:rPr>
        <w:t>d'un plan de travail en adéquation avec les objectifs nationaux de développement sanitaire dans</w:t>
      </w:r>
      <w:r w:rsidRPr="007E7C5B">
        <w:rPr>
          <w:rFonts w:ascii="Arial Narrow" w:hAnsi="Arial Narrow" w:cs="Arial"/>
          <w:sz w:val="24"/>
          <w:szCs w:val="24"/>
        </w:rPr>
        <w:t xml:space="preserve"> </w:t>
      </w:r>
      <w:r w:rsidRPr="007E7C5B">
        <w:rPr>
          <w:rFonts w:ascii="Arial Narrow" w:hAnsi="Arial Narrow" w:cs="Arial"/>
          <w:b/>
          <w:sz w:val="24"/>
          <w:szCs w:val="24"/>
        </w:rPr>
        <w:t xml:space="preserve">100% des structures sanitaires. </w:t>
      </w:r>
    </w:p>
    <w:p w14:paraId="6EBA0B0C" w14:textId="27BEA0A7" w:rsidR="000870D7" w:rsidRPr="007E7C5B" w:rsidRDefault="00F9039D" w:rsidP="00761F55">
      <w:pPr>
        <w:jc w:val="both"/>
        <w:rPr>
          <w:rFonts w:ascii="Arial Narrow" w:hAnsi="Arial Narrow" w:cs="Arial"/>
          <w:sz w:val="24"/>
          <w:szCs w:val="24"/>
        </w:rPr>
      </w:pPr>
      <w:r w:rsidRPr="007E7C5B">
        <w:rPr>
          <w:rFonts w:ascii="Arial Narrow" w:hAnsi="Arial Narrow" w:cs="Arial"/>
          <w:sz w:val="24"/>
          <w:szCs w:val="24"/>
        </w:rPr>
        <w:t xml:space="preserve">Cependant, </w:t>
      </w:r>
      <w:r w:rsidR="007C208A">
        <w:rPr>
          <w:rFonts w:ascii="Arial Narrow" w:hAnsi="Arial Narrow" w:cs="Arial"/>
          <w:sz w:val="24"/>
          <w:szCs w:val="24"/>
        </w:rPr>
        <w:t>d</w:t>
      </w:r>
      <w:r w:rsidR="001B66F3" w:rsidRPr="007E7C5B">
        <w:rPr>
          <w:rFonts w:ascii="Arial Narrow" w:hAnsi="Arial Narrow" w:cs="Arial"/>
          <w:sz w:val="24"/>
          <w:szCs w:val="24"/>
        </w:rPr>
        <w:t xml:space="preserve">es efforts doivent </w:t>
      </w:r>
      <w:r w:rsidR="000870D7" w:rsidRPr="007E7C5B">
        <w:rPr>
          <w:rFonts w:ascii="Arial Narrow" w:hAnsi="Arial Narrow" w:cs="Arial"/>
          <w:sz w:val="24"/>
          <w:szCs w:val="24"/>
        </w:rPr>
        <w:t>être</w:t>
      </w:r>
      <w:r w:rsidR="001B66F3" w:rsidRPr="007E7C5B">
        <w:rPr>
          <w:rFonts w:ascii="Arial Narrow" w:hAnsi="Arial Narrow" w:cs="Arial"/>
          <w:sz w:val="24"/>
          <w:szCs w:val="24"/>
        </w:rPr>
        <w:t xml:space="preserve"> consentis</w:t>
      </w:r>
      <w:r w:rsidR="007C208A">
        <w:rPr>
          <w:rFonts w:ascii="Arial Narrow" w:hAnsi="Arial Narrow" w:cs="Arial"/>
          <w:sz w:val="24"/>
          <w:szCs w:val="24"/>
        </w:rPr>
        <w:t>, notamment sur</w:t>
      </w:r>
      <w:r w:rsidR="00123A07" w:rsidRPr="007E7C5B">
        <w:rPr>
          <w:rFonts w:ascii="Arial Narrow" w:hAnsi="Arial Narrow" w:cs="Arial"/>
          <w:sz w:val="24"/>
          <w:szCs w:val="24"/>
        </w:rPr>
        <w:t xml:space="preserve"> </w:t>
      </w:r>
      <w:r w:rsidR="00123A07" w:rsidRPr="007E7C5B">
        <w:rPr>
          <w:rFonts w:ascii="Arial Narrow" w:hAnsi="Arial Narrow" w:cs="Arial"/>
          <w:i/>
          <w:iCs/>
          <w:sz w:val="24"/>
          <w:szCs w:val="24"/>
        </w:rPr>
        <w:t>(i)</w:t>
      </w:r>
      <w:r w:rsidR="00EF47FA" w:rsidRPr="007E7C5B">
        <w:rPr>
          <w:rFonts w:ascii="Arial Narrow" w:hAnsi="Arial Narrow" w:cs="Arial"/>
          <w:sz w:val="24"/>
          <w:szCs w:val="24"/>
        </w:rPr>
        <w:t xml:space="preserve"> le financement des plans d’action des structures sanitaires</w:t>
      </w:r>
      <w:r w:rsidR="00C6395A" w:rsidRPr="007E7C5B">
        <w:rPr>
          <w:rFonts w:ascii="Arial Narrow" w:hAnsi="Arial Narrow" w:cs="Arial"/>
          <w:sz w:val="24"/>
          <w:szCs w:val="24"/>
        </w:rPr>
        <w:t> </w:t>
      </w:r>
      <w:r w:rsidR="00EF47FA" w:rsidRPr="007E7C5B" w:rsidDel="00BB507A">
        <w:rPr>
          <w:rFonts w:ascii="Arial Narrow" w:hAnsi="Arial Narrow" w:cs="Arial"/>
          <w:sz w:val="24"/>
          <w:szCs w:val="24"/>
        </w:rPr>
        <w:t>;</w:t>
      </w:r>
      <w:r w:rsidR="00EF47FA" w:rsidRPr="007E7C5B">
        <w:rPr>
          <w:rFonts w:ascii="Arial Narrow" w:hAnsi="Arial Narrow" w:cs="Arial"/>
          <w:sz w:val="24"/>
          <w:szCs w:val="24"/>
        </w:rPr>
        <w:t xml:space="preserve"> </w:t>
      </w:r>
      <w:r w:rsidR="00C6395A" w:rsidRPr="00A918AC">
        <w:rPr>
          <w:rFonts w:ascii="Arial Narrow" w:hAnsi="Arial Narrow" w:cs="Arial"/>
          <w:i/>
          <w:sz w:val="24"/>
          <w:szCs w:val="24"/>
        </w:rPr>
        <w:t>(ii)</w:t>
      </w:r>
      <w:r w:rsidR="00C6395A" w:rsidRPr="007E7C5B">
        <w:rPr>
          <w:rFonts w:ascii="Arial Narrow" w:hAnsi="Arial Narrow" w:cs="Arial"/>
          <w:sz w:val="24"/>
          <w:szCs w:val="24"/>
        </w:rPr>
        <w:t xml:space="preserve"> </w:t>
      </w:r>
      <w:r w:rsidR="00123A07" w:rsidRPr="007E7C5B">
        <w:rPr>
          <w:rFonts w:ascii="Arial Narrow" w:hAnsi="Arial Narrow" w:cs="Arial"/>
          <w:sz w:val="24"/>
          <w:szCs w:val="24"/>
        </w:rPr>
        <w:t>l</w:t>
      </w:r>
      <w:r w:rsidR="00EF47FA" w:rsidRPr="007E7C5B">
        <w:rPr>
          <w:rFonts w:ascii="Arial Narrow" w:hAnsi="Arial Narrow" w:cs="Arial"/>
          <w:sz w:val="24"/>
          <w:szCs w:val="24"/>
        </w:rPr>
        <w:t>’aligne</w:t>
      </w:r>
      <w:r w:rsidR="00123A07" w:rsidRPr="007E7C5B">
        <w:rPr>
          <w:rFonts w:ascii="Arial Narrow" w:hAnsi="Arial Narrow" w:cs="Arial"/>
          <w:sz w:val="24"/>
          <w:szCs w:val="24"/>
        </w:rPr>
        <w:t>ment</w:t>
      </w:r>
      <w:r w:rsidR="00EF47FA" w:rsidRPr="007E7C5B" w:rsidDel="00123A07">
        <w:rPr>
          <w:rFonts w:ascii="Arial Narrow" w:hAnsi="Arial Narrow" w:cs="Arial"/>
          <w:sz w:val="24"/>
          <w:szCs w:val="24"/>
        </w:rPr>
        <w:t xml:space="preserve"> </w:t>
      </w:r>
      <w:r w:rsidR="00123A07" w:rsidRPr="007E7C5B">
        <w:rPr>
          <w:rFonts w:ascii="Arial Narrow" w:hAnsi="Arial Narrow" w:cs="Arial"/>
          <w:sz w:val="24"/>
          <w:szCs w:val="24"/>
        </w:rPr>
        <w:t xml:space="preserve">des </w:t>
      </w:r>
      <w:r w:rsidR="00EF47FA" w:rsidRPr="007E7C5B">
        <w:rPr>
          <w:rFonts w:ascii="Arial Narrow" w:hAnsi="Arial Narrow" w:cs="Arial"/>
          <w:sz w:val="24"/>
          <w:szCs w:val="24"/>
        </w:rPr>
        <w:t xml:space="preserve">dotations budgétaires aux plans d’action des structures sanitaires et </w:t>
      </w:r>
      <w:r w:rsidR="00C6395A" w:rsidRPr="00A918AC">
        <w:rPr>
          <w:rFonts w:ascii="Arial Narrow" w:hAnsi="Arial Narrow" w:cs="Arial"/>
          <w:i/>
          <w:sz w:val="24"/>
          <w:szCs w:val="24"/>
        </w:rPr>
        <w:t>(iii)</w:t>
      </w:r>
      <w:r w:rsidR="00C6395A" w:rsidRPr="007E7C5B">
        <w:rPr>
          <w:rFonts w:ascii="Arial Narrow" w:hAnsi="Arial Narrow" w:cs="Arial"/>
          <w:sz w:val="24"/>
          <w:szCs w:val="24"/>
        </w:rPr>
        <w:t xml:space="preserve"> </w:t>
      </w:r>
      <w:r w:rsidR="00EF47FA" w:rsidRPr="007E7C5B">
        <w:rPr>
          <w:rFonts w:ascii="Arial Narrow" w:hAnsi="Arial Narrow" w:cs="Arial"/>
          <w:sz w:val="24"/>
          <w:szCs w:val="24"/>
        </w:rPr>
        <w:t>la coordination efficace.</w:t>
      </w:r>
    </w:p>
    <w:p w14:paraId="29C019D6" w14:textId="5CC3260C" w:rsidR="001E533E" w:rsidRPr="007E7C5B" w:rsidRDefault="001E533E" w:rsidP="00AA7D22">
      <w:pPr>
        <w:pStyle w:val="Titre5"/>
        <w:shd w:val="clear" w:color="auto" w:fill="FBE4D5" w:themeFill="accent2" w:themeFillTint="33"/>
        <w:rPr>
          <w:rFonts w:ascii="Arial Narrow" w:hAnsi="Arial Narrow"/>
          <w:b/>
          <w:color w:val="auto"/>
          <w:sz w:val="24"/>
          <w:szCs w:val="24"/>
        </w:rPr>
      </w:pPr>
      <w:r w:rsidRPr="007E7C5B">
        <w:rPr>
          <w:rFonts w:ascii="Arial Narrow" w:hAnsi="Arial Narrow"/>
          <w:b/>
          <w:color w:val="auto"/>
          <w:sz w:val="24"/>
          <w:szCs w:val="24"/>
        </w:rPr>
        <w:t>Recherche et innovation</w:t>
      </w:r>
      <w:r w:rsidR="002C5E40">
        <w:rPr>
          <w:rFonts w:ascii="Arial Narrow" w:hAnsi="Arial Narrow"/>
          <w:b/>
          <w:color w:val="auto"/>
          <w:sz w:val="24"/>
          <w:szCs w:val="24"/>
        </w:rPr>
        <w:t xml:space="preserve"> en santé</w:t>
      </w:r>
    </w:p>
    <w:p w14:paraId="208BE10F" w14:textId="77777777" w:rsidR="00DF39BC" w:rsidRPr="007E7C5B" w:rsidRDefault="00DF39BC" w:rsidP="00761F55">
      <w:pPr>
        <w:pStyle w:val="paragraph"/>
        <w:spacing w:before="0" w:beforeAutospacing="0" w:after="0" w:afterAutospacing="0"/>
        <w:jc w:val="both"/>
        <w:textAlignment w:val="baseline"/>
        <w:rPr>
          <w:rStyle w:val="normaltextrun"/>
          <w:rFonts w:ascii="Arial Narrow" w:eastAsiaTheme="majorEastAsia" w:hAnsi="Arial Narrow" w:cs="Arial"/>
          <w:b/>
          <w:i/>
          <w:lang w:val="fr-CI"/>
        </w:rPr>
      </w:pPr>
    </w:p>
    <w:p w14:paraId="43CACC37" w14:textId="10CA6B73" w:rsidR="001E533E" w:rsidRPr="007E7C5B" w:rsidRDefault="001E533E" w:rsidP="00761F55">
      <w:pPr>
        <w:pStyle w:val="paragraph"/>
        <w:spacing w:before="0" w:beforeAutospacing="0" w:after="0" w:afterAutospacing="0"/>
        <w:jc w:val="both"/>
        <w:textAlignment w:val="baseline"/>
        <w:rPr>
          <w:rStyle w:val="eop"/>
          <w:rFonts w:ascii="Arial Narrow" w:eastAsiaTheme="majorEastAsia" w:hAnsi="Arial Narrow" w:cs="Arial"/>
          <w:iCs/>
        </w:rPr>
      </w:pPr>
      <w:r w:rsidRPr="007E7C5B">
        <w:rPr>
          <w:rStyle w:val="normaltextrun"/>
          <w:rFonts w:ascii="Arial Narrow" w:eastAsiaTheme="majorEastAsia" w:hAnsi="Arial Narrow" w:cs="Arial"/>
          <w:b/>
          <w:iCs/>
          <w:lang w:val="fr-CI"/>
        </w:rPr>
        <w:t xml:space="preserve">En matière de recherche et d’innovation, </w:t>
      </w:r>
      <w:r w:rsidR="006432BC" w:rsidRPr="007E7C5B">
        <w:rPr>
          <w:rStyle w:val="normaltextrun"/>
          <w:rFonts w:ascii="Arial Narrow" w:eastAsiaTheme="majorEastAsia" w:hAnsi="Arial Narrow" w:cs="Arial"/>
          <w:b/>
          <w:iCs/>
          <w:lang w:val="fr-CI"/>
        </w:rPr>
        <w:t>le MSHP</w:t>
      </w:r>
      <w:r w:rsidR="00C36EBE" w:rsidRPr="007E7C5B">
        <w:rPr>
          <w:rStyle w:val="normaltextrun"/>
          <w:rFonts w:ascii="Arial Narrow" w:eastAsiaTheme="majorEastAsia" w:hAnsi="Arial Narrow" w:cs="Arial"/>
          <w:b/>
          <w:iCs/>
          <w:lang w:val="fr-CI"/>
        </w:rPr>
        <w:t xml:space="preserve">CMU s’est engagé </w:t>
      </w:r>
      <w:r w:rsidR="00C36EBE" w:rsidRPr="007E7C5B">
        <w:rPr>
          <w:rStyle w:val="normaltextrun"/>
          <w:rFonts w:ascii="Arial Narrow" w:eastAsiaTheme="majorEastAsia" w:hAnsi="Arial Narrow" w:cs="Arial"/>
          <w:bCs/>
          <w:iCs/>
          <w:lang w:val="fr-CI"/>
        </w:rPr>
        <w:t xml:space="preserve">à </w:t>
      </w:r>
      <w:r w:rsidRPr="007E7C5B">
        <w:rPr>
          <w:rStyle w:val="normaltextrun"/>
          <w:rFonts w:ascii="Arial Narrow" w:eastAsiaTheme="majorEastAsia" w:hAnsi="Arial Narrow" w:cs="Arial"/>
          <w:iCs/>
          <w:lang w:val="fr-CI"/>
        </w:rPr>
        <w:t xml:space="preserve">proposer des interventions et des politiques de santé fondées sur des connaissances et preuves scientifiques ainsi que d’implémenter un ensemble de mesures, dans les dimensions structurelles, organisationnelles et sanitaires, soutenues </w:t>
      </w:r>
      <w:r w:rsidRPr="007E7C5B">
        <w:rPr>
          <w:rStyle w:val="normaltextrun"/>
          <w:rFonts w:ascii="Arial Narrow" w:eastAsiaTheme="majorEastAsia" w:hAnsi="Arial Narrow" w:cs="Arial"/>
          <w:iCs/>
          <w:lang w:val="fr-CI"/>
        </w:rPr>
        <w:lastRenderedPageBreak/>
        <w:t>par les Technologies de l’Information et de la Communication.</w:t>
      </w:r>
      <w:r w:rsidR="00531B96" w:rsidRPr="007E7C5B">
        <w:rPr>
          <w:rStyle w:val="normaltextrun"/>
          <w:rFonts w:ascii="Arial Narrow" w:eastAsiaTheme="majorEastAsia" w:hAnsi="Arial Narrow" w:cs="Arial"/>
          <w:iCs/>
          <w:lang w:val="fr-CI"/>
        </w:rPr>
        <w:t xml:space="preserve"> </w:t>
      </w:r>
      <w:r w:rsidRPr="007E7C5B">
        <w:rPr>
          <w:rStyle w:val="normaltextrun"/>
          <w:rFonts w:ascii="Arial Narrow" w:eastAsiaTheme="majorEastAsia" w:hAnsi="Arial Narrow" w:cs="Arial"/>
          <w:iCs/>
          <w:lang w:val="fr-CI"/>
        </w:rPr>
        <w:t xml:space="preserve">Ces actions permettraient d’améliorer la santé et le bien-être, et de réduire les inégalités de santé. </w:t>
      </w:r>
      <w:r w:rsidR="00E7572B" w:rsidRPr="007E7C5B">
        <w:rPr>
          <w:rStyle w:val="normaltextrun"/>
          <w:rFonts w:ascii="Arial Narrow" w:eastAsiaTheme="majorEastAsia" w:hAnsi="Arial Narrow" w:cs="Arial"/>
          <w:iCs/>
          <w:lang w:val="fr-CI"/>
        </w:rPr>
        <w:t>L</w:t>
      </w:r>
      <w:r w:rsidR="00A2207E" w:rsidRPr="007E7C5B">
        <w:rPr>
          <w:rStyle w:val="normaltextrun"/>
          <w:rFonts w:ascii="Arial Narrow" w:eastAsiaTheme="majorEastAsia" w:hAnsi="Arial Narrow" w:cs="Arial"/>
          <w:iCs/>
          <w:lang w:val="fr-CI"/>
        </w:rPr>
        <w:t xml:space="preserve">es leviers de cet engagement sont : </w:t>
      </w:r>
      <w:r w:rsidRPr="00A918AC">
        <w:rPr>
          <w:rStyle w:val="normaltextrun"/>
          <w:rFonts w:ascii="Arial Narrow" w:eastAsiaTheme="majorEastAsia" w:hAnsi="Arial Narrow" w:cs="Arial"/>
          <w:i/>
          <w:lang w:val="fr-CI"/>
        </w:rPr>
        <w:t>(i)</w:t>
      </w:r>
      <w:r w:rsidR="00D97AD6">
        <w:rPr>
          <w:rStyle w:val="normaltextrun"/>
          <w:rFonts w:ascii="Arial Narrow" w:eastAsiaTheme="majorEastAsia" w:hAnsi="Arial Narrow" w:cs="Arial"/>
          <w:iCs/>
          <w:lang w:val="fr-CI"/>
        </w:rPr>
        <w:t> </w:t>
      </w:r>
      <w:r w:rsidRPr="007E7C5B">
        <w:rPr>
          <w:rStyle w:val="normaltextrun"/>
          <w:rFonts w:ascii="Arial Narrow" w:eastAsiaTheme="majorEastAsia" w:hAnsi="Arial Narrow" w:cs="Arial"/>
          <w:iCs/>
          <w:lang w:val="fr-CI"/>
        </w:rPr>
        <w:t>l’amélioration des capacités des structures de santé pour la recherche</w:t>
      </w:r>
      <w:r w:rsidRPr="007E7C5B">
        <w:rPr>
          <w:rStyle w:val="normaltextrun"/>
          <w:rFonts w:ascii="Arial" w:eastAsiaTheme="majorEastAsia" w:hAnsi="Arial" w:cs="Arial"/>
          <w:iCs/>
          <w:lang w:val="fr-CI"/>
        </w:rPr>
        <w:t> </w:t>
      </w:r>
      <w:r w:rsidRPr="007E7C5B">
        <w:rPr>
          <w:rStyle w:val="normaltextrun"/>
          <w:rFonts w:ascii="Arial Narrow" w:eastAsiaTheme="majorEastAsia" w:hAnsi="Arial Narrow" w:cs="Arial"/>
          <w:iCs/>
          <w:lang w:val="fr-CI"/>
        </w:rPr>
        <w:t xml:space="preserve">; </w:t>
      </w:r>
      <w:r w:rsidRPr="00A918AC">
        <w:rPr>
          <w:rStyle w:val="normaltextrun"/>
          <w:rFonts w:ascii="Arial Narrow" w:eastAsiaTheme="majorEastAsia" w:hAnsi="Arial Narrow" w:cs="Arial"/>
          <w:i/>
          <w:lang w:val="fr-CI"/>
        </w:rPr>
        <w:t>(ii)</w:t>
      </w:r>
      <w:r w:rsidRPr="007E7C5B">
        <w:rPr>
          <w:rStyle w:val="normaltextrun"/>
          <w:rFonts w:ascii="Arial Narrow" w:eastAsiaTheme="majorEastAsia" w:hAnsi="Arial Narrow" w:cs="Arial"/>
          <w:iCs/>
          <w:lang w:val="fr-CI"/>
        </w:rPr>
        <w:t xml:space="preserve"> le renforcement des m</w:t>
      </w:r>
      <w:r w:rsidRPr="007E7C5B">
        <w:rPr>
          <w:rStyle w:val="normaltextrun"/>
          <w:rFonts w:ascii="Arial Narrow" w:eastAsiaTheme="majorEastAsia" w:hAnsi="Arial Narrow" w:cs="Arial Narrow"/>
          <w:iCs/>
          <w:lang w:val="fr-CI"/>
        </w:rPr>
        <w:t>é</w:t>
      </w:r>
      <w:r w:rsidRPr="007E7C5B">
        <w:rPr>
          <w:rStyle w:val="normaltextrun"/>
          <w:rFonts w:ascii="Arial Narrow" w:eastAsiaTheme="majorEastAsia" w:hAnsi="Arial Narrow" w:cs="Arial"/>
          <w:iCs/>
          <w:lang w:val="fr-CI"/>
        </w:rPr>
        <w:t xml:space="preserve">canismes de gouvernance, de coordination, de collaboration et de suivi et </w:t>
      </w:r>
      <w:r w:rsidRPr="007E7C5B">
        <w:rPr>
          <w:rStyle w:val="normaltextrun"/>
          <w:rFonts w:ascii="Arial Narrow" w:eastAsiaTheme="majorEastAsia" w:hAnsi="Arial Narrow" w:cs="Arial Narrow"/>
          <w:iCs/>
          <w:lang w:val="fr-CI"/>
        </w:rPr>
        <w:t>é</w:t>
      </w:r>
      <w:r w:rsidRPr="007E7C5B">
        <w:rPr>
          <w:rStyle w:val="normaltextrun"/>
          <w:rFonts w:ascii="Arial Narrow" w:eastAsiaTheme="majorEastAsia" w:hAnsi="Arial Narrow" w:cs="Arial"/>
          <w:iCs/>
          <w:lang w:val="fr-CI"/>
        </w:rPr>
        <w:t>valuation pour la recherche et l'innovation dans le syst</w:t>
      </w:r>
      <w:r w:rsidRPr="007E7C5B">
        <w:rPr>
          <w:rStyle w:val="normaltextrun"/>
          <w:rFonts w:ascii="Arial Narrow" w:eastAsiaTheme="majorEastAsia" w:hAnsi="Arial Narrow" w:cs="Arial Narrow"/>
          <w:iCs/>
          <w:lang w:val="fr-CI"/>
        </w:rPr>
        <w:t>è</w:t>
      </w:r>
      <w:r w:rsidRPr="007E7C5B">
        <w:rPr>
          <w:rStyle w:val="normaltextrun"/>
          <w:rFonts w:ascii="Arial Narrow" w:eastAsiaTheme="majorEastAsia" w:hAnsi="Arial Narrow" w:cs="Arial"/>
          <w:iCs/>
          <w:lang w:val="fr-CI"/>
        </w:rPr>
        <w:t>me de sant</w:t>
      </w:r>
      <w:r w:rsidRPr="007E7C5B">
        <w:rPr>
          <w:rStyle w:val="normaltextrun"/>
          <w:rFonts w:ascii="Arial Narrow" w:eastAsiaTheme="majorEastAsia" w:hAnsi="Arial Narrow" w:cs="Arial Narrow"/>
          <w:iCs/>
          <w:lang w:val="fr-CI"/>
        </w:rPr>
        <w:t>é</w:t>
      </w:r>
      <w:r w:rsidRPr="007E7C5B">
        <w:rPr>
          <w:rStyle w:val="normaltextrun"/>
          <w:rFonts w:ascii="Arial" w:eastAsiaTheme="majorEastAsia" w:hAnsi="Arial" w:cs="Arial"/>
          <w:iCs/>
          <w:lang w:val="fr-CI"/>
        </w:rPr>
        <w:t> </w:t>
      </w:r>
      <w:r w:rsidRPr="007E7C5B">
        <w:rPr>
          <w:rStyle w:val="normaltextrun"/>
          <w:rFonts w:ascii="Arial Narrow" w:eastAsiaTheme="majorEastAsia" w:hAnsi="Arial Narrow" w:cs="Arial"/>
          <w:iCs/>
          <w:lang w:val="fr-CI"/>
        </w:rPr>
        <w:t xml:space="preserve">; </w:t>
      </w:r>
      <w:r w:rsidRPr="00A918AC">
        <w:rPr>
          <w:rStyle w:val="normaltextrun"/>
          <w:rFonts w:ascii="Arial Narrow" w:eastAsiaTheme="majorEastAsia" w:hAnsi="Arial Narrow" w:cs="Arial"/>
          <w:i/>
          <w:lang w:val="fr-CI"/>
        </w:rPr>
        <w:t>(iii)</w:t>
      </w:r>
      <w:r w:rsidRPr="007E7C5B">
        <w:rPr>
          <w:rStyle w:val="normaltextrun"/>
          <w:rFonts w:ascii="Arial Narrow" w:eastAsiaTheme="majorEastAsia" w:hAnsi="Arial Narrow" w:cs="Arial"/>
          <w:iCs/>
          <w:lang w:val="fr-CI"/>
        </w:rPr>
        <w:t xml:space="preserve"> </w:t>
      </w:r>
      <w:bookmarkStart w:id="55" w:name="_Hlk185339507"/>
      <w:r w:rsidRPr="007E7C5B">
        <w:rPr>
          <w:rStyle w:val="normaltextrun"/>
          <w:rFonts w:ascii="Arial Narrow" w:eastAsiaTheme="majorEastAsia" w:hAnsi="Arial Narrow" w:cs="Arial"/>
          <w:iCs/>
          <w:lang w:val="fr-CI"/>
        </w:rPr>
        <w:t>la promotion et la vulgarisation des acquis de la recherche en sant</w:t>
      </w:r>
      <w:r w:rsidRPr="007E7C5B">
        <w:rPr>
          <w:rStyle w:val="normaltextrun"/>
          <w:rFonts w:ascii="Arial Narrow" w:eastAsiaTheme="majorEastAsia" w:hAnsi="Arial Narrow" w:cs="Arial Narrow"/>
          <w:iCs/>
          <w:lang w:val="fr-CI"/>
        </w:rPr>
        <w:t>é</w:t>
      </w:r>
      <w:bookmarkEnd w:id="55"/>
      <w:r w:rsidRPr="007E7C5B">
        <w:rPr>
          <w:rStyle w:val="normaltextrun"/>
          <w:rFonts w:ascii="Arial" w:eastAsiaTheme="majorEastAsia" w:hAnsi="Arial" w:cs="Arial"/>
          <w:iCs/>
          <w:lang w:val="fr-CI"/>
        </w:rPr>
        <w:t> </w:t>
      </w:r>
      <w:r w:rsidRPr="007E7C5B">
        <w:rPr>
          <w:rStyle w:val="normaltextrun"/>
          <w:rFonts w:ascii="Arial Narrow" w:eastAsiaTheme="majorEastAsia" w:hAnsi="Arial Narrow" w:cs="Arial"/>
          <w:iCs/>
          <w:lang w:val="fr-CI"/>
        </w:rPr>
        <w:t>;</w:t>
      </w:r>
      <w:r w:rsidR="00A20D61" w:rsidRPr="007E7C5B">
        <w:rPr>
          <w:rStyle w:val="normaltextrun"/>
          <w:rFonts w:ascii="Arial Narrow" w:eastAsiaTheme="majorEastAsia" w:hAnsi="Arial Narrow" w:cs="Arial"/>
          <w:iCs/>
          <w:lang w:val="fr-CI"/>
        </w:rPr>
        <w:t xml:space="preserve"> et</w:t>
      </w:r>
      <w:r w:rsidRPr="007E7C5B">
        <w:rPr>
          <w:rStyle w:val="normaltextrun"/>
          <w:rFonts w:ascii="Arial Narrow" w:eastAsiaTheme="majorEastAsia" w:hAnsi="Arial Narrow" w:cs="Arial"/>
          <w:iCs/>
          <w:lang w:val="fr-CI"/>
        </w:rPr>
        <w:t xml:space="preserve"> </w:t>
      </w:r>
      <w:r w:rsidRPr="00A918AC">
        <w:rPr>
          <w:rStyle w:val="normaltextrun"/>
          <w:rFonts w:ascii="Arial Narrow" w:eastAsiaTheme="majorEastAsia" w:hAnsi="Arial Narrow" w:cs="Arial"/>
          <w:i/>
          <w:lang w:val="fr-CI"/>
        </w:rPr>
        <w:t>(iv)</w:t>
      </w:r>
      <w:r w:rsidRPr="007E7C5B">
        <w:rPr>
          <w:rStyle w:val="normaltextrun"/>
          <w:rFonts w:ascii="Arial Narrow" w:eastAsiaTheme="majorEastAsia" w:hAnsi="Arial Narrow" w:cs="Arial"/>
          <w:iCs/>
          <w:lang w:val="fr-CI"/>
        </w:rPr>
        <w:t xml:space="preserve"> le d</w:t>
      </w:r>
      <w:r w:rsidRPr="007E7C5B">
        <w:rPr>
          <w:rStyle w:val="normaltextrun"/>
          <w:rFonts w:ascii="Arial Narrow" w:eastAsiaTheme="majorEastAsia" w:hAnsi="Arial Narrow" w:cs="Arial Narrow"/>
          <w:iCs/>
          <w:lang w:val="fr-CI"/>
        </w:rPr>
        <w:t>é</w:t>
      </w:r>
      <w:r w:rsidRPr="007E7C5B">
        <w:rPr>
          <w:rStyle w:val="normaltextrun"/>
          <w:rFonts w:ascii="Arial Narrow" w:eastAsiaTheme="majorEastAsia" w:hAnsi="Arial Narrow" w:cs="Arial"/>
          <w:iCs/>
          <w:lang w:val="fr-CI"/>
        </w:rPr>
        <w:t>veloppement de technologies innovantes du num</w:t>
      </w:r>
      <w:r w:rsidRPr="007E7C5B">
        <w:rPr>
          <w:rStyle w:val="normaltextrun"/>
          <w:rFonts w:ascii="Arial Narrow" w:eastAsiaTheme="majorEastAsia" w:hAnsi="Arial Narrow" w:cs="Arial Narrow"/>
          <w:iCs/>
          <w:lang w:val="fr-CI"/>
        </w:rPr>
        <w:t>é</w:t>
      </w:r>
      <w:r w:rsidRPr="007E7C5B">
        <w:rPr>
          <w:rStyle w:val="normaltextrun"/>
          <w:rFonts w:ascii="Arial Narrow" w:eastAsiaTheme="majorEastAsia" w:hAnsi="Arial Narrow" w:cs="Arial"/>
          <w:iCs/>
          <w:lang w:val="fr-CI"/>
        </w:rPr>
        <w:t>rique en soutien au syst</w:t>
      </w:r>
      <w:r w:rsidRPr="007E7C5B">
        <w:rPr>
          <w:rStyle w:val="normaltextrun"/>
          <w:rFonts w:ascii="Arial Narrow" w:eastAsiaTheme="majorEastAsia" w:hAnsi="Arial Narrow" w:cs="Arial Narrow"/>
          <w:iCs/>
          <w:lang w:val="fr-CI"/>
        </w:rPr>
        <w:t>è</w:t>
      </w:r>
      <w:r w:rsidRPr="007E7C5B">
        <w:rPr>
          <w:rStyle w:val="normaltextrun"/>
          <w:rFonts w:ascii="Arial Narrow" w:eastAsiaTheme="majorEastAsia" w:hAnsi="Arial Narrow" w:cs="Arial"/>
          <w:iCs/>
          <w:lang w:val="fr-CI"/>
        </w:rPr>
        <w:t>me de sant</w:t>
      </w:r>
      <w:r w:rsidRPr="007E7C5B">
        <w:rPr>
          <w:rStyle w:val="normaltextrun"/>
          <w:rFonts w:ascii="Arial Narrow" w:eastAsiaTheme="majorEastAsia" w:hAnsi="Arial Narrow" w:cs="Arial Narrow"/>
          <w:iCs/>
          <w:lang w:val="fr-CI"/>
        </w:rPr>
        <w:t>é</w:t>
      </w:r>
      <w:r w:rsidRPr="007E7C5B">
        <w:rPr>
          <w:rStyle w:val="eop"/>
          <w:rFonts w:ascii="Arial Narrow" w:eastAsiaTheme="majorEastAsia" w:hAnsi="Arial Narrow" w:cs="Arial"/>
          <w:iCs/>
        </w:rPr>
        <w:t>.</w:t>
      </w:r>
    </w:p>
    <w:p w14:paraId="5609329F" w14:textId="77777777" w:rsidR="001E533E" w:rsidRPr="007E7C5B" w:rsidRDefault="001E533E" w:rsidP="00761F55">
      <w:pPr>
        <w:pStyle w:val="paragraph"/>
        <w:spacing w:before="0" w:beforeAutospacing="0" w:after="0" w:afterAutospacing="0"/>
        <w:jc w:val="both"/>
        <w:textAlignment w:val="baseline"/>
        <w:rPr>
          <w:rStyle w:val="normaltextrun"/>
          <w:rFonts w:ascii="Arial Narrow" w:eastAsiaTheme="majorEastAsia" w:hAnsi="Arial Narrow" w:cs="Arial"/>
          <w:b/>
          <w:bCs/>
          <w:i/>
          <w:iCs/>
          <w:lang w:val="fr-CI"/>
        </w:rPr>
      </w:pPr>
    </w:p>
    <w:p w14:paraId="6E88E52D" w14:textId="17879D7A" w:rsidR="001E533E" w:rsidRPr="007E7C5B" w:rsidRDefault="00E25EE8" w:rsidP="00761F55">
      <w:pPr>
        <w:pStyle w:val="paragraph"/>
        <w:spacing w:before="0" w:beforeAutospacing="0" w:after="0" w:afterAutospacing="0"/>
        <w:jc w:val="both"/>
        <w:textAlignment w:val="baseline"/>
        <w:rPr>
          <w:rFonts w:ascii="Arial Narrow" w:hAnsi="Arial Narrow" w:cs="Arial"/>
        </w:rPr>
      </w:pPr>
      <w:r w:rsidRPr="007E7C5B">
        <w:rPr>
          <w:rStyle w:val="normaltextrun"/>
          <w:rFonts w:ascii="Arial Narrow" w:eastAsiaTheme="majorEastAsia" w:hAnsi="Arial Narrow" w:cs="Arial"/>
          <w:b/>
          <w:bCs/>
          <w:lang w:val="fr-CI"/>
        </w:rPr>
        <w:t>Au titre</w:t>
      </w:r>
      <w:r w:rsidRPr="007E7C5B">
        <w:rPr>
          <w:rStyle w:val="normaltextrun"/>
          <w:rFonts w:ascii="Arial Narrow" w:eastAsiaTheme="majorEastAsia" w:hAnsi="Arial Narrow" w:cs="Arial"/>
          <w:b/>
          <w:lang w:val="fr-CI"/>
        </w:rPr>
        <w:t xml:space="preserve"> </w:t>
      </w:r>
      <w:r w:rsidR="001E533E" w:rsidRPr="007E7C5B">
        <w:rPr>
          <w:rStyle w:val="normaltextrun"/>
          <w:rFonts w:ascii="Arial Narrow" w:eastAsiaTheme="majorEastAsia" w:hAnsi="Arial Narrow" w:cs="Arial"/>
          <w:b/>
          <w:lang w:val="fr-CI"/>
        </w:rPr>
        <w:t>de l’amélioration des capacités des structures de santé pour la recherche</w:t>
      </w:r>
      <w:r w:rsidR="001E533E" w:rsidRPr="007E7C5B">
        <w:rPr>
          <w:rStyle w:val="normaltextrun"/>
          <w:rFonts w:ascii="Arial Narrow" w:eastAsiaTheme="majorEastAsia" w:hAnsi="Arial Narrow" w:cs="Arial"/>
          <w:lang w:val="fr-CI"/>
        </w:rPr>
        <w:t>,</w:t>
      </w:r>
      <w:r w:rsidR="00EE066D" w:rsidRPr="007E7C5B">
        <w:rPr>
          <w:rStyle w:val="normaltextrun"/>
          <w:rFonts w:ascii="Arial Narrow" w:eastAsiaTheme="majorEastAsia" w:hAnsi="Arial Narrow" w:cs="Arial"/>
          <w:lang w:val="fr-CI"/>
        </w:rPr>
        <w:t xml:space="preserve"> </w:t>
      </w:r>
      <w:r w:rsidR="00EE066D" w:rsidRPr="007E7C5B" w:rsidDel="005D74D5">
        <w:rPr>
          <w:rStyle w:val="normaltextrun"/>
          <w:rFonts w:ascii="Arial Narrow" w:eastAsiaTheme="majorEastAsia" w:hAnsi="Arial Narrow" w:cs="Arial"/>
          <w:lang w:val="fr-CI"/>
        </w:rPr>
        <w:t xml:space="preserve">les </w:t>
      </w:r>
      <w:r w:rsidR="005D74D5" w:rsidRPr="007E7C5B">
        <w:rPr>
          <w:rStyle w:val="normaltextrun"/>
          <w:rFonts w:ascii="Arial Narrow" w:eastAsiaTheme="majorEastAsia" w:hAnsi="Arial Narrow" w:cs="Arial"/>
          <w:lang w:val="fr-CI"/>
        </w:rPr>
        <w:t>c</w:t>
      </w:r>
      <w:r w:rsidR="001E533E" w:rsidRPr="007E7C5B">
        <w:rPr>
          <w:rStyle w:val="normaltextrun"/>
          <w:rFonts w:ascii="Arial Narrow" w:eastAsiaTheme="majorEastAsia" w:hAnsi="Arial Narrow" w:cs="Arial"/>
          <w:lang w:val="fr-CI"/>
        </w:rPr>
        <w:t>entres et laboratoires de recherche de l</w:t>
      </w:r>
      <w:r w:rsidR="001E533E" w:rsidRPr="007E7C5B">
        <w:rPr>
          <w:rStyle w:val="normaltextrun"/>
          <w:rFonts w:ascii="Arial Narrow" w:eastAsiaTheme="majorEastAsia" w:hAnsi="Arial Narrow" w:cs="Arial Narrow"/>
          <w:lang w:val="fr-CI"/>
        </w:rPr>
        <w:t>’</w:t>
      </w:r>
      <w:r w:rsidR="001E533E" w:rsidRPr="007E7C5B">
        <w:rPr>
          <w:rStyle w:val="normaltextrun"/>
          <w:rFonts w:ascii="Arial Narrow" w:eastAsiaTheme="majorEastAsia" w:hAnsi="Arial Narrow" w:cs="Arial"/>
          <w:lang w:val="fr-CI"/>
        </w:rPr>
        <w:t>INSP (Abidjan, Bouak</w:t>
      </w:r>
      <w:r w:rsidR="001E533E" w:rsidRPr="007E7C5B">
        <w:rPr>
          <w:rStyle w:val="normaltextrun"/>
          <w:rFonts w:ascii="Arial Narrow" w:eastAsiaTheme="majorEastAsia" w:hAnsi="Arial Narrow" w:cs="Arial Narrow"/>
          <w:lang w:val="fr-CI"/>
        </w:rPr>
        <w:t>é</w:t>
      </w:r>
      <w:r w:rsidR="001E533E" w:rsidRPr="007E7C5B">
        <w:rPr>
          <w:rStyle w:val="normaltextrun"/>
          <w:rFonts w:ascii="Arial Narrow" w:eastAsiaTheme="majorEastAsia" w:hAnsi="Arial Narrow" w:cs="Arial"/>
          <w:lang w:val="fr-CI"/>
        </w:rPr>
        <w:t>, Daloa)</w:t>
      </w:r>
      <w:r w:rsidR="00900F16" w:rsidRPr="007E7C5B">
        <w:rPr>
          <w:rStyle w:val="normaltextrun"/>
          <w:rFonts w:ascii="Arial Narrow" w:eastAsiaTheme="majorEastAsia" w:hAnsi="Arial Narrow" w:cs="Arial"/>
          <w:lang w:val="fr-CI"/>
        </w:rPr>
        <w:t xml:space="preserve"> </w:t>
      </w:r>
      <w:r w:rsidR="00EE066D" w:rsidRPr="007E7C5B">
        <w:rPr>
          <w:rStyle w:val="normaltextrun"/>
          <w:rFonts w:ascii="Arial Narrow" w:eastAsiaTheme="majorEastAsia" w:hAnsi="Arial Narrow" w:cs="Arial"/>
          <w:lang w:val="fr-CI"/>
        </w:rPr>
        <w:t>ont été renforcés</w:t>
      </w:r>
      <w:r w:rsidR="00430F6C" w:rsidRPr="007E7C5B">
        <w:rPr>
          <w:rStyle w:val="normaltextrun"/>
          <w:rFonts w:ascii="Arial Narrow" w:eastAsiaTheme="majorEastAsia" w:hAnsi="Arial Narrow" w:cs="Arial"/>
          <w:lang w:val="fr-CI"/>
        </w:rPr>
        <w:t xml:space="preserve"> en m</w:t>
      </w:r>
      <w:r w:rsidR="00A16373" w:rsidRPr="007E7C5B">
        <w:rPr>
          <w:rStyle w:val="normaltextrun"/>
          <w:rFonts w:ascii="Arial Narrow" w:eastAsiaTheme="majorEastAsia" w:hAnsi="Arial Narrow" w:cs="Arial"/>
          <w:lang w:val="fr-CI"/>
        </w:rPr>
        <w:t>at</w:t>
      </w:r>
      <w:r w:rsidR="00234EF6" w:rsidRPr="007E7C5B">
        <w:rPr>
          <w:rStyle w:val="normaltextrun"/>
          <w:rFonts w:ascii="Arial Narrow" w:eastAsiaTheme="majorEastAsia" w:hAnsi="Arial Narrow" w:cs="Arial"/>
          <w:lang w:val="fr-CI"/>
        </w:rPr>
        <w:t>ériels biomédical, i</w:t>
      </w:r>
      <w:r w:rsidR="00D127C2" w:rsidRPr="007E7C5B">
        <w:rPr>
          <w:rStyle w:val="normaltextrun"/>
          <w:rFonts w:ascii="Arial Narrow" w:eastAsiaTheme="majorEastAsia" w:hAnsi="Arial Narrow" w:cs="Arial"/>
          <w:lang w:val="fr-CI"/>
        </w:rPr>
        <w:t>nformatique et d</w:t>
      </w:r>
      <w:r w:rsidR="00013EF9" w:rsidRPr="007E7C5B">
        <w:rPr>
          <w:rStyle w:val="normaltextrun"/>
          <w:rFonts w:ascii="Arial Narrow" w:eastAsiaTheme="majorEastAsia" w:hAnsi="Arial Narrow" w:cs="Arial"/>
          <w:lang w:val="fr-CI"/>
        </w:rPr>
        <w:t xml:space="preserve">e </w:t>
      </w:r>
      <w:r w:rsidR="00D127C2" w:rsidRPr="007E7C5B">
        <w:rPr>
          <w:rStyle w:val="normaltextrun"/>
          <w:rFonts w:ascii="Arial Narrow" w:eastAsiaTheme="majorEastAsia" w:hAnsi="Arial Narrow" w:cs="Arial"/>
          <w:lang w:val="fr-CI"/>
        </w:rPr>
        <w:t>bureau</w:t>
      </w:r>
      <w:r w:rsidR="00685D39" w:rsidRPr="007E7C5B">
        <w:rPr>
          <w:rStyle w:val="normaltextrun"/>
          <w:rFonts w:ascii="Arial Narrow" w:eastAsiaTheme="majorEastAsia" w:hAnsi="Arial Narrow" w:cs="Arial"/>
          <w:lang w:val="fr-CI"/>
        </w:rPr>
        <w:t>.</w:t>
      </w:r>
      <w:r w:rsidR="00E33227">
        <w:rPr>
          <w:rStyle w:val="normaltextrun"/>
          <w:rFonts w:ascii="Arial Narrow" w:eastAsiaTheme="majorEastAsia" w:hAnsi="Arial Narrow" w:cs="Arial"/>
          <w:lang w:val="fr-CI"/>
        </w:rPr>
        <w:t xml:space="preserve"> </w:t>
      </w:r>
      <w:r w:rsidR="00D020FB" w:rsidRPr="007E7C5B">
        <w:rPr>
          <w:rStyle w:val="normaltextrun"/>
          <w:rFonts w:ascii="Arial Narrow" w:eastAsiaTheme="majorEastAsia" w:hAnsi="Arial Narrow" w:cs="Arial"/>
          <w:lang w:val="fr-CI"/>
        </w:rPr>
        <w:t>L</w:t>
      </w:r>
      <w:r w:rsidR="008F27FE" w:rsidRPr="007E7C5B">
        <w:rPr>
          <w:rStyle w:val="normaltextrun"/>
          <w:rFonts w:ascii="Arial Narrow" w:eastAsiaTheme="majorEastAsia" w:hAnsi="Arial Narrow" w:cs="Arial"/>
          <w:lang w:val="fr-CI"/>
        </w:rPr>
        <w:t>e</w:t>
      </w:r>
      <w:r w:rsidR="001E533E" w:rsidRPr="007E7C5B">
        <w:rPr>
          <w:rStyle w:val="normaltextrun"/>
          <w:rFonts w:ascii="Arial Narrow" w:eastAsiaTheme="majorEastAsia" w:hAnsi="Arial Narrow" w:cs="Arial"/>
          <w:lang w:val="fr-CI"/>
        </w:rPr>
        <w:t xml:space="preserve"> manuel des normes, proc</w:t>
      </w:r>
      <w:r w:rsidR="001E533E" w:rsidRPr="007E7C5B">
        <w:rPr>
          <w:rStyle w:val="normaltextrun"/>
          <w:rFonts w:ascii="Arial Narrow" w:eastAsiaTheme="majorEastAsia" w:hAnsi="Arial Narrow" w:cs="Arial Narrow"/>
          <w:lang w:val="fr-CI"/>
        </w:rPr>
        <w:t>é</w:t>
      </w:r>
      <w:r w:rsidR="001E533E" w:rsidRPr="007E7C5B">
        <w:rPr>
          <w:rStyle w:val="normaltextrun"/>
          <w:rFonts w:ascii="Arial Narrow" w:eastAsiaTheme="majorEastAsia" w:hAnsi="Arial Narrow" w:cs="Arial"/>
          <w:lang w:val="fr-CI"/>
        </w:rPr>
        <w:t>dures et standards de la recherche en sant</w:t>
      </w:r>
      <w:r w:rsidR="001E533E" w:rsidRPr="007E7C5B">
        <w:rPr>
          <w:rStyle w:val="normaltextrun"/>
          <w:rFonts w:ascii="Arial Narrow" w:eastAsiaTheme="majorEastAsia" w:hAnsi="Arial Narrow" w:cs="Arial Narrow"/>
          <w:lang w:val="fr-CI"/>
        </w:rPr>
        <w:t>é</w:t>
      </w:r>
      <w:r w:rsidR="008F27FE" w:rsidRPr="007E7C5B">
        <w:rPr>
          <w:rStyle w:val="eop"/>
          <w:rFonts w:ascii="Arial Narrow" w:eastAsiaTheme="majorEastAsia" w:hAnsi="Arial Narrow" w:cs="Arial"/>
        </w:rPr>
        <w:t xml:space="preserve"> a </w:t>
      </w:r>
      <w:r w:rsidR="00D020FB" w:rsidRPr="007E7C5B">
        <w:rPr>
          <w:rStyle w:val="eop"/>
          <w:rFonts w:ascii="Arial Narrow" w:eastAsiaTheme="majorEastAsia" w:hAnsi="Arial Narrow" w:cs="Arial"/>
        </w:rPr>
        <w:t>égale</w:t>
      </w:r>
      <w:r w:rsidR="008C2BD9" w:rsidRPr="007E7C5B">
        <w:rPr>
          <w:rStyle w:val="eop"/>
          <w:rFonts w:ascii="Arial Narrow" w:eastAsiaTheme="majorEastAsia" w:hAnsi="Arial Narrow" w:cs="Arial"/>
        </w:rPr>
        <w:t xml:space="preserve">ment </w:t>
      </w:r>
      <w:r w:rsidR="008F27FE" w:rsidRPr="007E7C5B">
        <w:rPr>
          <w:rStyle w:val="eop"/>
          <w:rFonts w:ascii="Arial Narrow" w:eastAsiaTheme="majorEastAsia" w:hAnsi="Arial Narrow" w:cs="Arial"/>
        </w:rPr>
        <w:t>été développé.</w:t>
      </w:r>
    </w:p>
    <w:p w14:paraId="14CCF4DF" w14:textId="66DA4A2B" w:rsidR="001E533E" w:rsidRPr="007E7C5B" w:rsidRDefault="001E533E" w:rsidP="00761F55">
      <w:pPr>
        <w:pStyle w:val="paragraph"/>
        <w:spacing w:before="0" w:beforeAutospacing="0" w:after="0" w:afterAutospacing="0"/>
        <w:ind w:left="720"/>
        <w:jc w:val="both"/>
        <w:textAlignment w:val="baseline"/>
        <w:rPr>
          <w:rFonts w:ascii="Arial Narrow" w:hAnsi="Arial Narrow" w:cs="Arial"/>
        </w:rPr>
      </w:pPr>
    </w:p>
    <w:p w14:paraId="15DADCDD" w14:textId="359AF4B7" w:rsidR="001E533E" w:rsidRPr="007E7C5B" w:rsidRDefault="001E533E" w:rsidP="00761F55">
      <w:pPr>
        <w:pStyle w:val="paragraph"/>
        <w:spacing w:before="0" w:beforeAutospacing="0" w:after="0" w:afterAutospacing="0"/>
        <w:jc w:val="both"/>
        <w:textAlignment w:val="baseline"/>
        <w:rPr>
          <w:rStyle w:val="eop"/>
          <w:rFonts w:ascii="Arial Narrow" w:eastAsiaTheme="majorEastAsia" w:hAnsi="Arial Narrow" w:cs="Arial"/>
        </w:rPr>
      </w:pPr>
      <w:r w:rsidRPr="007E7C5B">
        <w:rPr>
          <w:rStyle w:val="normaltextrun"/>
          <w:rFonts w:ascii="Arial Narrow" w:eastAsiaTheme="majorEastAsia" w:hAnsi="Arial Narrow" w:cs="Arial"/>
          <w:b/>
          <w:lang w:val="fr-CI"/>
        </w:rPr>
        <w:t>S’agissant du renforcement des mécanismes de gouvernance, de coordination, de collaboration et de suivi et évaluation pour la recherche et l'innovation dans le système de santé</w:t>
      </w:r>
      <w:r w:rsidRPr="007E7C5B">
        <w:rPr>
          <w:rStyle w:val="normaltextrun"/>
          <w:rFonts w:ascii="Arial Narrow" w:eastAsiaTheme="majorEastAsia" w:hAnsi="Arial Narrow" w:cs="Arial"/>
          <w:lang w:val="fr-CI"/>
        </w:rPr>
        <w:t xml:space="preserve">, </w:t>
      </w:r>
      <w:r w:rsidR="000A08A1" w:rsidRPr="007E7C5B">
        <w:rPr>
          <w:rStyle w:val="normaltextrun"/>
          <w:rFonts w:ascii="Arial Narrow" w:eastAsiaTheme="majorEastAsia" w:hAnsi="Arial Narrow" w:cs="Arial"/>
          <w:lang w:val="fr-CI"/>
        </w:rPr>
        <w:t>d</w:t>
      </w:r>
      <w:r w:rsidR="00550431" w:rsidRPr="007E7C5B">
        <w:rPr>
          <w:rStyle w:val="normaltextrun"/>
          <w:rFonts w:ascii="Arial Narrow" w:eastAsiaTheme="majorEastAsia" w:hAnsi="Arial Narrow" w:cs="Arial"/>
          <w:lang w:val="fr-CI"/>
        </w:rPr>
        <w:t>es réalisations ont été enregistrées</w:t>
      </w:r>
      <w:r w:rsidR="000A08A1" w:rsidRPr="007E7C5B">
        <w:rPr>
          <w:rStyle w:val="normaltextrun"/>
          <w:rFonts w:ascii="Arial Narrow" w:eastAsiaTheme="majorEastAsia" w:hAnsi="Arial Narrow" w:cs="Arial"/>
          <w:lang w:val="fr-CI"/>
        </w:rPr>
        <w:t xml:space="preserve">, en particuliers la prise des </w:t>
      </w:r>
      <w:r w:rsidR="006D56EE" w:rsidRPr="007E7C5B">
        <w:rPr>
          <w:rStyle w:val="normaltextrun"/>
          <w:rFonts w:ascii="Arial Narrow" w:eastAsiaTheme="majorEastAsia" w:hAnsi="Arial Narrow" w:cs="Arial"/>
          <w:lang w:val="fr-CI"/>
        </w:rPr>
        <w:t xml:space="preserve">arrêtés suivants </w:t>
      </w:r>
      <w:r w:rsidR="00550431" w:rsidRPr="007E7C5B">
        <w:rPr>
          <w:rStyle w:val="normaltextrun"/>
          <w:rFonts w:ascii="Arial Narrow" w:eastAsiaTheme="majorEastAsia" w:hAnsi="Arial Narrow" w:cs="Arial"/>
          <w:lang w:val="fr-CI"/>
        </w:rPr>
        <w:t xml:space="preserve">: </w:t>
      </w:r>
      <w:r w:rsidRPr="007E7C5B">
        <w:rPr>
          <w:rStyle w:val="normaltextrun"/>
          <w:rFonts w:ascii="Arial Narrow" w:eastAsiaTheme="majorEastAsia" w:hAnsi="Arial Narrow" w:cs="Arial"/>
          <w:lang w:val="fr-CI"/>
        </w:rPr>
        <w:t>Arr</w:t>
      </w:r>
      <w:r w:rsidRPr="007E7C5B">
        <w:rPr>
          <w:rStyle w:val="normaltextrun"/>
          <w:rFonts w:ascii="Arial Narrow" w:eastAsiaTheme="majorEastAsia" w:hAnsi="Arial Narrow" w:cs="Arial Narrow"/>
          <w:lang w:val="fr-CI"/>
        </w:rPr>
        <w:t>ê</w:t>
      </w:r>
      <w:r w:rsidRPr="007E7C5B">
        <w:rPr>
          <w:rStyle w:val="normaltextrun"/>
          <w:rFonts w:ascii="Arial Narrow" w:eastAsiaTheme="majorEastAsia" w:hAnsi="Arial Narrow" w:cs="Arial"/>
          <w:lang w:val="fr-CI"/>
        </w:rPr>
        <w:t>t</w:t>
      </w:r>
      <w:r w:rsidRPr="007E7C5B">
        <w:rPr>
          <w:rStyle w:val="normaltextrun"/>
          <w:rFonts w:ascii="Arial Narrow" w:eastAsiaTheme="majorEastAsia" w:hAnsi="Arial Narrow" w:cs="Arial Narrow"/>
          <w:lang w:val="fr-CI"/>
        </w:rPr>
        <w:t>é</w:t>
      </w:r>
      <w:r w:rsidRPr="007E7C5B">
        <w:rPr>
          <w:rStyle w:val="normaltextrun"/>
          <w:rFonts w:ascii="Arial Narrow" w:eastAsiaTheme="majorEastAsia" w:hAnsi="Arial Narrow" w:cs="Arial"/>
          <w:lang w:val="fr-CI"/>
        </w:rPr>
        <w:t xml:space="preserve"> N</w:t>
      </w:r>
      <w:r w:rsidRPr="007E7C5B">
        <w:rPr>
          <w:rStyle w:val="normaltextrun"/>
          <w:rFonts w:ascii="Arial Narrow" w:eastAsiaTheme="majorEastAsia" w:hAnsi="Arial Narrow" w:cs="Arial Narrow"/>
          <w:lang w:val="fr-CI"/>
        </w:rPr>
        <w:t>°</w:t>
      </w:r>
      <w:r w:rsidRPr="007E7C5B">
        <w:rPr>
          <w:rStyle w:val="normaltextrun"/>
          <w:rFonts w:ascii="Arial Narrow" w:eastAsiaTheme="majorEastAsia" w:hAnsi="Arial Narrow" w:cs="Arial"/>
          <w:lang w:val="fr-CI"/>
        </w:rPr>
        <w:t>00040 / MSHPCMU/CAB du</w:t>
      </w:r>
      <w:r w:rsidRPr="007E7C5B">
        <w:rPr>
          <w:rStyle w:val="normaltextrun"/>
          <w:rFonts w:ascii="Arial" w:eastAsiaTheme="majorEastAsia" w:hAnsi="Arial" w:cs="Arial"/>
          <w:lang w:val="fr-CI"/>
        </w:rPr>
        <w:t> </w:t>
      </w:r>
      <w:r w:rsidRPr="007E7C5B">
        <w:rPr>
          <w:rStyle w:val="normaltextrun"/>
          <w:rFonts w:ascii="Arial Narrow" w:eastAsiaTheme="majorEastAsia" w:hAnsi="Arial Narrow" w:cs="Arial"/>
          <w:lang w:val="fr-CI"/>
        </w:rPr>
        <w:t>07 03 2023 portant cr</w:t>
      </w:r>
      <w:r w:rsidRPr="007E7C5B">
        <w:rPr>
          <w:rStyle w:val="normaltextrun"/>
          <w:rFonts w:ascii="Arial Narrow" w:eastAsiaTheme="majorEastAsia" w:hAnsi="Arial Narrow" w:cs="Arial Narrow"/>
          <w:lang w:val="fr-CI"/>
        </w:rPr>
        <w:t>é</w:t>
      </w:r>
      <w:r w:rsidRPr="007E7C5B">
        <w:rPr>
          <w:rStyle w:val="normaltextrun"/>
          <w:rFonts w:ascii="Arial Narrow" w:eastAsiaTheme="majorEastAsia" w:hAnsi="Arial Narrow" w:cs="Arial"/>
          <w:lang w:val="fr-CI"/>
        </w:rPr>
        <w:t>ation, organisation et fonctionnement des organes de gouvernance de la recherche en sant</w:t>
      </w:r>
      <w:r w:rsidRPr="007E7C5B">
        <w:rPr>
          <w:rStyle w:val="normaltextrun"/>
          <w:rFonts w:ascii="Arial Narrow" w:eastAsiaTheme="majorEastAsia" w:hAnsi="Arial Narrow" w:cs="Arial Narrow"/>
          <w:lang w:val="fr-CI"/>
        </w:rPr>
        <w:t>é</w:t>
      </w:r>
      <w:r w:rsidRPr="007E7C5B">
        <w:rPr>
          <w:rStyle w:val="normaltextrun"/>
          <w:rFonts w:ascii="Arial Narrow" w:eastAsiaTheme="majorEastAsia" w:hAnsi="Arial Narrow" w:cs="Arial"/>
          <w:lang w:val="fr-CI"/>
        </w:rPr>
        <w:t xml:space="preserve"> en C</w:t>
      </w:r>
      <w:r w:rsidRPr="007E7C5B">
        <w:rPr>
          <w:rStyle w:val="normaltextrun"/>
          <w:rFonts w:ascii="Arial Narrow" w:eastAsiaTheme="majorEastAsia" w:hAnsi="Arial Narrow" w:cs="Arial Narrow"/>
          <w:lang w:val="fr-CI"/>
        </w:rPr>
        <w:t>ô</w:t>
      </w:r>
      <w:r w:rsidRPr="007E7C5B">
        <w:rPr>
          <w:rStyle w:val="normaltextrun"/>
          <w:rFonts w:ascii="Arial Narrow" w:eastAsiaTheme="majorEastAsia" w:hAnsi="Arial Narrow" w:cs="Arial"/>
          <w:lang w:val="fr-CI"/>
        </w:rPr>
        <w:t>te d</w:t>
      </w:r>
      <w:r w:rsidRPr="007E7C5B">
        <w:rPr>
          <w:rStyle w:val="normaltextrun"/>
          <w:rFonts w:ascii="Arial Narrow" w:eastAsiaTheme="majorEastAsia" w:hAnsi="Arial Narrow" w:cs="Arial Narrow"/>
          <w:lang w:val="fr-CI"/>
        </w:rPr>
        <w:t>’</w:t>
      </w:r>
      <w:r w:rsidRPr="007E7C5B">
        <w:rPr>
          <w:rStyle w:val="normaltextrun"/>
          <w:rFonts w:ascii="Arial Narrow" w:eastAsiaTheme="majorEastAsia" w:hAnsi="Arial Narrow" w:cs="Arial"/>
          <w:lang w:val="fr-CI"/>
        </w:rPr>
        <w:t>Ivoire</w:t>
      </w:r>
      <w:r w:rsidRPr="007E7C5B">
        <w:rPr>
          <w:rStyle w:val="normaltextrun"/>
          <w:rFonts w:ascii="Arial" w:eastAsiaTheme="majorEastAsia" w:hAnsi="Arial" w:cs="Arial"/>
          <w:lang w:val="fr-CI"/>
        </w:rPr>
        <w:t> </w:t>
      </w:r>
      <w:r w:rsidRPr="007E7C5B">
        <w:rPr>
          <w:rStyle w:val="normaltextrun"/>
          <w:rFonts w:ascii="Arial Narrow" w:eastAsiaTheme="majorEastAsia" w:hAnsi="Arial Narrow" w:cs="Arial"/>
          <w:lang w:val="fr-CI"/>
        </w:rPr>
        <w:t>; Arr</w:t>
      </w:r>
      <w:r w:rsidRPr="007E7C5B">
        <w:rPr>
          <w:rStyle w:val="normaltextrun"/>
          <w:rFonts w:ascii="Arial Narrow" w:eastAsiaTheme="majorEastAsia" w:hAnsi="Arial Narrow" w:cs="Arial Narrow"/>
          <w:lang w:val="fr-CI"/>
        </w:rPr>
        <w:t>ê</w:t>
      </w:r>
      <w:r w:rsidRPr="007E7C5B">
        <w:rPr>
          <w:rStyle w:val="normaltextrun"/>
          <w:rFonts w:ascii="Arial Narrow" w:eastAsiaTheme="majorEastAsia" w:hAnsi="Arial Narrow" w:cs="Arial"/>
          <w:lang w:val="fr-CI"/>
        </w:rPr>
        <w:t>t</w:t>
      </w:r>
      <w:r w:rsidRPr="007E7C5B">
        <w:rPr>
          <w:rStyle w:val="normaltextrun"/>
          <w:rFonts w:ascii="Arial Narrow" w:eastAsiaTheme="majorEastAsia" w:hAnsi="Arial Narrow" w:cs="Arial Narrow"/>
          <w:lang w:val="fr-CI"/>
        </w:rPr>
        <w:t>é</w:t>
      </w:r>
      <w:r w:rsidRPr="007E7C5B">
        <w:rPr>
          <w:rStyle w:val="normaltextrun"/>
          <w:rFonts w:ascii="Arial Narrow" w:eastAsiaTheme="majorEastAsia" w:hAnsi="Arial Narrow" w:cs="Arial"/>
          <w:lang w:val="fr-CI"/>
        </w:rPr>
        <w:t xml:space="preserve"> N</w:t>
      </w:r>
      <w:r w:rsidRPr="007E7C5B">
        <w:rPr>
          <w:rStyle w:val="normaltextrun"/>
          <w:rFonts w:ascii="Arial Narrow" w:eastAsiaTheme="majorEastAsia" w:hAnsi="Arial Narrow" w:cs="Arial Narrow"/>
          <w:lang w:val="fr-CI"/>
        </w:rPr>
        <w:t>°</w:t>
      </w:r>
      <w:r w:rsidRPr="007E7C5B">
        <w:rPr>
          <w:rStyle w:val="normaltextrun"/>
          <w:rFonts w:ascii="Arial Narrow" w:eastAsiaTheme="majorEastAsia" w:hAnsi="Arial Narrow" w:cs="Arial"/>
          <w:lang w:val="fr-CI"/>
        </w:rPr>
        <w:t>00041 / MSHPCMU/CAB du</w:t>
      </w:r>
      <w:r w:rsidRPr="007E7C5B">
        <w:rPr>
          <w:rStyle w:val="normaltextrun"/>
          <w:rFonts w:ascii="Arial" w:eastAsiaTheme="majorEastAsia" w:hAnsi="Arial" w:cs="Arial"/>
          <w:lang w:val="fr-CI"/>
        </w:rPr>
        <w:t> </w:t>
      </w:r>
      <w:r w:rsidRPr="007E7C5B">
        <w:rPr>
          <w:rStyle w:val="normaltextrun"/>
          <w:rFonts w:ascii="Arial Narrow" w:eastAsiaTheme="majorEastAsia" w:hAnsi="Arial Narrow" w:cs="Arial"/>
          <w:lang w:val="fr-CI"/>
        </w:rPr>
        <w:t>07 03 2023 portant proc</w:t>
      </w:r>
      <w:r w:rsidRPr="007E7C5B">
        <w:rPr>
          <w:rStyle w:val="normaltextrun"/>
          <w:rFonts w:ascii="Arial Narrow" w:eastAsiaTheme="majorEastAsia" w:hAnsi="Arial Narrow" w:cs="Arial Narrow"/>
          <w:lang w:val="fr-CI"/>
        </w:rPr>
        <w:t>é</w:t>
      </w:r>
      <w:r w:rsidRPr="007E7C5B">
        <w:rPr>
          <w:rStyle w:val="normaltextrun"/>
          <w:rFonts w:ascii="Arial Narrow" w:eastAsiaTheme="majorEastAsia" w:hAnsi="Arial Narrow" w:cs="Arial"/>
          <w:lang w:val="fr-CI"/>
        </w:rPr>
        <w:t>dure d</w:t>
      </w:r>
      <w:r w:rsidRPr="007E7C5B">
        <w:rPr>
          <w:rStyle w:val="normaltextrun"/>
          <w:rFonts w:ascii="Arial Narrow" w:eastAsiaTheme="majorEastAsia" w:hAnsi="Arial Narrow" w:cs="Arial Narrow"/>
          <w:lang w:val="fr-CI"/>
        </w:rPr>
        <w:t>’</w:t>
      </w:r>
      <w:r w:rsidRPr="007E7C5B">
        <w:rPr>
          <w:rStyle w:val="normaltextrun"/>
          <w:rFonts w:ascii="Arial Narrow" w:eastAsiaTheme="majorEastAsia" w:hAnsi="Arial Narrow" w:cs="Arial"/>
          <w:lang w:val="fr-CI"/>
        </w:rPr>
        <w:t>autorisation administrative des projets de recherche en sant</w:t>
      </w:r>
      <w:r w:rsidRPr="007E7C5B">
        <w:rPr>
          <w:rStyle w:val="normaltextrun"/>
          <w:rFonts w:ascii="Arial Narrow" w:eastAsiaTheme="majorEastAsia" w:hAnsi="Arial Narrow" w:cs="Arial Narrow"/>
          <w:lang w:val="fr-CI"/>
        </w:rPr>
        <w:t>é</w:t>
      </w:r>
      <w:r w:rsidRPr="007E7C5B">
        <w:rPr>
          <w:rStyle w:val="normaltextrun"/>
          <w:rFonts w:ascii="Arial Narrow" w:eastAsiaTheme="majorEastAsia" w:hAnsi="Arial Narrow" w:cs="Arial"/>
        </w:rPr>
        <w:t>.</w:t>
      </w:r>
      <w:r w:rsidRPr="007E7C5B">
        <w:rPr>
          <w:rStyle w:val="eop"/>
          <w:rFonts w:ascii="Arial Narrow" w:eastAsiaTheme="majorEastAsia" w:hAnsi="Arial Narrow" w:cs="Arial"/>
        </w:rPr>
        <w:t> </w:t>
      </w:r>
    </w:p>
    <w:p w14:paraId="008577D4" w14:textId="77777777" w:rsidR="00B765D6" w:rsidRPr="007E7C5B" w:rsidRDefault="00B765D6" w:rsidP="00C31886">
      <w:pPr>
        <w:pStyle w:val="paragraph"/>
        <w:spacing w:before="0" w:beforeAutospacing="0" w:after="0" w:afterAutospacing="0"/>
        <w:jc w:val="both"/>
        <w:textAlignment w:val="baseline"/>
        <w:rPr>
          <w:rStyle w:val="normaltextrun"/>
          <w:rFonts w:ascii="Arial Narrow" w:eastAsiaTheme="majorEastAsia" w:hAnsi="Arial Narrow"/>
          <w:lang w:val="fr-CI"/>
        </w:rPr>
      </w:pPr>
    </w:p>
    <w:p w14:paraId="76EA2A1C" w14:textId="6A66B047" w:rsidR="00C31886" w:rsidRPr="007E7C5B" w:rsidRDefault="00C31886" w:rsidP="00C31886">
      <w:pPr>
        <w:pStyle w:val="paragraph"/>
        <w:spacing w:before="0" w:beforeAutospacing="0" w:after="0" w:afterAutospacing="0"/>
        <w:jc w:val="both"/>
        <w:textAlignment w:val="baseline"/>
        <w:rPr>
          <w:rStyle w:val="normaltextrun"/>
          <w:rFonts w:ascii="Arial Narrow" w:eastAsiaTheme="majorEastAsia" w:hAnsi="Arial Narrow"/>
          <w:lang w:val="fr-CI"/>
        </w:rPr>
      </w:pPr>
      <w:r w:rsidRPr="007E7C5B">
        <w:rPr>
          <w:rStyle w:val="normaltextrun"/>
          <w:rFonts w:ascii="Arial Narrow" w:eastAsiaTheme="majorEastAsia" w:hAnsi="Arial Narrow"/>
          <w:lang w:val="fr-CI"/>
        </w:rPr>
        <w:t>Le renforcement d</w:t>
      </w:r>
      <w:r w:rsidR="00A22D0B" w:rsidRPr="007E7C5B">
        <w:rPr>
          <w:rStyle w:val="normaltextrun"/>
          <w:rFonts w:ascii="Arial Narrow" w:eastAsiaTheme="majorEastAsia" w:hAnsi="Arial Narrow"/>
          <w:lang w:val="fr-CI"/>
        </w:rPr>
        <w:t>es mécanismes de gouvernance</w:t>
      </w:r>
      <w:r w:rsidRPr="007E7C5B">
        <w:rPr>
          <w:rStyle w:val="normaltextrun"/>
          <w:rFonts w:ascii="Arial Narrow" w:eastAsiaTheme="majorEastAsia" w:hAnsi="Arial Narrow"/>
          <w:lang w:val="fr-CI"/>
        </w:rPr>
        <w:t xml:space="preserve"> </w:t>
      </w:r>
      <w:r w:rsidR="00BE7677" w:rsidRPr="007E7C5B">
        <w:rPr>
          <w:rStyle w:val="normaltextrun"/>
          <w:rFonts w:ascii="Arial Narrow" w:eastAsiaTheme="majorEastAsia" w:hAnsi="Arial Narrow"/>
          <w:lang w:val="fr-CI"/>
        </w:rPr>
        <w:t>a contribué à la mise en œuvre d</w:t>
      </w:r>
      <w:r w:rsidRPr="007E7C5B">
        <w:rPr>
          <w:rStyle w:val="normaltextrun"/>
          <w:rFonts w:ascii="Arial Narrow" w:eastAsiaTheme="majorEastAsia" w:hAnsi="Arial Narrow"/>
          <w:lang w:val="fr-CI"/>
        </w:rPr>
        <w:t>es projets de recherche suivants :</w:t>
      </w:r>
    </w:p>
    <w:p w14:paraId="7C2BD8C1" w14:textId="77777777" w:rsidR="00B765D6" w:rsidRPr="007E7C5B" w:rsidRDefault="00B765D6" w:rsidP="00C31886">
      <w:pPr>
        <w:pStyle w:val="paragraph"/>
        <w:spacing w:before="0" w:beforeAutospacing="0" w:after="0" w:afterAutospacing="0"/>
        <w:jc w:val="both"/>
        <w:textAlignment w:val="baseline"/>
        <w:rPr>
          <w:rStyle w:val="normaltextrun"/>
          <w:rFonts w:ascii="Arial Narrow" w:eastAsiaTheme="majorEastAsia" w:hAnsi="Arial Narrow"/>
          <w:lang w:val="fr-CI"/>
        </w:rPr>
      </w:pPr>
    </w:p>
    <w:p w14:paraId="105E7919" w14:textId="34F310E7" w:rsidR="00C31886" w:rsidRPr="007E7C5B" w:rsidRDefault="00C31886" w:rsidP="000A1A7B">
      <w:pPr>
        <w:pStyle w:val="Paragraphedeliste"/>
        <w:numPr>
          <w:ilvl w:val="0"/>
          <w:numId w:val="16"/>
        </w:numPr>
        <w:ind w:left="426"/>
        <w:jc w:val="both"/>
        <w:rPr>
          <w:rFonts w:ascii="Arial Narrow" w:eastAsia="Times New Roman" w:hAnsi="Arial Narrow"/>
          <w:kern w:val="0"/>
          <w:sz w:val="24"/>
          <w:szCs w:val="24"/>
          <w:lang w:eastAsia="fr-FR"/>
          <w14:ligatures w14:val="none"/>
        </w:rPr>
      </w:pPr>
      <w:r w:rsidRPr="007E7C5B">
        <w:rPr>
          <w:rFonts w:ascii="Arial Narrow" w:eastAsia="Times New Roman" w:hAnsi="Arial Narrow"/>
          <w:sz w:val="24"/>
          <w:szCs w:val="24"/>
          <w:lang w:eastAsia="fr-FR"/>
        </w:rPr>
        <w:t>Évaluation de la capacité du calculateur de fer à estimer les apports alimentaires en fer des enfants de 6 à 36 mois en Côte d’Ivoire</w:t>
      </w:r>
      <w:r w:rsidRPr="007E7C5B">
        <w:rPr>
          <w:rFonts w:ascii="Arial" w:eastAsia="Times New Roman" w:hAnsi="Arial" w:cs="Arial"/>
          <w:sz w:val="24"/>
          <w:szCs w:val="24"/>
          <w:lang w:eastAsia="fr-FR"/>
        </w:rPr>
        <w:t> </w:t>
      </w:r>
      <w:r w:rsidRPr="007E7C5B">
        <w:rPr>
          <w:rFonts w:ascii="Arial Narrow" w:eastAsia="Times New Roman" w:hAnsi="Arial Narrow"/>
          <w:sz w:val="24"/>
          <w:szCs w:val="24"/>
          <w:lang w:eastAsia="fr-FR"/>
        </w:rPr>
        <w:t>;</w:t>
      </w:r>
    </w:p>
    <w:p w14:paraId="1358708D" w14:textId="4B6604D9" w:rsidR="00C31886" w:rsidRPr="007E7C5B" w:rsidRDefault="00C31886" w:rsidP="000A1A7B">
      <w:pPr>
        <w:pStyle w:val="Paragraphedeliste"/>
        <w:numPr>
          <w:ilvl w:val="0"/>
          <w:numId w:val="16"/>
        </w:numPr>
        <w:ind w:left="426"/>
        <w:jc w:val="both"/>
        <w:rPr>
          <w:rFonts w:ascii="Arial Narrow" w:eastAsia="Times New Roman" w:hAnsi="Arial Narrow"/>
          <w:kern w:val="0"/>
          <w:sz w:val="24"/>
          <w:szCs w:val="24"/>
          <w:lang w:eastAsia="fr-FR"/>
          <w14:ligatures w14:val="none"/>
        </w:rPr>
      </w:pPr>
      <w:r w:rsidRPr="007E7C5B">
        <w:rPr>
          <w:rFonts w:ascii="Arial Narrow" w:eastAsia="Times New Roman" w:hAnsi="Arial Narrow"/>
          <w:sz w:val="24"/>
          <w:szCs w:val="24"/>
          <w:lang w:eastAsia="fr-FR"/>
        </w:rPr>
        <w:t>Analyse comparative de la pratique de l’alimentation du nourrisson et du jeune enfant dans les zones à fortes prévalences de la malnutrition versus les zones à faibles prévalences de la malnutrition des enfants de 0-24 mois</w:t>
      </w:r>
      <w:r w:rsidRPr="007E7C5B">
        <w:rPr>
          <w:rFonts w:ascii="Arial" w:eastAsia="Times New Roman" w:hAnsi="Arial" w:cs="Arial"/>
          <w:sz w:val="24"/>
          <w:szCs w:val="24"/>
          <w:lang w:eastAsia="fr-FR"/>
        </w:rPr>
        <w:t> </w:t>
      </w:r>
      <w:r w:rsidRPr="007E7C5B">
        <w:rPr>
          <w:rFonts w:ascii="Arial Narrow" w:eastAsia="Times New Roman" w:hAnsi="Arial Narrow"/>
          <w:sz w:val="24"/>
          <w:szCs w:val="24"/>
          <w:lang w:eastAsia="fr-FR"/>
        </w:rPr>
        <w:t xml:space="preserve">; </w:t>
      </w:r>
    </w:p>
    <w:p w14:paraId="42E29B1A" w14:textId="6CB4C78F" w:rsidR="00C31886" w:rsidRPr="007E7C5B" w:rsidRDefault="00C31886" w:rsidP="000A1A7B">
      <w:pPr>
        <w:pStyle w:val="Paragraphedeliste"/>
        <w:numPr>
          <w:ilvl w:val="0"/>
          <w:numId w:val="16"/>
        </w:numPr>
        <w:ind w:left="426"/>
        <w:jc w:val="both"/>
        <w:rPr>
          <w:rFonts w:ascii="Arial Narrow" w:eastAsia="Times New Roman" w:hAnsi="Arial Narrow"/>
          <w:kern w:val="0"/>
          <w:sz w:val="24"/>
          <w:szCs w:val="24"/>
          <w:lang w:eastAsia="fr-FR"/>
          <w14:ligatures w14:val="none"/>
        </w:rPr>
      </w:pPr>
      <w:r w:rsidRPr="007E7C5B">
        <w:rPr>
          <w:rFonts w:ascii="Arial Narrow" w:eastAsia="Times New Roman" w:hAnsi="Arial Narrow"/>
          <w:sz w:val="24"/>
          <w:szCs w:val="24"/>
          <w:lang w:eastAsia="fr-FR"/>
        </w:rPr>
        <w:t>Étude de la diversité et de la composition nutritionnelle des ressources locales pour l’alimentation de complément des enfants de 6 à 24 mois dans les zones à forte prévalence de la malnutrition en Côte d’Ivoire</w:t>
      </w:r>
      <w:r w:rsidRPr="007E7C5B">
        <w:rPr>
          <w:rFonts w:ascii="Arial" w:eastAsia="Times New Roman" w:hAnsi="Arial" w:cs="Arial"/>
          <w:sz w:val="24"/>
          <w:szCs w:val="24"/>
          <w:lang w:eastAsia="fr-FR"/>
        </w:rPr>
        <w:t> </w:t>
      </w:r>
      <w:r w:rsidRPr="007E7C5B">
        <w:rPr>
          <w:rFonts w:ascii="Arial Narrow" w:eastAsia="Times New Roman" w:hAnsi="Arial Narrow"/>
          <w:sz w:val="24"/>
          <w:szCs w:val="24"/>
          <w:lang w:eastAsia="fr-FR"/>
        </w:rPr>
        <w:t xml:space="preserve">; </w:t>
      </w:r>
    </w:p>
    <w:p w14:paraId="0A651209" w14:textId="28673E2A" w:rsidR="00C31886" w:rsidRPr="007E7C5B" w:rsidRDefault="00C31886" w:rsidP="000A1A7B">
      <w:pPr>
        <w:pStyle w:val="Paragraphedeliste"/>
        <w:numPr>
          <w:ilvl w:val="0"/>
          <w:numId w:val="16"/>
        </w:numPr>
        <w:ind w:left="426"/>
        <w:jc w:val="both"/>
        <w:rPr>
          <w:rFonts w:ascii="Arial Narrow" w:eastAsia="Times New Roman" w:hAnsi="Arial Narrow"/>
          <w:kern w:val="0"/>
          <w:sz w:val="24"/>
          <w:szCs w:val="24"/>
          <w:lang w:eastAsia="fr-FR"/>
          <w14:ligatures w14:val="none"/>
        </w:rPr>
      </w:pPr>
      <w:r w:rsidRPr="007E7C5B">
        <w:rPr>
          <w:rFonts w:ascii="Arial Narrow" w:eastAsia="Times New Roman" w:hAnsi="Arial Narrow"/>
          <w:sz w:val="24"/>
          <w:szCs w:val="24"/>
          <w:lang w:eastAsia="fr-FR"/>
        </w:rPr>
        <w:t>Profil nutritionnel du lait maternel durant la période d'allaitement de 0 à 6 mois</w:t>
      </w:r>
      <w:r w:rsidRPr="007E7C5B">
        <w:rPr>
          <w:rFonts w:ascii="Arial" w:eastAsia="Times New Roman" w:hAnsi="Arial" w:cs="Arial"/>
          <w:sz w:val="24"/>
          <w:szCs w:val="24"/>
          <w:lang w:eastAsia="fr-FR"/>
        </w:rPr>
        <w:t> </w:t>
      </w:r>
      <w:r w:rsidRPr="007E7C5B">
        <w:rPr>
          <w:rFonts w:ascii="Arial Narrow" w:eastAsia="Times New Roman" w:hAnsi="Arial Narrow"/>
          <w:sz w:val="24"/>
          <w:szCs w:val="24"/>
          <w:lang w:eastAsia="fr-FR"/>
        </w:rPr>
        <w:t xml:space="preserve">; </w:t>
      </w:r>
    </w:p>
    <w:p w14:paraId="627191B9" w14:textId="086F4365" w:rsidR="00C31886" w:rsidRPr="007E7C5B" w:rsidRDefault="00C31886" w:rsidP="000A1A7B">
      <w:pPr>
        <w:pStyle w:val="Paragraphedeliste"/>
        <w:numPr>
          <w:ilvl w:val="0"/>
          <w:numId w:val="16"/>
        </w:numPr>
        <w:ind w:left="426"/>
        <w:jc w:val="both"/>
        <w:rPr>
          <w:rFonts w:ascii="Arial Narrow" w:eastAsia="Times New Roman" w:hAnsi="Arial Narrow"/>
          <w:kern w:val="0"/>
          <w:sz w:val="24"/>
          <w:szCs w:val="24"/>
          <w:lang w:eastAsia="fr-FR"/>
          <w14:ligatures w14:val="none"/>
        </w:rPr>
      </w:pPr>
      <w:r w:rsidRPr="007E7C5B">
        <w:rPr>
          <w:rFonts w:ascii="Arial Narrow" w:eastAsia="Times New Roman" w:hAnsi="Arial Narrow"/>
          <w:sz w:val="24"/>
          <w:szCs w:val="24"/>
          <w:lang w:eastAsia="fr-FR"/>
        </w:rPr>
        <w:t>Statut oxydant du nourrisson : Cas des jeunes enfants suivis pour diversification alimentaire au service maternel et infantile de l’INSP à Adjamé, six mois après l’allaitement maternel exclusif</w:t>
      </w:r>
      <w:r w:rsidRPr="007E7C5B">
        <w:rPr>
          <w:rFonts w:ascii="Arial" w:eastAsia="Times New Roman" w:hAnsi="Arial" w:cs="Arial"/>
          <w:sz w:val="24"/>
          <w:szCs w:val="24"/>
          <w:lang w:eastAsia="fr-FR"/>
        </w:rPr>
        <w:t> </w:t>
      </w:r>
      <w:r w:rsidRPr="007E7C5B">
        <w:rPr>
          <w:rFonts w:ascii="Arial Narrow" w:eastAsia="Times New Roman" w:hAnsi="Arial Narrow"/>
          <w:sz w:val="24"/>
          <w:szCs w:val="24"/>
          <w:lang w:eastAsia="fr-FR"/>
        </w:rPr>
        <w:t xml:space="preserve">; </w:t>
      </w:r>
    </w:p>
    <w:p w14:paraId="39F057B9" w14:textId="5C1DD1D1" w:rsidR="00C31886" w:rsidRPr="007E7C5B" w:rsidRDefault="00C31886" w:rsidP="000A1A7B">
      <w:pPr>
        <w:pStyle w:val="Paragraphedeliste"/>
        <w:numPr>
          <w:ilvl w:val="0"/>
          <w:numId w:val="16"/>
        </w:numPr>
        <w:ind w:left="426"/>
        <w:jc w:val="both"/>
        <w:rPr>
          <w:rFonts w:ascii="Arial Narrow" w:eastAsia="Times New Roman" w:hAnsi="Arial Narrow"/>
          <w:kern w:val="0"/>
          <w:sz w:val="24"/>
          <w:szCs w:val="24"/>
          <w:lang w:eastAsia="fr-FR"/>
          <w14:ligatures w14:val="none"/>
        </w:rPr>
      </w:pPr>
      <w:r w:rsidRPr="007E7C5B">
        <w:rPr>
          <w:rFonts w:ascii="Arial Narrow" w:eastAsia="Times New Roman" w:hAnsi="Arial Narrow"/>
          <w:sz w:val="24"/>
          <w:szCs w:val="24"/>
          <w:lang w:eastAsia="fr-FR"/>
        </w:rPr>
        <w:t xml:space="preserve">Surveillance passive de la THA en Côte d’Ivoire du Projet « </w:t>
      </w:r>
      <w:proofErr w:type="spellStart"/>
      <w:r w:rsidRPr="007E7C5B">
        <w:rPr>
          <w:rFonts w:ascii="Arial Narrow" w:eastAsia="Times New Roman" w:hAnsi="Arial Narrow"/>
          <w:sz w:val="24"/>
          <w:szCs w:val="24"/>
          <w:lang w:eastAsia="fr-FR"/>
        </w:rPr>
        <w:t>Trypa</w:t>
      </w:r>
      <w:proofErr w:type="spellEnd"/>
      <w:r w:rsidRPr="007E7C5B">
        <w:rPr>
          <w:rFonts w:ascii="Arial Narrow" w:eastAsia="Times New Roman" w:hAnsi="Arial Narrow"/>
          <w:sz w:val="24"/>
          <w:szCs w:val="24"/>
          <w:lang w:eastAsia="fr-FR"/>
        </w:rPr>
        <w:t>-</w:t>
      </w:r>
      <w:proofErr w:type="gramStart"/>
      <w:r w:rsidRPr="007E7C5B">
        <w:rPr>
          <w:rFonts w:ascii="Arial Narrow" w:eastAsia="Times New Roman" w:hAnsi="Arial Narrow"/>
          <w:sz w:val="24"/>
          <w:szCs w:val="24"/>
          <w:lang w:eastAsia="fr-FR"/>
        </w:rPr>
        <w:t>NO!</w:t>
      </w:r>
      <w:proofErr w:type="gramEnd"/>
      <w:r w:rsidRPr="007E7C5B">
        <w:rPr>
          <w:rFonts w:ascii="Arial Narrow" w:eastAsia="Times New Roman" w:hAnsi="Arial Narrow"/>
          <w:sz w:val="24"/>
          <w:szCs w:val="24"/>
          <w:lang w:eastAsia="fr-FR"/>
        </w:rPr>
        <w:t> » ;</w:t>
      </w:r>
    </w:p>
    <w:p w14:paraId="5462352A" w14:textId="2633309F" w:rsidR="00C31886" w:rsidRPr="007E7C5B" w:rsidRDefault="00C31886" w:rsidP="000A1A7B">
      <w:pPr>
        <w:pStyle w:val="Paragraphedeliste"/>
        <w:numPr>
          <w:ilvl w:val="0"/>
          <w:numId w:val="16"/>
        </w:numPr>
        <w:ind w:left="426"/>
        <w:jc w:val="both"/>
        <w:rPr>
          <w:rFonts w:ascii="Arial Narrow" w:eastAsia="Times New Roman" w:hAnsi="Arial Narrow"/>
          <w:kern w:val="0"/>
          <w:sz w:val="24"/>
          <w:szCs w:val="24"/>
          <w:lang w:eastAsia="fr-FR"/>
          <w14:ligatures w14:val="none"/>
        </w:rPr>
      </w:pPr>
      <w:proofErr w:type="spellStart"/>
      <w:r w:rsidRPr="007E7C5B">
        <w:rPr>
          <w:rFonts w:ascii="Arial Narrow" w:eastAsia="Times New Roman" w:hAnsi="Arial Narrow"/>
          <w:sz w:val="24"/>
          <w:szCs w:val="24"/>
          <w:lang w:eastAsia="fr-FR"/>
        </w:rPr>
        <w:t>Trypa</w:t>
      </w:r>
      <w:proofErr w:type="spellEnd"/>
      <w:r w:rsidRPr="007E7C5B">
        <w:rPr>
          <w:rFonts w:ascii="Arial Narrow" w:eastAsia="Times New Roman" w:hAnsi="Arial Narrow"/>
          <w:sz w:val="24"/>
          <w:szCs w:val="24"/>
          <w:lang w:eastAsia="fr-FR"/>
        </w:rPr>
        <w:t>-No ! 2</w:t>
      </w:r>
      <w:r w:rsidRPr="007E7C5B">
        <w:rPr>
          <w:rFonts w:ascii="Arial" w:eastAsia="Times New Roman" w:hAnsi="Arial" w:cs="Arial"/>
          <w:sz w:val="24"/>
          <w:szCs w:val="24"/>
          <w:lang w:eastAsia="fr-FR"/>
        </w:rPr>
        <w:t> </w:t>
      </w:r>
      <w:r w:rsidRPr="007E7C5B">
        <w:rPr>
          <w:rFonts w:ascii="Arial Narrow" w:eastAsia="Times New Roman" w:hAnsi="Arial Narrow"/>
          <w:sz w:val="24"/>
          <w:szCs w:val="24"/>
          <w:lang w:eastAsia="fr-FR"/>
        </w:rPr>
        <w:t xml:space="preserve">; </w:t>
      </w:r>
    </w:p>
    <w:p w14:paraId="569E67BF" w14:textId="43DDA226" w:rsidR="00C31886" w:rsidRPr="007E7C5B" w:rsidRDefault="00C31886" w:rsidP="000A1A7B">
      <w:pPr>
        <w:pStyle w:val="Paragraphedeliste"/>
        <w:numPr>
          <w:ilvl w:val="0"/>
          <w:numId w:val="16"/>
        </w:numPr>
        <w:ind w:left="426"/>
        <w:jc w:val="both"/>
        <w:rPr>
          <w:rFonts w:ascii="Arial Narrow" w:eastAsia="Times New Roman" w:hAnsi="Arial Narrow"/>
          <w:kern w:val="0"/>
          <w:sz w:val="24"/>
          <w:szCs w:val="24"/>
          <w:lang w:eastAsia="fr-FR"/>
          <w14:ligatures w14:val="none"/>
        </w:rPr>
      </w:pPr>
      <w:proofErr w:type="spellStart"/>
      <w:r w:rsidRPr="007E7C5B">
        <w:rPr>
          <w:rFonts w:ascii="Arial Narrow" w:eastAsia="Times New Roman" w:hAnsi="Arial Narrow"/>
          <w:sz w:val="24"/>
          <w:szCs w:val="24"/>
          <w:lang w:eastAsia="fr-FR"/>
        </w:rPr>
        <w:t>Controlling</w:t>
      </w:r>
      <w:proofErr w:type="spellEnd"/>
      <w:r w:rsidRPr="007E7C5B">
        <w:rPr>
          <w:rFonts w:ascii="Arial Narrow" w:eastAsia="Times New Roman" w:hAnsi="Arial Narrow"/>
          <w:sz w:val="24"/>
          <w:szCs w:val="24"/>
          <w:lang w:eastAsia="fr-FR"/>
        </w:rPr>
        <w:t xml:space="preserve"> and </w:t>
      </w:r>
      <w:proofErr w:type="spellStart"/>
      <w:r w:rsidRPr="007E7C5B">
        <w:rPr>
          <w:rFonts w:ascii="Arial Narrow" w:eastAsia="Times New Roman" w:hAnsi="Arial Narrow"/>
          <w:sz w:val="24"/>
          <w:szCs w:val="24"/>
          <w:lang w:eastAsia="fr-FR"/>
        </w:rPr>
        <w:t>progressively</w:t>
      </w:r>
      <w:proofErr w:type="spellEnd"/>
      <w:r w:rsidRPr="007E7C5B">
        <w:rPr>
          <w:rFonts w:ascii="Arial Narrow" w:eastAsia="Times New Roman" w:hAnsi="Arial Narrow"/>
          <w:sz w:val="24"/>
          <w:szCs w:val="24"/>
          <w:lang w:eastAsia="fr-FR"/>
        </w:rPr>
        <w:t xml:space="preserve"> </w:t>
      </w:r>
      <w:proofErr w:type="spellStart"/>
      <w:r w:rsidRPr="007E7C5B">
        <w:rPr>
          <w:rFonts w:ascii="Arial Narrow" w:eastAsia="Times New Roman" w:hAnsi="Arial Narrow"/>
          <w:sz w:val="24"/>
          <w:szCs w:val="24"/>
          <w:lang w:eastAsia="fr-FR"/>
        </w:rPr>
        <w:t>Minimizing</w:t>
      </w:r>
      <w:proofErr w:type="spellEnd"/>
      <w:r w:rsidRPr="007E7C5B">
        <w:rPr>
          <w:rFonts w:ascii="Arial Narrow" w:eastAsia="Times New Roman" w:hAnsi="Arial Narrow"/>
          <w:sz w:val="24"/>
          <w:szCs w:val="24"/>
          <w:lang w:eastAsia="fr-FR"/>
        </w:rPr>
        <w:t xml:space="preserve"> the </w:t>
      </w:r>
      <w:proofErr w:type="spellStart"/>
      <w:r w:rsidRPr="007E7C5B">
        <w:rPr>
          <w:rFonts w:ascii="Arial Narrow" w:eastAsia="Times New Roman" w:hAnsi="Arial Narrow"/>
          <w:sz w:val="24"/>
          <w:szCs w:val="24"/>
          <w:lang w:eastAsia="fr-FR"/>
        </w:rPr>
        <w:t>Burden</w:t>
      </w:r>
      <w:proofErr w:type="spellEnd"/>
      <w:r w:rsidRPr="007E7C5B">
        <w:rPr>
          <w:rFonts w:ascii="Arial Narrow" w:eastAsia="Times New Roman" w:hAnsi="Arial Narrow"/>
          <w:sz w:val="24"/>
          <w:szCs w:val="24"/>
          <w:lang w:eastAsia="fr-FR"/>
        </w:rPr>
        <w:t xml:space="preserve"> of Animal </w:t>
      </w:r>
      <w:proofErr w:type="spellStart"/>
      <w:r w:rsidRPr="007E7C5B">
        <w:rPr>
          <w:rFonts w:ascii="Arial Narrow" w:eastAsia="Times New Roman" w:hAnsi="Arial Narrow"/>
          <w:sz w:val="24"/>
          <w:szCs w:val="24"/>
          <w:lang w:eastAsia="fr-FR"/>
        </w:rPr>
        <w:t>Trypanosomosis</w:t>
      </w:r>
      <w:proofErr w:type="spellEnd"/>
      <w:r w:rsidRPr="007E7C5B">
        <w:rPr>
          <w:rFonts w:ascii="Arial Narrow" w:eastAsia="Times New Roman" w:hAnsi="Arial Narrow"/>
          <w:sz w:val="24"/>
          <w:szCs w:val="24"/>
          <w:lang w:eastAsia="fr-FR"/>
        </w:rPr>
        <w:t xml:space="preserve"> (COMBAT)</w:t>
      </w:r>
      <w:r w:rsidR="0091061A" w:rsidRPr="007E7C5B">
        <w:rPr>
          <w:rFonts w:ascii="Arial Narrow" w:eastAsia="Times New Roman" w:hAnsi="Arial Narrow"/>
          <w:sz w:val="24"/>
          <w:szCs w:val="24"/>
          <w:lang w:eastAsia="fr-FR"/>
        </w:rPr>
        <w:t xml:space="preserve"> : </w:t>
      </w:r>
      <w:r w:rsidRPr="007E7C5B">
        <w:rPr>
          <w:rFonts w:ascii="Arial Narrow" w:eastAsia="Times New Roman" w:hAnsi="Arial Narrow"/>
          <w:sz w:val="24"/>
          <w:szCs w:val="24"/>
          <w:lang w:eastAsia="fr-FR"/>
        </w:rPr>
        <w:t>Réduire progressivement le fardeau de la trypanosomiase animale</w:t>
      </w:r>
      <w:r w:rsidR="0091061A" w:rsidRPr="007E7C5B">
        <w:rPr>
          <w:rFonts w:ascii="Arial Narrow" w:eastAsia="Times New Roman" w:hAnsi="Arial Narrow"/>
          <w:sz w:val="24"/>
          <w:szCs w:val="24"/>
          <w:lang w:eastAsia="fr-FR"/>
        </w:rPr>
        <w:t xml:space="preserve"> </w:t>
      </w:r>
      <w:r w:rsidRPr="007E7C5B">
        <w:rPr>
          <w:rFonts w:ascii="Arial Narrow" w:eastAsia="Times New Roman" w:hAnsi="Arial Narrow"/>
          <w:sz w:val="24"/>
          <w:szCs w:val="24"/>
          <w:lang w:eastAsia="fr-FR"/>
        </w:rPr>
        <w:t xml:space="preserve">; </w:t>
      </w:r>
    </w:p>
    <w:p w14:paraId="15FEDBE9" w14:textId="3AD73F90" w:rsidR="00C31886" w:rsidRPr="007E7C5B" w:rsidRDefault="00C31886" w:rsidP="000A1A7B">
      <w:pPr>
        <w:pStyle w:val="Paragraphedeliste"/>
        <w:numPr>
          <w:ilvl w:val="0"/>
          <w:numId w:val="16"/>
        </w:numPr>
        <w:ind w:left="426"/>
        <w:jc w:val="both"/>
        <w:rPr>
          <w:rFonts w:ascii="Arial Narrow" w:eastAsia="Times New Roman" w:hAnsi="Arial Narrow"/>
          <w:kern w:val="0"/>
          <w:sz w:val="24"/>
          <w:szCs w:val="24"/>
          <w:lang w:eastAsia="fr-FR"/>
          <w14:ligatures w14:val="none"/>
        </w:rPr>
      </w:pPr>
      <w:r w:rsidRPr="007E7C5B">
        <w:rPr>
          <w:rFonts w:ascii="Arial Narrow" w:eastAsia="Times New Roman" w:hAnsi="Arial Narrow"/>
          <w:sz w:val="24"/>
          <w:szCs w:val="24"/>
          <w:lang w:eastAsia="fr-FR"/>
        </w:rPr>
        <w:t>REACT 2 : Améliorer l’accès à la prévention, au diagnostic et aux soins pour les communautés rurales vulnérables</w:t>
      </w:r>
      <w:r w:rsidRPr="007E7C5B">
        <w:rPr>
          <w:rFonts w:ascii="Arial" w:eastAsia="Times New Roman" w:hAnsi="Arial" w:cs="Arial"/>
          <w:sz w:val="24"/>
          <w:szCs w:val="24"/>
          <w:lang w:eastAsia="fr-FR"/>
        </w:rPr>
        <w:t> </w:t>
      </w:r>
      <w:r w:rsidRPr="007E7C5B">
        <w:rPr>
          <w:rFonts w:ascii="Arial Narrow" w:eastAsia="Times New Roman" w:hAnsi="Arial Narrow"/>
          <w:sz w:val="24"/>
          <w:szCs w:val="24"/>
          <w:lang w:eastAsia="fr-FR"/>
        </w:rPr>
        <w:t xml:space="preserve">; </w:t>
      </w:r>
    </w:p>
    <w:p w14:paraId="6D474518" w14:textId="4C973AD2" w:rsidR="00C31886" w:rsidRPr="00476D59" w:rsidRDefault="00C31886" w:rsidP="000A1A7B">
      <w:pPr>
        <w:pStyle w:val="Paragraphedeliste"/>
        <w:numPr>
          <w:ilvl w:val="0"/>
          <w:numId w:val="16"/>
        </w:numPr>
        <w:ind w:left="426"/>
        <w:jc w:val="both"/>
        <w:rPr>
          <w:rFonts w:ascii="Arial Narrow" w:eastAsia="Times New Roman" w:hAnsi="Arial Narrow"/>
          <w:kern w:val="0"/>
          <w:sz w:val="24"/>
          <w:szCs w:val="24"/>
          <w:lang w:eastAsia="fr-FR"/>
          <w14:ligatures w14:val="none"/>
        </w:rPr>
      </w:pPr>
      <w:r w:rsidRPr="007E7C5B">
        <w:rPr>
          <w:rFonts w:ascii="Arial Narrow" w:eastAsia="Times New Roman" w:hAnsi="Arial Narrow"/>
          <w:sz w:val="24"/>
          <w:szCs w:val="24"/>
          <w:lang w:eastAsia="fr-FR"/>
        </w:rPr>
        <w:t xml:space="preserve">Efficacité des MILDA </w:t>
      </w:r>
      <w:proofErr w:type="spellStart"/>
      <w:r w:rsidRPr="007E7C5B">
        <w:rPr>
          <w:rFonts w:ascii="Arial Narrow" w:eastAsia="Times New Roman" w:hAnsi="Arial Narrow"/>
          <w:sz w:val="24"/>
          <w:szCs w:val="24"/>
          <w:lang w:eastAsia="fr-FR"/>
        </w:rPr>
        <w:t>chlorfenapyr-pyrethrinoïde</w:t>
      </w:r>
      <w:proofErr w:type="spellEnd"/>
      <w:r w:rsidRPr="007E7C5B">
        <w:rPr>
          <w:rFonts w:ascii="Arial Narrow" w:eastAsia="Times New Roman" w:hAnsi="Arial Narrow"/>
          <w:sz w:val="24"/>
          <w:szCs w:val="24"/>
          <w:lang w:eastAsia="fr-FR"/>
        </w:rPr>
        <w:t xml:space="preserve"> et MILDA PBO par rapport aux moustiquaires </w:t>
      </w:r>
      <w:r w:rsidRPr="00476D59">
        <w:rPr>
          <w:rFonts w:ascii="Arial Narrow" w:eastAsia="Times New Roman" w:hAnsi="Arial Narrow"/>
          <w:sz w:val="24"/>
          <w:szCs w:val="24"/>
          <w:lang w:eastAsia="fr-FR"/>
        </w:rPr>
        <w:t>standard pour la lutte contre le Paludisme en Côte d'Ivoire : Un essai contrôlé randomisé</w:t>
      </w:r>
      <w:r w:rsidRPr="00476D59">
        <w:rPr>
          <w:rFonts w:ascii="Arial" w:eastAsia="Times New Roman" w:hAnsi="Arial" w:cs="Arial"/>
          <w:sz w:val="24"/>
          <w:szCs w:val="24"/>
          <w:lang w:eastAsia="fr-FR"/>
        </w:rPr>
        <w:t> </w:t>
      </w:r>
      <w:r w:rsidRPr="00476D59">
        <w:rPr>
          <w:rFonts w:ascii="Arial Narrow" w:eastAsia="Times New Roman" w:hAnsi="Arial Narrow"/>
          <w:sz w:val="24"/>
          <w:szCs w:val="24"/>
          <w:lang w:eastAsia="fr-FR"/>
        </w:rPr>
        <w:t xml:space="preserve">; </w:t>
      </w:r>
    </w:p>
    <w:p w14:paraId="6232A68C" w14:textId="41281C91" w:rsidR="00C31886" w:rsidRPr="00476D59" w:rsidRDefault="00C31886" w:rsidP="000A1A7B">
      <w:pPr>
        <w:pStyle w:val="Paragraphedeliste"/>
        <w:numPr>
          <w:ilvl w:val="0"/>
          <w:numId w:val="16"/>
        </w:numPr>
        <w:spacing w:after="0"/>
        <w:ind w:left="426"/>
        <w:jc w:val="both"/>
        <w:textAlignment w:val="baseline"/>
        <w:rPr>
          <w:rFonts w:ascii="Arial Narrow" w:eastAsiaTheme="majorEastAsia" w:hAnsi="Arial Narrow"/>
          <w:sz w:val="24"/>
          <w:szCs w:val="24"/>
          <w:lang w:val="fr-CI"/>
        </w:rPr>
      </w:pPr>
      <w:proofErr w:type="spellStart"/>
      <w:r w:rsidRPr="00476D59">
        <w:rPr>
          <w:rFonts w:ascii="Arial Narrow" w:eastAsia="Times New Roman" w:hAnsi="Arial Narrow"/>
          <w:sz w:val="24"/>
          <w:szCs w:val="24"/>
          <w:lang w:eastAsia="fr-FR"/>
        </w:rPr>
        <w:t>Eave</w:t>
      </w:r>
      <w:proofErr w:type="spellEnd"/>
      <w:r w:rsidRPr="00476D59">
        <w:rPr>
          <w:rFonts w:ascii="Arial Narrow" w:eastAsia="Times New Roman" w:hAnsi="Arial Narrow"/>
          <w:sz w:val="24"/>
          <w:szCs w:val="24"/>
          <w:lang w:eastAsia="fr-FR"/>
        </w:rPr>
        <w:t xml:space="preserve"> tube 2 :</w:t>
      </w:r>
      <w:r w:rsidR="0091061A" w:rsidRPr="00476D59">
        <w:rPr>
          <w:rFonts w:ascii="Arial Narrow" w:eastAsia="Times New Roman" w:hAnsi="Arial Narrow"/>
          <w:sz w:val="24"/>
          <w:szCs w:val="24"/>
          <w:lang w:eastAsia="fr-FR"/>
        </w:rPr>
        <w:t xml:space="preserve"> </w:t>
      </w:r>
      <w:proofErr w:type="spellStart"/>
      <w:r w:rsidRPr="00476D59">
        <w:rPr>
          <w:rFonts w:ascii="Arial Narrow" w:eastAsia="Times New Roman" w:hAnsi="Arial Narrow"/>
          <w:sz w:val="24"/>
          <w:szCs w:val="24"/>
          <w:lang w:eastAsia="fr-FR"/>
        </w:rPr>
        <w:t>Eave</w:t>
      </w:r>
      <w:proofErr w:type="spellEnd"/>
      <w:r w:rsidRPr="00476D59">
        <w:rPr>
          <w:rFonts w:ascii="Arial Narrow" w:eastAsia="Times New Roman" w:hAnsi="Arial Narrow"/>
          <w:sz w:val="24"/>
          <w:szCs w:val="24"/>
          <w:lang w:eastAsia="fr-FR"/>
        </w:rPr>
        <w:t xml:space="preserve"> tubes pour la lutte contre les maladies à transmission vectorielles</w:t>
      </w:r>
      <w:r w:rsidRPr="00476D59">
        <w:rPr>
          <w:rFonts w:ascii="Arial" w:eastAsia="Times New Roman" w:hAnsi="Arial" w:cs="Arial"/>
          <w:sz w:val="24"/>
          <w:szCs w:val="24"/>
          <w:lang w:eastAsia="fr-FR"/>
        </w:rPr>
        <w:t> </w:t>
      </w:r>
      <w:r w:rsidRPr="00476D59">
        <w:rPr>
          <w:rFonts w:ascii="Arial Narrow" w:eastAsia="Times New Roman" w:hAnsi="Arial Narrow"/>
          <w:sz w:val="24"/>
          <w:szCs w:val="24"/>
          <w:lang w:eastAsia="fr-FR"/>
        </w:rPr>
        <w:t xml:space="preserve">; </w:t>
      </w:r>
    </w:p>
    <w:p w14:paraId="4C2C3A60" w14:textId="61B954BE" w:rsidR="00C31886" w:rsidRPr="00476D59" w:rsidRDefault="00C31886" w:rsidP="000A1A7B">
      <w:pPr>
        <w:pStyle w:val="Paragraphedeliste"/>
        <w:numPr>
          <w:ilvl w:val="0"/>
          <w:numId w:val="16"/>
        </w:numPr>
        <w:spacing w:after="0"/>
        <w:ind w:left="426"/>
        <w:jc w:val="both"/>
        <w:textAlignment w:val="baseline"/>
        <w:rPr>
          <w:rFonts w:ascii="Arial Narrow" w:eastAsiaTheme="majorEastAsia" w:hAnsi="Arial Narrow"/>
          <w:sz w:val="24"/>
          <w:szCs w:val="24"/>
          <w:lang w:val="fr-CI"/>
        </w:rPr>
      </w:pPr>
      <w:r w:rsidRPr="00476D59">
        <w:rPr>
          <w:rFonts w:ascii="Arial Narrow" w:eastAsia="Times New Roman" w:hAnsi="Arial Narrow"/>
          <w:sz w:val="24"/>
          <w:szCs w:val="24"/>
          <w:lang w:eastAsia="fr-FR"/>
        </w:rPr>
        <w:t>Enquête sur la transmission vectorielle du paludisme dans douze sites sentinelles de Côte d’Ivoire</w:t>
      </w:r>
      <w:r w:rsidR="00561334" w:rsidRPr="00476D59">
        <w:rPr>
          <w:rFonts w:ascii="Arial Narrow" w:eastAsia="Times New Roman" w:hAnsi="Arial Narrow"/>
          <w:sz w:val="24"/>
          <w:szCs w:val="24"/>
          <w:lang w:eastAsia="fr-FR"/>
        </w:rPr>
        <w:t> </w:t>
      </w:r>
      <w:r w:rsidR="00561334" w:rsidRPr="00476D59">
        <w:rPr>
          <w:rFonts w:ascii="Arial Narrow" w:eastAsia="Times New Roman" w:hAnsi="Arial Narrow" w:cs="Arial"/>
          <w:sz w:val="24"/>
          <w:szCs w:val="24"/>
          <w:lang w:eastAsia="fr-FR"/>
        </w:rPr>
        <w:t>;</w:t>
      </w:r>
    </w:p>
    <w:p w14:paraId="2726DAEF" w14:textId="77777777" w:rsidR="00561334" w:rsidRPr="00476D59" w:rsidRDefault="00561334" w:rsidP="000A1A7B">
      <w:pPr>
        <w:pStyle w:val="Paragraphedeliste"/>
        <w:numPr>
          <w:ilvl w:val="0"/>
          <w:numId w:val="16"/>
        </w:numPr>
        <w:spacing w:after="0"/>
        <w:ind w:left="426"/>
        <w:jc w:val="both"/>
        <w:textAlignment w:val="baseline"/>
        <w:rPr>
          <w:rStyle w:val="normaltextrun"/>
          <w:rFonts w:ascii="Arial Narrow" w:eastAsiaTheme="majorEastAsia" w:hAnsi="Arial Narrow"/>
          <w:sz w:val="24"/>
          <w:szCs w:val="24"/>
          <w:lang w:val="fr-CI"/>
        </w:rPr>
      </w:pPr>
      <w:r w:rsidRPr="00476D59">
        <w:rPr>
          <w:rStyle w:val="normaltextrun"/>
          <w:rFonts w:ascii="Arial Narrow" w:eastAsiaTheme="majorEastAsia" w:hAnsi="Arial Narrow" w:cs="Arial"/>
          <w:i/>
          <w:iCs/>
          <w:sz w:val="24"/>
          <w:szCs w:val="24"/>
          <w:lang w:val="fr-CI"/>
        </w:rPr>
        <w:t>E</w:t>
      </w:r>
      <w:r w:rsidRPr="00476D59">
        <w:rPr>
          <w:rStyle w:val="normaltextrun"/>
          <w:rFonts w:ascii="Arial Narrow" w:eastAsiaTheme="majorEastAsia" w:hAnsi="Arial Narrow" w:cs="Arial"/>
          <w:sz w:val="24"/>
          <w:szCs w:val="24"/>
          <w:lang w:val="fr-CI"/>
        </w:rPr>
        <w:t>valuation de la capture et de la notification des r</w:t>
      </w:r>
      <w:r w:rsidRPr="00476D59">
        <w:rPr>
          <w:rStyle w:val="normaltextrun"/>
          <w:rFonts w:ascii="Arial Narrow" w:eastAsiaTheme="majorEastAsia" w:hAnsi="Arial Narrow" w:cs="Arial Narrow"/>
          <w:sz w:val="24"/>
          <w:szCs w:val="24"/>
          <w:lang w:val="fr-CI"/>
        </w:rPr>
        <w:t>é</w:t>
      </w:r>
      <w:r w:rsidRPr="00476D59">
        <w:rPr>
          <w:rStyle w:val="normaltextrun"/>
          <w:rFonts w:ascii="Arial Narrow" w:eastAsiaTheme="majorEastAsia" w:hAnsi="Arial Narrow" w:cs="Arial"/>
          <w:sz w:val="24"/>
          <w:szCs w:val="24"/>
          <w:lang w:val="fr-CI"/>
        </w:rPr>
        <w:t>sultats des tests de diagnostic rapide (TDR) du paludisme (</w:t>
      </w:r>
      <w:proofErr w:type="spellStart"/>
      <w:r w:rsidRPr="00476D59">
        <w:rPr>
          <w:rStyle w:val="normaltextrun"/>
          <w:rFonts w:ascii="Arial Narrow" w:eastAsiaTheme="majorEastAsia" w:hAnsi="Arial Narrow" w:cs="Arial"/>
          <w:sz w:val="24"/>
          <w:szCs w:val="24"/>
          <w:lang w:val="fr-CI"/>
        </w:rPr>
        <w:t>MaCRA</w:t>
      </w:r>
      <w:proofErr w:type="spellEnd"/>
      <w:r w:rsidRPr="00476D59">
        <w:rPr>
          <w:rStyle w:val="normaltextrun"/>
          <w:rFonts w:ascii="Arial Narrow" w:eastAsiaTheme="majorEastAsia" w:hAnsi="Arial Narrow" w:cs="Arial"/>
          <w:sz w:val="24"/>
          <w:szCs w:val="24"/>
          <w:lang w:val="fr-CI"/>
        </w:rPr>
        <w:t>)</w:t>
      </w:r>
      <w:r w:rsidRPr="00476D59">
        <w:rPr>
          <w:rStyle w:val="normaltextrun"/>
          <w:rFonts w:ascii="Arial" w:eastAsiaTheme="majorEastAsia" w:hAnsi="Arial" w:cs="Arial"/>
          <w:sz w:val="24"/>
          <w:szCs w:val="24"/>
          <w:lang w:val="fr-CI"/>
        </w:rPr>
        <w:t> </w:t>
      </w:r>
      <w:r w:rsidRPr="00476D59">
        <w:rPr>
          <w:rStyle w:val="normaltextrun"/>
          <w:rFonts w:ascii="Arial Narrow" w:eastAsiaTheme="majorEastAsia" w:hAnsi="Arial Narrow" w:cs="Arial"/>
          <w:sz w:val="24"/>
          <w:szCs w:val="24"/>
          <w:lang w:val="fr-CI"/>
        </w:rPr>
        <w:t xml:space="preserve">; </w:t>
      </w:r>
    </w:p>
    <w:p w14:paraId="7F9A8F58" w14:textId="77777777" w:rsidR="00561334" w:rsidRPr="00476D59" w:rsidRDefault="00561334" w:rsidP="000A1A7B">
      <w:pPr>
        <w:pStyle w:val="Paragraphedeliste"/>
        <w:numPr>
          <w:ilvl w:val="0"/>
          <w:numId w:val="16"/>
        </w:numPr>
        <w:spacing w:after="0"/>
        <w:ind w:left="426"/>
        <w:jc w:val="both"/>
        <w:textAlignment w:val="baseline"/>
        <w:rPr>
          <w:rStyle w:val="normaltextrun"/>
          <w:rFonts w:ascii="Arial Narrow" w:eastAsiaTheme="majorEastAsia" w:hAnsi="Arial Narrow"/>
          <w:sz w:val="24"/>
          <w:szCs w:val="24"/>
          <w:lang w:val="fr-CI"/>
        </w:rPr>
      </w:pPr>
      <w:r w:rsidRPr="00476D59">
        <w:rPr>
          <w:rStyle w:val="normaltextrun"/>
          <w:rFonts w:ascii="Arial Narrow" w:eastAsiaTheme="majorEastAsia" w:hAnsi="Arial Narrow" w:cs="Arial"/>
          <w:i/>
          <w:sz w:val="24"/>
          <w:szCs w:val="24"/>
          <w:lang w:val="fr-CI"/>
        </w:rPr>
        <w:t>S</w:t>
      </w:r>
      <w:r w:rsidRPr="00476D59">
        <w:rPr>
          <w:rStyle w:val="normaltextrun"/>
          <w:rFonts w:ascii="Arial Narrow" w:eastAsiaTheme="majorEastAsia" w:hAnsi="Arial Narrow" w:cs="Arial"/>
          <w:sz w:val="24"/>
          <w:szCs w:val="24"/>
          <w:lang w:val="fr-CI"/>
        </w:rPr>
        <w:t>urveillance de la r</w:t>
      </w:r>
      <w:r w:rsidRPr="00476D59">
        <w:rPr>
          <w:rStyle w:val="normaltextrun"/>
          <w:rFonts w:ascii="Arial Narrow" w:eastAsiaTheme="majorEastAsia" w:hAnsi="Arial Narrow" w:cs="Arial Narrow"/>
          <w:sz w:val="24"/>
          <w:szCs w:val="24"/>
          <w:lang w:val="fr-CI"/>
        </w:rPr>
        <w:t>é</w:t>
      </w:r>
      <w:r w:rsidRPr="00476D59">
        <w:rPr>
          <w:rStyle w:val="normaltextrun"/>
          <w:rFonts w:ascii="Arial Narrow" w:eastAsiaTheme="majorEastAsia" w:hAnsi="Arial Narrow" w:cs="Arial"/>
          <w:sz w:val="24"/>
          <w:szCs w:val="24"/>
          <w:lang w:val="fr-CI"/>
        </w:rPr>
        <w:t>sistance aux insecticides des moustiques vecteurs de paludisme dans les sites compl</w:t>
      </w:r>
      <w:r w:rsidRPr="00476D59">
        <w:rPr>
          <w:rStyle w:val="normaltextrun"/>
          <w:rFonts w:ascii="Arial Narrow" w:eastAsiaTheme="majorEastAsia" w:hAnsi="Arial Narrow" w:cs="Arial Narrow"/>
          <w:sz w:val="24"/>
          <w:szCs w:val="24"/>
          <w:lang w:val="fr-CI"/>
        </w:rPr>
        <w:t>é</w:t>
      </w:r>
      <w:r w:rsidRPr="00476D59">
        <w:rPr>
          <w:rStyle w:val="normaltextrun"/>
          <w:rFonts w:ascii="Arial Narrow" w:eastAsiaTheme="majorEastAsia" w:hAnsi="Arial Narrow" w:cs="Arial"/>
          <w:sz w:val="24"/>
          <w:szCs w:val="24"/>
          <w:lang w:val="fr-CI"/>
        </w:rPr>
        <w:t>mentaires aux sites sentinelles de C</w:t>
      </w:r>
      <w:r w:rsidRPr="00476D59">
        <w:rPr>
          <w:rStyle w:val="normaltextrun"/>
          <w:rFonts w:ascii="Arial Narrow" w:eastAsiaTheme="majorEastAsia" w:hAnsi="Arial Narrow" w:cs="Arial Narrow"/>
          <w:sz w:val="24"/>
          <w:szCs w:val="24"/>
          <w:lang w:val="fr-CI"/>
        </w:rPr>
        <w:t>ô</w:t>
      </w:r>
      <w:r w:rsidRPr="00476D59">
        <w:rPr>
          <w:rStyle w:val="normaltextrun"/>
          <w:rFonts w:ascii="Arial Narrow" w:eastAsiaTheme="majorEastAsia" w:hAnsi="Arial Narrow" w:cs="Arial"/>
          <w:sz w:val="24"/>
          <w:szCs w:val="24"/>
          <w:lang w:val="fr-CI"/>
        </w:rPr>
        <w:t>te d</w:t>
      </w:r>
      <w:r w:rsidRPr="00476D59">
        <w:rPr>
          <w:rStyle w:val="normaltextrun"/>
          <w:rFonts w:ascii="Arial Narrow" w:eastAsiaTheme="majorEastAsia" w:hAnsi="Arial Narrow" w:cs="Arial Narrow"/>
          <w:sz w:val="24"/>
          <w:szCs w:val="24"/>
          <w:lang w:val="fr-CI"/>
        </w:rPr>
        <w:t>’</w:t>
      </w:r>
      <w:r w:rsidRPr="00476D59">
        <w:rPr>
          <w:rStyle w:val="normaltextrun"/>
          <w:rFonts w:ascii="Arial Narrow" w:eastAsiaTheme="majorEastAsia" w:hAnsi="Arial Narrow" w:cs="Arial"/>
          <w:sz w:val="24"/>
          <w:szCs w:val="24"/>
          <w:lang w:val="fr-CI"/>
        </w:rPr>
        <w:t>Ivoire</w:t>
      </w:r>
      <w:r w:rsidRPr="00476D59">
        <w:rPr>
          <w:rStyle w:val="normaltextrun"/>
          <w:rFonts w:ascii="Arial" w:eastAsiaTheme="majorEastAsia" w:hAnsi="Arial" w:cs="Arial"/>
          <w:sz w:val="24"/>
          <w:szCs w:val="24"/>
          <w:lang w:val="fr-CI"/>
        </w:rPr>
        <w:t> </w:t>
      </w:r>
      <w:r w:rsidRPr="00476D59">
        <w:rPr>
          <w:rStyle w:val="normaltextrun"/>
          <w:rFonts w:ascii="Arial Narrow" w:eastAsiaTheme="majorEastAsia" w:hAnsi="Arial Narrow" w:cs="Arial"/>
          <w:sz w:val="24"/>
          <w:szCs w:val="24"/>
          <w:lang w:val="fr-CI"/>
        </w:rPr>
        <w:t xml:space="preserve">; </w:t>
      </w:r>
    </w:p>
    <w:p w14:paraId="4E78897A" w14:textId="47509605" w:rsidR="00561334" w:rsidRPr="00476D59" w:rsidRDefault="00561334" w:rsidP="000A1A7B">
      <w:pPr>
        <w:pStyle w:val="Paragraphedeliste"/>
        <w:numPr>
          <w:ilvl w:val="0"/>
          <w:numId w:val="16"/>
        </w:numPr>
        <w:spacing w:after="0"/>
        <w:ind w:left="426"/>
        <w:jc w:val="both"/>
        <w:textAlignment w:val="baseline"/>
        <w:rPr>
          <w:rStyle w:val="normaltextrun"/>
          <w:rFonts w:ascii="Arial Narrow" w:eastAsiaTheme="majorEastAsia" w:hAnsi="Arial Narrow"/>
          <w:sz w:val="24"/>
          <w:szCs w:val="24"/>
          <w:lang w:val="fr-CI"/>
        </w:rPr>
      </w:pPr>
      <w:r w:rsidRPr="00476D59">
        <w:rPr>
          <w:rStyle w:val="normaltextrun"/>
          <w:rFonts w:ascii="Arial Narrow" w:eastAsiaTheme="majorEastAsia" w:hAnsi="Arial Narrow" w:cs="Arial"/>
          <w:i/>
          <w:sz w:val="24"/>
          <w:szCs w:val="24"/>
          <w:lang w:val="fr-CI"/>
        </w:rPr>
        <w:lastRenderedPageBreak/>
        <w:t>E</w:t>
      </w:r>
      <w:r w:rsidRPr="00476D59">
        <w:rPr>
          <w:rStyle w:val="normaltextrun"/>
          <w:rFonts w:ascii="Arial Narrow" w:eastAsiaTheme="majorEastAsia" w:hAnsi="Arial Narrow" w:cs="Arial"/>
          <w:sz w:val="24"/>
          <w:szCs w:val="24"/>
          <w:lang w:val="fr-CI"/>
        </w:rPr>
        <w:t>valuation du niveau de connaissances, attitudes et de pratiques en</w:t>
      </w:r>
      <w:r w:rsidR="00E33227" w:rsidRPr="00476D59">
        <w:rPr>
          <w:rStyle w:val="normaltextrun"/>
          <w:rFonts w:ascii="Arial Narrow" w:eastAsiaTheme="majorEastAsia" w:hAnsi="Arial Narrow" w:cs="Arial Narrow"/>
          <w:sz w:val="24"/>
          <w:szCs w:val="24"/>
          <w:lang w:val="fr-CI"/>
        </w:rPr>
        <w:t xml:space="preserve"> </w:t>
      </w:r>
      <w:r w:rsidRPr="00476D59">
        <w:rPr>
          <w:rStyle w:val="normaltextrun"/>
          <w:rFonts w:ascii="Arial Narrow" w:eastAsiaTheme="majorEastAsia" w:hAnsi="Arial Narrow" w:cs="Arial"/>
          <w:sz w:val="24"/>
          <w:szCs w:val="24"/>
          <w:lang w:val="fr-CI"/>
        </w:rPr>
        <w:t>Nutrition &amp; santé et de la protection sociale sensible au VIH Pour une prise en charge efficace des ménages affectés par le VIH en côte d’ivoire</w:t>
      </w:r>
      <w:r w:rsidRPr="00476D59">
        <w:rPr>
          <w:rStyle w:val="normaltextrun"/>
          <w:rFonts w:ascii="Arial" w:eastAsiaTheme="majorEastAsia" w:hAnsi="Arial" w:cs="Arial"/>
          <w:sz w:val="24"/>
          <w:szCs w:val="24"/>
          <w:lang w:val="fr-CI"/>
        </w:rPr>
        <w:t> </w:t>
      </w:r>
      <w:r w:rsidRPr="00476D59">
        <w:rPr>
          <w:rStyle w:val="normaltextrun"/>
          <w:rFonts w:ascii="Arial Narrow" w:eastAsiaTheme="majorEastAsia" w:hAnsi="Arial Narrow" w:cs="Arial"/>
          <w:sz w:val="24"/>
          <w:szCs w:val="24"/>
          <w:lang w:val="fr-CI"/>
        </w:rPr>
        <w:t>;</w:t>
      </w:r>
    </w:p>
    <w:p w14:paraId="1F28DBF8" w14:textId="77777777" w:rsidR="001E533E" w:rsidRPr="007E7C5B" w:rsidRDefault="001E533E" w:rsidP="00761F55">
      <w:pPr>
        <w:pStyle w:val="paragraph"/>
        <w:spacing w:before="0" w:beforeAutospacing="0" w:after="0" w:afterAutospacing="0"/>
        <w:jc w:val="both"/>
        <w:textAlignment w:val="baseline"/>
        <w:rPr>
          <w:rStyle w:val="eop"/>
          <w:rFonts w:ascii="Arial Narrow" w:eastAsiaTheme="majorEastAsia" w:hAnsi="Arial Narrow" w:cs="Arial"/>
        </w:rPr>
      </w:pPr>
    </w:p>
    <w:p w14:paraId="5D59F76A" w14:textId="2BFF0FF3" w:rsidR="001E533E" w:rsidRPr="007E7C5B" w:rsidRDefault="00E25EE8" w:rsidP="00761F55">
      <w:pPr>
        <w:pStyle w:val="paragraph"/>
        <w:spacing w:before="0" w:beforeAutospacing="0" w:after="0" w:afterAutospacing="0"/>
        <w:jc w:val="both"/>
        <w:textAlignment w:val="baseline"/>
        <w:rPr>
          <w:rStyle w:val="normaltextrun"/>
          <w:rFonts w:ascii="Arial Narrow" w:eastAsiaTheme="majorEastAsia" w:hAnsi="Arial Narrow"/>
          <w:lang w:val="fr-CI"/>
        </w:rPr>
      </w:pPr>
      <w:r w:rsidRPr="007E7C5B">
        <w:rPr>
          <w:rStyle w:val="normaltextrun"/>
          <w:rFonts w:ascii="Arial Narrow" w:eastAsiaTheme="majorEastAsia" w:hAnsi="Arial Narrow" w:cs="Arial"/>
          <w:b/>
          <w:bCs/>
          <w:lang w:val="fr-CI"/>
        </w:rPr>
        <w:t>Concernant</w:t>
      </w:r>
      <w:r w:rsidRPr="007E7C5B">
        <w:rPr>
          <w:rStyle w:val="normaltextrun"/>
          <w:rFonts w:ascii="Arial Narrow" w:eastAsiaTheme="majorEastAsia" w:hAnsi="Arial Narrow" w:cs="Arial"/>
          <w:b/>
          <w:lang w:val="fr-CI"/>
        </w:rPr>
        <w:t xml:space="preserve"> </w:t>
      </w:r>
      <w:r w:rsidR="001E533E" w:rsidRPr="007E7C5B">
        <w:rPr>
          <w:rStyle w:val="normaltextrun"/>
          <w:rFonts w:ascii="Arial Narrow" w:eastAsiaTheme="majorEastAsia" w:hAnsi="Arial Narrow" w:cs="Arial"/>
          <w:b/>
          <w:lang w:val="fr-CI"/>
        </w:rPr>
        <w:t>la promotion et la vulgarisation des acquis de la recherche en santé,</w:t>
      </w:r>
      <w:r w:rsidR="001E533E" w:rsidRPr="007E7C5B">
        <w:rPr>
          <w:rStyle w:val="normaltextrun"/>
          <w:rFonts w:ascii="Arial Narrow" w:eastAsiaTheme="majorEastAsia" w:hAnsi="Arial Narrow" w:cs="Arial"/>
          <w:b/>
          <w:bCs/>
          <w:i/>
          <w:iCs/>
          <w:lang w:val="fr-CI"/>
        </w:rPr>
        <w:t xml:space="preserve"> </w:t>
      </w:r>
      <w:r w:rsidR="001E533E" w:rsidRPr="007E7C5B">
        <w:rPr>
          <w:rStyle w:val="normaltextrun"/>
          <w:rFonts w:ascii="Arial Narrow" w:eastAsiaTheme="majorEastAsia" w:hAnsi="Arial Narrow" w:cs="Arial"/>
          <w:lang w:val="fr-CI"/>
        </w:rPr>
        <w:t xml:space="preserve">on enregistre l’organisation des activités de promotion des résultats de la recherche à travers les congrès de santé publique, les jeudis de la recherche organisés </w:t>
      </w:r>
      <w:r w:rsidR="00A04410" w:rsidRPr="007E7C5B">
        <w:rPr>
          <w:rStyle w:val="normaltextrun"/>
          <w:rFonts w:ascii="Arial Narrow" w:eastAsiaTheme="majorEastAsia" w:hAnsi="Arial Narrow" w:cs="Arial"/>
          <w:lang w:val="fr-CI"/>
        </w:rPr>
        <w:t xml:space="preserve">trimestriellement </w:t>
      </w:r>
      <w:r w:rsidR="001E533E" w:rsidRPr="007E7C5B">
        <w:rPr>
          <w:rStyle w:val="normaltextrun"/>
          <w:rFonts w:ascii="Arial Narrow" w:eastAsiaTheme="majorEastAsia" w:hAnsi="Arial Narrow" w:cs="Arial"/>
          <w:lang w:val="fr-CI"/>
        </w:rPr>
        <w:t xml:space="preserve">par le Ministère et la publication de </w:t>
      </w:r>
      <w:r w:rsidR="001E533E" w:rsidRPr="007E7C5B">
        <w:rPr>
          <w:rStyle w:val="normaltextrun"/>
          <w:rFonts w:ascii="Arial Narrow" w:eastAsiaTheme="majorEastAsia" w:hAnsi="Arial Narrow"/>
          <w:lang w:val="fr-CI"/>
        </w:rPr>
        <w:t>03 bulletins de santé publique.</w:t>
      </w:r>
      <w:r w:rsidR="004C15BC" w:rsidRPr="007E7C5B">
        <w:rPr>
          <w:rStyle w:val="normaltextrun"/>
          <w:rFonts w:ascii="Arial Narrow" w:eastAsiaTheme="majorEastAsia" w:hAnsi="Arial Narrow"/>
          <w:lang w:val="fr-CI"/>
        </w:rPr>
        <w:t xml:space="preserve"> </w:t>
      </w:r>
    </w:p>
    <w:p w14:paraId="55024E13" w14:textId="77777777" w:rsidR="003315CC" w:rsidRPr="007E7C5B" w:rsidRDefault="003315CC" w:rsidP="00761F55">
      <w:pPr>
        <w:pStyle w:val="paragraph"/>
        <w:spacing w:before="0" w:beforeAutospacing="0" w:after="0" w:afterAutospacing="0"/>
        <w:jc w:val="both"/>
        <w:textAlignment w:val="baseline"/>
        <w:rPr>
          <w:rStyle w:val="normaltextrun"/>
          <w:rFonts w:ascii="Arial Narrow" w:eastAsiaTheme="majorEastAsia" w:hAnsi="Arial Narrow"/>
          <w:lang w:val="fr-CI"/>
        </w:rPr>
      </w:pPr>
    </w:p>
    <w:p w14:paraId="580C0A13" w14:textId="210EE028" w:rsidR="003315CC" w:rsidRPr="007E7C5B" w:rsidRDefault="00231D83" w:rsidP="00761F55">
      <w:pPr>
        <w:pStyle w:val="paragraph"/>
        <w:spacing w:before="0" w:beforeAutospacing="0" w:after="0" w:afterAutospacing="0"/>
        <w:jc w:val="both"/>
        <w:textAlignment w:val="baseline"/>
        <w:rPr>
          <w:rStyle w:val="normaltextrun"/>
          <w:rFonts w:ascii="Arial Narrow" w:eastAsiaTheme="majorEastAsia" w:hAnsi="Arial Narrow"/>
          <w:lang w:val="fr-CI"/>
        </w:rPr>
      </w:pPr>
      <w:r w:rsidRPr="007E7C5B">
        <w:rPr>
          <w:rStyle w:val="normaltextrun"/>
          <w:rFonts w:ascii="Arial Narrow" w:eastAsiaTheme="majorEastAsia" w:hAnsi="Arial Narrow"/>
          <w:lang w:val="fr-CI"/>
        </w:rPr>
        <w:t>Des efforts restent néanmoins à être consentis, relativement à la vulgarisation des résultats de la recherche</w:t>
      </w:r>
      <w:r w:rsidR="007E7B04" w:rsidRPr="007E7C5B">
        <w:rPr>
          <w:rStyle w:val="normaltextrun"/>
          <w:rFonts w:ascii="Arial Narrow" w:eastAsiaTheme="majorEastAsia" w:hAnsi="Arial Narrow"/>
          <w:lang w:val="fr-CI"/>
        </w:rPr>
        <w:t xml:space="preserve">, en particulier sur </w:t>
      </w:r>
      <w:r w:rsidR="00B5682F" w:rsidRPr="007E7C5B">
        <w:rPr>
          <w:rStyle w:val="normaltextrun"/>
          <w:rFonts w:ascii="Arial Narrow" w:eastAsiaTheme="majorEastAsia" w:hAnsi="Arial Narrow"/>
          <w:lang w:val="fr-CI"/>
        </w:rPr>
        <w:t>le mécanisme de diffusion</w:t>
      </w:r>
      <w:r w:rsidR="00365EA9" w:rsidRPr="007E7C5B">
        <w:rPr>
          <w:rStyle w:val="normaltextrun"/>
          <w:rFonts w:ascii="Arial Narrow" w:eastAsiaTheme="majorEastAsia" w:hAnsi="Arial Narrow"/>
          <w:lang w:val="fr-CI"/>
        </w:rPr>
        <w:t xml:space="preserve"> et la coordination </w:t>
      </w:r>
      <w:r w:rsidR="00B1230C" w:rsidRPr="007E7C5B">
        <w:rPr>
          <w:rStyle w:val="normaltextrun"/>
          <w:rFonts w:ascii="Arial Narrow" w:eastAsiaTheme="majorEastAsia" w:hAnsi="Arial Narrow"/>
          <w:lang w:val="fr-CI"/>
        </w:rPr>
        <w:t>de la recherche en santé.</w:t>
      </w:r>
      <w:r w:rsidR="003C6570" w:rsidRPr="007E7C5B">
        <w:rPr>
          <w:rStyle w:val="normaltextrun"/>
          <w:rFonts w:ascii="Arial Narrow" w:eastAsiaTheme="majorEastAsia" w:hAnsi="Arial Narrow"/>
          <w:lang w:val="fr-CI"/>
        </w:rPr>
        <w:t xml:space="preserve"> Par ailleurs, </w:t>
      </w:r>
      <w:r w:rsidR="003C6570" w:rsidRPr="007E7C5B">
        <w:rPr>
          <w:rFonts w:ascii="Arial Narrow" w:hAnsi="Arial Narrow"/>
          <w:lang w:eastAsia="fr-FR"/>
        </w:rPr>
        <w:t xml:space="preserve">les efforts devront se poursuivre pour adresser les défis en lien avec </w:t>
      </w:r>
      <w:r w:rsidR="003C6570" w:rsidRPr="007E7C5B">
        <w:rPr>
          <w:rFonts w:ascii="Arial Narrow" w:hAnsi="Arial Narrow" w:cs="Arial"/>
          <w:lang w:eastAsia="fr-FR"/>
        </w:rPr>
        <w:t>le financement de la recherche en santé</w:t>
      </w:r>
      <w:r w:rsidR="000126BC" w:rsidRPr="007E7C5B">
        <w:rPr>
          <w:rFonts w:ascii="Arial Narrow" w:hAnsi="Arial Narrow" w:cs="Arial"/>
          <w:lang w:eastAsia="fr-FR"/>
        </w:rPr>
        <w:t xml:space="preserve"> et</w:t>
      </w:r>
      <w:r w:rsidR="003C6570" w:rsidRPr="007E7C5B">
        <w:rPr>
          <w:rFonts w:ascii="Arial Narrow" w:hAnsi="Arial Narrow" w:cs="Arial"/>
          <w:lang w:eastAsia="fr-FR"/>
        </w:rPr>
        <w:t xml:space="preserve"> le renforcement de la formation des acteurs sur la recherche en santé</w:t>
      </w:r>
      <w:r w:rsidR="003C6570" w:rsidRPr="007E7C5B">
        <w:rPr>
          <w:rFonts w:ascii="Arial Narrow" w:eastAsiaTheme="majorEastAsia" w:hAnsi="Arial Narrow" w:cs="Arial"/>
          <w:lang w:eastAsia="fr-FR"/>
        </w:rPr>
        <w:t>.</w:t>
      </w:r>
    </w:p>
    <w:p w14:paraId="472EE0B8" w14:textId="77777777" w:rsidR="002248AD" w:rsidRPr="007E7C5B" w:rsidRDefault="002248AD" w:rsidP="00761F55">
      <w:pPr>
        <w:pStyle w:val="paragraph"/>
        <w:spacing w:before="0" w:beforeAutospacing="0" w:after="0" w:afterAutospacing="0"/>
        <w:jc w:val="both"/>
        <w:textAlignment w:val="baseline"/>
        <w:rPr>
          <w:rStyle w:val="normaltextrun"/>
          <w:rFonts w:ascii="Arial Narrow" w:eastAsiaTheme="majorEastAsia" w:hAnsi="Arial Narrow"/>
          <w:lang w:val="fr-CI"/>
        </w:rPr>
      </w:pPr>
    </w:p>
    <w:p w14:paraId="4A015704" w14:textId="24616453" w:rsidR="00305B43" w:rsidRDefault="00E25EE8" w:rsidP="00C03634">
      <w:pPr>
        <w:jc w:val="both"/>
        <w:rPr>
          <w:rStyle w:val="normaltextrun"/>
          <w:rFonts w:ascii="Arial Narrow" w:eastAsiaTheme="majorEastAsia" w:hAnsi="Arial Narrow" w:cs="Arial"/>
          <w:sz w:val="24"/>
          <w:szCs w:val="24"/>
          <w:lang w:val="fr-CI"/>
        </w:rPr>
      </w:pPr>
      <w:r w:rsidRPr="00A918AC">
        <w:rPr>
          <w:rStyle w:val="normaltextrun"/>
          <w:rFonts w:ascii="Arial Narrow" w:eastAsiaTheme="majorEastAsia" w:hAnsi="Arial Narrow" w:cs="Arial"/>
          <w:b/>
          <w:sz w:val="24"/>
          <w:szCs w:val="24"/>
          <w:lang w:val="fr-CI"/>
        </w:rPr>
        <w:t xml:space="preserve">Au sujet </w:t>
      </w:r>
      <w:r w:rsidR="001E533E" w:rsidRPr="00A918AC">
        <w:rPr>
          <w:rStyle w:val="normaltextrun"/>
          <w:rFonts w:ascii="Arial Narrow" w:eastAsiaTheme="majorEastAsia" w:hAnsi="Arial Narrow" w:cs="Arial"/>
          <w:b/>
          <w:sz w:val="24"/>
          <w:szCs w:val="24"/>
          <w:lang w:val="fr-CI"/>
        </w:rPr>
        <w:t>du développement de technologies innovantes du numérique en soutien au système de santé</w:t>
      </w:r>
      <w:r w:rsidR="001E533E" w:rsidRPr="00A918AC">
        <w:rPr>
          <w:rStyle w:val="normaltextrun"/>
          <w:rFonts w:ascii="Arial Narrow" w:eastAsiaTheme="majorEastAsia" w:hAnsi="Arial Narrow" w:cs="Arial"/>
          <w:sz w:val="24"/>
          <w:szCs w:val="24"/>
          <w:lang w:val="fr-CI"/>
        </w:rPr>
        <w:t xml:space="preserve">, </w:t>
      </w:r>
      <w:r w:rsidR="001369C8" w:rsidRPr="00A918AC">
        <w:rPr>
          <w:rStyle w:val="normaltextrun"/>
          <w:rFonts w:ascii="Arial Narrow" w:eastAsiaTheme="majorEastAsia" w:hAnsi="Arial Narrow" w:cs="Arial"/>
          <w:sz w:val="24"/>
          <w:szCs w:val="24"/>
          <w:lang w:val="fr-CI"/>
        </w:rPr>
        <w:t>on note</w:t>
      </w:r>
      <w:r w:rsidR="001E533E" w:rsidRPr="00A918AC">
        <w:rPr>
          <w:rStyle w:val="normaltextrun"/>
          <w:rFonts w:ascii="Arial Narrow" w:eastAsiaTheme="majorEastAsia" w:hAnsi="Arial Narrow" w:cs="Arial"/>
          <w:sz w:val="24"/>
          <w:szCs w:val="24"/>
          <w:lang w:val="fr-CI"/>
        </w:rPr>
        <w:t xml:space="preserve"> </w:t>
      </w:r>
      <w:r w:rsidR="001369C8" w:rsidRPr="00A918AC">
        <w:rPr>
          <w:rStyle w:val="normaltextrun"/>
          <w:rFonts w:ascii="Arial Narrow" w:eastAsiaTheme="majorEastAsia" w:hAnsi="Arial Narrow" w:cs="Arial"/>
          <w:i/>
          <w:sz w:val="24"/>
          <w:szCs w:val="24"/>
          <w:lang w:val="fr-CI"/>
        </w:rPr>
        <w:t>(</w:t>
      </w:r>
      <w:r w:rsidR="001E533E" w:rsidRPr="00A918AC">
        <w:rPr>
          <w:rStyle w:val="normaltextrun"/>
          <w:rFonts w:ascii="Arial Narrow" w:eastAsiaTheme="majorEastAsia" w:hAnsi="Arial Narrow" w:cs="Arial"/>
          <w:i/>
          <w:sz w:val="24"/>
          <w:szCs w:val="24"/>
          <w:lang w:val="fr-CI"/>
        </w:rPr>
        <w:t>i)</w:t>
      </w:r>
      <w:r w:rsidR="001E533E" w:rsidRPr="00A918AC">
        <w:rPr>
          <w:rStyle w:val="normaltextrun"/>
          <w:rFonts w:ascii="Arial Narrow" w:eastAsiaTheme="majorEastAsia" w:hAnsi="Arial Narrow" w:cs="Arial"/>
          <w:b/>
          <w:i/>
          <w:sz w:val="24"/>
          <w:szCs w:val="24"/>
          <w:lang w:val="fr-CI"/>
        </w:rPr>
        <w:t xml:space="preserve"> </w:t>
      </w:r>
      <w:r w:rsidR="001E533E" w:rsidRPr="00A918AC">
        <w:rPr>
          <w:rStyle w:val="normaltextrun"/>
          <w:rFonts w:ascii="Arial Narrow" w:eastAsiaTheme="majorEastAsia" w:hAnsi="Arial Narrow" w:cs="Arial"/>
          <w:sz w:val="24"/>
          <w:szCs w:val="24"/>
          <w:lang w:val="fr-CI"/>
        </w:rPr>
        <w:t xml:space="preserve">la création d’un centre e-santé avec des plateformes et dispositif de formation et d’information connecté aux 113 districts et 33 </w:t>
      </w:r>
      <w:r w:rsidR="009F4D36" w:rsidRPr="00A918AC">
        <w:rPr>
          <w:rStyle w:val="normaltextrun"/>
          <w:rFonts w:ascii="Arial Narrow" w:eastAsiaTheme="majorEastAsia" w:hAnsi="Arial Narrow" w:cs="Arial"/>
          <w:sz w:val="24"/>
          <w:szCs w:val="24"/>
          <w:lang w:val="fr-CI"/>
        </w:rPr>
        <w:t>régions</w:t>
      </w:r>
      <w:r w:rsidR="001E533E" w:rsidRPr="00A918AC">
        <w:rPr>
          <w:rStyle w:val="normaltextrun"/>
          <w:rFonts w:ascii="Arial" w:eastAsiaTheme="majorEastAsia" w:hAnsi="Arial" w:cs="Arial"/>
          <w:sz w:val="24"/>
          <w:szCs w:val="24"/>
          <w:lang w:val="fr-CI"/>
        </w:rPr>
        <w:t> </w:t>
      </w:r>
      <w:r w:rsidR="001E533E" w:rsidRPr="00A918AC">
        <w:rPr>
          <w:rStyle w:val="normaltextrun"/>
          <w:rFonts w:ascii="Arial Narrow" w:eastAsiaTheme="majorEastAsia" w:hAnsi="Arial Narrow" w:cs="Arial"/>
          <w:sz w:val="24"/>
          <w:szCs w:val="24"/>
          <w:lang w:val="fr-CI"/>
        </w:rPr>
        <w:t xml:space="preserve">; </w:t>
      </w:r>
      <w:r w:rsidR="0035561A" w:rsidRPr="00A918AC">
        <w:rPr>
          <w:rStyle w:val="normaltextrun"/>
          <w:rFonts w:ascii="Arial Narrow" w:eastAsiaTheme="majorEastAsia" w:hAnsi="Arial Narrow" w:cs="Arial"/>
          <w:i/>
          <w:iCs/>
          <w:sz w:val="24"/>
          <w:szCs w:val="24"/>
          <w:lang w:val="fr-CI"/>
        </w:rPr>
        <w:t>(</w:t>
      </w:r>
      <w:r w:rsidR="00252CC3" w:rsidRPr="00A918AC">
        <w:rPr>
          <w:rStyle w:val="normaltextrun"/>
          <w:rFonts w:ascii="Arial Narrow" w:eastAsiaTheme="majorEastAsia" w:hAnsi="Arial Narrow" w:cs="Arial"/>
          <w:i/>
          <w:iCs/>
          <w:sz w:val="24"/>
          <w:szCs w:val="24"/>
          <w:lang w:val="fr-CI"/>
        </w:rPr>
        <w:t>ii</w:t>
      </w:r>
      <w:r w:rsidR="001E533E" w:rsidRPr="00A918AC">
        <w:rPr>
          <w:rStyle w:val="normaltextrun"/>
          <w:rFonts w:ascii="Arial Narrow" w:eastAsiaTheme="majorEastAsia" w:hAnsi="Arial Narrow" w:cs="Arial"/>
          <w:i/>
          <w:sz w:val="24"/>
          <w:szCs w:val="24"/>
          <w:lang w:val="fr-CI"/>
        </w:rPr>
        <w:t>)</w:t>
      </w:r>
      <w:r w:rsidR="001E533E" w:rsidRPr="00A918AC">
        <w:rPr>
          <w:rStyle w:val="normaltextrun"/>
          <w:rFonts w:ascii="Arial Narrow" w:eastAsiaTheme="majorEastAsia" w:hAnsi="Arial Narrow" w:cs="Arial"/>
          <w:sz w:val="24"/>
          <w:szCs w:val="24"/>
          <w:lang w:val="fr-CI"/>
        </w:rPr>
        <w:t xml:space="preserve"> la cr</w:t>
      </w:r>
      <w:r w:rsidR="001E533E" w:rsidRPr="00A918AC">
        <w:rPr>
          <w:rStyle w:val="normaltextrun"/>
          <w:rFonts w:ascii="Arial Narrow" w:eastAsiaTheme="majorEastAsia" w:hAnsi="Arial Narrow" w:cs="Arial Narrow"/>
          <w:sz w:val="24"/>
          <w:szCs w:val="24"/>
          <w:lang w:val="fr-CI"/>
        </w:rPr>
        <w:t>é</w:t>
      </w:r>
      <w:r w:rsidR="001E533E" w:rsidRPr="00A918AC">
        <w:rPr>
          <w:rStyle w:val="normaltextrun"/>
          <w:rFonts w:ascii="Arial Narrow" w:eastAsiaTheme="majorEastAsia" w:hAnsi="Arial Narrow" w:cs="Arial"/>
          <w:sz w:val="24"/>
          <w:szCs w:val="24"/>
          <w:lang w:val="fr-CI"/>
        </w:rPr>
        <w:t>ation d</w:t>
      </w:r>
      <w:r w:rsidR="001E533E" w:rsidRPr="00A918AC">
        <w:rPr>
          <w:rStyle w:val="normaltextrun"/>
          <w:rFonts w:ascii="Arial Narrow" w:eastAsiaTheme="majorEastAsia" w:hAnsi="Arial Narrow" w:cs="Arial Narrow"/>
          <w:sz w:val="24"/>
          <w:szCs w:val="24"/>
          <w:lang w:val="fr-CI"/>
        </w:rPr>
        <w:t>’</w:t>
      </w:r>
      <w:r w:rsidR="001E533E" w:rsidRPr="00A918AC">
        <w:rPr>
          <w:rStyle w:val="normaltextrun"/>
          <w:rFonts w:ascii="Arial Narrow" w:eastAsiaTheme="majorEastAsia" w:hAnsi="Arial Narrow" w:cs="Arial"/>
          <w:sz w:val="24"/>
          <w:szCs w:val="24"/>
          <w:lang w:val="fr-CI"/>
        </w:rPr>
        <w:t>une plateforme d'apprentissage num</w:t>
      </w:r>
      <w:r w:rsidR="001E533E" w:rsidRPr="00A918AC">
        <w:rPr>
          <w:rStyle w:val="normaltextrun"/>
          <w:rFonts w:ascii="Arial Narrow" w:eastAsiaTheme="majorEastAsia" w:hAnsi="Arial Narrow" w:cs="Arial Narrow"/>
          <w:sz w:val="24"/>
          <w:szCs w:val="24"/>
          <w:lang w:val="fr-CI"/>
        </w:rPr>
        <w:t>é</w:t>
      </w:r>
      <w:r w:rsidR="001E533E" w:rsidRPr="00A918AC">
        <w:rPr>
          <w:rStyle w:val="normaltextrun"/>
          <w:rFonts w:ascii="Arial Narrow" w:eastAsiaTheme="majorEastAsia" w:hAnsi="Arial Narrow" w:cs="Arial"/>
          <w:sz w:val="24"/>
          <w:szCs w:val="24"/>
          <w:lang w:val="fr-CI"/>
        </w:rPr>
        <w:t>rique en sant</w:t>
      </w:r>
      <w:r w:rsidR="001E533E" w:rsidRPr="00A918AC">
        <w:rPr>
          <w:rStyle w:val="normaltextrun"/>
          <w:rFonts w:ascii="Arial Narrow" w:eastAsiaTheme="majorEastAsia" w:hAnsi="Arial Narrow" w:cs="Arial Narrow"/>
          <w:sz w:val="24"/>
          <w:szCs w:val="24"/>
          <w:lang w:val="fr-CI"/>
        </w:rPr>
        <w:t>é</w:t>
      </w:r>
      <w:r w:rsidR="001E533E" w:rsidRPr="00A918AC">
        <w:rPr>
          <w:rStyle w:val="normaltextrun"/>
          <w:rFonts w:ascii="Arial Narrow" w:eastAsiaTheme="majorEastAsia" w:hAnsi="Arial Narrow" w:cs="Arial"/>
          <w:sz w:val="24"/>
          <w:szCs w:val="24"/>
          <w:lang w:val="fr-CI"/>
        </w:rPr>
        <w:t xml:space="preserve"> mentale</w:t>
      </w:r>
      <w:r w:rsidR="001E533E" w:rsidRPr="00A918AC">
        <w:rPr>
          <w:rStyle w:val="normaltextrun"/>
          <w:rFonts w:ascii="Arial" w:eastAsiaTheme="majorEastAsia" w:hAnsi="Arial" w:cs="Arial"/>
          <w:sz w:val="24"/>
          <w:szCs w:val="24"/>
          <w:lang w:val="fr-CI"/>
        </w:rPr>
        <w:t> </w:t>
      </w:r>
      <w:r w:rsidR="001E533E" w:rsidRPr="00A918AC">
        <w:rPr>
          <w:rStyle w:val="normaltextrun"/>
          <w:rFonts w:ascii="Arial Narrow" w:eastAsiaTheme="majorEastAsia" w:hAnsi="Arial Narrow" w:cs="Arial"/>
          <w:sz w:val="24"/>
          <w:szCs w:val="24"/>
          <w:lang w:val="fr-CI"/>
        </w:rPr>
        <w:t xml:space="preserve">; </w:t>
      </w:r>
      <w:r w:rsidR="00067E64" w:rsidRPr="00A918AC">
        <w:rPr>
          <w:rStyle w:val="normaltextrun"/>
          <w:rFonts w:ascii="Arial Narrow" w:eastAsiaTheme="majorEastAsia" w:hAnsi="Arial Narrow" w:cs="Arial"/>
          <w:i/>
          <w:sz w:val="24"/>
          <w:szCs w:val="24"/>
          <w:lang w:val="fr-CI"/>
        </w:rPr>
        <w:t>(</w:t>
      </w:r>
      <w:r w:rsidR="00252CC3" w:rsidRPr="00A918AC">
        <w:rPr>
          <w:rStyle w:val="normaltextrun"/>
          <w:rFonts w:ascii="Arial Narrow" w:eastAsiaTheme="majorEastAsia" w:hAnsi="Arial Narrow" w:cs="Arial"/>
          <w:i/>
          <w:sz w:val="24"/>
          <w:szCs w:val="24"/>
          <w:lang w:val="fr-CI"/>
        </w:rPr>
        <w:t>iii</w:t>
      </w:r>
      <w:r w:rsidR="00067E64" w:rsidRPr="00A918AC">
        <w:rPr>
          <w:rStyle w:val="normaltextrun"/>
          <w:rFonts w:ascii="Arial Narrow" w:eastAsiaTheme="majorEastAsia" w:hAnsi="Arial Narrow" w:cs="Arial"/>
          <w:i/>
          <w:sz w:val="24"/>
          <w:szCs w:val="24"/>
          <w:lang w:val="fr-CI"/>
        </w:rPr>
        <w:t>)</w:t>
      </w:r>
      <w:r w:rsidR="00067E64" w:rsidRPr="00A918AC">
        <w:rPr>
          <w:rStyle w:val="normaltextrun"/>
          <w:rFonts w:ascii="Arial Narrow" w:eastAsiaTheme="majorEastAsia" w:hAnsi="Arial Narrow" w:cs="Arial"/>
          <w:sz w:val="24"/>
          <w:szCs w:val="24"/>
          <w:lang w:val="fr-CI"/>
        </w:rPr>
        <w:t xml:space="preserve"> l</w:t>
      </w:r>
      <w:r w:rsidR="001E533E" w:rsidRPr="00A918AC">
        <w:rPr>
          <w:rStyle w:val="normaltextrun"/>
          <w:rFonts w:ascii="Arial Narrow" w:eastAsiaTheme="majorEastAsia" w:hAnsi="Arial Narrow" w:cs="Arial"/>
          <w:sz w:val="24"/>
          <w:szCs w:val="24"/>
          <w:lang w:val="fr-CI"/>
        </w:rPr>
        <w:t>a digitalisation du secteur de la sant</w:t>
      </w:r>
      <w:r w:rsidR="001E533E" w:rsidRPr="00A918AC">
        <w:rPr>
          <w:rStyle w:val="normaltextrun"/>
          <w:rFonts w:ascii="Arial Narrow" w:eastAsiaTheme="majorEastAsia" w:hAnsi="Arial Narrow" w:cs="Arial Narrow"/>
          <w:sz w:val="24"/>
          <w:szCs w:val="24"/>
          <w:lang w:val="fr-CI"/>
        </w:rPr>
        <w:t>é</w:t>
      </w:r>
      <w:r w:rsidR="001E533E" w:rsidRPr="00A918AC">
        <w:rPr>
          <w:rStyle w:val="normaltextrun"/>
          <w:rFonts w:ascii="Arial Narrow" w:eastAsiaTheme="majorEastAsia" w:hAnsi="Arial Narrow" w:cs="Arial"/>
          <w:sz w:val="24"/>
          <w:szCs w:val="24"/>
          <w:lang w:val="fr-CI"/>
        </w:rPr>
        <w:t xml:space="preserve"> </w:t>
      </w:r>
      <w:r w:rsidR="001E533E" w:rsidRPr="00A918AC">
        <w:rPr>
          <w:rStyle w:val="normaltextrun"/>
          <w:rFonts w:ascii="Arial Narrow" w:eastAsiaTheme="majorEastAsia" w:hAnsi="Arial Narrow" w:cs="Arial Narrow"/>
          <w:sz w:val="24"/>
          <w:szCs w:val="24"/>
          <w:lang w:val="fr-CI"/>
        </w:rPr>
        <w:t>à</w:t>
      </w:r>
      <w:r w:rsidR="001E533E" w:rsidRPr="00A918AC">
        <w:rPr>
          <w:rStyle w:val="normaltextrun"/>
          <w:rFonts w:ascii="Arial Narrow" w:eastAsiaTheme="majorEastAsia" w:hAnsi="Arial Narrow" w:cs="Arial"/>
          <w:sz w:val="24"/>
          <w:szCs w:val="24"/>
          <w:lang w:val="fr-CI"/>
        </w:rPr>
        <w:t xml:space="preserve"> travers la cr</w:t>
      </w:r>
      <w:r w:rsidR="001E533E" w:rsidRPr="00A918AC">
        <w:rPr>
          <w:rStyle w:val="normaltextrun"/>
          <w:rFonts w:ascii="Arial Narrow" w:eastAsiaTheme="majorEastAsia" w:hAnsi="Arial Narrow" w:cs="Arial Narrow"/>
          <w:sz w:val="24"/>
          <w:szCs w:val="24"/>
          <w:lang w:val="fr-CI"/>
        </w:rPr>
        <w:t>é</w:t>
      </w:r>
      <w:r w:rsidR="001E533E" w:rsidRPr="00A918AC">
        <w:rPr>
          <w:rStyle w:val="normaltextrun"/>
          <w:rFonts w:ascii="Arial Narrow" w:eastAsiaTheme="majorEastAsia" w:hAnsi="Arial Narrow" w:cs="Arial"/>
          <w:sz w:val="24"/>
          <w:szCs w:val="24"/>
          <w:lang w:val="fr-CI"/>
        </w:rPr>
        <w:t>ation de la Direction de l</w:t>
      </w:r>
      <w:r w:rsidR="001E533E" w:rsidRPr="00A918AC">
        <w:rPr>
          <w:rStyle w:val="normaltextrun"/>
          <w:rFonts w:ascii="Arial Narrow" w:eastAsiaTheme="majorEastAsia" w:hAnsi="Arial Narrow" w:cs="Arial Narrow"/>
          <w:sz w:val="24"/>
          <w:szCs w:val="24"/>
          <w:lang w:val="fr-CI"/>
        </w:rPr>
        <w:t>’</w:t>
      </w:r>
      <w:r w:rsidR="001E533E" w:rsidRPr="00A918AC">
        <w:rPr>
          <w:rStyle w:val="normaltextrun"/>
          <w:rFonts w:ascii="Arial Narrow" w:eastAsiaTheme="majorEastAsia" w:hAnsi="Arial Narrow" w:cs="Arial"/>
          <w:sz w:val="24"/>
          <w:szCs w:val="24"/>
          <w:lang w:val="fr-CI"/>
        </w:rPr>
        <w:t>Informatique Sanitaire et de la Digitalisation</w:t>
      </w:r>
      <w:r w:rsidR="001E533E" w:rsidRPr="00A918AC">
        <w:rPr>
          <w:rStyle w:val="normaltextrun"/>
          <w:rFonts w:ascii="Arial" w:eastAsiaTheme="majorEastAsia" w:hAnsi="Arial" w:cs="Arial"/>
          <w:sz w:val="24"/>
          <w:szCs w:val="24"/>
          <w:lang w:val="fr-CI"/>
        </w:rPr>
        <w:t> </w:t>
      </w:r>
      <w:r w:rsidR="003C4D66" w:rsidRPr="00A918AC">
        <w:rPr>
          <w:rStyle w:val="normaltextrun"/>
          <w:rFonts w:ascii="Arial Narrow" w:eastAsiaTheme="majorEastAsia" w:hAnsi="Arial Narrow" w:cs="Arial"/>
          <w:sz w:val="24"/>
          <w:szCs w:val="24"/>
          <w:lang w:val="fr-CI"/>
        </w:rPr>
        <w:t>et</w:t>
      </w:r>
      <w:r w:rsidR="001E533E" w:rsidRPr="00A918AC">
        <w:rPr>
          <w:rStyle w:val="normaltextrun"/>
          <w:rFonts w:ascii="Arial Narrow" w:eastAsiaTheme="majorEastAsia" w:hAnsi="Arial Narrow" w:cs="Arial"/>
          <w:sz w:val="24"/>
          <w:szCs w:val="24"/>
          <w:lang w:val="fr-CI"/>
        </w:rPr>
        <w:t xml:space="preserve"> l</w:t>
      </w:r>
      <w:r w:rsidR="001E533E" w:rsidRPr="00A918AC">
        <w:rPr>
          <w:rStyle w:val="normaltextrun"/>
          <w:rFonts w:ascii="Arial Narrow" w:eastAsiaTheme="majorEastAsia" w:hAnsi="Arial Narrow" w:cs="Arial Narrow"/>
          <w:sz w:val="24"/>
          <w:szCs w:val="24"/>
          <w:lang w:val="fr-CI"/>
        </w:rPr>
        <w:t>’</w:t>
      </w:r>
      <w:r w:rsidR="001E533E" w:rsidRPr="00A918AC">
        <w:rPr>
          <w:rStyle w:val="normaltextrun"/>
          <w:rFonts w:ascii="Arial Narrow" w:eastAsiaTheme="majorEastAsia" w:hAnsi="Arial Narrow" w:cs="Arial"/>
          <w:sz w:val="24"/>
          <w:szCs w:val="24"/>
          <w:lang w:val="fr-CI"/>
        </w:rPr>
        <w:t>acquisition d</w:t>
      </w:r>
      <w:r w:rsidR="001E533E" w:rsidRPr="00A918AC">
        <w:rPr>
          <w:rStyle w:val="normaltextrun"/>
          <w:rFonts w:ascii="Arial Narrow" w:eastAsiaTheme="majorEastAsia" w:hAnsi="Arial Narrow" w:cs="Arial Narrow"/>
          <w:sz w:val="24"/>
          <w:szCs w:val="24"/>
          <w:lang w:val="fr-CI"/>
        </w:rPr>
        <w:t>’</w:t>
      </w:r>
      <w:r w:rsidR="001E533E" w:rsidRPr="00A918AC">
        <w:rPr>
          <w:rStyle w:val="normaltextrun"/>
          <w:rFonts w:ascii="Arial Narrow" w:eastAsiaTheme="majorEastAsia" w:hAnsi="Arial Narrow" w:cs="Arial"/>
          <w:sz w:val="24"/>
          <w:szCs w:val="24"/>
          <w:lang w:val="fr-CI"/>
        </w:rPr>
        <w:t>un data center du MSHPCMU</w:t>
      </w:r>
      <w:r w:rsidR="00895DDA" w:rsidRPr="00A918AC">
        <w:rPr>
          <w:rStyle w:val="normaltextrun"/>
          <w:rFonts w:ascii="Arial Narrow" w:eastAsiaTheme="majorEastAsia" w:hAnsi="Arial Narrow" w:cs="Arial"/>
          <w:sz w:val="24"/>
          <w:szCs w:val="24"/>
          <w:lang w:val="fr-CI"/>
        </w:rPr>
        <w:t> </w:t>
      </w:r>
      <w:r w:rsidR="00895DDA" w:rsidRPr="00A918AC">
        <w:rPr>
          <w:rStyle w:val="eop"/>
          <w:rFonts w:ascii="Arial Narrow" w:eastAsiaTheme="majorEastAsia" w:hAnsi="Arial Narrow" w:cs="Arial"/>
          <w:sz w:val="24"/>
          <w:szCs w:val="24"/>
        </w:rPr>
        <w:t xml:space="preserve">; </w:t>
      </w:r>
      <w:r w:rsidR="00F1512C" w:rsidRPr="00A918AC">
        <w:rPr>
          <w:rStyle w:val="eop"/>
          <w:rFonts w:ascii="Arial Narrow" w:eastAsiaTheme="majorEastAsia" w:hAnsi="Arial Narrow" w:cs="Arial"/>
          <w:i/>
          <w:sz w:val="24"/>
          <w:szCs w:val="24"/>
        </w:rPr>
        <w:t>(</w:t>
      </w:r>
      <w:r w:rsidR="00252CC3" w:rsidRPr="00A918AC">
        <w:rPr>
          <w:rStyle w:val="eop"/>
          <w:rFonts w:ascii="Arial Narrow" w:eastAsiaTheme="majorEastAsia" w:hAnsi="Arial Narrow" w:cs="Arial"/>
          <w:i/>
          <w:sz w:val="24"/>
          <w:szCs w:val="24"/>
        </w:rPr>
        <w:t>iv</w:t>
      </w:r>
      <w:r w:rsidR="00F1512C" w:rsidRPr="00A918AC">
        <w:rPr>
          <w:rStyle w:val="eop"/>
          <w:rFonts w:ascii="Arial Narrow" w:eastAsiaTheme="majorEastAsia" w:hAnsi="Arial Narrow" w:cs="Arial"/>
          <w:i/>
          <w:sz w:val="24"/>
          <w:szCs w:val="24"/>
        </w:rPr>
        <w:t>)</w:t>
      </w:r>
      <w:r w:rsidR="00F1512C" w:rsidRPr="00A918AC">
        <w:rPr>
          <w:rStyle w:val="eop"/>
          <w:rFonts w:ascii="Arial Narrow" w:eastAsiaTheme="majorEastAsia" w:hAnsi="Arial Narrow" w:cs="Arial"/>
          <w:sz w:val="24"/>
          <w:szCs w:val="24"/>
        </w:rPr>
        <w:t xml:space="preserve"> </w:t>
      </w:r>
      <w:r w:rsidR="00895DDA" w:rsidRPr="00A918AC">
        <w:rPr>
          <w:rFonts w:ascii="Arial Narrow" w:hAnsi="Arial Narrow" w:cstheme="minorHAnsi"/>
          <w:sz w:val="24"/>
          <w:szCs w:val="24"/>
        </w:rPr>
        <w:t xml:space="preserve">la création de modules de formation en ligne sur la gestion des urgences de santé publique et </w:t>
      </w:r>
      <w:r w:rsidR="00895DDA" w:rsidRPr="00305B43">
        <w:rPr>
          <w:rStyle w:val="normaltextrun"/>
          <w:rFonts w:ascii="Arial Narrow" w:eastAsiaTheme="majorEastAsia" w:hAnsi="Arial Narrow" w:cs="Arial"/>
          <w:sz w:val="24"/>
          <w:szCs w:val="24"/>
          <w:lang w:val="fr-CI"/>
        </w:rPr>
        <w:t>l’élaboration d’un manuel de gestion des connaissances sur les urgences de santé publique</w:t>
      </w:r>
      <w:r w:rsidR="00A10E30" w:rsidRPr="00305B43">
        <w:rPr>
          <w:rStyle w:val="normaltextrun"/>
          <w:rFonts w:ascii="Arial Narrow" w:eastAsiaTheme="majorEastAsia" w:hAnsi="Arial Narrow" w:cs="Arial"/>
          <w:sz w:val="24"/>
          <w:szCs w:val="24"/>
          <w:lang w:val="fr-CI"/>
        </w:rPr>
        <w:t>.</w:t>
      </w:r>
      <w:r w:rsidR="00895DDA" w:rsidRPr="00305B43">
        <w:rPr>
          <w:rStyle w:val="normaltextrun"/>
          <w:rFonts w:ascii="Arial Narrow" w:eastAsiaTheme="majorEastAsia" w:hAnsi="Arial Narrow" w:cs="Arial"/>
          <w:sz w:val="24"/>
          <w:szCs w:val="24"/>
          <w:lang w:val="fr-CI"/>
        </w:rPr>
        <w:t xml:space="preserve"> </w:t>
      </w:r>
      <w:r w:rsidR="00C97BA9" w:rsidRPr="00305B43">
        <w:rPr>
          <w:rStyle w:val="normaltextrun"/>
          <w:rFonts w:ascii="Arial Narrow" w:eastAsiaTheme="majorEastAsia" w:hAnsi="Arial Narrow" w:cs="Arial"/>
          <w:sz w:val="24"/>
          <w:szCs w:val="24"/>
          <w:lang w:val="fr-CI"/>
        </w:rPr>
        <w:t>Pour l’opérationnalisation effective de la télémédecine,</w:t>
      </w:r>
      <w:r w:rsidR="002D3C06" w:rsidRPr="00305B43">
        <w:rPr>
          <w:rStyle w:val="normaltextrun"/>
          <w:rFonts w:ascii="Arial Narrow" w:eastAsiaTheme="majorEastAsia" w:hAnsi="Arial Narrow" w:cs="Arial"/>
          <w:sz w:val="24"/>
          <w:szCs w:val="24"/>
          <w:lang w:val="fr-CI"/>
        </w:rPr>
        <w:t xml:space="preserve"> </w:t>
      </w:r>
      <w:r w:rsidR="00F0564D" w:rsidRPr="00305B43">
        <w:rPr>
          <w:rStyle w:val="normaltextrun"/>
          <w:rFonts w:ascii="Arial Narrow" w:eastAsiaTheme="majorEastAsia" w:hAnsi="Arial Narrow" w:cs="Arial"/>
          <w:sz w:val="24"/>
          <w:szCs w:val="24"/>
          <w:lang w:val="fr-CI"/>
        </w:rPr>
        <w:t xml:space="preserve">le </w:t>
      </w:r>
      <w:r w:rsidR="001E533E" w:rsidRPr="00305B43">
        <w:rPr>
          <w:rStyle w:val="normaltextrun"/>
          <w:rFonts w:ascii="Arial Narrow" w:eastAsiaTheme="majorEastAsia" w:hAnsi="Arial Narrow" w:cs="Arial"/>
          <w:sz w:val="24"/>
          <w:szCs w:val="24"/>
          <w:lang w:val="fr-CI"/>
        </w:rPr>
        <w:t xml:space="preserve">mécanisme de financement </w:t>
      </w:r>
      <w:r w:rsidR="003D0ADF" w:rsidRPr="00305B43">
        <w:rPr>
          <w:rStyle w:val="normaltextrun"/>
          <w:rFonts w:ascii="Arial Narrow" w:eastAsiaTheme="majorEastAsia" w:hAnsi="Arial Narrow" w:cs="Arial"/>
          <w:sz w:val="24"/>
          <w:szCs w:val="24"/>
          <w:lang w:val="fr-CI"/>
        </w:rPr>
        <w:t>devra être renforcé.</w:t>
      </w:r>
    </w:p>
    <w:p w14:paraId="079F7B39" w14:textId="77777777" w:rsidR="00F442ED" w:rsidRDefault="00F442ED" w:rsidP="00C03634">
      <w:pPr>
        <w:jc w:val="both"/>
        <w:rPr>
          <w:rStyle w:val="normaltextrun"/>
          <w:rFonts w:ascii="Arial Narrow" w:eastAsiaTheme="majorEastAsia" w:hAnsi="Arial Narrow" w:cs="Arial"/>
          <w:sz w:val="24"/>
          <w:szCs w:val="24"/>
          <w:lang w:val="fr-CI"/>
        </w:rPr>
      </w:pPr>
    </w:p>
    <w:p w14:paraId="2A1C10F8" w14:textId="3C4D215E" w:rsidR="00F442ED" w:rsidRPr="007E7C5B" w:rsidRDefault="00F442ED" w:rsidP="00F442ED">
      <w:pPr>
        <w:pStyle w:val="Titre5"/>
        <w:shd w:val="clear" w:color="auto" w:fill="FBE4D5" w:themeFill="accent2" w:themeFillTint="33"/>
        <w:rPr>
          <w:rFonts w:ascii="Arial Narrow" w:hAnsi="Arial Narrow"/>
          <w:b/>
          <w:color w:val="auto"/>
          <w:sz w:val="24"/>
          <w:szCs w:val="24"/>
        </w:rPr>
      </w:pPr>
      <w:r>
        <w:rPr>
          <w:rFonts w:ascii="Arial Narrow" w:hAnsi="Arial Narrow"/>
          <w:b/>
          <w:color w:val="auto"/>
          <w:sz w:val="24"/>
          <w:szCs w:val="24"/>
        </w:rPr>
        <w:t>Communication</w:t>
      </w:r>
    </w:p>
    <w:p w14:paraId="3DDB827A" w14:textId="77777777" w:rsidR="00F442ED" w:rsidRDefault="00F442ED" w:rsidP="00C03634">
      <w:pPr>
        <w:jc w:val="both"/>
        <w:rPr>
          <w:rStyle w:val="normaltextrun"/>
          <w:rFonts w:ascii="Arial Narrow" w:eastAsiaTheme="majorEastAsia" w:hAnsi="Arial Narrow" w:cs="Arial"/>
          <w:sz w:val="24"/>
          <w:szCs w:val="24"/>
          <w:lang w:val="fr-CI"/>
        </w:rPr>
      </w:pPr>
    </w:p>
    <w:p w14:paraId="24C23480" w14:textId="77777777" w:rsidR="00F442ED" w:rsidRPr="00F442ED" w:rsidRDefault="00F442ED" w:rsidP="00F442ED">
      <w:pPr>
        <w:jc w:val="both"/>
        <w:rPr>
          <w:rFonts w:ascii="Arial Narrow" w:eastAsiaTheme="majorEastAsia" w:hAnsi="Arial Narrow" w:cs="Arial"/>
          <w:sz w:val="24"/>
          <w:szCs w:val="24"/>
          <w:lang w:val="fr-CI"/>
        </w:rPr>
      </w:pPr>
      <w:r w:rsidRPr="00F442ED">
        <w:rPr>
          <w:rFonts w:ascii="Arial Narrow" w:eastAsiaTheme="majorEastAsia" w:hAnsi="Arial Narrow" w:cs="Arial"/>
          <w:sz w:val="24"/>
          <w:szCs w:val="24"/>
          <w:lang w:val="fr-CI"/>
        </w:rPr>
        <w:t>Afin de renforcer la visibilité des actions menées en faveur du bien-être des populations et de promouvoir la santé publique en Côte d'Ivoire, plusieurs initiatives ont été mises en œuvre.</w:t>
      </w:r>
    </w:p>
    <w:p w14:paraId="4964E9A4" w14:textId="6157EB42" w:rsidR="00F442ED" w:rsidRPr="00F442ED" w:rsidRDefault="00F442ED" w:rsidP="00F442ED">
      <w:pPr>
        <w:jc w:val="both"/>
        <w:rPr>
          <w:rFonts w:ascii="Arial Narrow" w:eastAsiaTheme="majorEastAsia" w:hAnsi="Arial Narrow" w:cs="Arial"/>
          <w:sz w:val="24"/>
          <w:szCs w:val="24"/>
          <w:lang w:val="fr-CI"/>
        </w:rPr>
      </w:pPr>
      <w:r>
        <w:rPr>
          <w:rFonts w:ascii="Arial Narrow" w:eastAsiaTheme="majorEastAsia" w:hAnsi="Arial Narrow" w:cs="Arial"/>
          <w:sz w:val="24"/>
          <w:szCs w:val="24"/>
          <w:lang w:val="fr-CI"/>
        </w:rPr>
        <w:t>L</w:t>
      </w:r>
      <w:r w:rsidRPr="00F442ED">
        <w:rPr>
          <w:rFonts w:ascii="Arial Narrow" w:eastAsiaTheme="majorEastAsia" w:hAnsi="Arial Narrow" w:cs="Arial"/>
          <w:sz w:val="24"/>
          <w:szCs w:val="24"/>
          <w:lang w:val="fr-CI"/>
        </w:rPr>
        <w:t xml:space="preserve">e renforcement de la Communication des Risques et de l'Engagement Communautaire (CREC) a permis d'obtenir des résultats significatifs. Grâce au Centre d'Appels 143 et à un dispositif efficace de gestion des rumeurs, la sensibilisation ainsi que l'implication des communautés dans la prévention des risques sanitaires ont été améliorées. Cette dynamique </w:t>
      </w:r>
      <w:r>
        <w:rPr>
          <w:rFonts w:ascii="Arial Narrow" w:eastAsiaTheme="majorEastAsia" w:hAnsi="Arial Narrow" w:cs="Arial"/>
          <w:sz w:val="24"/>
          <w:szCs w:val="24"/>
          <w:lang w:val="fr-CI"/>
        </w:rPr>
        <w:t xml:space="preserve">a </w:t>
      </w:r>
      <w:r w:rsidRPr="00F442ED">
        <w:rPr>
          <w:rFonts w:ascii="Arial Narrow" w:eastAsiaTheme="majorEastAsia" w:hAnsi="Arial Narrow" w:cs="Arial"/>
          <w:sz w:val="24"/>
          <w:szCs w:val="24"/>
          <w:lang w:val="fr-CI"/>
        </w:rPr>
        <w:t xml:space="preserve">été </w:t>
      </w:r>
      <w:r>
        <w:rPr>
          <w:rFonts w:ascii="Arial Narrow" w:eastAsiaTheme="majorEastAsia" w:hAnsi="Arial Narrow" w:cs="Arial"/>
          <w:sz w:val="24"/>
          <w:szCs w:val="24"/>
          <w:lang w:val="fr-CI"/>
        </w:rPr>
        <w:t>récompensée</w:t>
      </w:r>
      <w:r w:rsidRPr="00F442ED">
        <w:rPr>
          <w:rFonts w:ascii="Arial Narrow" w:eastAsiaTheme="majorEastAsia" w:hAnsi="Arial Narrow" w:cs="Arial"/>
          <w:sz w:val="24"/>
          <w:szCs w:val="24"/>
          <w:lang w:val="fr-CI"/>
        </w:rPr>
        <w:t xml:space="preserve"> lors de l'évaluation externe conjointe de décembre 2023, où la CREC a obtenu la meilleure note na</w:t>
      </w:r>
      <w:r>
        <w:rPr>
          <w:rFonts w:ascii="Arial Narrow" w:eastAsiaTheme="majorEastAsia" w:hAnsi="Arial Narrow" w:cs="Arial"/>
          <w:sz w:val="24"/>
          <w:szCs w:val="24"/>
          <w:lang w:val="fr-CI"/>
        </w:rPr>
        <w:t>tionale dans le domaine de la communication communautaire.</w:t>
      </w:r>
    </w:p>
    <w:p w14:paraId="6845D03C" w14:textId="6F7670B7" w:rsidR="00F442ED" w:rsidRPr="00F442ED" w:rsidRDefault="00F442ED" w:rsidP="00F442ED">
      <w:pPr>
        <w:jc w:val="both"/>
        <w:rPr>
          <w:rFonts w:ascii="Arial Narrow" w:eastAsiaTheme="majorEastAsia" w:hAnsi="Arial Narrow" w:cs="Arial"/>
          <w:sz w:val="24"/>
          <w:szCs w:val="24"/>
          <w:lang w:val="fr-CI"/>
        </w:rPr>
      </w:pPr>
      <w:r w:rsidRPr="00F442ED">
        <w:rPr>
          <w:rFonts w:ascii="Arial Narrow" w:eastAsiaTheme="majorEastAsia" w:hAnsi="Arial Narrow" w:cs="Arial"/>
          <w:sz w:val="24"/>
          <w:szCs w:val="24"/>
          <w:lang w:val="fr-CI"/>
        </w:rPr>
        <w:t>Parallèlement, un Plan de Communication Mutualisé (PCM) a été mis en place afin d'optimiser la diffusion des actions des structures sous tutelle du Ministère. Pour ce faire, des partenariats ont été établis avec plusieurs médias, notamment NCI, KOACI.COM et Veilleur de Médias. Ainsi, 675 reportages télévisés, 567 émissions radio, 2 609 articles de presse écrite et 856 publications en ligne ont permis de relayer les avancées du secteur de la santé.</w:t>
      </w:r>
    </w:p>
    <w:p w14:paraId="5952836F" w14:textId="77777777" w:rsidR="00F442ED" w:rsidRPr="00F442ED" w:rsidRDefault="00F442ED" w:rsidP="00F442ED">
      <w:pPr>
        <w:jc w:val="both"/>
        <w:rPr>
          <w:rFonts w:ascii="Arial Narrow" w:eastAsiaTheme="majorEastAsia" w:hAnsi="Arial Narrow" w:cs="Arial"/>
          <w:sz w:val="24"/>
          <w:szCs w:val="24"/>
          <w:lang w:val="fr-CI"/>
        </w:rPr>
      </w:pPr>
      <w:r w:rsidRPr="00F442ED">
        <w:rPr>
          <w:rFonts w:ascii="Arial Narrow" w:eastAsiaTheme="majorEastAsia" w:hAnsi="Arial Narrow" w:cs="Arial"/>
          <w:sz w:val="24"/>
          <w:szCs w:val="24"/>
          <w:lang w:val="fr-CI"/>
        </w:rPr>
        <w:t xml:space="preserve">Dans une logique d’amélioration continue, le MSHPCMU a également mis l’accent sur le renforcement des capacités en communication des structures décentralisées. Au total, ce sont 286 communicateurs qui ont été déployés dans les 33 régions sanitaires du pays, incluant des techniciens, administrateurs et attachés en communication, mais aussi du personnel soignant formé aux enjeux de la communication institutionnelle. Grâce à cette approche, chaque structure dispose désormais d’une existence numérique, facilitant la circulation de l’information et la collaboration avec les autorités locales, les médias régionaux </w:t>
      </w:r>
      <w:r w:rsidRPr="00F442ED">
        <w:rPr>
          <w:rFonts w:ascii="Arial Narrow" w:eastAsiaTheme="majorEastAsia" w:hAnsi="Arial Narrow" w:cs="Arial"/>
          <w:sz w:val="24"/>
          <w:szCs w:val="24"/>
          <w:lang w:val="fr-CI"/>
        </w:rPr>
        <w:lastRenderedPageBreak/>
        <w:t>et les communautés. Par ailleurs, 120 communicateurs ont été formés en leadership et communication stratégique, et 10 autres en Fact-Checking et journalisme mobile afin de garantir une information fiable et pertinente.</w:t>
      </w:r>
    </w:p>
    <w:p w14:paraId="657A261C" w14:textId="43708715" w:rsidR="00F442ED" w:rsidRPr="00F442ED" w:rsidRDefault="00F442ED" w:rsidP="00F442ED">
      <w:pPr>
        <w:jc w:val="both"/>
        <w:rPr>
          <w:rFonts w:ascii="Arial Narrow" w:eastAsiaTheme="majorEastAsia" w:hAnsi="Arial Narrow" w:cs="Arial"/>
          <w:sz w:val="24"/>
          <w:szCs w:val="24"/>
          <w:lang w:val="fr-CI"/>
        </w:rPr>
      </w:pPr>
      <w:r w:rsidRPr="00F442ED">
        <w:rPr>
          <w:rFonts w:ascii="Arial Narrow" w:eastAsiaTheme="majorEastAsia" w:hAnsi="Arial Narrow" w:cs="Arial"/>
          <w:sz w:val="24"/>
          <w:szCs w:val="24"/>
        </w:rPr>
        <w:t xml:space="preserve">Ce rayonnement </w:t>
      </w:r>
      <w:r w:rsidRPr="00F442ED">
        <w:rPr>
          <w:rFonts w:ascii="Arial Narrow" w:eastAsiaTheme="majorEastAsia" w:hAnsi="Arial Narrow" w:cs="Arial"/>
          <w:sz w:val="24"/>
          <w:szCs w:val="24"/>
          <w:lang w:val="fr-CI"/>
        </w:rPr>
        <w:t xml:space="preserve">sur le plan digital et médiatique </w:t>
      </w:r>
      <w:r>
        <w:rPr>
          <w:rFonts w:ascii="Arial Narrow" w:eastAsiaTheme="majorEastAsia" w:hAnsi="Arial Narrow" w:cs="Arial"/>
          <w:sz w:val="24"/>
          <w:szCs w:val="24"/>
        </w:rPr>
        <w:t>a</w:t>
      </w:r>
      <w:r w:rsidRPr="00F442ED">
        <w:rPr>
          <w:rFonts w:ascii="Arial Narrow" w:eastAsiaTheme="majorEastAsia" w:hAnsi="Arial Narrow" w:cs="Arial"/>
          <w:sz w:val="24"/>
          <w:szCs w:val="24"/>
        </w:rPr>
        <w:t xml:space="preserve"> val</w:t>
      </w:r>
      <w:r>
        <w:rPr>
          <w:rFonts w:ascii="Arial Narrow" w:eastAsiaTheme="majorEastAsia" w:hAnsi="Arial Narrow" w:cs="Arial"/>
          <w:sz w:val="24"/>
          <w:szCs w:val="24"/>
        </w:rPr>
        <w:t>u</w:t>
      </w:r>
      <w:r w:rsidRPr="00F442ED">
        <w:rPr>
          <w:rFonts w:ascii="Arial Narrow" w:eastAsiaTheme="majorEastAsia" w:hAnsi="Arial Narrow" w:cs="Arial"/>
          <w:sz w:val="24"/>
          <w:szCs w:val="24"/>
        </w:rPr>
        <w:t xml:space="preserve"> </w:t>
      </w:r>
      <w:r>
        <w:rPr>
          <w:rFonts w:ascii="Arial Narrow" w:eastAsiaTheme="majorEastAsia" w:hAnsi="Arial Narrow" w:cs="Arial"/>
          <w:sz w:val="24"/>
          <w:szCs w:val="24"/>
          <w:lang w:val="fr-CI"/>
        </w:rPr>
        <w:t xml:space="preserve">à la Direction de la communication </w:t>
      </w:r>
      <w:r>
        <w:rPr>
          <w:rFonts w:ascii="Arial Narrow" w:eastAsiaTheme="majorEastAsia" w:hAnsi="Arial Narrow" w:cs="Arial"/>
          <w:sz w:val="24"/>
          <w:szCs w:val="24"/>
        </w:rPr>
        <w:t>d</w:t>
      </w:r>
      <w:r w:rsidRPr="00F442ED">
        <w:rPr>
          <w:rFonts w:ascii="Arial Narrow" w:eastAsiaTheme="majorEastAsia" w:hAnsi="Arial Narrow" w:cs="Arial"/>
          <w:sz w:val="24"/>
          <w:szCs w:val="24"/>
        </w:rPr>
        <w:t>u Ministère de la Santé une distinction honorifique en 2024, accordée par la Primature, en tant que « Meilleur Service Gouvernemental de Communication », témoignant ainsi de son dynamisme et de son engagement</w:t>
      </w:r>
      <w:r>
        <w:rPr>
          <w:rFonts w:ascii="Arial Narrow" w:eastAsiaTheme="majorEastAsia" w:hAnsi="Arial Narrow" w:cs="Arial"/>
          <w:sz w:val="24"/>
          <w:szCs w:val="24"/>
        </w:rPr>
        <w:t>.</w:t>
      </w:r>
    </w:p>
    <w:p w14:paraId="2C9E4674" w14:textId="07652E5A" w:rsidR="0090692C" w:rsidRPr="00C03634" w:rsidRDefault="00F442ED" w:rsidP="00C03634">
      <w:pPr>
        <w:jc w:val="both"/>
        <w:rPr>
          <w:rStyle w:val="normaltextrun"/>
          <w:rFonts w:ascii="Arial Narrow" w:eastAsiaTheme="majorEastAsia" w:hAnsi="Arial Narrow" w:cs="Arial"/>
          <w:sz w:val="24"/>
          <w:szCs w:val="24"/>
          <w:lang w:val="fr-CI"/>
        </w:rPr>
      </w:pPr>
      <w:r w:rsidRPr="00F442ED">
        <w:rPr>
          <w:rFonts w:ascii="Arial Narrow" w:eastAsiaTheme="majorEastAsia" w:hAnsi="Arial Narrow" w:cs="Arial"/>
          <w:sz w:val="24"/>
          <w:szCs w:val="24"/>
          <w:lang w:val="fr-CI"/>
        </w:rPr>
        <w:t> </w:t>
      </w:r>
    </w:p>
    <w:p w14:paraId="44E7EC04" w14:textId="7B536973" w:rsidR="00D42568" w:rsidRPr="00305B43" w:rsidRDefault="00D42568" w:rsidP="00761F55">
      <w:pPr>
        <w:pStyle w:val="Titre4"/>
        <w:jc w:val="both"/>
        <w:rPr>
          <w:rFonts w:ascii="Arial Narrow" w:hAnsi="Arial Narrow" w:cs="Arial"/>
          <w:b/>
          <w:sz w:val="24"/>
          <w:szCs w:val="24"/>
        </w:rPr>
      </w:pPr>
      <w:r w:rsidRPr="00305B43">
        <w:rPr>
          <w:rFonts w:ascii="Arial Narrow" w:hAnsi="Arial Narrow" w:cs="Arial"/>
          <w:b/>
          <w:sz w:val="24"/>
          <w:szCs w:val="24"/>
        </w:rPr>
        <w:t>Axe 2 : Renforcement de l’offre et l’accessibilité des populations aux soins de qualité</w:t>
      </w:r>
    </w:p>
    <w:p w14:paraId="3E7A1FC2" w14:textId="7AC83FB6" w:rsidR="009E043B" w:rsidRPr="007E7C5B" w:rsidRDefault="00B73EB2" w:rsidP="00761F55">
      <w:pPr>
        <w:jc w:val="both"/>
        <w:rPr>
          <w:rFonts w:ascii="Arial Narrow" w:hAnsi="Arial Narrow" w:cstheme="minorHAnsi"/>
          <w:sz w:val="24"/>
          <w:szCs w:val="24"/>
        </w:rPr>
      </w:pPr>
      <w:r w:rsidRPr="007E7C5B">
        <w:rPr>
          <w:rFonts w:ascii="Arial Narrow" w:hAnsi="Arial Narrow" w:cstheme="minorHAnsi"/>
          <w:sz w:val="24"/>
          <w:szCs w:val="24"/>
        </w:rPr>
        <w:t xml:space="preserve">Relativement à l’axe 2, le </w:t>
      </w:r>
      <w:r w:rsidR="009D05EE" w:rsidRPr="007E7C5B">
        <w:rPr>
          <w:rFonts w:ascii="Arial Narrow" w:hAnsi="Arial Narrow" w:cstheme="minorHAnsi"/>
          <w:sz w:val="24"/>
          <w:szCs w:val="24"/>
        </w:rPr>
        <w:t>MSHPCMU</w:t>
      </w:r>
      <w:r w:rsidRPr="007E7C5B">
        <w:rPr>
          <w:rFonts w:ascii="Arial Narrow" w:hAnsi="Arial Narrow" w:cstheme="minorHAnsi"/>
          <w:sz w:val="24"/>
          <w:szCs w:val="24"/>
        </w:rPr>
        <w:t xml:space="preserve"> s’est fixé pour objectif </w:t>
      </w:r>
      <w:r w:rsidR="00CD4CAD" w:rsidRPr="007E7C5B">
        <w:rPr>
          <w:rFonts w:ascii="Arial Narrow" w:hAnsi="Arial Narrow" w:cstheme="minorHAnsi"/>
          <w:sz w:val="24"/>
          <w:szCs w:val="24"/>
        </w:rPr>
        <w:t xml:space="preserve">de renforcer </w:t>
      </w:r>
      <w:r w:rsidR="00F54EDA" w:rsidRPr="007E7C5B">
        <w:rPr>
          <w:rFonts w:ascii="Arial Narrow" w:hAnsi="Arial Narrow" w:cstheme="minorHAnsi"/>
          <w:sz w:val="24"/>
          <w:szCs w:val="24"/>
        </w:rPr>
        <w:t>l’offre et</w:t>
      </w:r>
      <w:r w:rsidR="00CD4CAD" w:rsidRPr="007E7C5B">
        <w:rPr>
          <w:rFonts w:ascii="Arial Narrow" w:hAnsi="Arial Narrow" w:cstheme="minorHAnsi"/>
          <w:sz w:val="24"/>
          <w:szCs w:val="24"/>
        </w:rPr>
        <w:t xml:space="preserve"> </w:t>
      </w:r>
      <w:r w:rsidR="00F54EDA" w:rsidRPr="007E7C5B">
        <w:rPr>
          <w:rFonts w:ascii="Arial Narrow" w:hAnsi="Arial Narrow" w:cstheme="minorHAnsi"/>
          <w:sz w:val="24"/>
          <w:szCs w:val="24"/>
        </w:rPr>
        <w:t>l’accessibilité des populations aux soins de qualité</w:t>
      </w:r>
      <w:r w:rsidR="00DF411B" w:rsidRPr="007E7C5B">
        <w:rPr>
          <w:rFonts w:ascii="Arial Narrow" w:hAnsi="Arial Narrow" w:cstheme="minorHAnsi"/>
          <w:sz w:val="24"/>
          <w:szCs w:val="24"/>
        </w:rPr>
        <w:t xml:space="preserve">. </w:t>
      </w:r>
      <w:r w:rsidR="00D108A9" w:rsidRPr="007E7C5B">
        <w:rPr>
          <w:rFonts w:ascii="Arial Narrow" w:hAnsi="Arial Narrow" w:cstheme="minorHAnsi"/>
          <w:sz w:val="24"/>
          <w:szCs w:val="24"/>
        </w:rPr>
        <w:t>Cela</w:t>
      </w:r>
      <w:r w:rsidR="000D5C05" w:rsidRPr="007E7C5B">
        <w:rPr>
          <w:rFonts w:ascii="Arial Narrow" w:hAnsi="Arial Narrow" w:cstheme="minorHAnsi"/>
          <w:sz w:val="24"/>
          <w:szCs w:val="24"/>
        </w:rPr>
        <w:t>,</w:t>
      </w:r>
      <w:r w:rsidR="00D108A9" w:rsidRPr="007E7C5B">
        <w:rPr>
          <w:rFonts w:ascii="Arial Narrow" w:hAnsi="Arial Narrow" w:cstheme="minorHAnsi"/>
          <w:sz w:val="24"/>
          <w:szCs w:val="24"/>
        </w:rPr>
        <w:t xml:space="preserve"> par </w:t>
      </w:r>
      <w:r w:rsidR="000377AC" w:rsidRPr="00A918AC">
        <w:rPr>
          <w:rFonts w:ascii="Arial Narrow" w:hAnsi="Arial Narrow" w:cstheme="minorHAnsi"/>
          <w:i/>
          <w:sz w:val="24"/>
          <w:szCs w:val="24"/>
        </w:rPr>
        <w:t>(i)</w:t>
      </w:r>
      <w:r w:rsidR="000377AC" w:rsidRPr="007E7C5B">
        <w:rPr>
          <w:rFonts w:ascii="Arial Narrow" w:hAnsi="Arial Narrow" w:cstheme="minorHAnsi"/>
          <w:sz w:val="24"/>
          <w:szCs w:val="24"/>
        </w:rPr>
        <w:t xml:space="preserve"> </w:t>
      </w:r>
      <w:r w:rsidR="00D108A9" w:rsidRPr="007E7C5B">
        <w:rPr>
          <w:rFonts w:ascii="Arial Narrow" w:hAnsi="Arial Narrow" w:cstheme="minorHAnsi"/>
          <w:sz w:val="24"/>
          <w:szCs w:val="24"/>
        </w:rPr>
        <w:t xml:space="preserve">l’accroissement des </w:t>
      </w:r>
      <w:r w:rsidR="00F54EDA" w:rsidRPr="007E7C5B">
        <w:rPr>
          <w:rFonts w:ascii="Arial Narrow" w:hAnsi="Arial Narrow" w:cstheme="minorHAnsi"/>
          <w:sz w:val="24"/>
          <w:szCs w:val="24"/>
        </w:rPr>
        <w:t>investissements adéquats pour des services de Santé de qualité et accessibles</w:t>
      </w:r>
      <w:r w:rsidR="00467834" w:rsidRPr="007E7C5B">
        <w:rPr>
          <w:rFonts w:ascii="Arial Narrow" w:hAnsi="Arial Narrow" w:cstheme="minorHAnsi"/>
          <w:sz w:val="24"/>
          <w:szCs w:val="24"/>
        </w:rPr>
        <w:t xml:space="preserve"> ; </w:t>
      </w:r>
      <w:r w:rsidR="000377AC" w:rsidRPr="007E7C5B">
        <w:rPr>
          <w:rFonts w:ascii="Arial Narrow" w:hAnsi="Arial Narrow" w:cstheme="minorHAnsi"/>
          <w:i/>
          <w:iCs/>
          <w:sz w:val="24"/>
          <w:szCs w:val="24"/>
        </w:rPr>
        <w:t xml:space="preserve">(ii) </w:t>
      </w:r>
      <w:r w:rsidR="00D108A9" w:rsidRPr="007E7C5B">
        <w:rPr>
          <w:rFonts w:ascii="Arial Narrow" w:hAnsi="Arial Narrow" w:cstheme="minorHAnsi"/>
          <w:sz w:val="24"/>
          <w:szCs w:val="24"/>
        </w:rPr>
        <w:t>l</w:t>
      </w:r>
      <w:r w:rsidR="007F4924" w:rsidRPr="007E7C5B">
        <w:rPr>
          <w:rFonts w:ascii="Arial Narrow" w:hAnsi="Arial Narrow" w:cstheme="minorHAnsi"/>
          <w:sz w:val="24"/>
          <w:szCs w:val="24"/>
        </w:rPr>
        <w:t>’amélioration de la</w:t>
      </w:r>
      <w:r w:rsidR="00F54EDA" w:rsidRPr="007E7C5B">
        <w:rPr>
          <w:rFonts w:ascii="Arial Narrow" w:hAnsi="Arial Narrow" w:cstheme="minorHAnsi"/>
          <w:sz w:val="24"/>
          <w:szCs w:val="24"/>
        </w:rPr>
        <w:t xml:space="preserve"> prise en charge des groupes spécifiques prioritaires</w:t>
      </w:r>
      <w:r w:rsidR="00467834" w:rsidRPr="007E7C5B">
        <w:rPr>
          <w:rFonts w:ascii="Arial Narrow" w:hAnsi="Arial Narrow" w:cstheme="minorHAnsi"/>
          <w:sz w:val="24"/>
          <w:szCs w:val="24"/>
        </w:rPr>
        <w:t xml:space="preserve"> ; </w:t>
      </w:r>
      <w:r w:rsidR="000377AC" w:rsidRPr="007E7C5B">
        <w:rPr>
          <w:rFonts w:ascii="Arial Narrow" w:hAnsi="Arial Narrow" w:cstheme="minorHAnsi"/>
          <w:i/>
          <w:iCs/>
          <w:sz w:val="24"/>
          <w:szCs w:val="24"/>
        </w:rPr>
        <w:t xml:space="preserve">(iii) </w:t>
      </w:r>
      <w:r w:rsidR="009F591C" w:rsidRPr="007E7C5B">
        <w:rPr>
          <w:rFonts w:ascii="Arial Narrow" w:hAnsi="Arial Narrow" w:cstheme="minorHAnsi"/>
          <w:sz w:val="24"/>
          <w:szCs w:val="24"/>
        </w:rPr>
        <w:t xml:space="preserve">la prise en charge efficace des maladies </w:t>
      </w:r>
      <w:r w:rsidR="00F54EDA" w:rsidRPr="007E7C5B">
        <w:rPr>
          <w:rFonts w:ascii="Arial Narrow" w:hAnsi="Arial Narrow" w:cstheme="minorHAnsi"/>
          <w:sz w:val="24"/>
          <w:szCs w:val="24"/>
        </w:rPr>
        <w:t xml:space="preserve">(prévention et prise en charge au sein des établissements sanitaires) </w:t>
      </w:r>
      <w:r w:rsidR="009F591C" w:rsidRPr="007E7C5B">
        <w:rPr>
          <w:rFonts w:ascii="Arial Narrow" w:hAnsi="Arial Narrow" w:cstheme="minorHAnsi"/>
          <w:sz w:val="24"/>
          <w:szCs w:val="24"/>
        </w:rPr>
        <w:t xml:space="preserve">et </w:t>
      </w:r>
      <w:r w:rsidR="00211D9C" w:rsidRPr="00A918AC">
        <w:rPr>
          <w:rFonts w:ascii="Arial Narrow" w:hAnsi="Arial Narrow" w:cstheme="minorHAnsi"/>
          <w:i/>
          <w:sz w:val="24"/>
          <w:szCs w:val="24"/>
        </w:rPr>
        <w:t>(iv)</w:t>
      </w:r>
      <w:r w:rsidR="00211D9C" w:rsidRPr="007E7C5B">
        <w:rPr>
          <w:rFonts w:ascii="Arial Narrow" w:hAnsi="Arial Narrow" w:cstheme="minorHAnsi"/>
          <w:sz w:val="24"/>
          <w:szCs w:val="24"/>
        </w:rPr>
        <w:t xml:space="preserve"> </w:t>
      </w:r>
      <w:r w:rsidR="009F591C" w:rsidRPr="007E7C5B">
        <w:rPr>
          <w:rFonts w:ascii="Arial Narrow" w:hAnsi="Arial Narrow" w:cstheme="minorHAnsi"/>
          <w:sz w:val="24"/>
          <w:szCs w:val="24"/>
        </w:rPr>
        <w:t xml:space="preserve">la gestion efficace des </w:t>
      </w:r>
      <w:r w:rsidR="00005FD8" w:rsidRPr="007E7C5B">
        <w:rPr>
          <w:rFonts w:ascii="Arial Narrow" w:hAnsi="Arial Narrow" w:cstheme="minorHAnsi"/>
          <w:sz w:val="24"/>
          <w:szCs w:val="24"/>
        </w:rPr>
        <w:t xml:space="preserve">urgences </w:t>
      </w:r>
      <w:r w:rsidR="00BD693D" w:rsidRPr="007E7C5B">
        <w:rPr>
          <w:rFonts w:ascii="Arial Narrow" w:hAnsi="Arial Narrow" w:cstheme="minorHAnsi"/>
          <w:sz w:val="24"/>
          <w:szCs w:val="24"/>
        </w:rPr>
        <w:t xml:space="preserve">de </w:t>
      </w:r>
      <w:r w:rsidR="00005FD8" w:rsidRPr="007E7C5B">
        <w:rPr>
          <w:rFonts w:ascii="Arial Narrow" w:hAnsi="Arial Narrow" w:cstheme="minorHAnsi"/>
          <w:sz w:val="24"/>
          <w:szCs w:val="24"/>
        </w:rPr>
        <w:t>santé</w:t>
      </w:r>
      <w:r w:rsidR="00BD693D" w:rsidRPr="007E7C5B">
        <w:rPr>
          <w:rFonts w:ascii="Arial Narrow" w:hAnsi="Arial Narrow" w:cstheme="minorHAnsi"/>
          <w:sz w:val="24"/>
          <w:szCs w:val="24"/>
        </w:rPr>
        <w:t xml:space="preserve"> publique</w:t>
      </w:r>
      <w:r w:rsidR="00005FD8" w:rsidRPr="007E7C5B">
        <w:rPr>
          <w:rFonts w:ascii="Arial Narrow" w:hAnsi="Arial Narrow" w:cstheme="minorHAnsi"/>
          <w:sz w:val="24"/>
          <w:szCs w:val="24"/>
        </w:rPr>
        <w:t xml:space="preserve">. </w:t>
      </w:r>
    </w:p>
    <w:p w14:paraId="7A179CD8" w14:textId="6FC9FCB0" w:rsidR="00F0208D" w:rsidRPr="007E7C5B" w:rsidRDefault="00A54672" w:rsidP="00AA7D22">
      <w:pPr>
        <w:pStyle w:val="Titre5"/>
        <w:shd w:val="clear" w:color="auto" w:fill="FBE4D5" w:themeFill="accent2" w:themeFillTint="33"/>
        <w:rPr>
          <w:rFonts w:ascii="Arial Narrow" w:hAnsi="Arial Narrow"/>
          <w:b/>
          <w:color w:val="auto"/>
          <w:sz w:val="24"/>
          <w:szCs w:val="24"/>
        </w:rPr>
      </w:pPr>
      <w:r w:rsidRPr="007E7C5B">
        <w:rPr>
          <w:rFonts w:ascii="Arial Narrow" w:hAnsi="Arial Narrow"/>
          <w:b/>
          <w:color w:val="auto"/>
          <w:sz w:val="24"/>
          <w:szCs w:val="24"/>
        </w:rPr>
        <w:t>Ressources</w:t>
      </w:r>
      <w:r w:rsidR="00F0208D" w:rsidRPr="007E7C5B">
        <w:rPr>
          <w:rFonts w:ascii="Arial Narrow" w:hAnsi="Arial Narrow"/>
          <w:b/>
          <w:color w:val="auto"/>
          <w:sz w:val="24"/>
          <w:szCs w:val="24"/>
        </w:rPr>
        <w:t xml:space="preserve"> humaines </w:t>
      </w:r>
    </w:p>
    <w:p w14:paraId="17BBF8DC" w14:textId="696757D7" w:rsidR="00835B64" w:rsidRPr="007E7C5B" w:rsidRDefault="00617DC3" w:rsidP="00761F55">
      <w:pPr>
        <w:jc w:val="both"/>
        <w:rPr>
          <w:rFonts w:ascii="Arial Narrow" w:hAnsi="Arial Narrow" w:cstheme="minorHAnsi"/>
          <w:sz w:val="24"/>
          <w:szCs w:val="24"/>
        </w:rPr>
      </w:pPr>
      <w:r>
        <w:rPr>
          <w:rFonts w:ascii="Arial Narrow" w:hAnsi="Arial Narrow" w:cstheme="minorHAnsi"/>
          <w:sz w:val="24"/>
          <w:szCs w:val="24"/>
        </w:rPr>
        <w:t xml:space="preserve">S’agissant des ressources humaines, il était prévu de renforcer </w:t>
      </w:r>
      <w:r w:rsidR="00835B64" w:rsidRPr="007E7C5B">
        <w:rPr>
          <w:rFonts w:ascii="Arial Narrow" w:hAnsi="Arial Narrow" w:cstheme="minorHAnsi"/>
          <w:sz w:val="24"/>
          <w:szCs w:val="24"/>
        </w:rPr>
        <w:t>l</w:t>
      </w:r>
      <w:r>
        <w:rPr>
          <w:rFonts w:ascii="Arial Narrow" w:hAnsi="Arial Narrow" w:cstheme="minorHAnsi"/>
          <w:sz w:val="24"/>
          <w:szCs w:val="24"/>
        </w:rPr>
        <w:t>eur</w:t>
      </w:r>
      <w:r w:rsidR="00835B64" w:rsidRPr="007E7C5B">
        <w:rPr>
          <w:rFonts w:ascii="Arial Narrow" w:hAnsi="Arial Narrow" w:cstheme="minorHAnsi"/>
          <w:sz w:val="24"/>
          <w:szCs w:val="24"/>
        </w:rPr>
        <w:t xml:space="preserve"> gestion et l</w:t>
      </w:r>
      <w:r>
        <w:rPr>
          <w:rFonts w:ascii="Arial Narrow" w:hAnsi="Arial Narrow" w:cstheme="minorHAnsi"/>
          <w:sz w:val="24"/>
          <w:szCs w:val="24"/>
        </w:rPr>
        <w:t>eur</w:t>
      </w:r>
      <w:r w:rsidR="00835B64" w:rsidRPr="007E7C5B">
        <w:rPr>
          <w:rFonts w:ascii="Arial Narrow" w:hAnsi="Arial Narrow" w:cstheme="minorHAnsi"/>
          <w:sz w:val="24"/>
          <w:szCs w:val="24"/>
        </w:rPr>
        <w:t xml:space="preserve"> production</w:t>
      </w:r>
      <w:r>
        <w:rPr>
          <w:rFonts w:ascii="Arial Narrow" w:hAnsi="Arial Narrow" w:cstheme="minorHAnsi"/>
          <w:sz w:val="24"/>
          <w:szCs w:val="24"/>
        </w:rPr>
        <w:t xml:space="preserve"> </w:t>
      </w:r>
      <w:r w:rsidR="00835B64" w:rsidRPr="007E7C5B">
        <w:rPr>
          <w:rFonts w:ascii="Arial Narrow" w:hAnsi="Arial Narrow" w:cstheme="minorHAnsi"/>
          <w:sz w:val="24"/>
          <w:szCs w:val="24"/>
        </w:rPr>
        <w:t>afin d’assurer une offre de soins de qualité</w:t>
      </w:r>
      <w:r>
        <w:rPr>
          <w:rFonts w:ascii="Arial Narrow" w:hAnsi="Arial Narrow" w:cstheme="minorHAnsi"/>
          <w:sz w:val="24"/>
          <w:szCs w:val="24"/>
        </w:rPr>
        <w:t>.</w:t>
      </w:r>
      <w:r w:rsidR="00835B64" w:rsidRPr="007E7C5B">
        <w:rPr>
          <w:rFonts w:ascii="Arial Narrow" w:hAnsi="Arial Narrow" w:cstheme="minorHAnsi"/>
          <w:sz w:val="24"/>
          <w:szCs w:val="24"/>
        </w:rPr>
        <w:t xml:space="preserve"> </w:t>
      </w:r>
      <w:r>
        <w:rPr>
          <w:rFonts w:ascii="Arial Narrow" w:hAnsi="Arial Narrow" w:cstheme="minorHAnsi"/>
          <w:sz w:val="24"/>
          <w:szCs w:val="24"/>
        </w:rPr>
        <w:t>L</w:t>
      </w:r>
      <w:r w:rsidR="00835B64" w:rsidRPr="007E7C5B">
        <w:rPr>
          <w:rFonts w:ascii="Arial Narrow" w:hAnsi="Arial Narrow" w:cstheme="minorHAnsi"/>
          <w:sz w:val="24"/>
          <w:szCs w:val="24"/>
        </w:rPr>
        <w:t xml:space="preserve">a densité des prestataires de soins/habitants </w:t>
      </w:r>
      <w:r>
        <w:rPr>
          <w:rFonts w:ascii="Arial Narrow" w:hAnsi="Arial Narrow" w:cstheme="minorHAnsi"/>
          <w:sz w:val="24"/>
          <w:szCs w:val="24"/>
        </w:rPr>
        <w:t xml:space="preserve">devait passer </w:t>
      </w:r>
      <w:r w:rsidR="00835B64" w:rsidRPr="007E7C5B">
        <w:rPr>
          <w:rFonts w:ascii="Arial Narrow" w:hAnsi="Arial Narrow" w:cstheme="minorHAnsi"/>
          <w:sz w:val="24"/>
          <w:szCs w:val="24"/>
        </w:rPr>
        <w:t xml:space="preserve">de 8,57 </w:t>
      </w:r>
      <w:r w:rsidR="00433722" w:rsidRPr="007E7C5B">
        <w:rPr>
          <w:rFonts w:ascii="Arial Narrow" w:hAnsi="Arial Narrow" w:cstheme="minorHAnsi"/>
          <w:sz w:val="24"/>
          <w:szCs w:val="24"/>
        </w:rPr>
        <w:t xml:space="preserve">pour 10 000 habitants </w:t>
      </w:r>
      <w:r w:rsidR="00835B64" w:rsidRPr="007E7C5B">
        <w:rPr>
          <w:rFonts w:ascii="Arial Narrow" w:hAnsi="Arial Narrow" w:cstheme="minorHAnsi"/>
          <w:sz w:val="24"/>
          <w:szCs w:val="24"/>
        </w:rPr>
        <w:t xml:space="preserve">en 2020 à 10,9 en 2023 et 11,91 à la fin de mise en œuvre du PNDS. </w:t>
      </w:r>
    </w:p>
    <w:p w14:paraId="2146C499" w14:textId="1CB8B713" w:rsidR="00835B64" w:rsidRPr="007E7C5B" w:rsidRDefault="00835B64" w:rsidP="00761F55">
      <w:pPr>
        <w:jc w:val="both"/>
        <w:rPr>
          <w:rFonts w:ascii="Arial Narrow" w:hAnsi="Arial Narrow" w:cstheme="minorHAnsi"/>
          <w:color w:val="FF0000"/>
          <w:sz w:val="24"/>
          <w:szCs w:val="24"/>
        </w:rPr>
      </w:pPr>
      <w:r w:rsidRPr="007E7C5B">
        <w:rPr>
          <w:rFonts w:ascii="Arial Narrow" w:hAnsi="Arial Narrow" w:cstheme="minorHAnsi"/>
          <w:sz w:val="24"/>
          <w:szCs w:val="24"/>
        </w:rPr>
        <w:t xml:space="preserve">Pour l’atteinte de cet objectif, le </w:t>
      </w:r>
      <w:r w:rsidR="00C85B53" w:rsidRPr="007E7C5B">
        <w:rPr>
          <w:rFonts w:ascii="Arial Narrow" w:hAnsi="Arial Narrow" w:cstheme="minorHAnsi"/>
          <w:sz w:val="24"/>
          <w:szCs w:val="24"/>
        </w:rPr>
        <w:t xml:space="preserve">MSHPCMU </w:t>
      </w:r>
      <w:r w:rsidRPr="007E7C5B">
        <w:rPr>
          <w:rFonts w:ascii="Arial Narrow" w:hAnsi="Arial Narrow" w:cstheme="minorHAnsi"/>
          <w:sz w:val="24"/>
          <w:szCs w:val="24"/>
        </w:rPr>
        <w:t xml:space="preserve">a consenti </w:t>
      </w:r>
      <w:r w:rsidR="001A3E95" w:rsidRPr="007E7C5B">
        <w:rPr>
          <w:rFonts w:ascii="Arial Narrow" w:hAnsi="Arial Narrow" w:cstheme="minorHAnsi"/>
          <w:sz w:val="24"/>
          <w:szCs w:val="24"/>
        </w:rPr>
        <w:t xml:space="preserve">d’importants </w:t>
      </w:r>
      <w:r w:rsidRPr="007E7C5B">
        <w:rPr>
          <w:rFonts w:ascii="Arial Narrow" w:hAnsi="Arial Narrow" w:cstheme="minorHAnsi"/>
          <w:sz w:val="24"/>
          <w:szCs w:val="24"/>
        </w:rPr>
        <w:t xml:space="preserve">efforts dans le cadre de la </w:t>
      </w:r>
      <w:r w:rsidRPr="007E7C5B">
        <w:rPr>
          <w:rFonts w:ascii="Arial Narrow" w:hAnsi="Arial Narrow" w:cstheme="minorHAnsi"/>
          <w:b/>
          <w:bCs/>
          <w:sz w:val="24"/>
          <w:szCs w:val="24"/>
        </w:rPr>
        <w:t>gouvernance et du financement des ressources humaines</w:t>
      </w:r>
      <w:r w:rsidRPr="007E7C5B">
        <w:rPr>
          <w:rFonts w:ascii="Arial Narrow" w:hAnsi="Arial Narrow" w:cstheme="minorHAnsi"/>
          <w:sz w:val="24"/>
          <w:szCs w:val="24"/>
        </w:rPr>
        <w:t xml:space="preserve"> en santé à travers</w:t>
      </w:r>
      <w:r w:rsidR="001D5094" w:rsidRPr="007E7C5B">
        <w:rPr>
          <w:rFonts w:ascii="Arial Narrow" w:hAnsi="Arial Narrow" w:cstheme="minorHAnsi"/>
          <w:sz w:val="24"/>
          <w:szCs w:val="24"/>
        </w:rPr>
        <w:t xml:space="preserve"> </w:t>
      </w:r>
      <w:r w:rsidR="00553CB8">
        <w:rPr>
          <w:rFonts w:ascii="Arial Narrow" w:hAnsi="Arial Narrow" w:cstheme="minorHAnsi"/>
          <w:sz w:val="24"/>
          <w:szCs w:val="24"/>
        </w:rPr>
        <w:t>le déploiement du</w:t>
      </w:r>
      <w:r w:rsidR="0011102F" w:rsidRPr="007E7C5B">
        <w:rPr>
          <w:rFonts w:ascii="Arial Narrow" w:hAnsi="Arial Narrow" w:cstheme="minorHAnsi"/>
          <w:sz w:val="24"/>
          <w:szCs w:val="24"/>
        </w:rPr>
        <w:t xml:space="preserve"> </w:t>
      </w:r>
      <w:r w:rsidRPr="007E7C5B">
        <w:rPr>
          <w:rFonts w:ascii="Arial Narrow" w:hAnsi="Arial Narrow" w:cstheme="minorHAnsi"/>
          <w:sz w:val="24"/>
          <w:szCs w:val="24"/>
        </w:rPr>
        <w:t xml:space="preserve">logiciel </w:t>
      </w:r>
      <w:r w:rsidR="009C7CBD" w:rsidRPr="007E7C5B">
        <w:rPr>
          <w:rFonts w:ascii="Arial Narrow" w:hAnsi="Arial Narrow" w:cstheme="minorHAnsi"/>
          <w:sz w:val="24"/>
          <w:szCs w:val="24"/>
        </w:rPr>
        <w:t xml:space="preserve">Système Intégré de Gestion </w:t>
      </w:r>
      <w:r w:rsidR="00171AD3" w:rsidRPr="007E7C5B">
        <w:rPr>
          <w:rFonts w:ascii="Arial Narrow" w:hAnsi="Arial Narrow" w:cstheme="minorHAnsi"/>
          <w:sz w:val="24"/>
          <w:szCs w:val="24"/>
        </w:rPr>
        <w:t xml:space="preserve">des Personnels de Santé </w:t>
      </w:r>
      <w:r w:rsidR="009C7CBD" w:rsidRPr="007E7C5B">
        <w:rPr>
          <w:rFonts w:ascii="Arial Narrow" w:hAnsi="Arial Narrow" w:cstheme="minorHAnsi"/>
          <w:sz w:val="24"/>
          <w:szCs w:val="24"/>
        </w:rPr>
        <w:t>(</w:t>
      </w:r>
      <w:r w:rsidRPr="007E7C5B">
        <w:rPr>
          <w:rFonts w:ascii="Arial Narrow" w:hAnsi="Arial Narrow" w:cstheme="minorHAnsi"/>
          <w:sz w:val="24"/>
          <w:szCs w:val="24"/>
        </w:rPr>
        <w:t>SIGPS</w:t>
      </w:r>
      <w:r w:rsidR="009C7CBD" w:rsidRPr="007E7C5B">
        <w:rPr>
          <w:rFonts w:ascii="Arial Narrow" w:hAnsi="Arial Narrow" w:cstheme="minorHAnsi"/>
          <w:sz w:val="24"/>
          <w:szCs w:val="24"/>
        </w:rPr>
        <w:t>)</w:t>
      </w:r>
      <w:r w:rsidR="00553CB8">
        <w:rPr>
          <w:rFonts w:ascii="Arial Narrow" w:hAnsi="Arial Narrow" w:cstheme="minorHAnsi"/>
          <w:sz w:val="24"/>
          <w:szCs w:val="24"/>
        </w:rPr>
        <w:t>,</w:t>
      </w:r>
      <w:r w:rsidRPr="007E7C5B">
        <w:rPr>
          <w:rFonts w:ascii="Arial Narrow" w:hAnsi="Arial Narrow" w:cstheme="minorHAnsi"/>
          <w:sz w:val="24"/>
          <w:szCs w:val="24"/>
        </w:rPr>
        <w:t xml:space="preserve"> </w:t>
      </w:r>
      <w:r w:rsidRPr="007E7C5B">
        <w:rPr>
          <w:rFonts w:ascii="Arial Narrow" w:eastAsia="Times New Roman" w:hAnsi="Arial Narrow" w:cs="Arial"/>
          <w:kern w:val="0"/>
          <w:sz w:val="24"/>
          <w:szCs w:val="24"/>
          <w:lang w:eastAsia="en-GB"/>
          <w14:ligatures w14:val="none"/>
        </w:rPr>
        <w:t>depuis janvier 2024</w:t>
      </w:r>
      <w:r w:rsidRPr="007E7C5B">
        <w:rPr>
          <w:rFonts w:ascii="Arial Narrow" w:hAnsi="Arial Narrow" w:cstheme="minorHAnsi"/>
          <w:sz w:val="24"/>
          <w:szCs w:val="24"/>
        </w:rPr>
        <w:t xml:space="preserve"> </w:t>
      </w:r>
      <w:r w:rsidRPr="007E7C5B">
        <w:rPr>
          <w:rFonts w:ascii="Arial Narrow" w:eastAsia="Times New Roman" w:hAnsi="Arial Narrow" w:cs="Arial"/>
          <w:kern w:val="0"/>
          <w:sz w:val="24"/>
          <w:szCs w:val="24"/>
          <w:lang w:eastAsia="en-GB"/>
          <w14:ligatures w14:val="none"/>
        </w:rPr>
        <w:t>à l’ensemble des structures de la pyramide sanitaire en vue de prendre</w:t>
      </w:r>
      <w:r w:rsidRPr="007E7C5B">
        <w:rPr>
          <w:rFonts w:ascii="Arial Narrow" w:hAnsi="Arial Narrow" w:cs="Arial"/>
          <w:sz w:val="24"/>
          <w:szCs w:val="24"/>
        </w:rPr>
        <w:t xml:space="preserve"> en</w:t>
      </w:r>
      <w:r w:rsidRPr="007E7C5B">
        <w:rPr>
          <w:rFonts w:ascii="Arial Narrow" w:eastAsia="Times New Roman" w:hAnsi="Arial Narrow" w:cs="Arial"/>
          <w:kern w:val="0"/>
          <w:sz w:val="24"/>
          <w:szCs w:val="24"/>
          <w:lang w:eastAsia="en-GB"/>
          <w14:ligatures w14:val="none"/>
        </w:rPr>
        <w:t xml:space="preserve"> compte les défis de dimensionnement des RHS</w:t>
      </w:r>
      <w:r w:rsidR="0011102F" w:rsidRPr="007E7C5B">
        <w:rPr>
          <w:rFonts w:ascii="Arial Narrow" w:hAnsi="Arial Narrow" w:cstheme="minorHAnsi"/>
          <w:sz w:val="24"/>
          <w:szCs w:val="24"/>
        </w:rPr>
        <w:t>.</w:t>
      </w:r>
      <w:r w:rsidR="00553CB8">
        <w:rPr>
          <w:rFonts w:ascii="Arial Narrow" w:hAnsi="Arial Narrow" w:cstheme="minorHAnsi"/>
          <w:sz w:val="24"/>
          <w:szCs w:val="24"/>
        </w:rPr>
        <w:t xml:space="preserve"> De plus</w:t>
      </w:r>
      <w:r w:rsidR="005E6CB0">
        <w:rPr>
          <w:rFonts w:ascii="Arial Narrow" w:hAnsi="Arial Narrow" w:cstheme="minorHAnsi"/>
          <w:sz w:val="24"/>
          <w:szCs w:val="24"/>
        </w:rPr>
        <w:t>,</w:t>
      </w:r>
      <w:r w:rsidR="00553CB8">
        <w:rPr>
          <w:rFonts w:ascii="Arial Narrow" w:hAnsi="Arial Narrow" w:cstheme="minorHAnsi"/>
          <w:sz w:val="24"/>
          <w:szCs w:val="24"/>
        </w:rPr>
        <w:t xml:space="preserve"> </w:t>
      </w:r>
      <w:r w:rsidR="00553CB8" w:rsidRPr="007E7C5B">
        <w:rPr>
          <w:rFonts w:ascii="Arial Narrow" w:hAnsi="Arial Narrow" w:cstheme="minorHAnsi"/>
          <w:sz w:val="24"/>
          <w:szCs w:val="24"/>
        </w:rPr>
        <w:t>la réalisation des comptes nationaux des personnels de santé,</w:t>
      </w:r>
      <w:r w:rsidR="00553CB8">
        <w:rPr>
          <w:rFonts w:ascii="Arial Narrow" w:hAnsi="Arial Narrow" w:cstheme="minorHAnsi"/>
          <w:sz w:val="24"/>
          <w:szCs w:val="24"/>
        </w:rPr>
        <w:t xml:space="preserve"> en cours</w:t>
      </w:r>
      <w:r w:rsidR="005E6CB0">
        <w:rPr>
          <w:rFonts w:ascii="Arial Narrow" w:hAnsi="Arial Narrow" w:cstheme="minorHAnsi"/>
          <w:sz w:val="24"/>
          <w:szCs w:val="24"/>
        </w:rPr>
        <w:t xml:space="preserve"> de finalisation, </w:t>
      </w:r>
      <w:r w:rsidR="00553CB8">
        <w:rPr>
          <w:rFonts w:ascii="Arial Narrow" w:hAnsi="Arial Narrow" w:cstheme="minorHAnsi"/>
          <w:sz w:val="24"/>
          <w:szCs w:val="24"/>
        </w:rPr>
        <w:t>permettr</w:t>
      </w:r>
      <w:r w:rsidR="005E6CB0">
        <w:rPr>
          <w:rFonts w:ascii="Arial Narrow" w:hAnsi="Arial Narrow" w:cstheme="minorHAnsi"/>
          <w:sz w:val="24"/>
          <w:szCs w:val="24"/>
        </w:rPr>
        <w:t xml:space="preserve">a </w:t>
      </w:r>
      <w:r w:rsidR="00553CB8" w:rsidRPr="007E7C5B">
        <w:rPr>
          <w:rFonts w:ascii="Arial Narrow" w:hAnsi="Arial Narrow" w:cstheme="minorHAnsi"/>
          <w:sz w:val="24"/>
          <w:szCs w:val="24"/>
        </w:rPr>
        <w:t xml:space="preserve">d’améliorer la qualité des données </w:t>
      </w:r>
      <w:r w:rsidR="005E6CB0">
        <w:rPr>
          <w:rFonts w:ascii="Arial Narrow" w:hAnsi="Arial Narrow" w:cstheme="minorHAnsi"/>
          <w:sz w:val="24"/>
          <w:szCs w:val="24"/>
        </w:rPr>
        <w:t>ainsi qu’</w:t>
      </w:r>
      <w:r w:rsidR="00553CB8" w:rsidRPr="007E7C5B">
        <w:rPr>
          <w:rFonts w:ascii="Arial Narrow" w:hAnsi="Arial Narrow" w:cstheme="minorHAnsi"/>
          <w:sz w:val="24"/>
          <w:szCs w:val="24"/>
        </w:rPr>
        <w:t>un meilleur suivi de l’efficacité des politiques relatives aux ressources humaines pour la santé (RHS).</w:t>
      </w:r>
    </w:p>
    <w:p w14:paraId="3DE9752D" w14:textId="755422CD" w:rsidR="005F6364" w:rsidRPr="007E7C5B" w:rsidRDefault="00774E3D" w:rsidP="000A4A4F">
      <w:pPr>
        <w:jc w:val="both"/>
        <w:rPr>
          <w:rFonts w:ascii="Arial Narrow" w:hAnsi="Arial Narrow" w:cstheme="minorHAnsi"/>
          <w:sz w:val="24"/>
          <w:szCs w:val="24"/>
        </w:rPr>
      </w:pPr>
      <w:r w:rsidRPr="007E7C5B">
        <w:rPr>
          <w:rFonts w:ascii="Arial Narrow" w:hAnsi="Arial Narrow" w:cstheme="minorHAnsi"/>
          <w:sz w:val="24"/>
          <w:szCs w:val="24"/>
        </w:rPr>
        <w:t>O</w:t>
      </w:r>
      <w:r w:rsidR="00F40299" w:rsidRPr="007E7C5B">
        <w:rPr>
          <w:rFonts w:ascii="Arial Narrow" w:hAnsi="Arial Narrow" w:cstheme="minorHAnsi"/>
          <w:sz w:val="24"/>
          <w:szCs w:val="24"/>
        </w:rPr>
        <w:t xml:space="preserve">n </w:t>
      </w:r>
      <w:r w:rsidRPr="007E7C5B">
        <w:rPr>
          <w:rFonts w:ascii="Arial Narrow" w:hAnsi="Arial Narrow" w:cstheme="minorHAnsi"/>
          <w:sz w:val="24"/>
          <w:szCs w:val="24"/>
        </w:rPr>
        <w:t xml:space="preserve">enregistre </w:t>
      </w:r>
      <w:r w:rsidR="00683D06" w:rsidRPr="007E7C5B">
        <w:rPr>
          <w:rFonts w:ascii="Arial Narrow" w:hAnsi="Arial Narrow" w:cstheme="minorHAnsi"/>
          <w:sz w:val="24"/>
          <w:szCs w:val="24"/>
        </w:rPr>
        <w:t>aussi</w:t>
      </w:r>
      <w:r w:rsidRPr="007E7C5B">
        <w:rPr>
          <w:rFonts w:ascii="Arial Narrow" w:hAnsi="Arial Narrow" w:cstheme="minorHAnsi"/>
          <w:sz w:val="24"/>
          <w:szCs w:val="24"/>
        </w:rPr>
        <w:t xml:space="preserve"> </w:t>
      </w:r>
      <w:r w:rsidR="000A4A4F" w:rsidRPr="007E7C5B">
        <w:rPr>
          <w:rFonts w:ascii="Arial Narrow" w:hAnsi="Arial Narrow" w:cstheme="minorHAnsi"/>
          <w:sz w:val="24"/>
          <w:szCs w:val="24"/>
        </w:rPr>
        <w:t>l</w:t>
      </w:r>
      <w:r w:rsidR="005F6364" w:rsidRPr="00A918AC">
        <w:rPr>
          <w:rFonts w:ascii="Arial Narrow" w:hAnsi="Arial Narrow" w:cstheme="minorHAnsi"/>
          <w:sz w:val="24"/>
          <w:szCs w:val="24"/>
        </w:rPr>
        <w:t xml:space="preserve">a certification des filières </w:t>
      </w:r>
      <w:r w:rsidR="005E6CB0">
        <w:rPr>
          <w:rFonts w:ascii="Arial Narrow" w:hAnsi="Arial Narrow" w:cstheme="minorHAnsi"/>
          <w:sz w:val="24"/>
          <w:szCs w:val="24"/>
        </w:rPr>
        <w:t xml:space="preserve">des </w:t>
      </w:r>
      <w:r w:rsidR="005F6364" w:rsidRPr="00A918AC">
        <w:rPr>
          <w:rFonts w:ascii="Arial Narrow" w:hAnsi="Arial Narrow" w:cstheme="minorHAnsi"/>
          <w:sz w:val="24"/>
          <w:szCs w:val="24"/>
        </w:rPr>
        <w:t>infirmier</w:t>
      </w:r>
      <w:r w:rsidR="005E6CB0">
        <w:rPr>
          <w:rFonts w:ascii="Arial Narrow" w:hAnsi="Arial Narrow" w:cstheme="minorHAnsi"/>
          <w:sz w:val="24"/>
          <w:szCs w:val="24"/>
        </w:rPr>
        <w:t>s</w:t>
      </w:r>
      <w:r w:rsidR="005F6364" w:rsidRPr="00A918AC">
        <w:rPr>
          <w:rFonts w:ascii="Arial Narrow" w:hAnsi="Arial Narrow" w:cstheme="minorHAnsi"/>
          <w:sz w:val="24"/>
          <w:szCs w:val="24"/>
        </w:rPr>
        <w:t xml:space="preserve"> et </w:t>
      </w:r>
      <w:proofErr w:type="spellStart"/>
      <w:r w:rsidR="005F6364" w:rsidRPr="00A918AC">
        <w:rPr>
          <w:rFonts w:ascii="Arial Narrow" w:hAnsi="Arial Narrow" w:cstheme="minorHAnsi"/>
          <w:sz w:val="24"/>
          <w:szCs w:val="24"/>
        </w:rPr>
        <w:t>sage</w:t>
      </w:r>
      <w:r w:rsidR="005E6CB0">
        <w:rPr>
          <w:rFonts w:ascii="Arial Narrow" w:hAnsi="Arial Narrow" w:cstheme="minorHAnsi"/>
          <w:sz w:val="24"/>
          <w:szCs w:val="24"/>
        </w:rPr>
        <w:t>s</w:t>
      </w:r>
      <w:r w:rsidR="005F6364" w:rsidRPr="00A918AC">
        <w:rPr>
          <w:rFonts w:ascii="Arial Narrow" w:hAnsi="Arial Narrow" w:cstheme="minorHAnsi"/>
          <w:sz w:val="24"/>
          <w:szCs w:val="24"/>
        </w:rPr>
        <w:t>-femme</w:t>
      </w:r>
      <w:r w:rsidR="005E6CB0">
        <w:rPr>
          <w:rFonts w:ascii="Arial Narrow" w:hAnsi="Arial Narrow" w:cstheme="minorHAnsi"/>
          <w:sz w:val="24"/>
          <w:szCs w:val="24"/>
        </w:rPr>
        <w:t>s</w:t>
      </w:r>
      <w:proofErr w:type="spellEnd"/>
      <w:r w:rsidR="005F6364" w:rsidRPr="00A918AC">
        <w:rPr>
          <w:rFonts w:ascii="Arial Narrow" w:hAnsi="Arial Narrow" w:cstheme="minorHAnsi"/>
          <w:sz w:val="24"/>
          <w:szCs w:val="24"/>
        </w:rPr>
        <w:t xml:space="preserve"> par une reconnaissance officielle de l’organisme international de RHEA -AFRIQUE en 2021</w:t>
      </w:r>
      <w:r w:rsidR="005F6364" w:rsidRPr="007E7C5B">
        <w:rPr>
          <w:rFonts w:ascii="Arial Narrow" w:hAnsi="Arial Narrow" w:cstheme="minorHAnsi"/>
          <w:sz w:val="24"/>
          <w:szCs w:val="24"/>
        </w:rPr>
        <w:t>, marquant une avancée dans la qualité des programmes éducatifs</w:t>
      </w:r>
      <w:r w:rsidR="00F423B6" w:rsidRPr="007E7C5B">
        <w:rPr>
          <w:rFonts w:ascii="Arial Narrow" w:hAnsi="Arial Narrow" w:cstheme="minorHAnsi"/>
          <w:sz w:val="24"/>
          <w:szCs w:val="24"/>
        </w:rPr>
        <w:t xml:space="preserve">. </w:t>
      </w:r>
      <w:r w:rsidR="00BE6263" w:rsidRPr="007E7C5B">
        <w:rPr>
          <w:rFonts w:ascii="Arial Narrow" w:hAnsi="Arial Narrow" w:cstheme="minorHAnsi"/>
          <w:sz w:val="24"/>
          <w:szCs w:val="24"/>
        </w:rPr>
        <w:t>De plus</w:t>
      </w:r>
      <w:r w:rsidR="00F423B6" w:rsidRPr="007E7C5B">
        <w:rPr>
          <w:rFonts w:ascii="Arial Narrow" w:hAnsi="Arial Narrow" w:cstheme="minorHAnsi"/>
          <w:sz w:val="24"/>
          <w:szCs w:val="24"/>
        </w:rPr>
        <w:t xml:space="preserve">, </w:t>
      </w:r>
      <w:r w:rsidR="005E6CB0">
        <w:rPr>
          <w:rFonts w:ascii="Arial Narrow" w:hAnsi="Arial Narrow" w:cstheme="minorHAnsi"/>
          <w:sz w:val="24"/>
          <w:szCs w:val="24"/>
        </w:rPr>
        <w:t>l</w:t>
      </w:r>
      <w:r w:rsidR="005F6364" w:rsidRPr="00A918AC">
        <w:rPr>
          <w:rFonts w:ascii="Arial Narrow" w:hAnsi="Arial Narrow" w:cstheme="minorHAnsi"/>
          <w:sz w:val="24"/>
          <w:szCs w:val="24"/>
        </w:rPr>
        <w:t>’opérationnalisation de la politique nationale de délégation des tâches</w:t>
      </w:r>
      <w:r w:rsidR="005F6364" w:rsidRPr="007E7C5B">
        <w:rPr>
          <w:rFonts w:ascii="Arial Narrow" w:hAnsi="Arial Narrow" w:cstheme="minorHAnsi"/>
          <w:sz w:val="24"/>
          <w:szCs w:val="24"/>
        </w:rPr>
        <w:t xml:space="preserve"> a été mise en œuvre dans 23 </w:t>
      </w:r>
      <w:r w:rsidR="0096710E" w:rsidRPr="007E7C5B">
        <w:rPr>
          <w:rFonts w:ascii="Arial Narrow" w:hAnsi="Arial Narrow" w:cstheme="minorHAnsi"/>
          <w:sz w:val="24"/>
          <w:szCs w:val="24"/>
        </w:rPr>
        <w:t>d</w:t>
      </w:r>
      <w:r w:rsidR="005F6364" w:rsidRPr="00A918AC">
        <w:rPr>
          <w:rFonts w:ascii="Arial Narrow" w:hAnsi="Arial Narrow" w:cstheme="minorHAnsi"/>
          <w:sz w:val="24"/>
          <w:szCs w:val="24"/>
        </w:rPr>
        <w:t>istricts</w:t>
      </w:r>
      <w:r w:rsidR="006B4A4A" w:rsidRPr="007E7C5B">
        <w:rPr>
          <w:rFonts w:ascii="Arial Narrow" w:hAnsi="Arial Narrow" w:cstheme="minorHAnsi"/>
          <w:sz w:val="24"/>
          <w:szCs w:val="24"/>
        </w:rPr>
        <w:t>,</w:t>
      </w:r>
      <w:r w:rsidR="005F6364" w:rsidRPr="007E7C5B">
        <w:rPr>
          <w:rFonts w:ascii="Arial Narrow" w:hAnsi="Arial Narrow" w:cstheme="minorHAnsi"/>
          <w:sz w:val="24"/>
          <w:szCs w:val="24"/>
        </w:rPr>
        <w:t xml:space="preserve"> à travers le sous projet « Appui à la disponibilité des Ressources Humaines pour l’offre de soins Obstétricaux Néonataux d’Urgences Complets (SONUC) </w:t>
      </w:r>
      <w:r w:rsidR="005F6364" w:rsidRPr="00A918AC">
        <w:rPr>
          <w:rFonts w:ascii="Arial Narrow" w:hAnsi="Arial Narrow" w:cstheme="minorHAnsi"/>
          <w:sz w:val="24"/>
          <w:szCs w:val="24"/>
        </w:rPr>
        <w:t>»</w:t>
      </w:r>
      <w:r w:rsidR="00E130FC" w:rsidRPr="007E7C5B">
        <w:rPr>
          <w:rFonts w:ascii="Arial Narrow" w:hAnsi="Arial Narrow" w:cstheme="minorHAnsi"/>
          <w:sz w:val="24"/>
          <w:szCs w:val="24"/>
        </w:rPr>
        <w:t xml:space="preserve"> pour résoudre le déficit de médecins gynécologues par le processus de validation d’acquis professionnels et de formations complémentaires.</w:t>
      </w:r>
    </w:p>
    <w:p w14:paraId="3A249AA7" w14:textId="18D73BF5" w:rsidR="00125323" w:rsidRPr="007E7C5B" w:rsidRDefault="00780C4F" w:rsidP="00761F55">
      <w:pPr>
        <w:jc w:val="both"/>
        <w:rPr>
          <w:rFonts w:ascii="Arial Narrow" w:hAnsi="Arial Narrow" w:cstheme="minorHAnsi"/>
          <w:sz w:val="24"/>
          <w:szCs w:val="24"/>
        </w:rPr>
      </w:pPr>
      <w:r w:rsidRPr="007E7C5B">
        <w:rPr>
          <w:rStyle w:val="normaltextrun"/>
          <w:rFonts w:ascii="Arial Narrow" w:eastAsiaTheme="majorEastAsia" w:hAnsi="Arial Narrow" w:cs="Arial"/>
          <w:b/>
          <w:sz w:val="24"/>
          <w:szCs w:val="24"/>
          <w:lang w:val="fr-CI"/>
        </w:rPr>
        <w:t xml:space="preserve">En ce qui concerne </w:t>
      </w:r>
      <w:r w:rsidR="00835B64" w:rsidRPr="007E7C5B">
        <w:rPr>
          <w:rFonts w:ascii="Arial Narrow" w:eastAsia="Times New Roman" w:hAnsi="Arial Narrow"/>
          <w:b/>
          <w:kern w:val="0"/>
          <w:sz w:val="24"/>
          <w:szCs w:val="24"/>
          <w:lang w:eastAsia="en-GB"/>
          <w14:ligatures w14:val="none"/>
        </w:rPr>
        <w:t xml:space="preserve">de la </w:t>
      </w:r>
      <w:r w:rsidR="00C41F11" w:rsidRPr="00246117">
        <w:rPr>
          <w:rFonts w:ascii="Arial Narrow" w:eastAsia="Times New Roman" w:hAnsi="Arial Narrow" w:cs="Arial"/>
          <w:b/>
          <w:kern w:val="0"/>
          <w:sz w:val="24"/>
          <w:szCs w:val="24"/>
          <w:lang w:eastAsia="en-GB"/>
          <w14:ligatures w14:val="none"/>
        </w:rPr>
        <w:t xml:space="preserve">formation des </w:t>
      </w:r>
      <w:r w:rsidR="008D63FF" w:rsidRPr="00246117">
        <w:rPr>
          <w:rFonts w:ascii="Arial Narrow" w:eastAsia="Times New Roman" w:hAnsi="Arial Narrow" w:cs="Arial"/>
          <w:b/>
          <w:kern w:val="0"/>
          <w:sz w:val="24"/>
          <w:szCs w:val="24"/>
          <w:lang w:eastAsia="en-GB"/>
          <w14:ligatures w14:val="none"/>
        </w:rPr>
        <w:t>RHS</w:t>
      </w:r>
      <w:r w:rsidR="00835B64" w:rsidRPr="00246117">
        <w:rPr>
          <w:rFonts w:ascii="Arial Narrow" w:hAnsi="Arial Narrow" w:cs="Arial"/>
          <w:b/>
          <w:sz w:val="24"/>
          <w:szCs w:val="24"/>
        </w:rPr>
        <w:t>,</w:t>
      </w:r>
      <w:r w:rsidR="00835B64" w:rsidRPr="00246117">
        <w:rPr>
          <w:rFonts w:ascii="Arial Narrow" w:hAnsi="Arial Narrow" w:cs="Arial"/>
          <w:sz w:val="24"/>
          <w:szCs w:val="24"/>
        </w:rPr>
        <w:t xml:space="preserve"> </w:t>
      </w:r>
      <w:r w:rsidR="00125323" w:rsidRPr="00246117">
        <w:rPr>
          <w:rFonts w:ascii="Arial Narrow" w:hAnsi="Arial Narrow" w:cs="Arial"/>
          <w:sz w:val="24"/>
          <w:szCs w:val="24"/>
        </w:rPr>
        <w:t xml:space="preserve">on note </w:t>
      </w:r>
      <w:r w:rsidR="00125323" w:rsidRPr="00246117">
        <w:rPr>
          <w:rFonts w:ascii="Arial Narrow" w:hAnsi="Arial Narrow" w:cstheme="minorHAnsi"/>
          <w:sz w:val="24"/>
          <w:szCs w:val="24"/>
        </w:rPr>
        <w:t>la formation continue de 130 cadres et agents de santé à l’École</w:t>
      </w:r>
      <w:r w:rsidR="00125323" w:rsidRPr="00246117">
        <w:rPr>
          <w:rFonts w:ascii="Arial Narrow" w:hAnsi="Arial Narrow" w:cs="Arial"/>
          <w:sz w:val="24"/>
          <w:szCs w:val="24"/>
        </w:rPr>
        <w:t xml:space="preserve"> Nationale d’Administration (ENA) à travers un concours direct, ainsi que celle de 290 cadres et agents de santé de courtes et longues durées à l’international. En outre, </w:t>
      </w:r>
      <w:r w:rsidR="00125323" w:rsidRPr="00246117">
        <w:rPr>
          <w:rFonts w:ascii="Arial Narrow" w:hAnsi="Arial Narrow" w:cstheme="minorHAnsi"/>
          <w:sz w:val="24"/>
          <w:szCs w:val="24"/>
        </w:rPr>
        <w:t>10 professionnels de santé ont été formés aux techniques de biologie, notamment en hématologie, immunologie et sérologie, ainsi que 25 professionnels sur la prise en charge du diabète et ses complications</w:t>
      </w:r>
      <w:r w:rsidR="00125323" w:rsidRPr="00246117">
        <w:rPr>
          <w:rFonts w:ascii="Arial Narrow" w:hAnsi="Arial Narrow" w:cs="Arial"/>
          <w:sz w:val="24"/>
          <w:szCs w:val="24"/>
        </w:rPr>
        <w:t xml:space="preserve">. Également, </w:t>
      </w:r>
      <w:r w:rsidR="000D5EEB" w:rsidRPr="00246117">
        <w:rPr>
          <w:rFonts w:ascii="Arial Narrow" w:hAnsi="Arial Narrow" w:cs="Arial"/>
          <w:sz w:val="24"/>
          <w:szCs w:val="24"/>
        </w:rPr>
        <w:t>q</w:t>
      </w:r>
      <w:r w:rsidR="00125323" w:rsidRPr="00246117">
        <w:rPr>
          <w:rFonts w:ascii="Arial Narrow" w:hAnsi="Arial Narrow" w:cstheme="minorHAnsi"/>
          <w:sz w:val="24"/>
          <w:szCs w:val="24"/>
        </w:rPr>
        <w:t xml:space="preserve">uatre éditions du cours de paludologie </w:t>
      </w:r>
      <w:r w:rsidR="00200E3D" w:rsidRPr="00246117">
        <w:rPr>
          <w:rFonts w:ascii="Arial Narrow" w:hAnsi="Arial Narrow" w:cstheme="minorHAnsi"/>
          <w:sz w:val="24"/>
          <w:szCs w:val="24"/>
        </w:rPr>
        <w:t>adressées à</w:t>
      </w:r>
      <w:r w:rsidR="00773434" w:rsidRPr="00246117">
        <w:rPr>
          <w:rFonts w:ascii="Arial Narrow" w:hAnsi="Arial Narrow" w:cstheme="minorHAnsi"/>
          <w:sz w:val="24"/>
          <w:szCs w:val="24"/>
        </w:rPr>
        <w:t xml:space="preserve"> </w:t>
      </w:r>
      <w:r w:rsidR="00A82E72" w:rsidRPr="00246117">
        <w:rPr>
          <w:rFonts w:ascii="Arial Narrow" w:hAnsi="Arial Narrow" w:cstheme="minorHAnsi"/>
          <w:sz w:val="24"/>
          <w:szCs w:val="24"/>
        </w:rPr>
        <w:t xml:space="preserve">plus de 100 </w:t>
      </w:r>
      <w:r w:rsidR="00125323" w:rsidRPr="00246117">
        <w:rPr>
          <w:rFonts w:ascii="Arial Narrow" w:hAnsi="Arial Narrow" w:cstheme="minorHAnsi"/>
          <w:sz w:val="24"/>
          <w:szCs w:val="24"/>
        </w:rPr>
        <w:t>cadres supérieurs de la santé se sont tenu</w:t>
      </w:r>
      <w:r w:rsidR="009F4023" w:rsidRPr="00246117">
        <w:rPr>
          <w:rFonts w:ascii="Arial Narrow" w:hAnsi="Arial Narrow" w:cstheme="minorHAnsi"/>
          <w:sz w:val="24"/>
          <w:szCs w:val="24"/>
        </w:rPr>
        <w:t>e</w:t>
      </w:r>
      <w:r w:rsidR="00125323" w:rsidRPr="00246117">
        <w:rPr>
          <w:rFonts w:ascii="Arial Narrow" w:hAnsi="Arial Narrow" w:cstheme="minorHAnsi"/>
          <w:sz w:val="24"/>
          <w:szCs w:val="24"/>
        </w:rPr>
        <w:t>s.</w:t>
      </w:r>
    </w:p>
    <w:p w14:paraId="1746B279" w14:textId="5CCCE8AD" w:rsidR="005718F7" w:rsidRPr="005718F7" w:rsidRDefault="00C41F11" w:rsidP="007A001B">
      <w:pPr>
        <w:jc w:val="both"/>
        <w:rPr>
          <w:rFonts w:ascii="Arial Narrow" w:hAnsi="Arial Narrow" w:cstheme="minorHAnsi"/>
          <w:sz w:val="24"/>
          <w:szCs w:val="24"/>
          <w:lang w:val="fr-CI"/>
        </w:rPr>
      </w:pPr>
      <w:r w:rsidRPr="00A918AC">
        <w:rPr>
          <w:rFonts w:ascii="Arial Narrow" w:hAnsi="Arial Narrow" w:cstheme="minorHAnsi"/>
          <w:b/>
          <w:sz w:val="24"/>
          <w:szCs w:val="24"/>
        </w:rPr>
        <w:t>Relativement au recrutement des RHS,</w:t>
      </w:r>
      <w:r w:rsidRPr="007E7C5B">
        <w:rPr>
          <w:rFonts w:ascii="Arial Narrow" w:hAnsi="Arial Narrow" w:cstheme="minorHAnsi"/>
          <w:sz w:val="24"/>
          <w:szCs w:val="24"/>
        </w:rPr>
        <w:t xml:space="preserve"> </w:t>
      </w:r>
      <w:r w:rsidR="005718F7" w:rsidRPr="005718F7">
        <w:rPr>
          <w:rFonts w:ascii="Arial Narrow" w:hAnsi="Arial Narrow" w:cstheme="minorHAnsi"/>
          <w:sz w:val="24"/>
          <w:szCs w:val="24"/>
        </w:rPr>
        <w:t>sur la période 2021 à 2024</w:t>
      </w:r>
      <w:r w:rsidR="005718F7">
        <w:rPr>
          <w:rFonts w:ascii="Arial Narrow" w:hAnsi="Arial Narrow" w:cstheme="minorHAnsi"/>
          <w:sz w:val="24"/>
          <w:szCs w:val="24"/>
          <w:lang w:val="fr-CI"/>
        </w:rPr>
        <w:t>,</w:t>
      </w:r>
      <w:r w:rsidR="005718F7" w:rsidRPr="005718F7">
        <w:rPr>
          <w:rFonts w:ascii="Arial Narrow" w:hAnsi="Arial Narrow" w:cstheme="minorHAnsi"/>
          <w:sz w:val="24"/>
          <w:szCs w:val="24"/>
        </w:rPr>
        <w:t xml:space="preserve"> 7738 personnels de santé </w:t>
      </w:r>
      <w:r w:rsidR="005718F7">
        <w:rPr>
          <w:rFonts w:ascii="Arial Narrow" w:hAnsi="Arial Narrow" w:cstheme="minorHAnsi"/>
          <w:sz w:val="24"/>
          <w:szCs w:val="24"/>
        </w:rPr>
        <w:t>ont été recrutés.</w:t>
      </w:r>
    </w:p>
    <w:p w14:paraId="08CAC0C7" w14:textId="2250048A" w:rsidR="00C41F11" w:rsidRPr="007E7C5B" w:rsidRDefault="00C41F11" w:rsidP="00425779">
      <w:pPr>
        <w:jc w:val="both"/>
        <w:rPr>
          <w:rFonts w:ascii="Arial Narrow" w:hAnsi="Arial Narrow" w:cstheme="minorHAnsi"/>
          <w:sz w:val="24"/>
          <w:szCs w:val="24"/>
        </w:rPr>
      </w:pPr>
    </w:p>
    <w:p w14:paraId="0DD2406A" w14:textId="0D4B5905" w:rsidR="008D63FF" w:rsidRPr="007E7C5B" w:rsidRDefault="008D63FF" w:rsidP="00A918AC">
      <w:pPr>
        <w:jc w:val="both"/>
        <w:rPr>
          <w:rFonts w:ascii="Arial Narrow" w:hAnsi="Arial Narrow" w:cstheme="minorHAnsi"/>
          <w:sz w:val="24"/>
          <w:szCs w:val="24"/>
        </w:rPr>
      </w:pPr>
      <w:r w:rsidRPr="00A918AC">
        <w:rPr>
          <w:rFonts w:ascii="Arial Narrow" w:hAnsi="Arial Narrow" w:cstheme="minorHAnsi"/>
          <w:b/>
          <w:sz w:val="24"/>
          <w:szCs w:val="24"/>
        </w:rPr>
        <w:lastRenderedPageBreak/>
        <w:t xml:space="preserve">Concernant la gestion </w:t>
      </w:r>
      <w:r w:rsidR="00B549DC" w:rsidRPr="00A918AC">
        <w:rPr>
          <w:rFonts w:ascii="Arial Narrow" w:hAnsi="Arial Narrow" w:cstheme="minorHAnsi"/>
          <w:b/>
          <w:sz w:val="24"/>
          <w:szCs w:val="24"/>
        </w:rPr>
        <w:t xml:space="preserve">et la fidélisation </w:t>
      </w:r>
      <w:r w:rsidRPr="00A918AC">
        <w:rPr>
          <w:rFonts w:ascii="Arial Narrow" w:hAnsi="Arial Narrow" w:cstheme="minorHAnsi"/>
          <w:b/>
          <w:sz w:val="24"/>
          <w:szCs w:val="24"/>
        </w:rPr>
        <w:t>des RHS,</w:t>
      </w:r>
      <w:r w:rsidRPr="007E7C5B">
        <w:rPr>
          <w:rFonts w:ascii="Arial Narrow" w:hAnsi="Arial Narrow" w:cstheme="minorHAnsi"/>
          <w:sz w:val="24"/>
          <w:szCs w:val="24"/>
        </w:rPr>
        <w:t xml:space="preserve"> un cadre stratégique de fidélisation des personnels de santé a été élaboré.</w:t>
      </w:r>
      <w:r w:rsidR="00B549DC" w:rsidRPr="007E7C5B">
        <w:rPr>
          <w:rFonts w:ascii="Arial Narrow" w:hAnsi="Arial Narrow" w:cstheme="minorHAnsi"/>
          <w:sz w:val="24"/>
          <w:szCs w:val="24"/>
        </w:rPr>
        <w:t xml:space="preserve"> Pour la mise en œuvre de cette stratégie, une</w:t>
      </w:r>
      <w:r w:rsidRPr="007E7C5B">
        <w:rPr>
          <w:rFonts w:ascii="Arial Narrow" w:hAnsi="Arial Narrow" w:cstheme="minorHAnsi"/>
          <w:sz w:val="24"/>
          <w:szCs w:val="24"/>
        </w:rPr>
        <w:t xml:space="preserve"> </w:t>
      </w:r>
      <w:r w:rsidR="00723126" w:rsidRPr="007E7C5B">
        <w:rPr>
          <w:rFonts w:ascii="Arial Narrow" w:hAnsi="Arial Narrow" w:cstheme="minorHAnsi"/>
          <w:sz w:val="24"/>
          <w:szCs w:val="24"/>
        </w:rPr>
        <w:t>c</w:t>
      </w:r>
      <w:r w:rsidRPr="007E7C5B">
        <w:rPr>
          <w:rFonts w:ascii="Arial Narrow" w:hAnsi="Arial Narrow" w:cstheme="minorHAnsi"/>
          <w:sz w:val="24"/>
          <w:szCs w:val="24"/>
        </w:rPr>
        <w:t>artographie des zones critiques </w:t>
      </w:r>
      <w:r w:rsidR="00B549DC" w:rsidRPr="007E7C5B">
        <w:rPr>
          <w:rFonts w:ascii="Arial Narrow" w:hAnsi="Arial Narrow" w:cstheme="minorHAnsi"/>
          <w:sz w:val="24"/>
          <w:szCs w:val="24"/>
        </w:rPr>
        <w:t xml:space="preserve">est en cours d’élaboration. Par ailleurs, </w:t>
      </w:r>
      <w:r w:rsidR="00AF119A" w:rsidRPr="007E7C5B">
        <w:rPr>
          <w:rFonts w:ascii="Arial Narrow" w:hAnsi="Arial Narrow" w:cstheme="minorHAnsi"/>
          <w:sz w:val="24"/>
          <w:szCs w:val="24"/>
        </w:rPr>
        <w:t xml:space="preserve">relativement </w:t>
      </w:r>
      <w:r w:rsidR="002B4BDD" w:rsidRPr="007E7C5B">
        <w:rPr>
          <w:rFonts w:ascii="Arial Narrow" w:hAnsi="Arial Narrow" w:cstheme="minorHAnsi"/>
          <w:sz w:val="24"/>
          <w:szCs w:val="24"/>
        </w:rPr>
        <w:t xml:space="preserve">aux </w:t>
      </w:r>
      <w:r w:rsidR="004776F6" w:rsidRPr="007E7C5B">
        <w:rPr>
          <w:rFonts w:ascii="Arial Narrow" w:hAnsi="Arial Narrow" w:cstheme="minorHAnsi"/>
          <w:sz w:val="24"/>
          <w:szCs w:val="24"/>
        </w:rPr>
        <w:t xml:space="preserve">mesures d’incitation générale des cadres </w:t>
      </w:r>
      <w:r w:rsidR="005E6CB0">
        <w:rPr>
          <w:rFonts w:ascii="Arial Narrow" w:hAnsi="Arial Narrow" w:cstheme="minorHAnsi"/>
          <w:sz w:val="24"/>
          <w:szCs w:val="24"/>
        </w:rPr>
        <w:t>s</w:t>
      </w:r>
      <w:r w:rsidR="004776F6" w:rsidRPr="007E7C5B">
        <w:rPr>
          <w:rFonts w:ascii="Arial Narrow" w:hAnsi="Arial Narrow" w:cstheme="minorHAnsi"/>
          <w:sz w:val="24"/>
          <w:szCs w:val="24"/>
        </w:rPr>
        <w:t xml:space="preserve">upérieurs de la </w:t>
      </w:r>
      <w:r w:rsidR="005E6CB0">
        <w:rPr>
          <w:rFonts w:ascii="Arial Narrow" w:hAnsi="Arial Narrow" w:cstheme="minorHAnsi"/>
          <w:sz w:val="24"/>
          <w:szCs w:val="24"/>
        </w:rPr>
        <w:t>s</w:t>
      </w:r>
      <w:r w:rsidR="004776F6" w:rsidRPr="007E7C5B">
        <w:rPr>
          <w:rFonts w:ascii="Arial Narrow" w:hAnsi="Arial Narrow" w:cstheme="minorHAnsi"/>
          <w:sz w:val="24"/>
          <w:szCs w:val="24"/>
        </w:rPr>
        <w:t>anté, le décret n°2024-183 du 04 avril 2024 portant institution d’une indemnité mensuelle spécifique de spécialité médicale a été pris.</w:t>
      </w:r>
    </w:p>
    <w:p w14:paraId="0D92FCD4" w14:textId="5AEF979F" w:rsidR="00E574E8" w:rsidRPr="007E7C5B" w:rsidRDefault="0027735A" w:rsidP="00761F55">
      <w:pPr>
        <w:jc w:val="both"/>
        <w:rPr>
          <w:rFonts w:ascii="Arial Narrow" w:hAnsi="Arial Narrow" w:cstheme="minorHAnsi"/>
          <w:sz w:val="24"/>
          <w:szCs w:val="24"/>
        </w:rPr>
      </w:pPr>
      <w:r w:rsidRPr="00A918AC">
        <w:rPr>
          <w:rFonts w:ascii="Arial Narrow" w:hAnsi="Arial Narrow" w:cstheme="minorHAnsi"/>
          <w:b/>
          <w:sz w:val="24"/>
          <w:szCs w:val="24"/>
        </w:rPr>
        <w:t>L’accroissement des capacités de production des institutions de formation</w:t>
      </w:r>
      <w:r w:rsidRPr="007E7C5B">
        <w:rPr>
          <w:rFonts w:ascii="Arial Narrow" w:hAnsi="Arial Narrow" w:cstheme="minorHAnsi"/>
          <w:sz w:val="24"/>
          <w:szCs w:val="24"/>
        </w:rPr>
        <w:t xml:space="preserve"> des spécialistes de la santé est effectif</w:t>
      </w:r>
      <w:r w:rsidR="006931EA" w:rsidRPr="007E7C5B">
        <w:rPr>
          <w:rFonts w:ascii="Arial Narrow" w:hAnsi="Arial Narrow" w:cstheme="minorHAnsi"/>
          <w:sz w:val="24"/>
          <w:szCs w:val="24"/>
        </w:rPr>
        <w:t xml:space="preserve">. Pour ce qui est des cadres supérieurs de la santé, </w:t>
      </w:r>
      <w:r w:rsidR="00E04226" w:rsidRPr="007E7C5B">
        <w:rPr>
          <w:rFonts w:ascii="Arial Narrow" w:hAnsi="Arial Narrow" w:cstheme="minorHAnsi"/>
          <w:sz w:val="24"/>
          <w:szCs w:val="24"/>
        </w:rPr>
        <w:t>il faut</w:t>
      </w:r>
      <w:r w:rsidR="006931EA" w:rsidRPr="007E7C5B">
        <w:rPr>
          <w:rFonts w:ascii="Arial Narrow" w:hAnsi="Arial Narrow" w:cstheme="minorHAnsi"/>
          <w:sz w:val="24"/>
          <w:szCs w:val="24"/>
        </w:rPr>
        <w:t xml:space="preserve"> note</w:t>
      </w:r>
      <w:r w:rsidR="00E04226" w:rsidRPr="007E7C5B">
        <w:rPr>
          <w:rFonts w:ascii="Arial Narrow" w:hAnsi="Arial Narrow" w:cstheme="minorHAnsi"/>
          <w:sz w:val="24"/>
          <w:szCs w:val="24"/>
        </w:rPr>
        <w:t>r</w:t>
      </w:r>
      <w:r w:rsidR="006931EA" w:rsidRPr="007E7C5B">
        <w:rPr>
          <w:rFonts w:ascii="Arial Narrow" w:hAnsi="Arial Narrow" w:cstheme="minorHAnsi"/>
          <w:sz w:val="24"/>
          <w:szCs w:val="24"/>
        </w:rPr>
        <w:t xml:space="preserve"> la</w:t>
      </w:r>
      <w:r w:rsidRPr="007E7C5B">
        <w:rPr>
          <w:rFonts w:ascii="Arial Narrow" w:hAnsi="Arial Narrow" w:cstheme="minorHAnsi"/>
          <w:sz w:val="24"/>
          <w:szCs w:val="24"/>
        </w:rPr>
        <w:t xml:space="preserve"> suppression du numerus clausus au niveau des Universités</w:t>
      </w:r>
      <w:r w:rsidR="00A116C5" w:rsidRPr="007E7C5B">
        <w:rPr>
          <w:rFonts w:ascii="Arial Narrow" w:hAnsi="Arial Narrow" w:cstheme="minorHAnsi"/>
          <w:sz w:val="24"/>
          <w:szCs w:val="24"/>
        </w:rPr>
        <w:t xml:space="preserve">, </w:t>
      </w:r>
      <w:r w:rsidR="00CB33E3" w:rsidRPr="007E7C5B">
        <w:rPr>
          <w:rFonts w:ascii="Arial Narrow" w:hAnsi="Arial Narrow" w:cstheme="minorHAnsi"/>
          <w:sz w:val="24"/>
          <w:szCs w:val="24"/>
        </w:rPr>
        <w:t>permettant</w:t>
      </w:r>
      <w:r w:rsidR="00A116C5" w:rsidRPr="007E7C5B">
        <w:rPr>
          <w:rFonts w:ascii="Arial Narrow" w:hAnsi="Arial Narrow" w:cstheme="minorHAnsi"/>
          <w:sz w:val="24"/>
          <w:szCs w:val="24"/>
        </w:rPr>
        <w:t xml:space="preserve"> de faire passer</w:t>
      </w:r>
      <w:r w:rsidR="00CB33E3" w:rsidRPr="007E7C5B">
        <w:rPr>
          <w:rFonts w:ascii="Arial Narrow" w:hAnsi="Arial Narrow" w:cstheme="minorHAnsi"/>
          <w:sz w:val="24"/>
          <w:szCs w:val="24"/>
        </w:rPr>
        <w:t xml:space="preserve"> le nombre d’apprenants de 400 à 800 par an</w:t>
      </w:r>
      <w:r w:rsidRPr="007E7C5B">
        <w:rPr>
          <w:rFonts w:ascii="Arial Narrow" w:hAnsi="Arial Narrow" w:cstheme="minorHAnsi"/>
          <w:sz w:val="24"/>
          <w:szCs w:val="24"/>
        </w:rPr>
        <w:t>. En ce qui concerne les paramédicaux, les capacités de l’INFAS ont été accrues par l’ouverture de nouvelles antennes</w:t>
      </w:r>
      <w:r w:rsidR="00A56239" w:rsidRPr="007E7C5B">
        <w:rPr>
          <w:rFonts w:ascii="Arial Narrow" w:hAnsi="Arial Narrow" w:cstheme="minorHAnsi"/>
          <w:sz w:val="24"/>
          <w:szCs w:val="24"/>
        </w:rPr>
        <w:t xml:space="preserve"> (</w:t>
      </w:r>
      <w:r w:rsidR="006B7689" w:rsidRPr="007E7C5B">
        <w:rPr>
          <w:rFonts w:ascii="Arial Narrow" w:hAnsi="Arial Narrow" w:cstheme="minorHAnsi"/>
          <w:sz w:val="24"/>
          <w:szCs w:val="24"/>
        </w:rPr>
        <w:t xml:space="preserve">une à </w:t>
      </w:r>
      <w:r w:rsidR="00A56239" w:rsidRPr="007E7C5B">
        <w:rPr>
          <w:rFonts w:ascii="Arial Narrow" w:hAnsi="Arial Narrow" w:cstheme="minorHAnsi"/>
          <w:sz w:val="24"/>
          <w:szCs w:val="24"/>
        </w:rPr>
        <w:t>Aboisso en 2024, deux antennes provisoires à Agboville et Man en 2023</w:t>
      </w:r>
      <w:r w:rsidR="00CA6790" w:rsidRPr="007E7C5B">
        <w:rPr>
          <w:rFonts w:ascii="Arial Narrow" w:hAnsi="Arial Narrow" w:cstheme="minorHAnsi"/>
          <w:sz w:val="24"/>
          <w:szCs w:val="24"/>
        </w:rPr>
        <w:t>)</w:t>
      </w:r>
      <w:r w:rsidR="00A56239" w:rsidRPr="007E7C5B">
        <w:rPr>
          <w:rFonts w:ascii="Arial Narrow" w:hAnsi="Arial Narrow" w:cstheme="minorHAnsi"/>
          <w:sz w:val="24"/>
          <w:szCs w:val="24"/>
        </w:rPr>
        <w:t>, faisant passer le nombre d’antenne de six (</w:t>
      </w:r>
      <w:r w:rsidR="004F0C72" w:rsidRPr="007E7C5B">
        <w:rPr>
          <w:rFonts w:ascii="Arial Narrow" w:hAnsi="Arial Narrow" w:cstheme="minorHAnsi"/>
          <w:sz w:val="24"/>
          <w:szCs w:val="24"/>
        </w:rPr>
        <w:t>0</w:t>
      </w:r>
      <w:r w:rsidR="00A56239" w:rsidRPr="007E7C5B">
        <w:rPr>
          <w:rFonts w:ascii="Arial Narrow" w:hAnsi="Arial Narrow" w:cstheme="minorHAnsi"/>
          <w:sz w:val="24"/>
          <w:szCs w:val="24"/>
        </w:rPr>
        <w:t xml:space="preserve">6) à huit </w:t>
      </w:r>
      <w:r w:rsidR="004F0C72" w:rsidRPr="007E7C5B">
        <w:rPr>
          <w:rFonts w:ascii="Arial Narrow" w:hAnsi="Arial Narrow" w:cstheme="minorHAnsi"/>
          <w:sz w:val="24"/>
          <w:szCs w:val="24"/>
        </w:rPr>
        <w:t>(08</w:t>
      </w:r>
      <w:r w:rsidR="0094323A" w:rsidRPr="007E7C5B">
        <w:rPr>
          <w:rFonts w:ascii="Arial Narrow" w:hAnsi="Arial Narrow" w:cstheme="minorHAnsi"/>
          <w:sz w:val="24"/>
          <w:szCs w:val="24"/>
        </w:rPr>
        <w:t>)</w:t>
      </w:r>
      <w:r w:rsidR="008169EE" w:rsidRPr="007E7C5B">
        <w:rPr>
          <w:rFonts w:ascii="Arial Narrow" w:hAnsi="Arial Narrow" w:cstheme="minorHAnsi"/>
          <w:sz w:val="24"/>
          <w:szCs w:val="24"/>
        </w:rPr>
        <w:t>.</w:t>
      </w:r>
      <w:r w:rsidRPr="007E7C5B">
        <w:rPr>
          <w:rFonts w:ascii="Arial Narrow" w:hAnsi="Arial Narrow" w:cstheme="minorHAnsi"/>
          <w:sz w:val="24"/>
          <w:szCs w:val="24"/>
        </w:rPr>
        <w:t xml:space="preserve"> </w:t>
      </w:r>
      <w:r w:rsidR="0014458F" w:rsidRPr="007E7C5B">
        <w:rPr>
          <w:rFonts w:ascii="Arial Narrow" w:hAnsi="Arial Narrow" w:cstheme="minorHAnsi"/>
          <w:sz w:val="24"/>
          <w:szCs w:val="24"/>
        </w:rPr>
        <w:t xml:space="preserve">Aussi, huit (8) salles de simulation ont été construites dans différentes localités du pays (Abidjan, Abengourou, Bouaké, Daloa, Korhogo, Aboisso, Yamoussoukro), afin d'améliorer la formation pratique des étudiants. </w:t>
      </w:r>
      <w:r w:rsidR="008169EE" w:rsidRPr="007E7C5B">
        <w:rPr>
          <w:rFonts w:ascii="Arial Narrow" w:hAnsi="Arial Narrow" w:cstheme="minorHAnsi"/>
          <w:sz w:val="24"/>
          <w:szCs w:val="24"/>
        </w:rPr>
        <w:t>On note également l</w:t>
      </w:r>
      <w:r w:rsidRPr="007E7C5B">
        <w:rPr>
          <w:rFonts w:ascii="Arial Narrow" w:hAnsi="Arial Narrow" w:cstheme="minorHAnsi"/>
          <w:sz w:val="24"/>
          <w:szCs w:val="24"/>
        </w:rPr>
        <w:t>’augmentation des effectifs d’étudiants en formation initiale</w:t>
      </w:r>
      <w:r w:rsidR="001B02AE" w:rsidRPr="007E7C5B">
        <w:rPr>
          <w:rFonts w:ascii="Arial Narrow" w:hAnsi="Arial Narrow" w:cstheme="minorHAnsi"/>
          <w:sz w:val="24"/>
          <w:szCs w:val="24"/>
        </w:rPr>
        <w:t xml:space="preserve">, passant de 13 954 en 2021 à 27 754 en 2023 </w:t>
      </w:r>
      <w:r w:rsidRPr="007E7C5B">
        <w:rPr>
          <w:rFonts w:ascii="Arial Narrow" w:hAnsi="Arial Narrow" w:cstheme="minorHAnsi"/>
          <w:sz w:val="24"/>
          <w:szCs w:val="24"/>
        </w:rPr>
        <w:t>et l’ouverture de plusieurs options de spécialités Infirmières et Obstétricales</w:t>
      </w:r>
      <w:r w:rsidR="00466A55" w:rsidRPr="007E7C5B">
        <w:rPr>
          <w:rFonts w:ascii="Arial Narrow" w:hAnsi="Arial Narrow" w:cstheme="minorHAnsi"/>
          <w:sz w:val="24"/>
          <w:szCs w:val="24"/>
        </w:rPr>
        <w:t xml:space="preserve"> (Diabétologie, Stomatologie, Soins Obstétricaux Néonataux d'Urgence, santé de reproduction, Pédopsychiatrie)</w:t>
      </w:r>
      <w:r w:rsidRPr="007E7C5B">
        <w:rPr>
          <w:rFonts w:ascii="Arial Narrow" w:hAnsi="Arial Narrow" w:cstheme="minorHAnsi"/>
          <w:sz w:val="24"/>
          <w:szCs w:val="24"/>
        </w:rPr>
        <w:t xml:space="preserve">. </w:t>
      </w:r>
      <w:r w:rsidR="000210D3" w:rsidRPr="007E7C5B">
        <w:rPr>
          <w:rFonts w:ascii="Arial Narrow" w:hAnsi="Arial Narrow" w:cstheme="minorHAnsi"/>
          <w:sz w:val="24"/>
          <w:szCs w:val="24"/>
        </w:rPr>
        <w:t xml:space="preserve">De même, la capacité des départements spécialisés des UFR en sciences médicales a été renforcée, avec une production accrue de cadres supérieurs spécialistes, qui est passée de 140 à 400 par an. </w:t>
      </w:r>
    </w:p>
    <w:p w14:paraId="2173B0B0" w14:textId="1A73FAF6" w:rsidR="00DC03F4" w:rsidRPr="001D6A6C" w:rsidRDefault="00835B64" w:rsidP="00761F55">
      <w:pPr>
        <w:jc w:val="both"/>
        <w:rPr>
          <w:rStyle w:val="normaltextrun"/>
          <w:rFonts w:ascii="Arial Narrow" w:eastAsiaTheme="majorEastAsia" w:hAnsi="Arial Narrow" w:cs="Arial"/>
          <w:sz w:val="24"/>
          <w:szCs w:val="24"/>
          <w:lang w:val="fr-CI"/>
        </w:rPr>
      </w:pPr>
      <w:r w:rsidRPr="001D6A6C">
        <w:rPr>
          <w:rFonts w:ascii="Arial Narrow" w:hAnsi="Arial Narrow" w:cstheme="minorHAnsi"/>
          <w:sz w:val="24"/>
          <w:szCs w:val="24"/>
        </w:rPr>
        <w:t xml:space="preserve">Ces </w:t>
      </w:r>
      <w:r w:rsidR="00E574E8" w:rsidRPr="001D6A6C">
        <w:rPr>
          <w:rFonts w:ascii="Arial Narrow" w:hAnsi="Arial Narrow" w:cstheme="minorHAnsi"/>
          <w:sz w:val="24"/>
          <w:szCs w:val="24"/>
        </w:rPr>
        <w:t xml:space="preserve">réalisations </w:t>
      </w:r>
      <w:r w:rsidR="000F6EAD" w:rsidRPr="001D6A6C">
        <w:rPr>
          <w:rFonts w:ascii="Arial Narrow" w:hAnsi="Arial Narrow" w:cstheme="minorHAnsi"/>
          <w:sz w:val="24"/>
          <w:szCs w:val="24"/>
        </w:rPr>
        <w:t>ont permis d</w:t>
      </w:r>
      <w:r w:rsidR="009A0EC1" w:rsidRPr="001D6A6C">
        <w:rPr>
          <w:rFonts w:ascii="Arial Narrow" w:hAnsi="Arial Narrow" w:cstheme="minorHAnsi"/>
          <w:sz w:val="24"/>
          <w:szCs w:val="24"/>
        </w:rPr>
        <w:t>’</w:t>
      </w:r>
      <w:r w:rsidR="004672E7" w:rsidRPr="001D6A6C">
        <w:rPr>
          <w:rFonts w:ascii="Arial Narrow" w:hAnsi="Arial Narrow" w:cstheme="minorHAnsi"/>
          <w:sz w:val="24"/>
          <w:szCs w:val="24"/>
        </w:rPr>
        <w:t xml:space="preserve">améliorer </w:t>
      </w:r>
      <w:r w:rsidRPr="001D6A6C">
        <w:rPr>
          <w:rFonts w:ascii="Arial Narrow" w:hAnsi="Arial Narrow" w:cstheme="minorHAnsi"/>
          <w:sz w:val="24"/>
          <w:szCs w:val="24"/>
        </w:rPr>
        <w:t>le ratio prestataire</w:t>
      </w:r>
      <w:r w:rsidR="003A07EC" w:rsidRPr="001D6A6C">
        <w:rPr>
          <w:rFonts w:ascii="Arial Narrow" w:hAnsi="Arial Narrow" w:cstheme="minorHAnsi"/>
          <w:sz w:val="24"/>
          <w:szCs w:val="24"/>
        </w:rPr>
        <w:t>s</w:t>
      </w:r>
      <w:r w:rsidRPr="001D6A6C">
        <w:rPr>
          <w:rFonts w:ascii="Arial Narrow" w:hAnsi="Arial Narrow" w:cstheme="minorHAnsi"/>
          <w:sz w:val="24"/>
          <w:szCs w:val="24"/>
        </w:rPr>
        <w:t xml:space="preserve"> de soins par habitant sur la période d’observation.</w:t>
      </w:r>
      <w:r w:rsidR="00090214" w:rsidRPr="001D6A6C">
        <w:rPr>
          <w:rFonts w:ascii="Arial Narrow" w:hAnsi="Arial Narrow" w:cstheme="minorHAnsi"/>
          <w:sz w:val="24"/>
          <w:szCs w:val="24"/>
        </w:rPr>
        <w:t xml:space="preserve"> </w:t>
      </w:r>
      <w:r w:rsidRPr="001D6A6C">
        <w:rPr>
          <w:rStyle w:val="normaltextrun"/>
          <w:rFonts w:ascii="Arial Narrow" w:eastAsiaTheme="majorEastAsia" w:hAnsi="Arial Narrow" w:cs="Arial"/>
          <w:sz w:val="24"/>
          <w:szCs w:val="24"/>
          <w:lang w:val="fr-CI"/>
        </w:rPr>
        <w:t>Ainsi, le ratio médecins pour 10 000 habitants est passé de 1,</w:t>
      </w:r>
      <w:r w:rsidR="00181ACF" w:rsidRPr="001D6A6C">
        <w:rPr>
          <w:rStyle w:val="normaltextrun"/>
          <w:rFonts w:ascii="Arial Narrow" w:eastAsiaTheme="majorEastAsia" w:hAnsi="Arial Narrow" w:cs="Arial"/>
          <w:sz w:val="24"/>
          <w:szCs w:val="24"/>
          <w:lang w:val="fr-CI"/>
        </w:rPr>
        <w:t xml:space="preserve">4 </w:t>
      </w:r>
      <w:r w:rsidRPr="001D6A6C">
        <w:rPr>
          <w:rStyle w:val="normaltextrun"/>
          <w:rFonts w:ascii="Arial Narrow" w:eastAsiaTheme="majorEastAsia" w:hAnsi="Arial Narrow" w:cs="Arial"/>
          <w:sz w:val="24"/>
          <w:szCs w:val="24"/>
          <w:lang w:val="fr-CI"/>
        </w:rPr>
        <w:t xml:space="preserve">en </w:t>
      </w:r>
      <w:r w:rsidR="00181ACF" w:rsidRPr="001D6A6C">
        <w:rPr>
          <w:rStyle w:val="normaltextrun"/>
          <w:rFonts w:ascii="Arial Narrow" w:eastAsiaTheme="majorEastAsia" w:hAnsi="Arial Narrow" w:cs="Arial"/>
          <w:sz w:val="24"/>
          <w:szCs w:val="24"/>
          <w:lang w:val="fr-CI"/>
        </w:rPr>
        <w:t xml:space="preserve">2020 </w:t>
      </w:r>
      <w:r w:rsidRPr="001D6A6C">
        <w:rPr>
          <w:rStyle w:val="normaltextrun"/>
          <w:rFonts w:ascii="Arial Narrow" w:eastAsiaTheme="majorEastAsia" w:hAnsi="Arial Narrow" w:cs="Arial"/>
          <w:sz w:val="24"/>
          <w:szCs w:val="24"/>
          <w:lang w:val="fr-CI"/>
        </w:rPr>
        <w:t>à 1,95 en 2024</w:t>
      </w:r>
      <w:r w:rsidR="009111A6" w:rsidRPr="001D6A6C">
        <w:rPr>
          <w:rStyle w:val="normaltextrun"/>
          <w:rFonts w:ascii="Arial Narrow" w:eastAsiaTheme="majorEastAsia" w:hAnsi="Arial Narrow" w:cs="Arial"/>
          <w:sz w:val="24"/>
          <w:szCs w:val="24"/>
          <w:lang w:val="fr-CI"/>
        </w:rPr>
        <w:t>,</w:t>
      </w:r>
      <w:r w:rsidR="00E33227" w:rsidRPr="001D6A6C">
        <w:rPr>
          <w:rStyle w:val="normaltextrun"/>
          <w:rFonts w:ascii="Arial Narrow" w:eastAsiaTheme="majorEastAsia" w:hAnsi="Arial Narrow" w:cs="Arial"/>
          <w:sz w:val="24"/>
          <w:szCs w:val="24"/>
          <w:lang w:val="fr-CI"/>
        </w:rPr>
        <w:t xml:space="preserve"> </w:t>
      </w:r>
      <w:r w:rsidR="007F09EE" w:rsidRPr="001D6A6C">
        <w:rPr>
          <w:rStyle w:val="normaltextrun"/>
          <w:rFonts w:ascii="Arial Narrow" w:eastAsiaTheme="majorEastAsia" w:hAnsi="Arial Narrow" w:cs="Arial"/>
          <w:sz w:val="24"/>
          <w:szCs w:val="24"/>
          <w:lang w:val="fr-CI"/>
        </w:rPr>
        <w:t xml:space="preserve">le ratio infirmiers pour 5 000 habitants </w:t>
      </w:r>
      <w:r w:rsidRPr="001D6A6C">
        <w:rPr>
          <w:rStyle w:val="normaltextrun"/>
          <w:rFonts w:ascii="Arial Narrow" w:eastAsiaTheme="majorEastAsia" w:hAnsi="Arial Narrow" w:cs="Arial"/>
          <w:sz w:val="24"/>
          <w:szCs w:val="24"/>
          <w:lang w:val="fr-CI"/>
        </w:rPr>
        <w:t>de 2,</w:t>
      </w:r>
      <w:r w:rsidR="00181ACF" w:rsidRPr="001D6A6C">
        <w:rPr>
          <w:rStyle w:val="normaltextrun"/>
          <w:rFonts w:ascii="Arial Narrow" w:eastAsiaTheme="majorEastAsia" w:hAnsi="Arial Narrow" w:cs="Arial"/>
          <w:sz w:val="24"/>
          <w:szCs w:val="24"/>
          <w:lang w:val="fr-CI"/>
        </w:rPr>
        <w:t xml:space="preserve">36 </w:t>
      </w:r>
      <w:r w:rsidRPr="001D6A6C">
        <w:rPr>
          <w:rStyle w:val="normaltextrun"/>
          <w:rFonts w:ascii="Arial Narrow" w:eastAsiaTheme="majorEastAsia" w:hAnsi="Arial Narrow" w:cs="Arial"/>
          <w:sz w:val="24"/>
          <w:szCs w:val="24"/>
          <w:lang w:val="fr-CI"/>
        </w:rPr>
        <w:t xml:space="preserve">en </w:t>
      </w:r>
      <w:r w:rsidR="00181ACF" w:rsidRPr="001D6A6C">
        <w:rPr>
          <w:rStyle w:val="normaltextrun"/>
          <w:rFonts w:ascii="Arial Narrow" w:eastAsiaTheme="majorEastAsia" w:hAnsi="Arial Narrow" w:cs="Arial"/>
          <w:sz w:val="24"/>
          <w:szCs w:val="24"/>
          <w:lang w:val="fr-CI"/>
        </w:rPr>
        <w:t xml:space="preserve">2020 </w:t>
      </w:r>
      <w:r w:rsidRPr="001D6A6C">
        <w:rPr>
          <w:rStyle w:val="normaltextrun"/>
          <w:rFonts w:ascii="Arial Narrow" w:eastAsiaTheme="majorEastAsia" w:hAnsi="Arial Narrow" w:cs="Arial"/>
          <w:sz w:val="24"/>
          <w:szCs w:val="24"/>
          <w:lang w:val="fr-CI"/>
        </w:rPr>
        <w:t xml:space="preserve">à 3,13 en 2024 et </w:t>
      </w:r>
      <w:r w:rsidR="004F57E1" w:rsidRPr="001D6A6C">
        <w:rPr>
          <w:rStyle w:val="normaltextrun"/>
          <w:rFonts w:ascii="Arial Narrow" w:eastAsiaTheme="majorEastAsia" w:hAnsi="Arial Narrow" w:cs="Arial"/>
          <w:sz w:val="24"/>
          <w:szCs w:val="24"/>
          <w:lang w:val="fr-CI"/>
        </w:rPr>
        <w:t>le ratio sage-femmes pour 3</w:t>
      </w:r>
      <w:r w:rsidR="009111A6" w:rsidRPr="001D6A6C">
        <w:rPr>
          <w:rStyle w:val="normaltextrun"/>
          <w:rFonts w:ascii="Arial Narrow" w:eastAsiaTheme="majorEastAsia" w:hAnsi="Arial Narrow" w:cs="Arial"/>
          <w:sz w:val="24"/>
          <w:szCs w:val="24"/>
          <w:lang w:val="fr-CI"/>
        </w:rPr>
        <w:t> </w:t>
      </w:r>
      <w:r w:rsidR="004F57E1" w:rsidRPr="001D6A6C">
        <w:rPr>
          <w:rStyle w:val="normaltextrun"/>
          <w:rFonts w:ascii="Arial Narrow" w:eastAsiaTheme="majorEastAsia" w:hAnsi="Arial Narrow" w:cs="Arial"/>
          <w:sz w:val="24"/>
          <w:szCs w:val="24"/>
          <w:lang w:val="fr-CI"/>
        </w:rPr>
        <w:t xml:space="preserve">000 femmes en âge de procréer </w:t>
      </w:r>
      <w:r w:rsidRPr="001D6A6C">
        <w:rPr>
          <w:rStyle w:val="normaltextrun"/>
          <w:rFonts w:ascii="Arial Narrow" w:eastAsiaTheme="majorEastAsia" w:hAnsi="Arial Narrow" w:cs="Arial"/>
          <w:sz w:val="24"/>
          <w:szCs w:val="24"/>
          <w:lang w:val="fr-CI"/>
        </w:rPr>
        <w:t>de 3,</w:t>
      </w:r>
      <w:r w:rsidR="00CE1E51" w:rsidRPr="001D6A6C">
        <w:rPr>
          <w:rStyle w:val="normaltextrun"/>
          <w:rFonts w:ascii="Arial Narrow" w:eastAsiaTheme="majorEastAsia" w:hAnsi="Arial Narrow" w:cs="Arial"/>
          <w:sz w:val="24"/>
          <w:szCs w:val="24"/>
          <w:lang w:val="fr-CI"/>
        </w:rPr>
        <w:t xml:space="preserve">05 </w:t>
      </w:r>
      <w:r w:rsidRPr="001D6A6C">
        <w:rPr>
          <w:rStyle w:val="normaltextrun"/>
          <w:rFonts w:ascii="Arial Narrow" w:eastAsiaTheme="majorEastAsia" w:hAnsi="Arial Narrow" w:cs="Arial"/>
          <w:sz w:val="24"/>
          <w:szCs w:val="24"/>
          <w:lang w:val="fr-CI"/>
        </w:rPr>
        <w:t xml:space="preserve">en </w:t>
      </w:r>
      <w:r w:rsidR="00CE1E51" w:rsidRPr="001D6A6C">
        <w:rPr>
          <w:rStyle w:val="normaltextrun"/>
          <w:rFonts w:ascii="Arial Narrow" w:eastAsiaTheme="majorEastAsia" w:hAnsi="Arial Narrow" w:cs="Arial"/>
          <w:sz w:val="24"/>
          <w:szCs w:val="24"/>
          <w:lang w:val="fr-CI"/>
        </w:rPr>
        <w:t xml:space="preserve">2020 </w:t>
      </w:r>
      <w:r w:rsidRPr="001D6A6C">
        <w:rPr>
          <w:rStyle w:val="normaltextrun"/>
          <w:rFonts w:ascii="Arial Narrow" w:eastAsiaTheme="majorEastAsia" w:hAnsi="Arial Narrow" w:cs="Arial"/>
          <w:sz w:val="24"/>
          <w:szCs w:val="24"/>
          <w:lang w:val="fr-CI"/>
        </w:rPr>
        <w:t>à 4,12 en 2024.</w:t>
      </w:r>
      <w:r w:rsidR="00090214" w:rsidRPr="001D6A6C">
        <w:rPr>
          <w:rStyle w:val="normaltextrun"/>
          <w:rFonts w:ascii="Arial Narrow" w:eastAsiaTheme="majorEastAsia" w:hAnsi="Arial Narrow" w:cs="Arial"/>
          <w:sz w:val="24"/>
          <w:szCs w:val="24"/>
          <w:lang w:val="fr-CI"/>
        </w:rPr>
        <w:t xml:space="preserve"> </w:t>
      </w:r>
    </w:p>
    <w:p w14:paraId="17AD4235" w14:textId="77777777" w:rsidR="005718F7" w:rsidRDefault="005718F7" w:rsidP="00DC03F4">
      <w:pPr>
        <w:jc w:val="both"/>
        <w:rPr>
          <w:rStyle w:val="normaltextrun"/>
          <w:rFonts w:ascii="Arial Narrow" w:eastAsiaTheme="majorEastAsia" w:hAnsi="Arial Narrow" w:cs="Arial"/>
          <w:sz w:val="24"/>
          <w:szCs w:val="24"/>
          <w:lang w:val="fr-CI"/>
        </w:rPr>
      </w:pPr>
      <w:r w:rsidRPr="005718F7">
        <w:rPr>
          <w:rFonts w:ascii="Arial Narrow" w:eastAsiaTheme="majorEastAsia" w:hAnsi="Arial Narrow" w:cs="Arial"/>
          <w:noProof/>
          <w:sz w:val="24"/>
          <w:szCs w:val="24"/>
        </w:rPr>
        <w:drawing>
          <wp:inline distT="0" distB="0" distL="0" distR="0" wp14:anchorId="73B2AF2C" wp14:editId="288F5A5A">
            <wp:extent cx="3248167" cy="1924334"/>
            <wp:effectExtent l="0" t="0" r="9525" b="0"/>
            <wp:docPr id="675139330" name="Graphique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1CF0ED0" w14:textId="72CAF766" w:rsidR="008D1D39" w:rsidRPr="007E7C5B" w:rsidRDefault="00835B64" w:rsidP="00DC03F4">
      <w:pPr>
        <w:jc w:val="both"/>
        <w:rPr>
          <w:rStyle w:val="normaltextrun"/>
          <w:rFonts w:ascii="Arial Narrow" w:eastAsiaTheme="majorEastAsia" w:hAnsi="Arial Narrow" w:cs="Arial"/>
          <w:sz w:val="24"/>
          <w:szCs w:val="24"/>
          <w:lang w:val="fr-CI"/>
        </w:rPr>
      </w:pPr>
      <w:r w:rsidRPr="001D6A6C">
        <w:rPr>
          <w:rStyle w:val="normaltextrun"/>
          <w:rFonts w:ascii="Arial Narrow" w:eastAsiaTheme="majorEastAsia" w:hAnsi="Arial Narrow" w:cs="Arial"/>
          <w:sz w:val="24"/>
          <w:szCs w:val="24"/>
          <w:lang w:val="fr-CI"/>
        </w:rPr>
        <w:t>La densité des prestataires de soins</w:t>
      </w:r>
      <w:r w:rsidR="00426838" w:rsidRPr="001D6A6C">
        <w:rPr>
          <w:rStyle w:val="normaltextrun"/>
          <w:rFonts w:ascii="Arial Narrow" w:eastAsiaTheme="majorEastAsia" w:hAnsi="Arial Narrow" w:cs="Arial"/>
          <w:sz w:val="24"/>
          <w:szCs w:val="24"/>
          <w:lang w:val="fr-CI"/>
        </w:rPr>
        <w:t xml:space="preserve"> </w:t>
      </w:r>
      <w:r w:rsidRPr="001D6A6C">
        <w:rPr>
          <w:rStyle w:val="normaltextrun"/>
          <w:rFonts w:ascii="Arial Narrow" w:eastAsiaTheme="majorEastAsia" w:hAnsi="Arial Narrow" w:cs="Arial"/>
          <w:sz w:val="24"/>
          <w:szCs w:val="24"/>
          <w:lang w:val="fr-CI"/>
        </w:rPr>
        <w:t>/ habitant s’est amélioré sur la période de l’observation. Elle est passée de</w:t>
      </w:r>
      <w:r w:rsidRPr="001D6A6C">
        <w:rPr>
          <w:rStyle w:val="normaltextrun"/>
          <w:rFonts w:ascii="Arial Narrow" w:eastAsiaTheme="majorEastAsia" w:hAnsi="Arial Narrow"/>
          <w:kern w:val="0"/>
          <w:sz w:val="24"/>
          <w:szCs w:val="24"/>
          <w:lang w:eastAsia="en-GB"/>
          <w14:ligatures w14:val="none"/>
        </w:rPr>
        <w:t xml:space="preserve"> 8,</w:t>
      </w:r>
      <w:r w:rsidR="00A30BB3" w:rsidRPr="001D6A6C">
        <w:rPr>
          <w:rStyle w:val="normaltextrun"/>
          <w:rFonts w:ascii="Arial Narrow" w:eastAsiaTheme="majorEastAsia" w:hAnsi="Arial Narrow"/>
          <w:kern w:val="0"/>
          <w:sz w:val="24"/>
          <w:szCs w:val="24"/>
          <w:lang w:eastAsia="en-GB"/>
          <w14:ligatures w14:val="none"/>
        </w:rPr>
        <w:t>5</w:t>
      </w:r>
      <w:r w:rsidRPr="001D6A6C">
        <w:rPr>
          <w:rStyle w:val="normaltextrun"/>
          <w:rFonts w:ascii="Arial Narrow" w:eastAsiaTheme="majorEastAsia" w:hAnsi="Arial Narrow"/>
          <w:kern w:val="0"/>
          <w:sz w:val="24"/>
          <w:szCs w:val="24"/>
          <w:lang w:eastAsia="en-GB"/>
          <w14:ligatures w14:val="none"/>
        </w:rPr>
        <w:t>7</w:t>
      </w:r>
      <w:r w:rsidRPr="001D6A6C" w:rsidDel="00574097">
        <w:rPr>
          <w:rStyle w:val="normaltextrun"/>
          <w:rFonts w:ascii="Arial Narrow" w:eastAsiaTheme="majorEastAsia" w:hAnsi="Arial Narrow"/>
          <w:kern w:val="0"/>
          <w:sz w:val="24"/>
          <w:szCs w:val="24"/>
          <w:lang w:eastAsia="en-GB"/>
          <w14:ligatures w14:val="none"/>
        </w:rPr>
        <w:t xml:space="preserve"> </w:t>
      </w:r>
      <w:r w:rsidRPr="001D6A6C">
        <w:rPr>
          <w:rStyle w:val="normaltextrun"/>
          <w:rFonts w:ascii="Arial Narrow" w:eastAsiaTheme="majorEastAsia" w:hAnsi="Arial Narrow"/>
          <w:kern w:val="0"/>
          <w:sz w:val="24"/>
          <w:szCs w:val="24"/>
          <w:lang w:eastAsia="en-GB"/>
          <w14:ligatures w14:val="none"/>
        </w:rPr>
        <w:t xml:space="preserve">en </w:t>
      </w:r>
      <w:r w:rsidR="009677B1" w:rsidRPr="001D6A6C">
        <w:rPr>
          <w:rStyle w:val="normaltextrun"/>
          <w:rFonts w:ascii="Arial Narrow" w:eastAsiaTheme="majorEastAsia" w:hAnsi="Arial Narrow"/>
          <w:kern w:val="0"/>
          <w:sz w:val="24"/>
          <w:szCs w:val="24"/>
          <w:lang w:eastAsia="en-GB"/>
          <w14:ligatures w14:val="none"/>
        </w:rPr>
        <w:t xml:space="preserve">2020 </w:t>
      </w:r>
      <w:r w:rsidRPr="001D6A6C">
        <w:rPr>
          <w:rStyle w:val="normaltextrun"/>
          <w:rFonts w:ascii="Arial Narrow" w:eastAsiaTheme="majorEastAsia" w:hAnsi="Arial Narrow"/>
          <w:kern w:val="0"/>
          <w:sz w:val="24"/>
          <w:szCs w:val="24"/>
          <w:lang w:eastAsia="en-GB"/>
          <w14:ligatures w14:val="none"/>
        </w:rPr>
        <w:t>à 11,55 en 2024 pour 10 000 habitants.</w:t>
      </w:r>
      <w:r w:rsidR="00DC03F4" w:rsidRPr="001D6A6C">
        <w:rPr>
          <w:rStyle w:val="normaltextrun"/>
          <w:rFonts w:ascii="Arial Narrow" w:eastAsiaTheme="majorEastAsia" w:hAnsi="Arial Narrow"/>
          <w:kern w:val="0"/>
          <w:sz w:val="24"/>
          <w:szCs w:val="24"/>
          <w:lang w:eastAsia="en-GB"/>
          <w14:ligatures w14:val="none"/>
        </w:rPr>
        <w:t xml:space="preserve"> </w:t>
      </w:r>
      <w:r w:rsidR="00A324FB" w:rsidRPr="001D6A6C">
        <w:rPr>
          <w:rStyle w:val="normaltextrun"/>
          <w:rFonts w:ascii="Arial Narrow" w:eastAsiaTheme="majorEastAsia" w:hAnsi="Arial Narrow" w:cs="Arial"/>
          <w:sz w:val="24"/>
          <w:szCs w:val="24"/>
          <w:lang w:val="fr-CI"/>
        </w:rPr>
        <w:t xml:space="preserve">Cependant, elle reste en deçà </w:t>
      </w:r>
      <w:r w:rsidR="006D3CF7" w:rsidRPr="001D6A6C">
        <w:rPr>
          <w:rStyle w:val="normaltextrun"/>
          <w:rFonts w:ascii="Arial Narrow" w:eastAsiaTheme="majorEastAsia" w:hAnsi="Arial Narrow" w:cs="Arial"/>
          <w:sz w:val="24"/>
          <w:szCs w:val="24"/>
          <w:lang w:val="fr-CI"/>
        </w:rPr>
        <w:t>de la recommandation</w:t>
      </w:r>
      <w:r w:rsidR="00A324FB" w:rsidRPr="001D6A6C">
        <w:rPr>
          <w:rStyle w:val="normaltextrun"/>
          <w:rFonts w:ascii="Arial Narrow" w:eastAsiaTheme="majorEastAsia" w:hAnsi="Arial Narrow" w:cs="Arial"/>
          <w:sz w:val="24"/>
          <w:szCs w:val="24"/>
          <w:lang w:val="fr-CI"/>
        </w:rPr>
        <w:t xml:space="preserve"> de l’OMS (23 pour 10 000 habitants).</w:t>
      </w:r>
      <w:r w:rsidR="00A324FB" w:rsidRPr="007E7C5B">
        <w:rPr>
          <w:rStyle w:val="normaltextrun"/>
          <w:rFonts w:ascii="Arial Narrow" w:eastAsiaTheme="majorEastAsia" w:hAnsi="Arial Narrow" w:cs="Arial"/>
          <w:sz w:val="24"/>
          <w:szCs w:val="24"/>
          <w:lang w:val="fr-CI"/>
        </w:rPr>
        <w:t xml:space="preserve"> </w:t>
      </w:r>
    </w:p>
    <w:p w14:paraId="43260829" w14:textId="5D3CD6AC" w:rsidR="00A324FB" w:rsidRPr="007E7C5B" w:rsidRDefault="001767A5" w:rsidP="0021011C">
      <w:pPr>
        <w:jc w:val="both"/>
        <w:rPr>
          <w:rStyle w:val="normaltextrun"/>
          <w:rFonts w:ascii="Arial Narrow" w:eastAsiaTheme="majorEastAsia" w:hAnsi="Arial Narrow" w:cs="Arial"/>
          <w:sz w:val="24"/>
          <w:szCs w:val="24"/>
          <w:lang w:val="fr-CI"/>
        </w:rPr>
      </w:pPr>
      <w:r w:rsidRPr="007E7C5B">
        <w:rPr>
          <w:rStyle w:val="normaltextrun"/>
          <w:rFonts w:ascii="Arial Narrow" w:eastAsiaTheme="majorEastAsia" w:hAnsi="Arial Narrow" w:cs="Arial"/>
          <w:sz w:val="24"/>
          <w:szCs w:val="24"/>
          <w:lang w:val="fr-CI"/>
        </w:rPr>
        <w:t>I</w:t>
      </w:r>
      <w:r w:rsidR="00A324FB" w:rsidRPr="007E7C5B">
        <w:rPr>
          <w:rStyle w:val="normaltextrun"/>
          <w:rFonts w:ascii="Arial Narrow" w:eastAsiaTheme="majorEastAsia" w:hAnsi="Arial Narrow" w:cs="Arial"/>
          <w:sz w:val="24"/>
          <w:szCs w:val="24"/>
          <w:lang w:val="fr-CI"/>
        </w:rPr>
        <w:t>l existe encore des disparités dans certaines zones du pays.</w:t>
      </w:r>
      <w:r w:rsidR="00A324FB" w:rsidRPr="007E7C5B">
        <w:rPr>
          <w:rFonts w:ascii="Arial Narrow" w:hAnsi="Arial Narrow"/>
          <w:sz w:val="24"/>
          <w:szCs w:val="24"/>
        </w:rPr>
        <w:t xml:space="preserve"> </w:t>
      </w:r>
      <w:r w:rsidR="00DD3411" w:rsidRPr="007E7C5B">
        <w:rPr>
          <w:rFonts w:ascii="Arial Narrow" w:hAnsi="Arial Narrow"/>
          <w:sz w:val="24"/>
          <w:szCs w:val="24"/>
        </w:rPr>
        <w:t>Par exemple,</w:t>
      </w:r>
      <w:r w:rsidR="00DD3411" w:rsidRPr="007E7C5B">
        <w:rPr>
          <w:rFonts w:ascii="Arial Narrow" w:eastAsiaTheme="majorEastAsia" w:hAnsi="Arial Narrow"/>
          <w:sz w:val="24"/>
          <w:szCs w:val="24"/>
        </w:rPr>
        <w:t xml:space="preserve"> </w:t>
      </w:r>
      <w:r w:rsidR="00740CF5" w:rsidRPr="007E7C5B">
        <w:rPr>
          <w:rStyle w:val="normaltextrun"/>
          <w:rFonts w:ascii="Arial Narrow" w:eastAsiaTheme="majorEastAsia" w:hAnsi="Arial Narrow" w:cs="Arial"/>
          <w:sz w:val="24"/>
          <w:szCs w:val="24"/>
          <w:lang w:val="fr-CI"/>
        </w:rPr>
        <w:t xml:space="preserve">d’importants </w:t>
      </w:r>
      <w:r w:rsidR="00A324FB" w:rsidRPr="007E7C5B">
        <w:rPr>
          <w:rStyle w:val="normaltextrun"/>
          <w:rFonts w:ascii="Arial Narrow" w:eastAsiaTheme="majorEastAsia" w:hAnsi="Arial Narrow" w:cs="Arial"/>
          <w:sz w:val="24"/>
          <w:szCs w:val="24"/>
          <w:lang w:val="fr-CI"/>
        </w:rPr>
        <w:t xml:space="preserve">écarts existent entre les </w:t>
      </w:r>
      <w:r w:rsidR="009F4D36" w:rsidRPr="007E7C5B">
        <w:rPr>
          <w:rStyle w:val="normaltextrun"/>
          <w:rFonts w:ascii="Arial Narrow" w:eastAsiaTheme="majorEastAsia" w:hAnsi="Arial Narrow" w:cs="Arial"/>
          <w:sz w:val="24"/>
          <w:szCs w:val="24"/>
          <w:lang w:val="fr-CI"/>
        </w:rPr>
        <w:t>régions</w:t>
      </w:r>
      <w:r w:rsidR="00A324FB" w:rsidRPr="007E7C5B">
        <w:rPr>
          <w:rStyle w:val="normaltextrun"/>
          <w:rFonts w:ascii="Arial Narrow" w:eastAsiaTheme="majorEastAsia" w:hAnsi="Arial Narrow" w:cs="Arial"/>
          <w:sz w:val="24"/>
          <w:szCs w:val="24"/>
          <w:lang w:val="fr-CI"/>
        </w:rPr>
        <w:t xml:space="preserve"> d’Abidjan 2 et du </w:t>
      </w:r>
      <w:proofErr w:type="spellStart"/>
      <w:r w:rsidR="00A324FB" w:rsidRPr="007E7C5B">
        <w:rPr>
          <w:rStyle w:val="normaltextrun"/>
          <w:rFonts w:ascii="Arial Narrow" w:eastAsiaTheme="majorEastAsia" w:hAnsi="Arial Narrow" w:cs="Arial"/>
          <w:sz w:val="24"/>
          <w:szCs w:val="24"/>
          <w:lang w:val="fr-CI"/>
        </w:rPr>
        <w:t>Guémon</w:t>
      </w:r>
      <w:proofErr w:type="spellEnd"/>
      <w:r w:rsidR="00EA2E76" w:rsidRPr="007E7C5B">
        <w:rPr>
          <w:rStyle w:val="normaltextrun"/>
          <w:rFonts w:ascii="Arial Narrow" w:eastAsiaTheme="majorEastAsia" w:hAnsi="Arial Narrow" w:cs="Arial"/>
          <w:sz w:val="24"/>
          <w:szCs w:val="24"/>
          <w:lang w:val="fr-CI"/>
        </w:rPr>
        <w:t xml:space="preserve">, notamment au niveau du </w:t>
      </w:r>
      <w:r w:rsidR="00A324FB" w:rsidRPr="00A918AC">
        <w:rPr>
          <w:rStyle w:val="normaltextrun"/>
          <w:rFonts w:ascii="Arial Narrow" w:eastAsiaTheme="majorEastAsia" w:hAnsi="Arial Narrow" w:cs="Arial"/>
          <w:sz w:val="24"/>
          <w:szCs w:val="24"/>
          <w:lang w:val="fr-CI"/>
        </w:rPr>
        <w:t>ratio médecin/habitants</w:t>
      </w:r>
      <w:r w:rsidR="00EA2E76" w:rsidRPr="00A918AC">
        <w:rPr>
          <w:rStyle w:val="normaltextrun"/>
          <w:rFonts w:ascii="Arial Narrow" w:eastAsiaTheme="majorEastAsia" w:hAnsi="Arial Narrow" w:cs="Arial"/>
          <w:sz w:val="24"/>
          <w:szCs w:val="24"/>
          <w:lang w:val="fr-CI"/>
        </w:rPr>
        <w:t xml:space="preserve"> </w:t>
      </w:r>
      <w:r w:rsidR="00A324FB" w:rsidRPr="00A918AC" w:rsidDel="008C4C3D">
        <w:rPr>
          <w:rStyle w:val="normaltextrun"/>
          <w:rFonts w:ascii="Arial Narrow" w:eastAsiaTheme="majorEastAsia" w:hAnsi="Arial Narrow" w:cs="Arial"/>
          <w:sz w:val="24"/>
          <w:szCs w:val="24"/>
          <w:lang w:val="fr-CI"/>
        </w:rPr>
        <w:t>(</w:t>
      </w:r>
      <w:r w:rsidR="00A324FB" w:rsidRPr="00A918AC">
        <w:rPr>
          <w:rStyle w:val="normaltextrun"/>
          <w:rFonts w:ascii="Arial Narrow" w:eastAsiaTheme="majorEastAsia" w:hAnsi="Arial Narrow" w:cs="Arial"/>
          <w:sz w:val="24"/>
          <w:szCs w:val="24"/>
          <w:lang w:val="fr-CI"/>
        </w:rPr>
        <w:t>Abidjan 2 avec 8 pour 10</w:t>
      </w:r>
      <w:r w:rsidR="00DC03F4" w:rsidRPr="00A918AC">
        <w:rPr>
          <w:rStyle w:val="normaltextrun"/>
          <w:rFonts w:ascii="Arial Narrow" w:eastAsiaTheme="majorEastAsia" w:hAnsi="Arial Narrow" w:cs="Arial"/>
          <w:sz w:val="24"/>
          <w:szCs w:val="24"/>
          <w:lang w:val="fr-CI"/>
        </w:rPr>
        <w:t xml:space="preserve"> </w:t>
      </w:r>
      <w:r w:rsidR="00A324FB" w:rsidRPr="00A918AC">
        <w:rPr>
          <w:rStyle w:val="normaltextrun"/>
          <w:rFonts w:ascii="Arial Narrow" w:eastAsiaTheme="majorEastAsia" w:hAnsi="Arial Narrow" w:cs="Arial"/>
          <w:sz w:val="24"/>
          <w:szCs w:val="24"/>
          <w:lang w:val="fr-CI"/>
        </w:rPr>
        <w:t xml:space="preserve">000 et </w:t>
      </w:r>
      <w:proofErr w:type="spellStart"/>
      <w:r w:rsidR="00A324FB" w:rsidRPr="00A918AC">
        <w:rPr>
          <w:rStyle w:val="normaltextrun"/>
          <w:rFonts w:ascii="Arial Narrow" w:eastAsiaTheme="majorEastAsia" w:hAnsi="Arial Narrow" w:cs="Arial"/>
          <w:sz w:val="24"/>
          <w:szCs w:val="24"/>
          <w:lang w:val="fr-CI"/>
        </w:rPr>
        <w:t>Guémon</w:t>
      </w:r>
      <w:proofErr w:type="spellEnd"/>
      <w:r w:rsidR="00A324FB" w:rsidRPr="00A918AC">
        <w:rPr>
          <w:rStyle w:val="normaltextrun"/>
          <w:rFonts w:ascii="Arial Narrow" w:eastAsiaTheme="majorEastAsia" w:hAnsi="Arial Narrow" w:cs="Arial"/>
          <w:sz w:val="24"/>
          <w:szCs w:val="24"/>
          <w:lang w:val="fr-CI"/>
        </w:rPr>
        <w:t xml:space="preserve"> avec 0,41 pour 10</w:t>
      </w:r>
      <w:r w:rsidR="00DC03F4" w:rsidRPr="00A918AC">
        <w:rPr>
          <w:rStyle w:val="normaltextrun"/>
          <w:rFonts w:ascii="Arial Narrow" w:eastAsiaTheme="majorEastAsia" w:hAnsi="Arial Narrow" w:cs="Arial"/>
          <w:sz w:val="24"/>
          <w:szCs w:val="24"/>
          <w:lang w:val="fr-CI"/>
        </w:rPr>
        <w:t xml:space="preserve"> </w:t>
      </w:r>
      <w:r w:rsidR="00A324FB" w:rsidRPr="00A918AC">
        <w:rPr>
          <w:rStyle w:val="normaltextrun"/>
          <w:rFonts w:ascii="Arial Narrow" w:eastAsiaTheme="majorEastAsia" w:hAnsi="Arial Narrow" w:cs="Arial"/>
          <w:sz w:val="24"/>
          <w:szCs w:val="24"/>
          <w:lang w:val="fr-CI"/>
        </w:rPr>
        <w:t>000</w:t>
      </w:r>
      <w:r w:rsidR="000E077D" w:rsidRPr="00A918AC">
        <w:rPr>
          <w:rStyle w:val="normaltextrun"/>
          <w:rFonts w:ascii="Arial Narrow" w:eastAsiaTheme="majorEastAsia" w:hAnsi="Arial Narrow" w:cs="Arial"/>
          <w:sz w:val="24"/>
          <w:szCs w:val="24"/>
          <w:lang w:val="fr-CI"/>
        </w:rPr>
        <w:t>)</w:t>
      </w:r>
      <w:r w:rsidR="00CB3201" w:rsidRPr="00A918AC">
        <w:rPr>
          <w:rStyle w:val="normaltextrun"/>
          <w:rFonts w:ascii="Arial Narrow" w:eastAsiaTheme="majorEastAsia" w:hAnsi="Arial Narrow" w:cs="Arial"/>
          <w:sz w:val="24"/>
          <w:szCs w:val="24"/>
          <w:lang w:val="fr-CI"/>
        </w:rPr>
        <w:t xml:space="preserve">, du </w:t>
      </w:r>
      <w:r w:rsidR="00A324FB" w:rsidRPr="00A918AC">
        <w:rPr>
          <w:rStyle w:val="normaltextrun"/>
          <w:rFonts w:ascii="Arial Narrow" w:eastAsiaTheme="majorEastAsia" w:hAnsi="Arial Narrow" w:cs="Arial"/>
          <w:sz w:val="24"/>
          <w:szCs w:val="24"/>
          <w:lang w:val="fr-CI"/>
        </w:rPr>
        <w:t>ratio infirmier/habitants</w:t>
      </w:r>
      <w:r w:rsidR="00A324FB" w:rsidRPr="00A918AC" w:rsidDel="0021011C">
        <w:rPr>
          <w:rStyle w:val="normaltextrun"/>
          <w:rFonts w:ascii="Arial Narrow" w:eastAsiaTheme="majorEastAsia" w:hAnsi="Arial Narrow" w:cs="Arial"/>
          <w:sz w:val="24"/>
          <w:szCs w:val="24"/>
          <w:lang w:val="fr-CI"/>
        </w:rPr>
        <w:t xml:space="preserve"> </w:t>
      </w:r>
      <w:r w:rsidR="00A324FB" w:rsidRPr="00A918AC" w:rsidDel="003F4396">
        <w:rPr>
          <w:rStyle w:val="normaltextrun"/>
          <w:rFonts w:ascii="Arial Narrow" w:eastAsiaTheme="majorEastAsia" w:hAnsi="Arial Narrow" w:cs="Arial"/>
          <w:sz w:val="24"/>
          <w:szCs w:val="24"/>
          <w:lang w:val="fr-CI"/>
        </w:rPr>
        <w:t>(</w:t>
      </w:r>
      <w:r w:rsidR="00A324FB" w:rsidRPr="00A918AC">
        <w:rPr>
          <w:rStyle w:val="normaltextrun"/>
          <w:rFonts w:ascii="Arial Narrow" w:eastAsiaTheme="majorEastAsia" w:hAnsi="Arial Narrow" w:cs="Arial"/>
          <w:sz w:val="24"/>
          <w:szCs w:val="24"/>
          <w:lang w:val="fr-CI"/>
        </w:rPr>
        <w:t>Abidjan 2 avec 7,5 pour 5</w:t>
      </w:r>
      <w:r w:rsidR="00DC03F4" w:rsidRPr="00A918AC">
        <w:rPr>
          <w:rStyle w:val="normaltextrun"/>
          <w:rFonts w:ascii="Arial Narrow" w:eastAsiaTheme="majorEastAsia" w:hAnsi="Arial Narrow" w:cs="Arial"/>
          <w:sz w:val="24"/>
          <w:szCs w:val="24"/>
          <w:lang w:val="fr-CI"/>
        </w:rPr>
        <w:t xml:space="preserve"> </w:t>
      </w:r>
      <w:r w:rsidR="00A324FB" w:rsidRPr="00A918AC">
        <w:rPr>
          <w:rStyle w:val="normaltextrun"/>
          <w:rFonts w:ascii="Arial Narrow" w:eastAsiaTheme="majorEastAsia" w:hAnsi="Arial Narrow" w:cs="Arial"/>
          <w:sz w:val="24"/>
          <w:szCs w:val="24"/>
          <w:lang w:val="fr-CI"/>
        </w:rPr>
        <w:t xml:space="preserve">000 et </w:t>
      </w:r>
      <w:proofErr w:type="spellStart"/>
      <w:r w:rsidR="00A324FB" w:rsidRPr="00A918AC">
        <w:rPr>
          <w:rStyle w:val="normaltextrun"/>
          <w:rFonts w:ascii="Arial Narrow" w:eastAsiaTheme="majorEastAsia" w:hAnsi="Arial Narrow" w:cs="Arial"/>
          <w:sz w:val="24"/>
          <w:szCs w:val="24"/>
          <w:lang w:val="fr-CI"/>
        </w:rPr>
        <w:t>Guémon</w:t>
      </w:r>
      <w:proofErr w:type="spellEnd"/>
      <w:r w:rsidR="00A324FB" w:rsidRPr="00A918AC">
        <w:rPr>
          <w:rStyle w:val="normaltextrun"/>
          <w:rFonts w:ascii="Arial Narrow" w:eastAsiaTheme="majorEastAsia" w:hAnsi="Arial Narrow" w:cs="Arial"/>
          <w:sz w:val="24"/>
          <w:szCs w:val="24"/>
          <w:lang w:val="fr-CI"/>
        </w:rPr>
        <w:t xml:space="preserve"> avec 1,08 </w:t>
      </w:r>
      <w:r w:rsidR="00493C73" w:rsidRPr="007E7C5B">
        <w:rPr>
          <w:rStyle w:val="normaltextrun"/>
          <w:rFonts w:ascii="Arial Narrow" w:eastAsiaTheme="majorEastAsia" w:hAnsi="Arial Narrow" w:cs="Arial"/>
          <w:sz w:val="24"/>
          <w:szCs w:val="24"/>
          <w:lang w:val="fr-CI"/>
        </w:rPr>
        <w:t xml:space="preserve">pour </w:t>
      </w:r>
      <w:r w:rsidR="00A324FB" w:rsidRPr="00A918AC">
        <w:rPr>
          <w:rStyle w:val="normaltextrun"/>
          <w:rFonts w:ascii="Arial Narrow" w:eastAsiaTheme="majorEastAsia" w:hAnsi="Arial Narrow" w:cs="Arial"/>
          <w:sz w:val="24"/>
          <w:szCs w:val="24"/>
          <w:lang w:val="fr-CI"/>
        </w:rPr>
        <w:t>5</w:t>
      </w:r>
      <w:r w:rsidR="00DC03F4" w:rsidRPr="00A918AC">
        <w:rPr>
          <w:rStyle w:val="normaltextrun"/>
          <w:rFonts w:ascii="Arial Narrow" w:eastAsiaTheme="majorEastAsia" w:hAnsi="Arial Narrow" w:cs="Arial"/>
          <w:sz w:val="24"/>
          <w:szCs w:val="24"/>
          <w:lang w:val="fr-CI"/>
        </w:rPr>
        <w:t xml:space="preserve"> </w:t>
      </w:r>
      <w:r w:rsidR="00A324FB" w:rsidRPr="00A918AC">
        <w:rPr>
          <w:rStyle w:val="normaltextrun"/>
          <w:rFonts w:ascii="Arial Narrow" w:eastAsiaTheme="majorEastAsia" w:hAnsi="Arial Narrow" w:cs="Arial"/>
          <w:sz w:val="24"/>
          <w:szCs w:val="24"/>
          <w:lang w:val="fr-CI"/>
        </w:rPr>
        <w:t>000)</w:t>
      </w:r>
      <w:r w:rsidR="0021011C" w:rsidRPr="00A918AC">
        <w:rPr>
          <w:rStyle w:val="normaltextrun"/>
          <w:rFonts w:ascii="Arial Narrow" w:eastAsiaTheme="majorEastAsia" w:hAnsi="Arial Narrow" w:cs="Arial"/>
          <w:sz w:val="24"/>
          <w:szCs w:val="24"/>
          <w:lang w:val="fr-CI"/>
        </w:rPr>
        <w:t xml:space="preserve"> et du </w:t>
      </w:r>
      <w:r w:rsidR="00A324FB" w:rsidRPr="00A918AC">
        <w:rPr>
          <w:rStyle w:val="normaltextrun"/>
          <w:rFonts w:ascii="Arial Narrow" w:eastAsiaTheme="majorEastAsia" w:hAnsi="Arial Narrow" w:cs="Arial"/>
          <w:sz w:val="24"/>
          <w:szCs w:val="24"/>
          <w:lang w:val="fr-CI"/>
        </w:rPr>
        <w:t>ratio sage-femmes/FAP</w:t>
      </w:r>
      <w:r w:rsidR="00A324FB" w:rsidRPr="00A918AC" w:rsidDel="0074360E">
        <w:rPr>
          <w:rStyle w:val="normaltextrun"/>
          <w:rFonts w:ascii="Arial Narrow" w:eastAsiaTheme="majorEastAsia" w:hAnsi="Arial Narrow" w:cs="Arial"/>
          <w:sz w:val="24"/>
          <w:szCs w:val="24"/>
          <w:lang w:val="fr-CI"/>
        </w:rPr>
        <w:t xml:space="preserve"> (</w:t>
      </w:r>
      <w:r w:rsidR="00A324FB" w:rsidRPr="00A918AC">
        <w:rPr>
          <w:rStyle w:val="normaltextrun"/>
          <w:rFonts w:ascii="Arial Narrow" w:eastAsiaTheme="majorEastAsia" w:hAnsi="Arial Narrow" w:cs="Arial"/>
          <w:sz w:val="24"/>
          <w:szCs w:val="24"/>
          <w:lang w:val="fr-CI"/>
        </w:rPr>
        <w:t>Abidjan 2 avec 8,27 pour 3</w:t>
      </w:r>
      <w:r w:rsidR="0023266B" w:rsidRPr="007E7C5B">
        <w:rPr>
          <w:rStyle w:val="normaltextrun"/>
          <w:rFonts w:ascii="Arial Narrow" w:eastAsiaTheme="majorEastAsia" w:hAnsi="Arial Narrow" w:cs="Arial"/>
          <w:sz w:val="24"/>
          <w:szCs w:val="24"/>
          <w:lang w:val="fr-CI"/>
        </w:rPr>
        <w:t> </w:t>
      </w:r>
      <w:r w:rsidR="00A324FB" w:rsidRPr="00A918AC">
        <w:rPr>
          <w:rStyle w:val="normaltextrun"/>
          <w:rFonts w:ascii="Arial Narrow" w:eastAsiaTheme="majorEastAsia" w:hAnsi="Arial Narrow" w:cs="Arial"/>
          <w:sz w:val="24"/>
          <w:szCs w:val="24"/>
          <w:lang w:val="fr-CI"/>
        </w:rPr>
        <w:t xml:space="preserve">000 et </w:t>
      </w:r>
      <w:proofErr w:type="spellStart"/>
      <w:r w:rsidR="00A324FB" w:rsidRPr="00A918AC">
        <w:rPr>
          <w:rStyle w:val="normaltextrun"/>
          <w:rFonts w:ascii="Arial Narrow" w:eastAsiaTheme="majorEastAsia" w:hAnsi="Arial Narrow" w:cs="Arial"/>
          <w:sz w:val="24"/>
          <w:szCs w:val="24"/>
          <w:lang w:val="fr-CI"/>
        </w:rPr>
        <w:t>Guémon</w:t>
      </w:r>
      <w:proofErr w:type="spellEnd"/>
      <w:r w:rsidR="00A324FB" w:rsidRPr="00A918AC">
        <w:rPr>
          <w:rStyle w:val="normaltextrun"/>
          <w:rFonts w:ascii="Arial Narrow" w:eastAsiaTheme="majorEastAsia" w:hAnsi="Arial Narrow" w:cs="Arial"/>
          <w:sz w:val="24"/>
          <w:szCs w:val="24"/>
          <w:lang w:val="fr-CI"/>
        </w:rPr>
        <w:t xml:space="preserve"> avec 1,47 pour 3</w:t>
      </w:r>
      <w:r w:rsidR="00DC03F4" w:rsidRPr="00A918AC">
        <w:rPr>
          <w:rStyle w:val="normaltextrun"/>
          <w:rFonts w:ascii="Arial Narrow" w:eastAsiaTheme="majorEastAsia" w:hAnsi="Arial Narrow" w:cs="Arial"/>
          <w:sz w:val="24"/>
          <w:szCs w:val="24"/>
          <w:lang w:val="fr-CI"/>
        </w:rPr>
        <w:t xml:space="preserve"> </w:t>
      </w:r>
      <w:r w:rsidR="00A324FB" w:rsidRPr="00A918AC">
        <w:rPr>
          <w:rStyle w:val="normaltextrun"/>
          <w:rFonts w:ascii="Arial Narrow" w:eastAsiaTheme="majorEastAsia" w:hAnsi="Arial Narrow" w:cs="Arial"/>
          <w:sz w:val="24"/>
          <w:szCs w:val="24"/>
          <w:lang w:val="fr-CI"/>
        </w:rPr>
        <w:t>000).</w:t>
      </w:r>
    </w:p>
    <w:p w14:paraId="6536331C" w14:textId="33FD88B7" w:rsidR="006333B8" w:rsidRPr="007E7C5B" w:rsidRDefault="006333B8" w:rsidP="006333B8">
      <w:pPr>
        <w:jc w:val="both"/>
        <w:rPr>
          <w:rFonts w:ascii="Arial Narrow" w:hAnsi="Arial Narrow" w:cs="Arial"/>
          <w:sz w:val="24"/>
          <w:szCs w:val="24"/>
          <w:lang w:val="fr-CI"/>
        </w:rPr>
      </w:pPr>
      <w:r w:rsidRPr="007E7C5B">
        <w:rPr>
          <w:rFonts w:ascii="Arial Narrow" w:hAnsi="Arial Narrow" w:cs="Arial"/>
          <w:sz w:val="24"/>
          <w:szCs w:val="24"/>
          <w:lang w:val="fr-CI"/>
        </w:rPr>
        <w:t xml:space="preserve">Aussi, la capacité d’accueil de l’INFAS demeure insuffisante, avec une capacité réelle d’accueil des écoles et antennes de 3 584 places contre 27 754 étudiants en formation en 2023. Les enseignants permanents sont en nombre insuffisant avec un ratio évoluant de 1/79 étudiants en 2021 à 1/108 </w:t>
      </w:r>
      <w:r w:rsidRPr="007E7C5B">
        <w:rPr>
          <w:rFonts w:ascii="Arial Narrow" w:hAnsi="Arial Narrow" w:cs="Arial"/>
          <w:sz w:val="24"/>
          <w:szCs w:val="24"/>
          <w:lang w:val="fr-CI"/>
        </w:rPr>
        <w:lastRenderedPageBreak/>
        <w:t>étudiants en 2023 alors que l’OMS recommande un ratio de 1/25 étudiants. Les sites de stages demeurent insuffisants pour accueillir les étudiants de l’INFAS pour la formation pratique.</w:t>
      </w:r>
    </w:p>
    <w:p w14:paraId="7A729557" w14:textId="09ABD392" w:rsidR="00273379" w:rsidRPr="007E7C5B" w:rsidRDefault="0001782A" w:rsidP="00E4018B">
      <w:pPr>
        <w:jc w:val="both"/>
        <w:rPr>
          <w:rFonts w:ascii="Arial Narrow" w:hAnsi="Arial Narrow" w:cs="Arial"/>
          <w:sz w:val="24"/>
          <w:szCs w:val="24"/>
          <w:lang w:val="fr-CI"/>
        </w:rPr>
      </w:pPr>
      <w:r w:rsidRPr="007E7C5B">
        <w:rPr>
          <w:rFonts w:ascii="Arial Narrow" w:hAnsi="Arial Narrow" w:cs="Arial"/>
          <w:sz w:val="24"/>
          <w:szCs w:val="24"/>
          <w:lang w:val="fr-CI"/>
        </w:rPr>
        <w:t xml:space="preserve">Des </w:t>
      </w:r>
      <w:r w:rsidR="0031000C" w:rsidRPr="007E7C5B">
        <w:rPr>
          <w:rFonts w:ascii="Arial Narrow" w:hAnsi="Arial Narrow" w:cs="Arial"/>
          <w:sz w:val="24"/>
          <w:szCs w:val="24"/>
          <w:lang w:val="fr-CI"/>
        </w:rPr>
        <w:t>défis</w:t>
      </w:r>
      <w:r w:rsidRPr="007E7C5B">
        <w:rPr>
          <w:rFonts w:ascii="Arial Narrow" w:hAnsi="Arial Narrow" w:cs="Arial"/>
          <w:sz w:val="24"/>
          <w:szCs w:val="24"/>
          <w:lang w:val="fr-CI"/>
        </w:rPr>
        <w:t xml:space="preserve"> </w:t>
      </w:r>
      <w:r w:rsidR="00C4163D" w:rsidRPr="007E7C5B">
        <w:rPr>
          <w:rFonts w:ascii="Arial Narrow" w:hAnsi="Arial Narrow" w:cs="Arial"/>
          <w:sz w:val="24"/>
          <w:szCs w:val="24"/>
          <w:lang w:val="fr-CI"/>
        </w:rPr>
        <w:t>persistent</w:t>
      </w:r>
      <w:r w:rsidRPr="007E7C5B">
        <w:rPr>
          <w:rFonts w:ascii="Arial Narrow" w:hAnsi="Arial Narrow" w:cs="Arial"/>
          <w:sz w:val="24"/>
          <w:szCs w:val="24"/>
          <w:lang w:val="fr-CI"/>
        </w:rPr>
        <w:t xml:space="preserve"> </w:t>
      </w:r>
      <w:r w:rsidR="000F5B35" w:rsidRPr="007E7C5B">
        <w:rPr>
          <w:rFonts w:ascii="Arial Narrow" w:hAnsi="Arial Narrow" w:cs="Arial"/>
          <w:sz w:val="24"/>
          <w:szCs w:val="24"/>
          <w:lang w:val="fr-CI"/>
        </w:rPr>
        <w:t>malgré les</w:t>
      </w:r>
      <w:r w:rsidRPr="007E7C5B">
        <w:rPr>
          <w:rFonts w:ascii="Arial Narrow" w:hAnsi="Arial Narrow" w:cs="Arial"/>
          <w:sz w:val="24"/>
          <w:szCs w:val="24"/>
          <w:lang w:val="fr-CI"/>
        </w:rPr>
        <w:t xml:space="preserve"> acquis enregistrés</w:t>
      </w:r>
      <w:r w:rsidR="00B756D6" w:rsidRPr="007E7C5B">
        <w:rPr>
          <w:rFonts w:ascii="Arial Narrow" w:hAnsi="Arial Narrow" w:cs="Arial"/>
          <w:sz w:val="24"/>
          <w:szCs w:val="24"/>
          <w:lang w:val="fr-CI"/>
        </w:rPr>
        <w:t xml:space="preserve">. </w:t>
      </w:r>
      <w:r w:rsidR="00273379" w:rsidRPr="007E7C5B">
        <w:rPr>
          <w:rFonts w:ascii="Arial Narrow" w:hAnsi="Arial Narrow" w:cs="Arial"/>
          <w:sz w:val="24"/>
          <w:szCs w:val="24"/>
          <w:lang w:val="fr-CI"/>
        </w:rPr>
        <w:t xml:space="preserve">Il s’agit essentiellement de </w:t>
      </w:r>
      <w:r w:rsidR="00273379" w:rsidRPr="0068225D">
        <w:rPr>
          <w:rFonts w:ascii="Arial Narrow" w:hAnsi="Arial Narrow" w:cs="Arial"/>
          <w:sz w:val="24"/>
          <w:szCs w:val="24"/>
          <w:lang w:val="fr-CI"/>
        </w:rPr>
        <w:t>l</w:t>
      </w:r>
      <w:r w:rsidR="00A324FB" w:rsidRPr="0068225D">
        <w:rPr>
          <w:rFonts w:ascii="Arial Narrow" w:hAnsi="Arial Narrow" w:cs="Arial"/>
          <w:sz w:val="24"/>
          <w:szCs w:val="24"/>
          <w:lang w:val="fr-CI"/>
        </w:rPr>
        <w:t>’absence de textes et décrets à effet financier de la Réforme Hospitalière</w:t>
      </w:r>
      <w:r w:rsidR="00273379" w:rsidRPr="007E7C5B">
        <w:rPr>
          <w:rFonts w:ascii="Arial Narrow" w:hAnsi="Arial Narrow" w:cs="Arial"/>
          <w:sz w:val="24"/>
          <w:szCs w:val="24"/>
          <w:lang w:val="fr-CI"/>
        </w:rPr>
        <w:t xml:space="preserve"> et de</w:t>
      </w:r>
      <w:r w:rsidR="0031000C" w:rsidRPr="007E7C5B">
        <w:rPr>
          <w:rFonts w:ascii="Arial Narrow" w:hAnsi="Arial Narrow" w:cs="Arial"/>
          <w:sz w:val="24"/>
          <w:szCs w:val="24"/>
          <w:lang w:val="fr-CI"/>
        </w:rPr>
        <w:t xml:space="preserve"> l</w:t>
      </w:r>
      <w:r w:rsidR="00A324FB" w:rsidRPr="007E7C5B">
        <w:rPr>
          <w:rFonts w:ascii="Arial Narrow" w:hAnsi="Arial Narrow" w:cs="Arial"/>
          <w:sz w:val="24"/>
          <w:szCs w:val="24"/>
          <w:lang w:val="fr-CI"/>
        </w:rPr>
        <w:t>’insuffisance de certaines compétences pour assurer les services médico-techniques-spécialisés (Gynécologie, Chirurgie, Cardiologie, Pédiatrie, Anesthésie, Réanimation et Radiologie)</w:t>
      </w:r>
      <w:r w:rsidR="0031000C" w:rsidRPr="007E7C5B">
        <w:rPr>
          <w:rFonts w:ascii="Arial Narrow" w:hAnsi="Arial Narrow" w:cs="Arial"/>
          <w:sz w:val="24"/>
          <w:szCs w:val="24"/>
          <w:lang w:val="fr-CI"/>
        </w:rPr>
        <w:t>.</w:t>
      </w:r>
      <w:r w:rsidR="00784E43" w:rsidRPr="007E7C5B">
        <w:rPr>
          <w:rFonts w:ascii="Arial Narrow" w:hAnsi="Arial Narrow" w:cs="Arial"/>
          <w:sz w:val="24"/>
          <w:szCs w:val="24"/>
          <w:lang w:val="fr-CI"/>
        </w:rPr>
        <w:t xml:space="preserve"> </w:t>
      </w:r>
    </w:p>
    <w:p w14:paraId="0D329355" w14:textId="1565E6E2" w:rsidR="0053301B" w:rsidRPr="007E7C5B" w:rsidRDefault="004B3F04" w:rsidP="00AA7D22">
      <w:pPr>
        <w:pStyle w:val="Titre5"/>
        <w:shd w:val="clear" w:color="auto" w:fill="FBE4D5" w:themeFill="accent2" w:themeFillTint="33"/>
        <w:rPr>
          <w:rFonts w:ascii="Arial Narrow" w:hAnsi="Arial Narrow"/>
          <w:b/>
          <w:color w:val="auto"/>
          <w:sz w:val="24"/>
          <w:szCs w:val="24"/>
        </w:rPr>
      </w:pPr>
      <w:r w:rsidRPr="007E7C5B">
        <w:rPr>
          <w:rFonts w:ascii="Arial Narrow" w:hAnsi="Arial Narrow"/>
          <w:b/>
          <w:color w:val="auto"/>
          <w:sz w:val="24"/>
          <w:szCs w:val="24"/>
        </w:rPr>
        <w:t>Infrastructures</w:t>
      </w:r>
      <w:r w:rsidR="00F0208D" w:rsidRPr="007E7C5B">
        <w:rPr>
          <w:rFonts w:ascii="Arial Narrow" w:hAnsi="Arial Narrow"/>
          <w:b/>
          <w:color w:val="auto"/>
          <w:sz w:val="24"/>
          <w:szCs w:val="24"/>
        </w:rPr>
        <w:t xml:space="preserve"> et équipements </w:t>
      </w:r>
    </w:p>
    <w:p w14:paraId="38979300" w14:textId="00164941" w:rsidR="00144189" w:rsidRPr="007E7C5B" w:rsidRDefault="00144189" w:rsidP="00761F55">
      <w:pPr>
        <w:jc w:val="both"/>
        <w:rPr>
          <w:rFonts w:ascii="Arial Narrow" w:hAnsi="Arial Narrow" w:cstheme="minorHAnsi"/>
          <w:sz w:val="24"/>
          <w:szCs w:val="24"/>
        </w:rPr>
      </w:pPr>
      <w:r w:rsidRPr="007E7C5B">
        <w:rPr>
          <w:rFonts w:ascii="Arial Narrow" w:hAnsi="Arial Narrow" w:cstheme="minorHAnsi"/>
          <w:sz w:val="24"/>
          <w:szCs w:val="24"/>
        </w:rPr>
        <w:t xml:space="preserve">Le MSHPCMU </w:t>
      </w:r>
      <w:r w:rsidR="005E6CB0">
        <w:rPr>
          <w:rFonts w:ascii="Arial Narrow" w:hAnsi="Arial Narrow" w:cstheme="minorHAnsi"/>
          <w:sz w:val="24"/>
          <w:szCs w:val="24"/>
        </w:rPr>
        <w:t>s’est fixé pour objectif de renforcer</w:t>
      </w:r>
      <w:r w:rsidR="00C74B42" w:rsidRPr="007E7C5B">
        <w:rPr>
          <w:rFonts w:ascii="Arial Narrow" w:hAnsi="Arial Narrow" w:cstheme="minorHAnsi"/>
          <w:sz w:val="24"/>
          <w:szCs w:val="24"/>
        </w:rPr>
        <w:t xml:space="preserve"> </w:t>
      </w:r>
      <w:r w:rsidR="0059204E" w:rsidRPr="007E7C5B">
        <w:rPr>
          <w:rFonts w:ascii="Arial Narrow" w:hAnsi="Arial Narrow" w:cstheme="minorHAnsi"/>
          <w:sz w:val="24"/>
          <w:szCs w:val="24"/>
        </w:rPr>
        <w:t xml:space="preserve">les infrastructures et équipements </w:t>
      </w:r>
      <w:r w:rsidR="003B0D91" w:rsidRPr="007E7C5B">
        <w:rPr>
          <w:rFonts w:ascii="Arial Narrow" w:hAnsi="Arial Narrow" w:cstheme="minorHAnsi"/>
          <w:sz w:val="24"/>
          <w:szCs w:val="24"/>
        </w:rPr>
        <w:t>sanitair</w:t>
      </w:r>
      <w:r w:rsidR="006625CD" w:rsidRPr="007E7C5B">
        <w:rPr>
          <w:rFonts w:ascii="Arial Narrow" w:hAnsi="Arial Narrow" w:cstheme="minorHAnsi"/>
          <w:sz w:val="24"/>
          <w:szCs w:val="24"/>
        </w:rPr>
        <w:t>es afin d’</w:t>
      </w:r>
      <w:r w:rsidRPr="007E7C5B">
        <w:rPr>
          <w:rFonts w:ascii="Arial Narrow" w:hAnsi="Arial Narrow" w:cstheme="minorHAnsi"/>
          <w:sz w:val="24"/>
          <w:szCs w:val="24"/>
        </w:rPr>
        <w:t>améliorer les soins de santé primaire</w:t>
      </w:r>
      <w:r w:rsidR="00083406" w:rsidRPr="007E7C5B">
        <w:rPr>
          <w:rFonts w:ascii="Arial Narrow" w:hAnsi="Arial Narrow" w:cstheme="minorHAnsi"/>
          <w:sz w:val="24"/>
          <w:szCs w:val="24"/>
        </w:rPr>
        <w:t xml:space="preserve">. </w:t>
      </w:r>
      <w:r w:rsidR="005E6CB0">
        <w:rPr>
          <w:rFonts w:ascii="Arial Narrow" w:hAnsi="Arial Narrow" w:cstheme="minorHAnsi"/>
          <w:sz w:val="24"/>
          <w:szCs w:val="24"/>
        </w:rPr>
        <w:t xml:space="preserve">La </w:t>
      </w:r>
      <w:bookmarkStart w:id="56" w:name="_Hlk94926023"/>
      <w:r w:rsidRPr="007E7C5B">
        <w:rPr>
          <w:rFonts w:ascii="Arial Narrow" w:hAnsi="Arial Narrow" w:cstheme="minorHAnsi"/>
          <w:sz w:val="24"/>
          <w:szCs w:val="24"/>
        </w:rPr>
        <w:t>proportion de personnes vivant à moins de 5 km d’un établissement de santé</w:t>
      </w:r>
      <w:bookmarkEnd w:id="56"/>
      <w:r w:rsidRPr="007E7C5B">
        <w:rPr>
          <w:rFonts w:ascii="Arial Narrow" w:hAnsi="Arial Narrow" w:cstheme="minorHAnsi"/>
          <w:sz w:val="24"/>
          <w:szCs w:val="24"/>
        </w:rPr>
        <w:t xml:space="preserve"> </w:t>
      </w:r>
      <w:r w:rsidR="005E6CB0">
        <w:rPr>
          <w:rFonts w:ascii="Arial Narrow" w:hAnsi="Arial Narrow" w:cstheme="minorHAnsi"/>
          <w:sz w:val="24"/>
          <w:szCs w:val="24"/>
        </w:rPr>
        <w:t xml:space="preserve">devait passer </w:t>
      </w:r>
      <w:r w:rsidRPr="007E7C5B">
        <w:rPr>
          <w:rFonts w:ascii="Arial Narrow" w:hAnsi="Arial Narrow" w:cstheme="minorHAnsi"/>
          <w:sz w:val="24"/>
          <w:szCs w:val="24"/>
        </w:rPr>
        <w:t>de 70,17% en 2020 à 76% en 2023 et 80% à la fin de mise en œuvre du PNDS</w:t>
      </w:r>
      <w:r w:rsidR="006625CD" w:rsidRPr="007E7C5B">
        <w:rPr>
          <w:rFonts w:ascii="Arial Narrow" w:hAnsi="Arial Narrow" w:cstheme="minorHAnsi"/>
          <w:sz w:val="24"/>
          <w:szCs w:val="24"/>
        </w:rPr>
        <w:t xml:space="preserve">. </w:t>
      </w:r>
      <w:r w:rsidR="005F3CE0" w:rsidRPr="007E7C5B">
        <w:rPr>
          <w:rFonts w:ascii="Arial Narrow" w:hAnsi="Arial Narrow" w:cstheme="minorHAnsi"/>
          <w:sz w:val="24"/>
          <w:szCs w:val="24"/>
        </w:rPr>
        <w:t xml:space="preserve">Aussi, </w:t>
      </w:r>
      <w:r w:rsidR="007D7B39" w:rsidRPr="007E7C5B">
        <w:rPr>
          <w:rFonts w:ascii="Arial Narrow" w:hAnsi="Arial Narrow" w:cstheme="minorHAnsi"/>
          <w:sz w:val="24"/>
          <w:szCs w:val="24"/>
        </w:rPr>
        <w:t xml:space="preserve">il s’agira </w:t>
      </w:r>
      <w:r w:rsidR="005E6CB0">
        <w:rPr>
          <w:rFonts w:ascii="Arial Narrow" w:hAnsi="Arial Narrow" w:cstheme="minorHAnsi"/>
          <w:sz w:val="24"/>
          <w:szCs w:val="24"/>
        </w:rPr>
        <w:t xml:space="preserve">également </w:t>
      </w:r>
      <w:r w:rsidR="007D7B39" w:rsidRPr="007E7C5B">
        <w:rPr>
          <w:rFonts w:ascii="Arial Narrow" w:hAnsi="Arial Narrow" w:cstheme="minorHAnsi"/>
          <w:sz w:val="24"/>
          <w:szCs w:val="24"/>
        </w:rPr>
        <w:t xml:space="preserve">de </w:t>
      </w:r>
      <w:r w:rsidR="006625CD" w:rsidRPr="007E7C5B">
        <w:rPr>
          <w:rFonts w:ascii="Arial Narrow" w:hAnsi="Arial Narrow" w:cstheme="minorHAnsi"/>
          <w:sz w:val="24"/>
          <w:szCs w:val="24"/>
        </w:rPr>
        <w:t xml:space="preserve">positionner </w:t>
      </w:r>
      <w:r w:rsidRPr="007E7C5B">
        <w:rPr>
          <w:rFonts w:ascii="Arial Narrow" w:hAnsi="Arial Narrow" w:cstheme="minorHAnsi"/>
          <w:sz w:val="24"/>
          <w:szCs w:val="24"/>
        </w:rPr>
        <w:t>la Côte d’Ivoire comme une destination médicale de premier ordre en Afrique de l’Ouest e</w:t>
      </w:r>
      <w:r w:rsidR="006625CD" w:rsidRPr="007E7C5B">
        <w:rPr>
          <w:rFonts w:ascii="Arial Narrow" w:hAnsi="Arial Narrow" w:cstheme="minorHAnsi"/>
          <w:sz w:val="24"/>
          <w:szCs w:val="24"/>
        </w:rPr>
        <w:t>n offrant</w:t>
      </w:r>
      <w:r w:rsidRPr="007E7C5B">
        <w:rPr>
          <w:rFonts w:ascii="Arial Narrow" w:hAnsi="Arial Narrow" w:cstheme="minorHAnsi"/>
          <w:sz w:val="24"/>
          <w:szCs w:val="24"/>
        </w:rPr>
        <w:t xml:space="preserve"> des soins de santé dans des secteurs de pointe.</w:t>
      </w:r>
    </w:p>
    <w:p w14:paraId="59E231EC" w14:textId="18B7A6FD" w:rsidR="00144189" w:rsidRPr="007E7C5B" w:rsidRDefault="00144189" w:rsidP="00761F55">
      <w:pPr>
        <w:jc w:val="both"/>
        <w:rPr>
          <w:rFonts w:ascii="Arial Narrow" w:hAnsi="Arial Narrow" w:cstheme="minorHAnsi"/>
          <w:sz w:val="24"/>
          <w:szCs w:val="24"/>
        </w:rPr>
      </w:pPr>
      <w:r w:rsidRPr="007E7C5B">
        <w:rPr>
          <w:rFonts w:ascii="Arial Narrow" w:eastAsia="Times New Roman" w:hAnsi="Arial Narrow" w:cs="Arial"/>
          <w:kern w:val="0"/>
          <w:sz w:val="24"/>
          <w:szCs w:val="24"/>
          <w:lang w:val="fr-CI" w:eastAsia="fr-FR"/>
          <w14:ligatures w14:val="none"/>
        </w:rPr>
        <w:t>Ainsi, d</w:t>
      </w:r>
      <w:r w:rsidR="00F848BF" w:rsidRPr="007E7C5B">
        <w:rPr>
          <w:rFonts w:ascii="Arial Narrow" w:eastAsia="Times New Roman" w:hAnsi="Arial Narrow" w:cs="Arial"/>
          <w:kern w:val="0"/>
          <w:sz w:val="24"/>
          <w:szCs w:val="24"/>
          <w:lang w:val="fr-CI" w:eastAsia="fr-FR"/>
          <w14:ligatures w14:val="none"/>
        </w:rPr>
        <w:t xml:space="preserve">’importants </w:t>
      </w:r>
      <w:r w:rsidRPr="007E7C5B">
        <w:rPr>
          <w:rFonts w:ascii="Arial Narrow" w:eastAsia="Times New Roman" w:hAnsi="Arial Narrow" w:cs="Arial"/>
          <w:kern w:val="0"/>
          <w:sz w:val="24"/>
          <w:szCs w:val="24"/>
          <w:lang w:val="fr-CI" w:eastAsia="fr-FR"/>
          <w14:ligatures w14:val="none"/>
        </w:rPr>
        <w:t>investissements ont été réalisés entre 2021 et 2023</w:t>
      </w:r>
      <w:r w:rsidR="00F848BF" w:rsidRPr="007E7C5B">
        <w:rPr>
          <w:rFonts w:ascii="Arial Narrow" w:eastAsia="Times New Roman" w:hAnsi="Arial Narrow" w:cs="Arial"/>
          <w:kern w:val="0"/>
          <w:sz w:val="24"/>
          <w:szCs w:val="24"/>
          <w:lang w:val="fr-CI" w:eastAsia="fr-FR"/>
          <w14:ligatures w14:val="none"/>
        </w:rPr>
        <w:t>,</w:t>
      </w:r>
      <w:r w:rsidRPr="007E7C5B">
        <w:rPr>
          <w:rFonts w:ascii="Arial Narrow" w:eastAsia="Times New Roman" w:hAnsi="Arial Narrow" w:cs="Arial"/>
          <w:kern w:val="0"/>
          <w:sz w:val="24"/>
          <w:szCs w:val="24"/>
          <w:lang w:val="fr-CI" w:eastAsia="fr-FR"/>
          <w14:ligatures w14:val="none"/>
        </w:rPr>
        <w:t xml:space="preserve"> </w:t>
      </w:r>
      <w:r w:rsidR="00F848BF" w:rsidRPr="007E7C5B">
        <w:rPr>
          <w:rFonts w:ascii="Arial Narrow" w:eastAsia="Times New Roman" w:hAnsi="Arial Narrow" w:cs="Arial"/>
          <w:kern w:val="0"/>
          <w:sz w:val="24"/>
          <w:szCs w:val="24"/>
          <w:lang w:val="fr-CI" w:eastAsia="fr-FR"/>
          <w14:ligatures w14:val="none"/>
        </w:rPr>
        <w:t xml:space="preserve">ce qui a </w:t>
      </w:r>
      <w:r w:rsidRPr="007E7C5B">
        <w:rPr>
          <w:rFonts w:ascii="Arial Narrow" w:eastAsia="Times New Roman" w:hAnsi="Arial Narrow" w:cs="Arial"/>
          <w:kern w:val="0"/>
          <w:sz w:val="24"/>
          <w:szCs w:val="24"/>
          <w:lang w:val="fr-CI" w:eastAsia="fr-FR"/>
          <w14:ligatures w14:val="none"/>
        </w:rPr>
        <w:t xml:space="preserve">permis d'accroître </w:t>
      </w:r>
      <w:r w:rsidRPr="007B5412">
        <w:rPr>
          <w:rFonts w:ascii="Arial Narrow" w:eastAsia="Times New Roman" w:hAnsi="Arial Narrow" w:cs="Arial"/>
          <w:kern w:val="0"/>
          <w:sz w:val="24"/>
          <w:szCs w:val="24"/>
          <w:lang w:val="fr-CI" w:eastAsia="fr-FR"/>
          <w14:ligatures w14:val="none"/>
        </w:rPr>
        <w:t>l'accessibilité aux soins et de renforcer le</w:t>
      </w:r>
      <w:r w:rsidRPr="007B5412" w:rsidDel="00F46489">
        <w:rPr>
          <w:rFonts w:ascii="Arial Narrow" w:eastAsia="Times New Roman" w:hAnsi="Arial Narrow" w:cs="Arial"/>
          <w:color w:val="0078D4"/>
          <w:kern w:val="0"/>
          <w:sz w:val="24"/>
          <w:szCs w:val="24"/>
          <w:lang w:val="fr-CI" w:eastAsia="fr-FR"/>
          <w14:ligatures w14:val="none"/>
        </w:rPr>
        <w:t xml:space="preserve"> </w:t>
      </w:r>
      <w:r w:rsidRPr="007B5412">
        <w:rPr>
          <w:rFonts w:ascii="Arial Narrow" w:eastAsia="Times New Roman" w:hAnsi="Arial Narrow" w:cs="Arial"/>
          <w:kern w:val="0"/>
          <w:sz w:val="24"/>
          <w:szCs w:val="24"/>
          <w:lang w:val="fr-CI" w:eastAsia="fr-FR"/>
          <w14:ligatures w14:val="none"/>
        </w:rPr>
        <w:t>plateau technique des établissements sanitaires.</w:t>
      </w:r>
      <w:r w:rsidR="006625CD" w:rsidRPr="007B5412">
        <w:rPr>
          <w:rFonts w:ascii="Arial Narrow" w:eastAsia="Times New Roman" w:hAnsi="Arial Narrow" w:cs="Arial"/>
          <w:kern w:val="0"/>
          <w:sz w:val="24"/>
          <w:szCs w:val="24"/>
          <w:lang w:val="fr-CI" w:eastAsia="fr-FR"/>
          <w14:ligatures w14:val="none"/>
        </w:rPr>
        <w:t xml:space="preserve"> </w:t>
      </w:r>
      <w:r w:rsidR="00031EC0" w:rsidRPr="007B5412">
        <w:rPr>
          <w:rFonts w:ascii="Arial Narrow" w:eastAsia="Times New Roman" w:hAnsi="Arial Narrow" w:cs="Arial"/>
          <w:kern w:val="0"/>
          <w:sz w:val="24"/>
          <w:szCs w:val="24"/>
          <w:lang w:val="fr-CI" w:eastAsia="fr-FR"/>
          <w14:ligatures w14:val="none"/>
        </w:rPr>
        <w:t xml:space="preserve">Ce sont </w:t>
      </w:r>
      <w:r w:rsidRPr="0044167B">
        <w:rPr>
          <w:rFonts w:ascii="Arial Narrow" w:hAnsi="Arial Narrow" w:cstheme="minorHAnsi"/>
          <w:sz w:val="24"/>
          <w:szCs w:val="24"/>
        </w:rPr>
        <w:t>265</w:t>
      </w:r>
      <w:r w:rsidR="006E61E0" w:rsidRPr="0044167B">
        <w:rPr>
          <w:rFonts w:ascii="Arial Narrow" w:hAnsi="Arial Narrow" w:cstheme="minorHAnsi"/>
          <w:sz w:val="24"/>
          <w:szCs w:val="24"/>
        </w:rPr>
        <w:t> </w:t>
      </w:r>
      <w:r w:rsidRPr="0044167B">
        <w:rPr>
          <w:rFonts w:ascii="Arial Narrow" w:hAnsi="Arial Narrow" w:cstheme="minorHAnsi"/>
          <w:sz w:val="24"/>
          <w:szCs w:val="24"/>
        </w:rPr>
        <w:t xml:space="preserve">ESPC </w:t>
      </w:r>
      <w:r w:rsidR="00832319" w:rsidRPr="0044167B">
        <w:rPr>
          <w:rFonts w:ascii="Arial Narrow" w:hAnsi="Arial Narrow" w:cstheme="minorHAnsi"/>
          <w:sz w:val="24"/>
          <w:szCs w:val="24"/>
        </w:rPr>
        <w:t xml:space="preserve">qui </w:t>
      </w:r>
      <w:r w:rsidRPr="0044167B">
        <w:rPr>
          <w:rFonts w:ascii="Arial Narrow" w:hAnsi="Arial Narrow" w:cstheme="minorHAnsi"/>
          <w:sz w:val="24"/>
          <w:szCs w:val="24"/>
        </w:rPr>
        <w:t>ont été construits et 710 réhabilités et ou équipés entre 2021 et le premier semestre 2024</w:t>
      </w:r>
      <w:r w:rsidRPr="007B5412">
        <w:rPr>
          <w:rFonts w:ascii="Arial Narrow" w:hAnsi="Arial Narrow" w:cstheme="minorHAnsi"/>
          <w:sz w:val="24"/>
          <w:szCs w:val="24"/>
        </w:rPr>
        <w:t>. Ces</w:t>
      </w:r>
      <w:r w:rsidRPr="007B5412" w:rsidDel="00581A72">
        <w:rPr>
          <w:rFonts w:ascii="Arial Narrow" w:hAnsi="Arial Narrow" w:cstheme="minorHAnsi"/>
          <w:sz w:val="24"/>
          <w:szCs w:val="24"/>
        </w:rPr>
        <w:t xml:space="preserve"> </w:t>
      </w:r>
      <w:r w:rsidR="00581A72" w:rsidRPr="007B5412">
        <w:rPr>
          <w:rFonts w:ascii="Arial Narrow" w:hAnsi="Arial Narrow" w:cstheme="minorHAnsi"/>
          <w:sz w:val="24"/>
          <w:szCs w:val="24"/>
        </w:rPr>
        <w:t xml:space="preserve">réalisations </w:t>
      </w:r>
      <w:r w:rsidRPr="007B5412">
        <w:rPr>
          <w:rFonts w:ascii="Arial Narrow" w:hAnsi="Arial Narrow" w:cstheme="minorHAnsi"/>
          <w:sz w:val="24"/>
          <w:szCs w:val="24"/>
        </w:rPr>
        <w:t xml:space="preserve">ont </w:t>
      </w:r>
      <w:r w:rsidR="005211C3" w:rsidRPr="007B5412">
        <w:rPr>
          <w:rFonts w:ascii="Arial Narrow" w:hAnsi="Arial Narrow" w:cstheme="minorHAnsi"/>
          <w:sz w:val="24"/>
          <w:szCs w:val="24"/>
        </w:rPr>
        <w:t xml:space="preserve">permis d’améliorer la </w:t>
      </w:r>
      <w:r w:rsidRPr="007B5412">
        <w:rPr>
          <w:rFonts w:ascii="Arial Narrow" w:hAnsi="Arial Narrow" w:cstheme="minorHAnsi"/>
          <w:sz w:val="24"/>
          <w:szCs w:val="24"/>
        </w:rPr>
        <w:t>proportion de la population vivant à moins de 5km d'un centre de</w:t>
      </w:r>
      <w:r w:rsidRPr="007E7C5B">
        <w:rPr>
          <w:rFonts w:ascii="Arial Narrow" w:hAnsi="Arial Narrow" w:cstheme="minorHAnsi"/>
          <w:sz w:val="24"/>
          <w:szCs w:val="24"/>
        </w:rPr>
        <w:t xml:space="preserve"> santé</w:t>
      </w:r>
      <w:r w:rsidR="00154051" w:rsidRPr="007E7C5B">
        <w:rPr>
          <w:rFonts w:ascii="Arial Narrow" w:hAnsi="Arial Narrow" w:cstheme="minorHAnsi"/>
          <w:sz w:val="24"/>
          <w:szCs w:val="24"/>
        </w:rPr>
        <w:t>,</w:t>
      </w:r>
      <w:r w:rsidRPr="007E7C5B">
        <w:rPr>
          <w:rFonts w:ascii="Arial Narrow" w:hAnsi="Arial Narrow" w:cstheme="minorHAnsi"/>
          <w:sz w:val="24"/>
          <w:szCs w:val="24"/>
        </w:rPr>
        <w:t xml:space="preserve"> passée de </w:t>
      </w:r>
      <w:r w:rsidRPr="00D3197F">
        <w:rPr>
          <w:rFonts w:ascii="Arial Narrow" w:hAnsi="Arial Narrow" w:cstheme="minorHAnsi"/>
          <w:sz w:val="24"/>
          <w:szCs w:val="24"/>
        </w:rPr>
        <w:t xml:space="preserve">70,7% en 2020 à </w:t>
      </w:r>
      <w:r w:rsidR="00D22B4B" w:rsidRPr="00D3197F">
        <w:rPr>
          <w:rFonts w:ascii="Arial Narrow" w:hAnsi="Arial Narrow" w:cstheme="minorHAnsi"/>
          <w:sz w:val="24"/>
          <w:szCs w:val="24"/>
        </w:rPr>
        <w:t>80</w:t>
      </w:r>
      <w:r w:rsidRPr="00D3197F">
        <w:rPr>
          <w:rFonts w:ascii="Arial Narrow" w:hAnsi="Arial Narrow" w:cstheme="minorHAnsi"/>
          <w:sz w:val="24"/>
          <w:szCs w:val="24"/>
        </w:rPr>
        <w:t>%</w:t>
      </w:r>
      <w:r w:rsidRPr="007E7C5B">
        <w:rPr>
          <w:rFonts w:ascii="Arial Narrow" w:hAnsi="Arial Narrow" w:cstheme="minorHAnsi"/>
          <w:sz w:val="24"/>
          <w:szCs w:val="24"/>
        </w:rPr>
        <w:t xml:space="preserve"> au premier semestre 2024.</w:t>
      </w:r>
    </w:p>
    <w:p w14:paraId="47EEBB06" w14:textId="02C74D61" w:rsidR="00144189" w:rsidRDefault="00144189" w:rsidP="00761F55">
      <w:pPr>
        <w:jc w:val="both"/>
        <w:textAlignment w:val="baseline"/>
        <w:rPr>
          <w:rFonts w:ascii="Arial Narrow" w:eastAsia="Times New Roman" w:hAnsi="Arial Narrow" w:cs="Arial"/>
          <w:kern w:val="0"/>
          <w:sz w:val="24"/>
          <w:szCs w:val="24"/>
          <w:lang w:val="fr-CI" w:eastAsia="fr-FR"/>
          <w14:ligatures w14:val="none"/>
        </w:rPr>
      </w:pPr>
      <w:r w:rsidRPr="007E7C5B">
        <w:rPr>
          <w:rFonts w:ascii="Arial Narrow" w:hAnsi="Arial Narrow" w:cstheme="minorHAnsi"/>
          <w:sz w:val="24"/>
          <w:szCs w:val="24"/>
        </w:rPr>
        <w:t xml:space="preserve">Au </w:t>
      </w:r>
      <w:r w:rsidRPr="005718F7">
        <w:rPr>
          <w:rFonts w:ascii="Arial Narrow" w:hAnsi="Arial Narrow" w:cstheme="minorHAnsi"/>
          <w:sz w:val="24"/>
          <w:szCs w:val="24"/>
        </w:rPr>
        <w:t xml:space="preserve">titre des établissements sanitaires du deuxième et troisième niveau, au total, </w:t>
      </w:r>
      <w:r w:rsidR="005574B1" w:rsidRPr="005718F7">
        <w:rPr>
          <w:rFonts w:ascii="Arial Narrow" w:hAnsi="Arial Narrow" w:cstheme="minorHAnsi"/>
          <w:sz w:val="24"/>
          <w:szCs w:val="24"/>
        </w:rPr>
        <w:t xml:space="preserve">ce sont </w:t>
      </w:r>
      <w:r w:rsidRPr="005718F7">
        <w:rPr>
          <w:rFonts w:ascii="Arial Narrow" w:hAnsi="Arial Narrow" w:cstheme="minorHAnsi"/>
          <w:sz w:val="24"/>
          <w:szCs w:val="24"/>
        </w:rPr>
        <w:t>4 CHU</w:t>
      </w:r>
      <w:r w:rsidR="000B60EE" w:rsidRPr="005718F7">
        <w:rPr>
          <w:rStyle w:val="Appelnotedebasdep"/>
          <w:rFonts w:ascii="Arial Narrow" w:hAnsi="Arial Narrow" w:cstheme="minorHAnsi"/>
          <w:sz w:val="24"/>
          <w:szCs w:val="24"/>
        </w:rPr>
        <w:footnoteReference w:id="12"/>
      </w:r>
      <w:r w:rsidRPr="005718F7">
        <w:rPr>
          <w:rFonts w:ascii="Arial Narrow" w:hAnsi="Arial Narrow" w:cstheme="minorHAnsi"/>
          <w:sz w:val="24"/>
          <w:szCs w:val="24"/>
        </w:rPr>
        <w:t>,</w:t>
      </w:r>
      <w:r w:rsidR="000B60EE" w:rsidRPr="005718F7">
        <w:rPr>
          <w:rFonts w:ascii="Arial Narrow" w:hAnsi="Arial Narrow" w:cstheme="minorHAnsi"/>
          <w:sz w:val="24"/>
          <w:szCs w:val="24"/>
        </w:rPr>
        <w:t xml:space="preserve"> </w:t>
      </w:r>
      <w:r w:rsidR="000E05DE" w:rsidRPr="005718F7">
        <w:rPr>
          <w:rFonts w:ascii="Arial Narrow" w:hAnsi="Arial Narrow" w:cstheme="minorHAnsi"/>
          <w:sz w:val="24"/>
          <w:szCs w:val="24"/>
        </w:rPr>
        <w:t xml:space="preserve">13 </w:t>
      </w:r>
      <w:r w:rsidRPr="005718F7">
        <w:rPr>
          <w:rFonts w:ascii="Arial Narrow" w:hAnsi="Arial Narrow" w:cstheme="minorHAnsi"/>
          <w:sz w:val="24"/>
          <w:szCs w:val="24"/>
        </w:rPr>
        <w:t>CHR</w:t>
      </w:r>
      <w:r w:rsidR="000B60EE" w:rsidRPr="005718F7">
        <w:rPr>
          <w:rStyle w:val="Appelnotedebasdep"/>
          <w:rFonts w:ascii="Arial Narrow" w:hAnsi="Arial Narrow" w:cstheme="minorHAnsi"/>
          <w:sz w:val="24"/>
          <w:szCs w:val="24"/>
        </w:rPr>
        <w:footnoteReference w:id="13"/>
      </w:r>
      <w:r w:rsidRPr="005718F7">
        <w:rPr>
          <w:rFonts w:ascii="Arial Narrow" w:hAnsi="Arial Narrow" w:cstheme="minorHAnsi"/>
          <w:sz w:val="24"/>
          <w:szCs w:val="24"/>
        </w:rPr>
        <w:t xml:space="preserve"> et 2</w:t>
      </w:r>
      <w:r w:rsidR="00BB1FF5" w:rsidRPr="007A001B">
        <w:rPr>
          <w:rFonts w:ascii="Arial Narrow" w:hAnsi="Arial Narrow" w:cstheme="minorHAnsi"/>
          <w:sz w:val="24"/>
          <w:szCs w:val="24"/>
        </w:rPr>
        <w:t>8</w:t>
      </w:r>
      <w:r w:rsidRPr="005718F7">
        <w:rPr>
          <w:rFonts w:ascii="Arial Narrow" w:hAnsi="Arial Narrow" w:cstheme="minorHAnsi"/>
          <w:sz w:val="24"/>
          <w:szCs w:val="24"/>
        </w:rPr>
        <w:t xml:space="preserve"> HG</w:t>
      </w:r>
      <w:r w:rsidR="000B60EE" w:rsidRPr="005718F7">
        <w:rPr>
          <w:rStyle w:val="Appelnotedebasdep"/>
          <w:rFonts w:ascii="Arial Narrow" w:hAnsi="Arial Narrow" w:cstheme="minorHAnsi"/>
          <w:sz w:val="24"/>
          <w:szCs w:val="24"/>
        </w:rPr>
        <w:footnoteReference w:id="14"/>
      </w:r>
      <w:r w:rsidRPr="005718F7">
        <w:rPr>
          <w:rFonts w:ascii="Arial Narrow" w:hAnsi="Arial Narrow" w:cstheme="minorHAnsi"/>
          <w:sz w:val="24"/>
          <w:szCs w:val="24"/>
        </w:rPr>
        <w:t xml:space="preserve"> </w:t>
      </w:r>
      <w:r w:rsidR="002E78F7" w:rsidRPr="005718F7">
        <w:rPr>
          <w:rFonts w:ascii="Arial Narrow" w:hAnsi="Arial Narrow" w:cstheme="minorHAnsi"/>
          <w:sz w:val="24"/>
          <w:szCs w:val="24"/>
        </w:rPr>
        <w:t xml:space="preserve">qui </w:t>
      </w:r>
      <w:r w:rsidRPr="005718F7">
        <w:rPr>
          <w:rFonts w:ascii="Arial Narrow" w:hAnsi="Arial Narrow" w:cstheme="minorHAnsi"/>
          <w:sz w:val="24"/>
          <w:szCs w:val="24"/>
        </w:rPr>
        <w:t>ont été réhabilités et équipé</w:t>
      </w:r>
      <w:r w:rsidR="00F748FA" w:rsidRPr="005718F7">
        <w:rPr>
          <w:rFonts w:ascii="Arial Narrow" w:hAnsi="Arial Narrow" w:cstheme="minorHAnsi"/>
          <w:sz w:val="24"/>
          <w:szCs w:val="24"/>
        </w:rPr>
        <w:t>s.</w:t>
      </w:r>
      <w:r w:rsidRPr="005718F7">
        <w:rPr>
          <w:rFonts w:ascii="Arial Narrow" w:hAnsi="Arial Narrow" w:cstheme="minorHAnsi"/>
          <w:sz w:val="24"/>
          <w:szCs w:val="24"/>
        </w:rPr>
        <w:t xml:space="preserve"> De nouvelles constructions ont également été réalisées, </w:t>
      </w:r>
      <w:r w:rsidR="00833B62" w:rsidRPr="005718F7">
        <w:rPr>
          <w:rFonts w:ascii="Arial Narrow" w:hAnsi="Arial Narrow" w:cstheme="minorHAnsi"/>
          <w:sz w:val="24"/>
          <w:szCs w:val="24"/>
        </w:rPr>
        <w:t>dont</w:t>
      </w:r>
      <w:r w:rsidR="00833B62" w:rsidRPr="007E7C5B">
        <w:rPr>
          <w:rFonts w:ascii="Arial Narrow" w:hAnsi="Arial Narrow" w:cstheme="minorHAnsi"/>
          <w:sz w:val="24"/>
          <w:szCs w:val="24"/>
        </w:rPr>
        <w:t xml:space="preserve"> </w:t>
      </w:r>
      <w:r w:rsidRPr="00A918AC">
        <w:rPr>
          <w:rFonts w:ascii="Arial Narrow" w:hAnsi="Arial Narrow" w:cstheme="minorHAnsi"/>
          <w:sz w:val="24"/>
          <w:szCs w:val="24"/>
        </w:rPr>
        <w:t>5 CHR</w:t>
      </w:r>
      <w:r w:rsidR="00833B62" w:rsidRPr="00A918AC">
        <w:rPr>
          <w:rStyle w:val="Appelnotedebasdep"/>
          <w:rFonts w:ascii="Arial Narrow" w:hAnsi="Arial Narrow" w:cstheme="minorHAnsi"/>
          <w:sz w:val="24"/>
          <w:szCs w:val="24"/>
        </w:rPr>
        <w:footnoteReference w:id="15"/>
      </w:r>
      <w:r w:rsidRPr="007E7C5B">
        <w:rPr>
          <w:rFonts w:ascii="Arial Narrow" w:hAnsi="Arial Narrow" w:cstheme="minorHAnsi"/>
          <w:sz w:val="24"/>
          <w:szCs w:val="24"/>
        </w:rPr>
        <w:t xml:space="preserve"> et </w:t>
      </w:r>
      <w:r w:rsidRPr="00A918AC">
        <w:rPr>
          <w:rFonts w:ascii="Arial Narrow" w:hAnsi="Arial Narrow" w:cstheme="minorHAnsi"/>
          <w:sz w:val="24"/>
          <w:szCs w:val="24"/>
        </w:rPr>
        <w:t>2 Hôpitaux Généraux</w:t>
      </w:r>
      <w:r w:rsidR="00833B62" w:rsidRPr="007E7C5B">
        <w:rPr>
          <w:rStyle w:val="Appelnotedebasdep"/>
          <w:rFonts w:ascii="Arial Narrow" w:hAnsi="Arial Narrow" w:cstheme="minorHAnsi"/>
          <w:sz w:val="24"/>
          <w:szCs w:val="24"/>
        </w:rPr>
        <w:footnoteReference w:id="16"/>
      </w:r>
      <w:r w:rsidRPr="007E7C5B">
        <w:rPr>
          <w:rFonts w:ascii="Arial Narrow" w:hAnsi="Arial Narrow" w:cstheme="minorHAnsi"/>
          <w:sz w:val="24"/>
          <w:szCs w:val="24"/>
        </w:rPr>
        <w:t>.</w:t>
      </w:r>
      <w:r w:rsidR="00D83F31" w:rsidRPr="007E7C5B">
        <w:rPr>
          <w:rFonts w:ascii="Arial Narrow" w:hAnsi="Arial Narrow" w:cstheme="minorHAnsi"/>
          <w:sz w:val="24"/>
          <w:szCs w:val="24"/>
        </w:rPr>
        <w:t xml:space="preserve"> Ces investissements ont permis d’améliorer l’offre de service de plus de 1</w:t>
      </w:r>
      <w:r w:rsidR="00F77DFF" w:rsidRPr="007E7C5B">
        <w:rPr>
          <w:rFonts w:ascii="Arial Narrow" w:hAnsi="Arial Narrow" w:cstheme="minorHAnsi"/>
          <w:sz w:val="24"/>
          <w:szCs w:val="24"/>
        </w:rPr>
        <w:t xml:space="preserve"> </w:t>
      </w:r>
      <w:r w:rsidR="00B274DB">
        <w:rPr>
          <w:rFonts w:ascii="Arial Narrow" w:hAnsi="Arial Narrow" w:cstheme="minorHAnsi"/>
          <w:sz w:val="24"/>
          <w:szCs w:val="24"/>
        </w:rPr>
        <w:t>800</w:t>
      </w:r>
      <w:r w:rsidR="00D83F31" w:rsidRPr="007E7C5B">
        <w:rPr>
          <w:rFonts w:ascii="Arial Narrow" w:hAnsi="Arial Narrow" w:cstheme="minorHAnsi"/>
          <w:sz w:val="24"/>
          <w:szCs w:val="24"/>
        </w:rPr>
        <w:t xml:space="preserve"> lits supplémentaires. </w:t>
      </w:r>
      <w:r w:rsidR="00F77DFF" w:rsidRPr="007E7C5B">
        <w:rPr>
          <w:rFonts w:ascii="Arial Narrow" w:hAnsi="Arial Narrow" w:cstheme="minorHAnsi"/>
          <w:sz w:val="24"/>
          <w:szCs w:val="24"/>
        </w:rPr>
        <w:t xml:space="preserve">En </w:t>
      </w:r>
      <w:r w:rsidR="00E00BFA" w:rsidRPr="007E7C5B">
        <w:rPr>
          <w:rFonts w:ascii="Arial Narrow" w:hAnsi="Arial Narrow" w:cstheme="minorHAnsi"/>
          <w:sz w:val="24"/>
          <w:szCs w:val="24"/>
        </w:rPr>
        <w:t>outre, les travaux de construction de</w:t>
      </w:r>
      <w:r w:rsidR="00856D4D" w:rsidRPr="007E7C5B">
        <w:rPr>
          <w:rFonts w:ascii="Arial Narrow" w:hAnsi="Arial Narrow" w:cstheme="minorHAnsi"/>
          <w:sz w:val="24"/>
          <w:szCs w:val="24"/>
        </w:rPr>
        <w:t xml:space="preserve"> 3</w:t>
      </w:r>
      <w:r w:rsidR="00E00BFA" w:rsidRPr="007E7C5B">
        <w:rPr>
          <w:rFonts w:ascii="Arial Narrow" w:hAnsi="Arial Narrow" w:cstheme="minorHAnsi"/>
          <w:sz w:val="24"/>
          <w:szCs w:val="24"/>
        </w:rPr>
        <w:t xml:space="preserve"> HG</w:t>
      </w:r>
      <w:r w:rsidR="005B728D" w:rsidRPr="007E7C5B">
        <w:rPr>
          <w:rStyle w:val="Appelnotedebasdep"/>
          <w:rFonts w:ascii="Arial Narrow" w:hAnsi="Arial Narrow" w:cstheme="minorHAnsi"/>
          <w:sz w:val="24"/>
          <w:szCs w:val="24"/>
        </w:rPr>
        <w:footnoteReference w:id="17"/>
      </w:r>
      <w:r w:rsidR="00341D84" w:rsidRPr="007E7C5B">
        <w:rPr>
          <w:rFonts w:ascii="Arial Narrow" w:hAnsi="Arial Narrow" w:cstheme="minorHAnsi"/>
          <w:sz w:val="24"/>
          <w:szCs w:val="24"/>
        </w:rPr>
        <w:t>, 3 CHR</w:t>
      </w:r>
      <w:r w:rsidR="002C39F3" w:rsidRPr="007E7C5B">
        <w:rPr>
          <w:rStyle w:val="Appelnotedebasdep"/>
          <w:rFonts w:ascii="Arial Narrow" w:hAnsi="Arial Narrow" w:cstheme="minorHAnsi"/>
          <w:sz w:val="24"/>
          <w:szCs w:val="24"/>
        </w:rPr>
        <w:footnoteReference w:id="18"/>
      </w:r>
      <w:r w:rsidR="002C39F3" w:rsidRPr="007E7C5B">
        <w:rPr>
          <w:rFonts w:ascii="Arial Narrow" w:hAnsi="Arial Narrow" w:cstheme="minorHAnsi"/>
          <w:sz w:val="24"/>
          <w:szCs w:val="24"/>
        </w:rPr>
        <w:t xml:space="preserve"> et du</w:t>
      </w:r>
      <w:r w:rsidR="00341D84" w:rsidRPr="007E7C5B">
        <w:rPr>
          <w:rFonts w:ascii="Arial Narrow" w:hAnsi="Arial Narrow" w:cstheme="minorHAnsi"/>
          <w:sz w:val="24"/>
          <w:szCs w:val="24"/>
        </w:rPr>
        <w:t xml:space="preserve"> CHU</w:t>
      </w:r>
      <w:r w:rsidR="00856D4D" w:rsidRPr="007E7C5B">
        <w:rPr>
          <w:rFonts w:ascii="Arial Narrow" w:hAnsi="Arial Narrow" w:cstheme="minorHAnsi"/>
          <w:sz w:val="24"/>
          <w:szCs w:val="24"/>
        </w:rPr>
        <w:t xml:space="preserve"> </w:t>
      </w:r>
      <w:r w:rsidR="002C39F3" w:rsidRPr="007E7C5B">
        <w:rPr>
          <w:rFonts w:ascii="Arial Narrow" w:hAnsi="Arial Narrow" w:cstheme="minorHAnsi"/>
          <w:sz w:val="24"/>
          <w:szCs w:val="24"/>
        </w:rPr>
        <w:t xml:space="preserve">d’Abobo </w:t>
      </w:r>
      <w:r w:rsidR="00856D4D" w:rsidRPr="007E7C5B">
        <w:rPr>
          <w:rFonts w:ascii="Arial Narrow" w:hAnsi="Arial Narrow" w:cstheme="minorHAnsi"/>
          <w:sz w:val="24"/>
          <w:szCs w:val="24"/>
        </w:rPr>
        <w:t>se poursuivent</w:t>
      </w:r>
      <w:r w:rsidR="005B728D" w:rsidRPr="007E7C5B">
        <w:rPr>
          <w:rFonts w:ascii="Arial Narrow" w:hAnsi="Arial Narrow" w:cstheme="minorHAnsi"/>
          <w:sz w:val="24"/>
          <w:szCs w:val="24"/>
        </w:rPr>
        <w:t>.</w:t>
      </w:r>
      <w:r w:rsidR="005A0D1D" w:rsidRPr="007E7C5B">
        <w:rPr>
          <w:rFonts w:ascii="Arial Narrow" w:hAnsi="Arial Narrow" w:cstheme="minorHAnsi"/>
          <w:sz w:val="24"/>
          <w:szCs w:val="24"/>
        </w:rPr>
        <w:t xml:space="preserve"> Par ailleurs, </w:t>
      </w:r>
      <w:r w:rsidR="00AB574F" w:rsidRPr="007E7C5B">
        <w:rPr>
          <w:rFonts w:ascii="Arial Narrow" w:hAnsi="Arial Narrow" w:cstheme="minorHAnsi"/>
          <w:sz w:val="24"/>
          <w:szCs w:val="24"/>
        </w:rPr>
        <w:t xml:space="preserve">le projet de construction des 68 maternités sur </w:t>
      </w:r>
      <w:r w:rsidR="00AB574F" w:rsidRPr="005718F7">
        <w:rPr>
          <w:rFonts w:ascii="Arial Narrow" w:hAnsi="Arial Narrow" w:cstheme="minorHAnsi"/>
          <w:sz w:val="24"/>
          <w:szCs w:val="24"/>
        </w:rPr>
        <w:t>l’ensemble du territoire a démarré, avec 21 blocs livrés.</w:t>
      </w:r>
      <w:r w:rsidRPr="005718F7" w:rsidDel="009A7D51">
        <w:rPr>
          <w:rFonts w:ascii="Arial Narrow" w:eastAsia="Times New Roman" w:hAnsi="Arial Narrow" w:cs="Arial"/>
          <w:kern w:val="0"/>
          <w:sz w:val="24"/>
          <w:szCs w:val="24"/>
          <w:lang w:val="fr-CI" w:eastAsia="fr-FR"/>
          <w14:ligatures w14:val="none"/>
        </w:rPr>
        <w:t xml:space="preserve"> </w:t>
      </w:r>
      <w:r w:rsidR="009A7D51" w:rsidRPr="005718F7">
        <w:rPr>
          <w:rFonts w:ascii="Arial Narrow" w:eastAsia="Times New Roman" w:hAnsi="Arial Narrow" w:cs="Arial"/>
          <w:kern w:val="0"/>
          <w:sz w:val="24"/>
          <w:szCs w:val="24"/>
          <w:lang w:val="fr-CI" w:eastAsia="fr-FR"/>
          <w14:ligatures w14:val="none"/>
        </w:rPr>
        <w:t xml:space="preserve">S’agissant des </w:t>
      </w:r>
      <w:r w:rsidRPr="005718F7">
        <w:rPr>
          <w:rFonts w:ascii="Arial Narrow" w:eastAsia="Times New Roman" w:hAnsi="Arial Narrow" w:cs="Arial"/>
          <w:kern w:val="0"/>
          <w:sz w:val="24"/>
          <w:szCs w:val="24"/>
          <w:lang w:val="fr-CI" w:eastAsia="fr-FR"/>
          <w14:ligatures w14:val="none"/>
        </w:rPr>
        <w:t xml:space="preserve">équipements, </w:t>
      </w:r>
      <w:r w:rsidR="008821A0" w:rsidRPr="005718F7">
        <w:rPr>
          <w:rFonts w:ascii="Arial Narrow" w:eastAsia="Times New Roman" w:hAnsi="Arial Narrow" w:cs="Arial"/>
          <w:kern w:val="0"/>
          <w:sz w:val="24"/>
          <w:szCs w:val="24"/>
          <w:lang w:val="fr-CI" w:eastAsia="fr-FR"/>
          <w14:ligatures w14:val="none"/>
        </w:rPr>
        <w:t xml:space="preserve">en 2024, </w:t>
      </w:r>
      <w:r w:rsidR="005718F7" w:rsidRPr="005718F7">
        <w:rPr>
          <w:rFonts w:ascii="Arial Narrow" w:eastAsia="Times New Roman" w:hAnsi="Arial Narrow" w:cs="Arial"/>
          <w:kern w:val="0"/>
          <w:sz w:val="24"/>
          <w:szCs w:val="24"/>
          <w:lang w:val="fr-CI" w:eastAsia="fr-FR"/>
          <w14:ligatures w14:val="none"/>
        </w:rPr>
        <w:t xml:space="preserve">on dénombre </w:t>
      </w:r>
      <w:r w:rsidR="008821A0" w:rsidRPr="005718F7">
        <w:rPr>
          <w:rFonts w:ascii="Arial Narrow" w:eastAsia="Times New Roman" w:hAnsi="Arial Narrow" w:cs="Arial"/>
          <w:kern w:val="0"/>
          <w:sz w:val="24"/>
          <w:szCs w:val="24"/>
          <w:lang w:val="fr-CI" w:eastAsia="fr-FR"/>
          <w14:ligatures w14:val="none"/>
        </w:rPr>
        <w:t xml:space="preserve">21 </w:t>
      </w:r>
      <w:r w:rsidRPr="005718F7">
        <w:rPr>
          <w:rFonts w:ascii="Arial Narrow" w:eastAsia="Times New Roman" w:hAnsi="Arial Narrow" w:cs="Arial"/>
          <w:kern w:val="0"/>
          <w:sz w:val="24"/>
          <w:szCs w:val="24"/>
          <w:lang w:val="fr-CI" w:eastAsia="fr-FR"/>
          <w14:ligatures w14:val="none"/>
        </w:rPr>
        <w:t>scanners</w:t>
      </w:r>
      <w:r w:rsidR="005718F7" w:rsidRPr="007A001B">
        <w:rPr>
          <w:rFonts w:ascii="Arial Narrow" w:eastAsia="Times New Roman" w:hAnsi="Arial Narrow" w:cs="Arial"/>
          <w:kern w:val="0"/>
          <w:sz w:val="24"/>
          <w:szCs w:val="24"/>
          <w:lang w:val="fr-CI" w:eastAsia="fr-FR"/>
          <w14:ligatures w14:val="none"/>
        </w:rPr>
        <w:t xml:space="preserve"> dont 14</w:t>
      </w:r>
      <w:r w:rsidRPr="005718F7">
        <w:rPr>
          <w:rFonts w:ascii="Arial Narrow" w:eastAsia="Times New Roman" w:hAnsi="Arial Narrow" w:cs="Arial"/>
          <w:kern w:val="0"/>
          <w:sz w:val="24"/>
          <w:szCs w:val="24"/>
          <w:lang w:val="fr-CI" w:eastAsia="fr-FR"/>
          <w14:ligatures w14:val="none"/>
        </w:rPr>
        <w:t xml:space="preserve"> installés</w:t>
      </w:r>
      <w:r w:rsidR="005718F7" w:rsidRPr="007A001B">
        <w:rPr>
          <w:rFonts w:ascii="Arial Narrow" w:eastAsia="Times New Roman" w:hAnsi="Arial Narrow" w:cs="Arial"/>
          <w:kern w:val="0"/>
          <w:sz w:val="24"/>
          <w:szCs w:val="24"/>
          <w:lang w:val="fr-CI" w:eastAsia="fr-FR"/>
          <w14:ligatures w14:val="none"/>
        </w:rPr>
        <w:t xml:space="preserve"> à l’intérieur du pays et </w:t>
      </w:r>
      <w:r w:rsidR="008821A0" w:rsidRPr="005718F7">
        <w:rPr>
          <w:rFonts w:ascii="Arial Narrow" w:eastAsia="Times New Roman" w:hAnsi="Arial Narrow" w:cs="Arial"/>
          <w:kern w:val="0"/>
          <w:sz w:val="24"/>
          <w:szCs w:val="24"/>
          <w:lang w:val="fr-CI" w:eastAsia="fr-FR"/>
          <w14:ligatures w14:val="none"/>
        </w:rPr>
        <w:t xml:space="preserve">11 </w:t>
      </w:r>
      <w:r w:rsidRPr="005718F7">
        <w:rPr>
          <w:rFonts w:ascii="Arial Narrow" w:eastAsia="Times New Roman" w:hAnsi="Arial Narrow" w:cs="Arial"/>
          <w:kern w:val="0"/>
          <w:sz w:val="24"/>
          <w:szCs w:val="24"/>
          <w:lang w:val="fr-CI" w:eastAsia="fr-FR"/>
          <w14:ligatures w14:val="none"/>
        </w:rPr>
        <w:t>IRM</w:t>
      </w:r>
      <w:r w:rsidR="0031569B" w:rsidRPr="005718F7">
        <w:rPr>
          <w:rStyle w:val="Appelnotedebasdep"/>
          <w:rFonts w:ascii="Arial Narrow" w:eastAsia="Times New Roman" w:hAnsi="Arial Narrow" w:cs="Arial"/>
          <w:kern w:val="0"/>
          <w:sz w:val="24"/>
          <w:szCs w:val="24"/>
          <w:lang w:val="fr-CI" w:eastAsia="fr-FR"/>
          <w14:ligatures w14:val="none"/>
        </w:rPr>
        <w:footnoteReference w:id="19"/>
      </w:r>
      <w:r w:rsidRPr="005718F7">
        <w:rPr>
          <w:rFonts w:ascii="Arial Narrow" w:eastAsia="Times New Roman" w:hAnsi="Arial Narrow" w:cs="Arial"/>
          <w:kern w:val="0"/>
          <w:sz w:val="24"/>
          <w:szCs w:val="24"/>
          <w:lang w:val="fr-CI" w:eastAsia="fr-FR"/>
          <w14:ligatures w14:val="none"/>
        </w:rPr>
        <w:t xml:space="preserve"> dont </w:t>
      </w:r>
      <w:r w:rsidR="00D36C0E" w:rsidRPr="005718F7">
        <w:rPr>
          <w:rFonts w:ascii="Arial Narrow" w:eastAsia="Times New Roman" w:hAnsi="Arial Narrow" w:cs="Arial"/>
          <w:kern w:val="0"/>
          <w:sz w:val="24"/>
          <w:szCs w:val="24"/>
          <w:lang w:val="fr-CI" w:eastAsia="fr-FR"/>
          <w14:ligatures w14:val="none"/>
        </w:rPr>
        <w:t>0</w:t>
      </w:r>
      <w:r w:rsidRPr="005718F7">
        <w:rPr>
          <w:rFonts w:ascii="Arial Narrow" w:eastAsia="Times New Roman" w:hAnsi="Arial Narrow" w:cs="Arial"/>
          <w:kern w:val="0"/>
          <w:sz w:val="24"/>
          <w:szCs w:val="24"/>
          <w:lang w:val="fr-CI" w:eastAsia="fr-FR"/>
          <w14:ligatures w14:val="none"/>
        </w:rPr>
        <w:t>6 à l’intérieur du pays</w:t>
      </w:r>
      <w:r w:rsidR="00A26D90" w:rsidRPr="005718F7">
        <w:rPr>
          <w:rFonts w:ascii="Arial Narrow" w:eastAsia="Times New Roman" w:hAnsi="Arial Narrow" w:cs="Arial"/>
          <w:kern w:val="0"/>
          <w:sz w:val="24"/>
          <w:szCs w:val="24"/>
          <w:lang w:val="fr-CI" w:eastAsia="fr-FR"/>
          <w14:ligatures w14:val="none"/>
        </w:rPr>
        <w:t>.</w:t>
      </w:r>
      <w:r w:rsidR="005D61A1">
        <w:rPr>
          <w:rFonts w:ascii="Arial Narrow" w:eastAsia="Times New Roman" w:hAnsi="Arial Narrow" w:cs="Arial"/>
          <w:kern w:val="0"/>
          <w:sz w:val="24"/>
          <w:szCs w:val="24"/>
          <w:lang w:val="fr-CI" w:eastAsia="fr-FR"/>
          <w14:ligatures w14:val="none"/>
        </w:rPr>
        <w:t xml:space="preserve"> </w:t>
      </w:r>
    </w:p>
    <w:p w14:paraId="6BCA0AB3" w14:textId="7B3D0054" w:rsidR="00B274DB" w:rsidRPr="007E7C5B" w:rsidRDefault="00B274DB" w:rsidP="00B274DB">
      <w:pPr>
        <w:spacing w:after="0" w:line="240" w:lineRule="auto"/>
        <w:jc w:val="both"/>
        <w:rPr>
          <w:rFonts w:ascii="Arial Narrow" w:hAnsi="Arial Narrow" w:cs="Arial"/>
          <w:sz w:val="24"/>
          <w:szCs w:val="24"/>
        </w:rPr>
      </w:pPr>
      <w:r>
        <w:rPr>
          <w:rFonts w:ascii="Arial Narrow" w:eastAsia="Times New Roman" w:hAnsi="Arial Narrow" w:cs="Arial"/>
          <w:kern w:val="0"/>
          <w:sz w:val="24"/>
          <w:szCs w:val="24"/>
          <w:lang w:val="fr-CI" w:eastAsia="fr-FR"/>
          <w14:ligatures w14:val="none"/>
        </w:rPr>
        <w:t xml:space="preserve">Pour ce qui est de la maintenance des infrastructures et équipements, on dénombre </w:t>
      </w:r>
      <w:r>
        <w:rPr>
          <w:rFonts w:ascii="Arial Narrow" w:hAnsi="Arial Narrow" w:cs="Arial"/>
          <w:sz w:val="24"/>
          <w:szCs w:val="24"/>
        </w:rPr>
        <w:t xml:space="preserve">08 </w:t>
      </w:r>
      <w:r w:rsidRPr="00C36708">
        <w:rPr>
          <w:rFonts w:ascii="Arial Narrow" w:hAnsi="Arial Narrow" w:cs="Arial"/>
          <w:sz w:val="24"/>
          <w:szCs w:val="24"/>
        </w:rPr>
        <w:t xml:space="preserve">Centres Régionaux des Infrastructures, Equipements et Maintenance (CRIEM), </w:t>
      </w:r>
      <w:r>
        <w:rPr>
          <w:rFonts w:ascii="Arial Narrow" w:hAnsi="Arial Narrow" w:cs="Arial"/>
          <w:sz w:val="24"/>
          <w:szCs w:val="24"/>
        </w:rPr>
        <w:t>dont 07</w:t>
      </w:r>
      <w:r w:rsidRPr="00C36708">
        <w:rPr>
          <w:rFonts w:ascii="Arial Narrow" w:hAnsi="Arial Narrow" w:cs="Arial"/>
          <w:sz w:val="24"/>
          <w:szCs w:val="24"/>
        </w:rPr>
        <w:t xml:space="preserve"> fonctionnels.</w:t>
      </w:r>
      <w:r>
        <w:rPr>
          <w:rFonts w:ascii="Arial Narrow" w:hAnsi="Arial Narrow" w:cs="Arial"/>
          <w:sz w:val="24"/>
          <w:szCs w:val="24"/>
        </w:rPr>
        <w:t xml:space="preserve"> La proportion de CRIEM fonctionnel est de</w:t>
      </w:r>
      <w:r w:rsidRPr="00907763">
        <w:rPr>
          <w:rFonts w:ascii="Arial Narrow" w:hAnsi="Arial Narrow" w:cs="Arial"/>
          <w:sz w:val="24"/>
          <w:szCs w:val="24"/>
        </w:rPr>
        <w:t xml:space="preserve"> </w:t>
      </w:r>
      <w:r>
        <w:rPr>
          <w:rFonts w:ascii="Arial Narrow" w:hAnsi="Arial Narrow" w:cs="Arial"/>
          <w:sz w:val="24"/>
          <w:szCs w:val="24"/>
        </w:rPr>
        <w:t xml:space="preserve">87,5% en 2024 contre 18% en 2020. </w:t>
      </w:r>
    </w:p>
    <w:p w14:paraId="4951261F" w14:textId="410962A6" w:rsidR="00B274DB" w:rsidRPr="007E7C5B" w:rsidRDefault="00B274DB" w:rsidP="00761F55">
      <w:pPr>
        <w:jc w:val="both"/>
        <w:textAlignment w:val="baseline"/>
        <w:rPr>
          <w:rFonts w:ascii="Arial Narrow" w:eastAsia="Times New Roman" w:hAnsi="Arial Narrow" w:cs="Arial"/>
          <w:kern w:val="0"/>
          <w:sz w:val="24"/>
          <w:szCs w:val="24"/>
          <w:lang w:val="fr-CI" w:eastAsia="fr-FR"/>
          <w14:ligatures w14:val="none"/>
        </w:rPr>
      </w:pPr>
    </w:p>
    <w:p w14:paraId="3EA259BD" w14:textId="4D0E81FB" w:rsidR="00913B98" w:rsidRPr="007E7C5B" w:rsidRDefault="00144189" w:rsidP="00761F55">
      <w:pPr>
        <w:jc w:val="both"/>
        <w:rPr>
          <w:rFonts w:ascii="Arial Narrow" w:eastAsia="Times New Roman" w:hAnsi="Arial Narrow" w:cs="Arial"/>
          <w:kern w:val="0"/>
          <w:sz w:val="24"/>
          <w:szCs w:val="24"/>
          <w:lang w:val="fr-CI" w:eastAsia="fr-FR"/>
          <w14:ligatures w14:val="none"/>
        </w:rPr>
      </w:pPr>
      <w:r w:rsidRPr="007E7C5B">
        <w:rPr>
          <w:rFonts w:ascii="Arial Narrow" w:hAnsi="Arial Narrow" w:cstheme="minorHAnsi"/>
          <w:sz w:val="24"/>
          <w:szCs w:val="24"/>
        </w:rPr>
        <w:t>A</w:t>
      </w:r>
      <w:r w:rsidR="009F67CA" w:rsidRPr="007E7C5B">
        <w:rPr>
          <w:rFonts w:ascii="Arial Narrow" w:hAnsi="Arial Narrow" w:cstheme="minorHAnsi"/>
          <w:sz w:val="24"/>
          <w:szCs w:val="24"/>
        </w:rPr>
        <w:t>fin</w:t>
      </w:r>
      <w:r w:rsidRPr="007E7C5B">
        <w:rPr>
          <w:rFonts w:ascii="Arial Narrow" w:hAnsi="Arial Narrow" w:cstheme="minorHAnsi"/>
          <w:sz w:val="24"/>
          <w:szCs w:val="24"/>
        </w:rPr>
        <w:t xml:space="preserve"> </w:t>
      </w:r>
      <w:r w:rsidRPr="007E7C5B">
        <w:rPr>
          <w:rFonts w:ascii="Arial Narrow" w:hAnsi="Arial Narrow" w:cstheme="minorHAnsi"/>
          <w:b/>
          <w:sz w:val="24"/>
          <w:szCs w:val="24"/>
        </w:rPr>
        <w:t>de positionner la Côte d’Ivoire comme une destination médicale de premier ordre en Afrique de l’Ouest,</w:t>
      </w:r>
      <w:r w:rsidRPr="007E7C5B">
        <w:rPr>
          <w:rFonts w:ascii="Arial Narrow" w:hAnsi="Arial Narrow" w:cstheme="minorHAnsi"/>
          <w:sz w:val="24"/>
          <w:szCs w:val="24"/>
        </w:rPr>
        <w:t xml:space="preserve"> plusieurs interventions ont été mené</w:t>
      </w:r>
      <w:r w:rsidR="00001C91" w:rsidRPr="007E7C5B">
        <w:rPr>
          <w:rFonts w:ascii="Arial Narrow" w:hAnsi="Arial Narrow" w:cstheme="minorHAnsi"/>
          <w:sz w:val="24"/>
          <w:szCs w:val="24"/>
        </w:rPr>
        <w:t>es</w:t>
      </w:r>
      <w:r w:rsidRPr="007E7C5B">
        <w:rPr>
          <w:rFonts w:ascii="Arial Narrow" w:hAnsi="Arial Narrow" w:cstheme="minorHAnsi"/>
          <w:sz w:val="24"/>
          <w:szCs w:val="24"/>
        </w:rPr>
        <w:t xml:space="preserve">, notamment la construction de </w:t>
      </w:r>
      <w:r w:rsidR="004C327F" w:rsidRPr="007E7C5B">
        <w:rPr>
          <w:rFonts w:ascii="Arial Narrow" w:hAnsi="Arial Narrow" w:cstheme="minorHAnsi"/>
          <w:sz w:val="24"/>
          <w:szCs w:val="24"/>
        </w:rPr>
        <w:t>0</w:t>
      </w:r>
      <w:r w:rsidR="00204705" w:rsidRPr="007E7C5B">
        <w:rPr>
          <w:rFonts w:ascii="Arial Narrow" w:hAnsi="Arial Narrow" w:cstheme="minorHAnsi"/>
          <w:sz w:val="24"/>
          <w:szCs w:val="24"/>
        </w:rPr>
        <w:t>2</w:t>
      </w:r>
      <w:r w:rsidR="00001C91" w:rsidRPr="007E7C5B">
        <w:rPr>
          <w:rFonts w:ascii="Arial Narrow" w:hAnsi="Arial Narrow" w:cstheme="minorHAnsi"/>
          <w:sz w:val="24"/>
          <w:szCs w:val="24"/>
        </w:rPr>
        <w:t> </w:t>
      </w:r>
      <w:r w:rsidRPr="007E7C5B">
        <w:rPr>
          <w:rFonts w:ascii="Arial Narrow" w:hAnsi="Arial Narrow" w:cstheme="minorHAnsi"/>
          <w:sz w:val="24"/>
          <w:szCs w:val="24"/>
        </w:rPr>
        <w:t>établissements spécialisés </w:t>
      </w:r>
      <w:r w:rsidR="00204705" w:rsidRPr="007E7C5B">
        <w:rPr>
          <w:rFonts w:ascii="Arial Narrow" w:hAnsi="Arial Narrow" w:cstheme="minorHAnsi"/>
          <w:sz w:val="24"/>
          <w:szCs w:val="24"/>
        </w:rPr>
        <w:t>dont</w:t>
      </w:r>
      <w:r w:rsidR="005718F7" w:rsidRPr="005718F7">
        <w:rPr>
          <w:rFonts w:ascii="Arial Narrow" w:hAnsi="Arial Narrow" w:cstheme="minorHAnsi"/>
          <w:sz w:val="24"/>
          <w:szCs w:val="24"/>
        </w:rPr>
        <w:t xml:space="preserve"> </w:t>
      </w:r>
      <w:r w:rsidR="005718F7" w:rsidRPr="007E7C5B">
        <w:rPr>
          <w:rFonts w:ascii="Arial Narrow" w:hAnsi="Arial Narrow" w:cstheme="minorHAnsi"/>
          <w:sz w:val="24"/>
          <w:szCs w:val="24"/>
        </w:rPr>
        <w:t>le Pôle Gynéco-obstétrique et Pédiatrique du CHU Cocody</w:t>
      </w:r>
      <w:r w:rsidRPr="007E7C5B" w:rsidDel="00204705">
        <w:rPr>
          <w:rFonts w:ascii="Arial Narrow" w:hAnsi="Arial Narrow" w:cstheme="minorHAnsi"/>
          <w:sz w:val="24"/>
          <w:szCs w:val="24"/>
        </w:rPr>
        <w:t xml:space="preserve"> </w:t>
      </w:r>
      <w:r w:rsidR="005718F7">
        <w:rPr>
          <w:rFonts w:ascii="Arial Narrow" w:hAnsi="Arial Narrow" w:cstheme="minorHAnsi"/>
          <w:sz w:val="24"/>
          <w:szCs w:val="24"/>
        </w:rPr>
        <w:t xml:space="preserve">et </w:t>
      </w:r>
      <w:r w:rsidRPr="007E7C5B">
        <w:rPr>
          <w:rFonts w:ascii="Arial Narrow" w:hAnsi="Arial Narrow" w:cstheme="minorHAnsi"/>
          <w:sz w:val="24"/>
          <w:szCs w:val="24"/>
        </w:rPr>
        <w:t>l’institut de Médecine Nucléaire d'Abidjan</w:t>
      </w:r>
      <w:r w:rsidR="00A809B8" w:rsidRPr="007E7C5B">
        <w:rPr>
          <w:rFonts w:ascii="Arial Narrow" w:hAnsi="Arial Narrow" w:cstheme="minorHAnsi"/>
          <w:sz w:val="24"/>
          <w:szCs w:val="24"/>
        </w:rPr>
        <w:t xml:space="preserve"> (IMENA)</w:t>
      </w:r>
      <w:r w:rsidR="00913B98" w:rsidRPr="007A001B">
        <w:rPr>
          <w:rFonts w:ascii="Arial Narrow" w:hAnsi="Arial Narrow" w:cstheme="minorHAnsi"/>
          <w:sz w:val="24"/>
          <w:szCs w:val="24"/>
        </w:rPr>
        <w:t>.</w:t>
      </w:r>
      <w:r w:rsidR="005718F7" w:rsidRPr="007A001B">
        <w:rPr>
          <w:rFonts w:ascii="Arial Narrow" w:hAnsi="Arial Narrow" w:cstheme="minorHAnsi"/>
          <w:sz w:val="24"/>
          <w:szCs w:val="24"/>
        </w:rPr>
        <w:t xml:space="preserve"> L’IMENA permettra d’assurer un diagnostic précoce et précis,</w:t>
      </w:r>
      <w:r w:rsidR="005718F7" w:rsidRPr="006A5F3B">
        <w:rPr>
          <w:rFonts w:ascii="Aptos" w:hAnsi="Aptos"/>
          <w:bCs/>
          <w:sz w:val="24"/>
          <w:szCs w:val="24"/>
        </w:rPr>
        <w:t xml:space="preserve"> </w:t>
      </w:r>
      <w:r w:rsidR="005718F7" w:rsidRPr="007A001B">
        <w:rPr>
          <w:rFonts w:ascii="Arial Narrow" w:hAnsi="Arial Narrow" w:cstheme="minorHAnsi"/>
          <w:sz w:val="24"/>
          <w:szCs w:val="24"/>
        </w:rPr>
        <w:t>ainsi qu’un</w:t>
      </w:r>
      <w:r w:rsidR="005718F7" w:rsidRPr="006A5F3B">
        <w:rPr>
          <w:rFonts w:ascii="Aptos" w:hAnsi="Aptos"/>
          <w:bCs/>
          <w:sz w:val="24"/>
          <w:szCs w:val="24"/>
        </w:rPr>
        <w:t xml:space="preserve"> </w:t>
      </w:r>
      <w:r w:rsidR="005718F7" w:rsidRPr="007A001B">
        <w:rPr>
          <w:rFonts w:ascii="Arial Narrow" w:hAnsi="Arial Narrow" w:cstheme="minorHAnsi"/>
          <w:sz w:val="24"/>
          <w:szCs w:val="24"/>
        </w:rPr>
        <w:lastRenderedPageBreak/>
        <w:t>suivi de la qualité des traitements administrés pour des maladies comme la drépanocytose, les pathologies thyroïdiennes, les cancers, les pathologies cardiaques, les pathologies rénales pédiatriques</w:t>
      </w:r>
      <w:r w:rsidR="005718F7">
        <w:rPr>
          <w:rFonts w:ascii="Aptos" w:hAnsi="Aptos"/>
          <w:bCs/>
          <w:sz w:val="24"/>
          <w:szCs w:val="24"/>
        </w:rPr>
        <w:t xml:space="preserve">. </w:t>
      </w:r>
      <w:r w:rsidR="00913B98" w:rsidRPr="007E7C5B">
        <w:rPr>
          <w:rFonts w:ascii="Arial Narrow" w:eastAsia="Times New Roman" w:hAnsi="Arial Narrow" w:cs="Arial"/>
          <w:kern w:val="0"/>
          <w:sz w:val="24"/>
          <w:szCs w:val="24"/>
          <w:lang w:val="fr-CI" w:eastAsia="fr-FR"/>
          <w14:ligatures w14:val="none"/>
        </w:rPr>
        <w:t xml:space="preserve"> </w:t>
      </w:r>
      <w:r w:rsidR="005718F7">
        <w:rPr>
          <w:rFonts w:ascii="Arial Narrow" w:hAnsi="Arial Narrow" w:cstheme="minorHAnsi"/>
          <w:sz w:val="24"/>
          <w:szCs w:val="24"/>
        </w:rPr>
        <w:t>De plus</w:t>
      </w:r>
      <w:r w:rsidR="00204705" w:rsidRPr="007E7C5B">
        <w:rPr>
          <w:rFonts w:ascii="Arial Narrow" w:hAnsi="Arial Narrow" w:cstheme="minorHAnsi"/>
          <w:sz w:val="24"/>
          <w:szCs w:val="24"/>
        </w:rPr>
        <w:t xml:space="preserve">, l’on note l’acquisition d’équipements de pointe (VMAT, </w:t>
      </w:r>
      <w:proofErr w:type="spellStart"/>
      <w:r w:rsidR="00204705" w:rsidRPr="007E7C5B">
        <w:rPr>
          <w:rFonts w:ascii="Arial Narrow" w:hAnsi="Arial Narrow" w:cstheme="minorHAnsi"/>
          <w:sz w:val="24"/>
          <w:szCs w:val="24"/>
        </w:rPr>
        <w:t>Genexpert</w:t>
      </w:r>
      <w:proofErr w:type="spellEnd"/>
      <w:r w:rsidR="00204705" w:rsidRPr="007E7C5B">
        <w:rPr>
          <w:rFonts w:ascii="Arial Narrow" w:hAnsi="Arial Narrow" w:cstheme="minorHAnsi"/>
          <w:sz w:val="24"/>
          <w:szCs w:val="24"/>
        </w:rPr>
        <w:t>, Halcyon-Elite)</w:t>
      </w:r>
      <w:r w:rsidR="00BB6273" w:rsidRPr="007E7C5B">
        <w:rPr>
          <w:rFonts w:ascii="Arial Narrow" w:hAnsi="Arial Narrow" w:cstheme="minorHAnsi"/>
          <w:sz w:val="24"/>
          <w:szCs w:val="24"/>
        </w:rPr>
        <w:t xml:space="preserve"> par le </w:t>
      </w:r>
      <w:r w:rsidR="00204705" w:rsidRPr="007E7C5B">
        <w:rPr>
          <w:rFonts w:ascii="Arial Narrow" w:hAnsi="Arial Narrow" w:cstheme="minorHAnsi"/>
          <w:sz w:val="24"/>
          <w:szCs w:val="24"/>
        </w:rPr>
        <w:t>Centre National de Radiothérapie Alassane Ouattara (CNRAO)</w:t>
      </w:r>
      <w:r w:rsidR="00BB6273" w:rsidRPr="007E7C5B">
        <w:rPr>
          <w:rFonts w:ascii="Arial Narrow" w:hAnsi="Arial Narrow" w:cstheme="minorHAnsi"/>
          <w:sz w:val="24"/>
          <w:szCs w:val="24"/>
        </w:rPr>
        <w:t>.</w:t>
      </w:r>
      <w:r w:rsidR="0023410B">
        <w:rPr>
          <w:rFonts w:ascii="Arial Narrow" w:hAnsi="Arial Narrow" w:cstheme="minorHAnsi"/>
          <w:sz w:val="24"/>
          <w:szCs w:val="24"/>
        </w:rPr>
        <w:t> </w:t>
      </w:r>
      <w:r w:rsidR="006D14D6" w:rsidRPr="007E7C5B">
        <w:rPr>
          <w:rFonts w:ascii="Arial Narrow" w:hAnsi="Arial Narrow" w:cstheme="minorHAnsi"/>
          <w:sz w:val="24"/>
          <w:szCs w:val="24"/>
        </w:rPr>
        <w:t>En outre</w:t>
      </w:r>
      <w:r w:rsidR="00913B98" w:rsidRPr="007E7C5B">
        <w:rPr>
          <w:rFonts w:ascii="Arial Narrow" w:hAnsi="Arial Narrow" w:cstheme="minorHAnsi"/>
          <w:sz w:val="24"/>
          <w:szCs w:val="24"/>
        </w:rPr>
        <w:t>, les travaux de construction et d’équipement du Centre National de Radiothérapie et d’Oncologie Médicale (CNROM) à Grand Bassam</w:t>
      </w:r>
      <w:r w:rsidR="006D14D6" w:rsidRPr="007E7C5B">
        <w:rPr>
          <w:rFonts w:ascii="Arial Narrow" w:hAnsi="Arial Narrow" w:cstheme="minorHAnsi"/>
          <w:sz w:val="24"/>
          <w:szCs w:val="24"/>
        </w:rPr>
        <w:t xml:space="preserve"> sont en cours,</w:t>
      </w:r>
      <w:r w:rsidR="00913B98" w:rsidRPr="007E7C5B">
        <w:rPr>
          <w:rFonts w:ascii="Arial Narrow" w:hAnsi="Arial Narrow" w:cstheme="minorHAnsi"/>
          <w:sz w:val="24"/>
          <w:szCs w:val="24"/>
        </w:rPr>
        <w:t xml:space="preserve"> enregistr</w:t>
      </w:r>
      <w:r w:rsidR="006D14D6" w:rsidRPr="007E7C5B">
        <w:rPr>
          <w:rFonts w:ascii="Arial Narrow" w:hAnsi="Arial Narrow" w:cstheme="minorHAnsi"/>
          <w:sz w:val="24"/>
          <w:szCs w:val="24"/>
        </w:rPr>
        <w:t>a</w:t>
      </w:r>
      <w:r w:rsidR="00913B98" w:rsidRPr="007E7C5B">
        <w:rPr>
          <w:rFonts w:ascii="Arial Narrow" w:hAnsi="Arial Narrow" w:cstheme="minorHAnsi"/>
          <w:sz w:val="24"/>
          <w:szCs w:val="24"/>
        </w:rPr>
        <w:t>nt un taux d’exécution de 25% des gros œuvres</w:t>
      </w:r>
      <w:r w:rsidR="006D14D6" w:rsidRPr="007E7C5B">
        <w:rPr>
          <w:rFonts w:ascii="Arial Narrow" w:hAnsi="Arial Narrow" w:cstheme="minorHAnsi"/>
          <w:sz w:val="24"/>
          <w:szCs w:val="24"/>
        </w:rPr>
        <w:t>, ainsi que l’Institut de Ca</w:t>
      </w:r>
      <w:r w:rsidR="00EC33BB" w:rsidRPr="007E7C5B">
        <w:rPr>
          <w:rFonts w:ascii="Arial Narrow" w:hAnsi="Arial Narrow" w:cstheme="minorHAnsi"/>
          <w:sz w:val="24"/>
          <w:szCs w:val="24"/>
        </w:rPr>
        <w:t>r</w:t>
      </w:r>
      <w:r w:rsidR="006D14D6" w:rsidRPr="007E7C5B">
        <w:rPr>
          <w:rFonts w:ascii="Arial Narrow" w:hAnsi="Arial Narrow" w:cstheme="minorHAnsi"/>
          <w:sz w:val="24"/>
          <w:szCs w:val="24"/>
        </w:rPr>
        <w:t>diologie de Bouaké</w:t>
      </w:r>
      <w:r w:rsidR="00EC33BB" w:rsidRPr="007E7C5B">
        <w:rPr>
          <w:rFonts w:ascii="Arial Narrow" w:hAnsi="Arial Narrow" w:cstheme="minorHAnsi"/>
          <w:sz w:val="24"/>
          <w:szCs w:val="24"/>
        </w:rPr>
        <w:t xml:space="preserve"> (90%).</w:t>
      </w:r>
    </w:p>
    <w:p w14:paraId="6276C382" w14:textId="00E9EAFB" w:rsidR="00144189" w:rsidRPr="007E7C5B" w:rsidRDefault="00144189" w:rsidP="00761F55">
      <w:pPr>
        <w:jc w:val="both"/>
        <w:textAlignment w:val="baseline"/>
        <w:rPr>
          <w:rFonts w:ascii="Arial Narrow" w:eastAsia="Times New Roman" w:hAnsi="Arial Narrow" w:cs="Arial"/>
          <w:kern w:val="0"/>
          <w:sz w:val="24"/>
          <w:szCs w:val="24"/>
          <w:lang w:val="fr-CI" w:eastAsia="fr-FR"/>
          <w14:ligatures w14:val="none"/>
        </w:rPr>
      </w:pPr>
      <w:r w:rsidRPr="007E7C5B">
        <w:rPr>
          <w:rFonts w:ascii="Arial Narrow" w:eastAsia="Times New Roman" w:hAnsi="Arial Narrow" w:cs="Arial"/>
          <w:kern w:val="0"/>
          <w:sz w:val="24"/>
          <w:szCs w:val="24"/>
          <w:lang w:val="fr-CI" w:eastAsia="fr-FR"/>
          <w14:ligatures w14:val="none"/>
        </w:rPr>
        <w:t xml:space="preserve">Ces réalisations ont permis, pour ce qui </w:t>
      </w:r>
      <w:r w:rsidR="00B32C23" w:rsidRPr="007E7C5B">
        <w:rPr>
          <w:rFonts w:ascii="Arial Narrow" w:eastAsia="Times New Roman" w:hAnsi="Arial Narrow" w:cs="Arial"/>
          <w:kern w:val="0"/>
          <w:sz w:val="24"/>
          <w:szCs w:val="24"/>
          <w:lang w:val="fr-CI" w:eastAsia="fr-FR"/>
          <w14:ligatures w14:val="none"/>
        </w:rPr>
        <w:t xml:space="preserve">est </w:t>
      </w:r>
      <w:r w:rsidRPr="007E7C5B">
        <w:rPr>
          <w:rFonts w:ascii="Arial Narrow" w:eastAsia="Times New Roman" w:hAnsi="Arial Narrow" w:cs="Arial"/>
          <w:kern w:val="0"/>
          <w:sz w:val="24"/>
          <w:szCs w:val="24"/>
          <w:lang w:val="fr-CI" w:eastAsia="fr-FR"/>
          <w14:ligatures w14:val="none"/>
        </w:rPr>
        <w:t xml:space="preserve">du CNRAO, </w:t>
      </w:r>
      <w:r w:rsidRPr="007E7C5B" w:rsidDel="00D8226D">
        <w:rPr>
          <w:rFonts w:ascii="Arial Narrow" w:hAnsi="Arial Narrow" w:cstheme="minorHAnsi"/>
          <w:sz w:val="24"/>
          <w:szCs w:val="24"/>
        </w:rPr>
        <w:t>d</w:t>
      </w:r>
      <w:r w:rsidRPr="007E7C5B" w:rsidDel="00E25D88">
        <w:rPr>
          <w:rFonts w:ascii="Arial Narrow" w:hAnsi="Arial Narrow" w:cstheme="minorHAnsi"/>
          <w:sz w:val="24"/>
          <w:szCs w:val="24"/>
        </w:rPr>
        <w:t xml:space="preserve">e </w:t>
      </w:r>
      <w:r w:rsidR="00D8226D" w:rsidRPr="007E7C5B">
        <w:rPr>
          <w:rFonts w:ascii="Arial Narrow" w:hAnsi="Arial Narrow" w:cstheme="minorHAnsi"/>
          <w:sz w:val="24"/>
          <w:szCs w:val="24"/>
        </w:rPr>
        <w:t>réaliser</w:t>
      </w:r>
      <w:r w:rsidRPr="007E7C5B" w:rsidDel="00B24BE9">
        <w:rPr>
          <w:rFonts w:ascii="Arial Narrow" w:hAnsi="Arial Narrow" w:cstheme="minorHAnsi"/>
          <w:sz w:val="24"/>
          <w:szCs w:val="24"/>
        </w:rPr>
        <w:t xml:space="preserve"> </w:t>
      </w:r>
      <w:r w:rsidRPr="007E7C5B">
        <w:rPr>
          <w:rFonts w:ascii="Arial Narrow" w:hAnsi="Arial Narrow" w:cstheme="minorHAnsi"/>
          <w:sz w:val="24"/>
          <w:szCs w:val="24"/>
        </w:rPr>
        <w:t>25</w:t>
      </w:r>
      <w:r w:rsidR="00256A0E" w:rsidRPr="007E7C5B">
        <w:rPr>
          <w:rFonts w:ascii="Arial Narrow" w:hAnsi="Arial Narrow" w:cstheme="minorHAnsi"/>
          <w:sz w:val="24"/>
          <w:szCs w:val="24"/>
        </w:rPr>
        <w:t xml:space="preserve"> </w:t>
      </w:r>
      <w:r w:rsidRPr="007E7C5B">
        <w:rPr>
          <w:rFonts w:ascii="Arial Narrow" w:hAnsi="Arial Narrow" w:cstheme="minorHAnsi"/>
          <w:sz w:val="24"/>
          <w:szCs w:val="24"/>
        </w:rPr>
        <w:t xml:space="preserve">800 traitements par chimiothérapie, </w:t>
      </w:r>
      <w:r w:rsidR="006C1408" w:rsidRPr="007E7C5B">
        <w:rPr>
          <w:rFonts w:ascii="Arial Narrow" w:hAnsi="Arial Narrow" w:cstheme="minorHAnsi"/>
          <w:sz w:val="24"/>
          <w:szCs w:val="24"/>
        </w:rPr>
        <w:t>thérapie ciblée</w:t>
      </w:r>
      <w:r w:rsidRPr="007E7C5B">
        <w:rPr>
          <w:rFonts w:ascii="Arial Narrow" w:hAnsi="Arial Narrow" w:cstheme="minorHAnsi"/>
          <w:sz w:val="24"/>
          <w:szCs w:val="24"/>
        </w:rPr>
        <w:t xml:space="preserve"> et autre</w:t>
      </w:r>
      <w:r w:rsidR="000A1825" w:rsidRPr="007E7C5B">
        <w:rPr>
          <w:rFonts w:ascii="Arial Narrow" w:hAnsi="Arial Narrow" w:cstheme="minorHAnsi"/>
          <w:sz w:val="24"/>
          <w:szCs w:val="24"/>
        </w:rPr>
        <w:t>s</w:t>
      </w:r>
      <w:r w:rsidRPr="007E7C5B">
        <w:rPr>
          <w:rFonts w:ascii="Arial Narrow" w:hAnsi="Arial Narrow" w:cstheme="minorHAnsi"/>
          <w:sz w:val="24"/>
          <w:szCs w:val="24"/>
        </w:rPr>
        <w:t xml:space="preserve"> traitements en oncologie médicale</w:t>
      </w:r>
      <w:r w:rsidR="0008150D" w:rsidRPr="007E7C5B">
        <w:rPr>
          <w:rFonts w:ascii="Arial Narrow" w:hAnsi="Arial Narrow" w:cstheme="minorHAnsi"/>
          <w:sz w:val="24"/>
          <w:szCs w:val="24"/>
        </w:rPr>
        <w:t>.</w:t>
      </w:r>
      <w:r w:rsidR="00CB7B73" w:rsidRPr="007E7C5B">
        <w:rPr>
          <w:rFonts w:ascii="Arial Narrow" w:hAnsi="Arial Narrow" w:cstheme="minorHAnsi"/>
          <w:sz w:val="24"/>
          <w:szCs w:val="24"/>
        </w:rPr>
        <w:t xml:space="preserve"> Quant au Pôle Gynéco-obstétrique et Pédiatrique du CHU Cocody, avec une capacité de 225 lits, il permet une prise en charge intégrée de la mère et de l’enfant.</w:t>
      </w:r>
      <w:r w:rsidR="00F8521A" w:rsidRPr="007E7C5B">
        <w:rPr>
          <w:rFonts w:ascii="Arial Narrow" w:hAnsi="Arial Narrow" w:cstheme="minorHAnsi"/>
          <w:sz w:val="24"/>
          <w:szCs w:val="24"/>
        </w:rPr>
        <w:t xml:space="preserve"> </w:t>
      </w:r>
    </w:p>
    <w:p w14:paraId="411A6660" w14:textId="6AA95FF8" w:rsidR="00144189" w:rsidRPr="007E7C5B" w:rsidRDefault="00144189" w:rsidP="00761F55">
      <w:pPr>
        <w:jc w:val="both"/>
        <w:rPr>
          <w:rFonts w:ascii="Arial Narrow" w:hAnsi="Arial Narrow" w:cstheme="minorHAnsi"/>
          <w:sz w:val="24"/>
          <w:szCs w:val="24"/>
        </w:rPr>
      </w:pPr>
      <w:r w:rsidRPr="007E7C5B">
        <w:rPr>
          <w:rFonts w:ascii="Arial Narrow" w:hAnsi="Arial Narrow" w:cstheme="minorHAnsi"/>
          <w:b/>
          <w:sz w:val="24"/>
          <w:szCs w:val="24"/>
        </w:rPr>
        <w:t>Dans le cadre de l’approche de pôle de continuum de soins</w:t>
      </w:r>
      <w:r w:rsidRPr="007E7C5B">
        <w:rPr>
          <w:rFonts w:ascii="Arial Narrow" w:hAnsi="Arial Narrow" w:cstheme="minorHAnsi"/>
          <w:sz w:val="24"/>
          <w:szCs w:val="24"/>
        </w:rPr>
        <w:t xml:space="preserve"> pour le renforcement de l’équité à l’accès aux soins, on note la création en 2023 des PRES avec la prise de l’arrêté N°00203 MSHPCMU/CAB du 2 mai 2023 portant création, attribution, organisation et fonctionnement des PRES. Ainsi, 10 PRES (San-Pedro, Man, Odienné, Korhogo, Daloa, Bouaké, Yamoussoukro, Abidjan, Abengourou et Bondoukou) regroupant les services hospitaliers, avec les plateaux techniques adéquats sont en cours de mise en place. </w:t>
      </w:r>
    </w:p>
    <w:p w14:paraId="69466A4F" w14:textId="26303D73" w:rsidR="00B274DB" w:rsidRPr="007E7C5B" w:rsidRDefault="00286108" w:rsidP="00B274DB">
      <w:pPr>
        <w:spacing w:after="0" w:line="240" w:lineRule="auto"/>
        <w:jc w:val="both"/>
        <w:rPr>
          <w:rFonts w:ascii="Arial Narrow" w:hAnsi="Arial Narrow" w:cs="Arial"/>
          <w:sz w:val="24"/>
          <w:szCs w:val="24"/>
        </w:rPr>
      </w:pPr>
      <w:r w:rsidRPr="007E7C5B">
        <w:rPr>
          <w:rFonts w:ascii="Arial Narrow" w:hAnsi="Arial Narrow" w:cs="Arial"/>
          <w:sz w:val="24"/>
          <w:szCs w:val="24"/>
        </w:rPr>
        <w:t>La mise en œuvre des projets d’infrastructures et d’équipement sanitaire fait face à certains défis</w:t>
      </w:r>
      <w:r w:rsidR="00FF3125" w:rsidRPr="007E7C5B">
        <w:rPr>
          <w:rFonts w:ascii="Arial Narrow" w:hAnsi="Arial Narrow" w:cs="Arial"/>
          <w:sz w:val="24"/>
          <w:szCs w:val="24"/>
        </w:rPr>
        <w:t>, notamment la livraison dans les délais des infrastructures et équipements sanitaires, ainsi que leur maintenance</w:t>
      </w:r>
      <w:r w:rsidR="008A4A66" w:rsidRPr="007E7C5B" w:rsidDel="008D1834">
        <w:rPr>
          <w:rFonts w:ascii="Arial Narrow" w:hAnsi="Arial Narrow" w:cs="Arial"/>
          <w:sz w:val="24"/>
          <w:szCs w:val="24"/>
        </w:rPr>
        <w:t xml:space="preserve">. </w:t>
      </w:r>
    </w:p>
    <w:p w14:paraId="4380C0A6" w14:textId="4D693E60" w:rsidR="00144189" w:rsidRPr="007E7C5B" w:rsidRDefault="00144189" w:rsidP="00761F55">
      <w:pPr>
        <w:spacing w:after="0" w:line="240" w:lineRule="auto"/>
        <w:jc w:val="both"/>
        <w:rPr>
          <w:rFonts w:ascii="Arial Narrow" w:hAnsi="Arial Narrow" w:cs="Arial"/>
          <w:sz w:val="24"/>
          <w:szCs w:val="24"/>
        </w:rPr>
      </w:pPr>
    </w:p>
    <w:p w14:paraId="11458DE1" w14:textId="409D4723" w:rsidR="005718F7" w:rsidRPr="009F2C0C" w:rsidRDefault="005718F7" w:rsidP="007A001B">
      <w:pPr>
        <w:jc w:val="both"/>
      </w:pPr>
      <w:r w:rsidRPr="005718F7">
        <w:rPr>
          <w:rFonts w:ascii="Arial Narrow" w:hAnsi="Arial Narrow"/>
          <w:noProof/>
          <w:color w:val="00B0F0"/>
          <w:sz w:val="24"/>
          <w:szCs w:val="24"/>
        </w:rPr>
        <w:drawing>
          <wp:inline distT="0" distB="0" distL="0" distR="0" wp14:anchorId="61D5E647" wp14:editId="1C622A63">
            <wp:extent cx="4202142" cy="2412442"/>
            <wp:effectExtent l="0" t="0" r="8255" b="6985"/>
            <wp:docPr id="1916026136" name="Graphique 1">
              <a:extLst xmlns:a="http://schemas.openxmlformats.org/drawingml/2006/main">
                <a:ext uri="{FF2B5EF4-FFF2-40B4-BE49-F238E27FC236}">
                  <a16:creationId xmlns:a16="http://schemas.microsoft.com/office/drawing/2014/main" id="{6348668D-89D2-3CD1-2AF3-1A8C675F03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AC9EB96" w14:textId="77777777" w:rsidR="00B21CDF" w:rsidRPr="007E7C5B" w:rsidRDefault="00B21CDF" w:rsidP="00761F55">
      <w:pPr>
        <w:jc w:val="both"/>
        <w:rPr>
          <w:rFonts w:ascii="Arial Narrow" w:hAnsi="Arial Narrow"/>
          <w:color w:val="00B0F0"/>
          <w:sz w:val="24"/>
          <w:szCs w:val="24"/>
          <w:lang w:val="fr-CI"/>
        </w:rPr>
      </w:pPr>
    </w:p>
    <w:p w14:paraId="5AA1B64F" w14:textId="2477C16D" w:rsidR="00875996" w:rsidRPr="007E7C5B" w:rsidRDefault="003C4279" w:rsidP="00B25392">
      <w:pPr>
        <w:pStyle w:val="Titre5"/>
        <w:shd w:val="clear" w:color="auto" w:fill="FBE4D5" w:themeFill="accent2" w:themeFillTint="33"/>
        <w:rPr>
          <w:rFonts w:ascii="Arial Narrow" w:hAnsi="Arial Narrow"/>
          <w:b/>
          <w:color w:val="auto"/>
          <w:sz w:val="24"/>
          <w:szCs w:val="24"/>
        </w:rPr>
      </w:pPr>
      <w:r w:rsidRPr="007E7C5B">
        <w:rPr>
          <w:rFonts w:ascii="Arial Narrow" w:hAnsi="Arial Narrow"/>
          <w:b/>
          <w:color w:val="auto"/>
          <w:sz w:val="24"/>
          <w:szCs w:val="24"/>
        </w:rPr>
        <w:t>Accréditation/certification des établissement sanitaires publics et privés</w:t>
      </w:r>
    </w:p>
    <w:p w14:paraId="5125DE52" w14:textId="04EB8FEF" w:rsidR="00CB3A41" w:rsidRPr="0044167B" w:rsidRDefault="00D13E12" w:rsidP="0044167B">
      <w:pPr>
        <w:rPr>
          <w:rFonts w:ascii="Arial Narrow" w:hAnsi="Arial Narrow"/>
          <w:sz w:val="24"/>
          <w:szCs w:val="24"/>
          <w:lang w:val="fr-CI"/>
        </w:rPr>
      </w:pPr>
      <w:r>
        <w:rPr>
          <w:rFonts w:ascii="Arial Narrow" w:hAnsi="Arial Narrow"/>
          <w:sz w:val="24"/>
          <w:szCs w:val="24"/>
        </w:rPr>
        <w:t xml:space="preserve">La </w:t>
      </w:r>
      <w:r w:rsidRPr="00D13E12">
        <w:rPr>
          <w:rFonts w:ascii="Arial Narrow" w:hAnsi="Arial Narrow"/>
          <w:sz w:val="24"/>
          <w:szCs w:val="24"/>
        </w:rPr>
        <w:t>volonté</w:t>
      </w:r>
      <w:r>
        <w:rPr>
          <w:rFonts w:ascii="Arial Narrow" w:hAnsi="Arial Narrow"/>
          <w:sz w:val="24"/>
          <w:szCs w:val="24"/>
        </w:rPr>
        <w:t xml:space="preserve"> du Ministère de faire de </w:t>
      </w:r>
      <w:r w:rsidRPr="007E7C5B">
        <w:rPr>
          <w:rFonts w:ascii="Arial Narrow" w:hAnsi="Arial Narrow"/>
          <w:sz w:val="24"/>
          <w:szCs w:val="24"/>
          <w:lang w:val="fr-CI"/>
        </w:rPr>
        <w:t>l’accréditation</w:t>
      </w:r>
      <w:r>
        <w:rPr>
          <w:rFonts w:ascii="Arial Narrow" w:hAnsi="Arial Narrow"/>
          <w:sz w:val="24"/>
          <w:szCs w:val="24"/>
        </w:rPr>
        <w:t xml:space="preserve"> une priorité </w:t>
      </w:r>
      <w:r w:rsidRPr="00D13E12">
        <w:rPr>
          <w:rFonts w:ascii="Arial Narrow" w:hAnsi="Arial Narrow"/>
          <w:sz w:val="24"/>
          <w:szCs w:val="24"/>
        </w:rPr>
        <w:t>s’est manifestée à travers la loi n° 2019- 678 du 23 juillet 2019 portant réforme hospitalière, en son article 17 qui prescrit aux établissements hospitaliers de s’</w:t>
      </w:r>
      <w:r>
        <w:rPr>
          <w:rFonts w:ascii="Arial Narrow" w:hAnsi="Arial Narrow"/>
          <w:sz w:val="24"/>
          <w:szCs w:val="24"/>
        </w:rPr>
        <w:t>engager</w:t>
      </w:r>
      <w:r w:rsidRPr="00D13E12">
        <w:rPr>
          <w:rFonts w:ascii="Arial Narrow" w:hAnsi="Arial Narrow"/>
          <w:sz w:val="24"/>
          <w:szCs w:val="24"/>
        </w:rPr>
        <w:t xml:space="preserve"> </w:t>
      </w:r>
      <w:r>
        <w:rPr>
          <w:rFonts w:ascii="Arial Narrow" w:hAnsi="Arial Narrow"/>
          <w:sz w:val="24"/>
          <w:szCs w:val="24"/>
        </w:rPr>
        <w:t>dans les processus</w:t>
      </w:r>
      <w:r w:rsidRPr="00D13E12">
        <w:rPr>
          <w:rFonts w:ascii="Arial Narrow" w:hAnsi="Arial Narrow"/>
          <w:sz w:val="24"/>
          <w:szCs w:val="24"/>
        </w:rPr>
        <w:t xml:space="preserve"> </w:t>
      </w:r>
      <w:r>
        <w:rPr>
          <w:rFonts w:ascii="Arial Narrow" w:hAnsi="Arial Narrow"/>
          <w:sz w:val="24"/>
          <w:szCs w:val="24"/>
        </w:rPr>
        <w:t>d</w:t>
      </w:r>
      <w:r w:rsidRPr="00D13E12">
        <w:rPr>
          <w:rFonts w:ascii="Arial Narrow" w:hAnsi="Arial Narrow"/>
          <w:sz w:val="24"/>
          <w:szCs w:val="24"/>
        </w:rPr>
        <w:t xml:space="preserve">’accréditation et </w:t>
      </w:r>
      <w:r>
        <w:rPr>
          <w:rFonts w:ascii="Arial Narrow" w:hAnsi="Arial Narrow"/>
          <w:sz w:val="24"/>
          <w:szCs w:val="24"/>
        </w:rPr>
        <w:t>de</w:t>
      </w:r>
      <w:r w:rsidRPr="00D13E12">
        <w:rPr>
          <w:rFonts w:ascii="Arial Narrow" w:hAnsi="Arial Narrow"/>
          <w:sz w:val="24"/>
          <w:szCs w:val="24"/>
        </w:rPr>
        <w:t xml:space="preserve"> certification</w:t>
      </w:r>
      <w:r>
        <w:rPr>
          <w:rFonts w:ascii="Arial Narrow" w:hAnsi="Arial Narrow"/>
          <w:sz w:val="24"/>
          <w:szCs w:val="24"/>
        </w:rPr>
        <w:t xml:space="preserve">. A cet effet, </w:t>
      </w:r>
      <w:r>
        <w:rPr>
          <w:rFonts w:ascii="Arial Narrow" w:hAnsi="Arial Narrow"/>
          <w:sz w:val="24"/>
          <w:szCs w:val="24"/>
          <w:lang w:val="fr-CI"/>
        </w:rPr>
        <w:t>l</w:t>
      </w:r>
      <w:r w:rsidR="00EA2B94" w:rsidRPr="007E7C5B">
        <w:rPr>
          <w:rFonts w:ascii="Arial Narrow" w:hAnsi="Arial Narrow"/>
          <w:sz w:val="24"/>
          <w:szCs w:val="24"/>
          <w:lang w:val="fr-CI"/>
        </w:rPr>
        <w:t xml:space="preserve">’objectif </w:t>
      </w:r>
      <w:r w:rsidR="00FD55EF" w:rsidRPr="007E7C5B">
        <w:rPr>
          <w:rFonts w:ascii="Arial Narrow" w:hAnsi="Arial Narrow"/>
          <w:sz w:val="24"/>
          <w:szCs w:val="24"/>
          <w:lang w:val="fr-CI"/>
        </w:rPr>
        <w:t xml:space="preserve">était </w:t>
      </w:r>
      <w:r w:rsidR="00823DF9" w:rsidRPr="007E7C5B">
        <w:rPr>
          <w:rFonts w:ascii="Arial Narrow" w:hAnsi="Arial Narrow"/>
          <w:sz w:val="24"/>
          <w:szCs w:val="24"/>
          <w:lang w:val="fr-CI"/>
        </w:rPr>
        <w:t>d</w:t>
      </w:r>
      <w:r w:rsidR="00617DC3" w:rsidRPr="0044167B">
        <w:rPr>
          <w:rFonts w:ascii="Arial Narrow" w:hAnsi="Arial Narrow"/>
          <w:sz w:val="24"/>
          <w:szCs w:val="24"/>
          <w:lang w:val="fr-CI"/>
        </w:rPr>
        <w:t>’o</w:t>
      </w:r>
      <w:r w:rsidR="00617DC3" w:rsidRPr="00617DC3">
        <w:rPr>
          <w:rFonts w:ascii="Arial Narrow" w:hAnsi="Arial Narrow"/>
          <w:sz w:val="24"/>
          <w:szCs w:val="24"/>
          <w:lang w:val="fr-CI"/>
        </w:rPr>
        <w:t>r</w:t>
      </w:r>
      <w:r w:rsidR="00D06295">
        <w:rPr>
          <w:rFonts w:ascii="Arial Narrow" w:hAnsi="Arial Narrow"/>
          <w:sz w:val="24"/>
          <w:szCs w:val="24"/>
          <w:lang w:val="fr-CI"/>
        </w:rPr>
        <w:t>g</w:t>
      </w:r>
      <w:r w:rsidR="00617DC3" w:rsidRPr="00617DC3">
        <w:rPr>
          <w:rFonts w:ascii="Arial Narrow" w:hAnsi="Arial Narrow"/>
          <w:sz w:val="24"/>
          <w:szCs w:val="24"/>
          <w:lang w:val="fr-CI"/>
        </w:rPr>
        <w:t>aniser</w:t>
      </w:r>
      <w:r w:rsidR="00617DC3">
        <w:rPr>
          <w:rFonts w:ascii="Arial Narrow" w:hAnsi="Arial Narrow"/>
          <w:sz w:val="24"/>
          <w:szCs w:val="24"/>
          <w:lang w:val="fr-CI"/>
        </w:rPr>
        <w:t xml:space="preserve"> </w:t>
      </w:r>
      <w:r w:rsidR="00617DC3" w:rsidRPr="00617DC3">
        <w:rPr>
          <w:rFonts w:ascii="Arial Narrow" w:hAnsi="Arial Narrow"/>
          <w:sz w:val="24"/>
          <w:szCs w:val="24"/>
          <w:lang w:val="fr-CI"/>
        </w:rPr>
        <w:t>et</w:t>
      </w:r>
      <w:r w:rsidR="00617DC3">
        <w:rPr>
          <w:rFonts w:ascii="Arial Narrow" w:hAnsi="Arial Narrow"/>
          <w:sz w:val="24"/>
          <w:szCs w:val="24"/>
          <w:lang w:val="fr-CI"/>
        </w:rPr>
        <w:t xml:space="preserve"> de</w:t>
      </w:r>
      <w:r w:rsidR="00617DC3" w:rsidRPr="00617DC3">
        <w:rPr>
          <w:rFonts w:ascii="Arial Narrow" w:hAnsi="Arial Narrow"/>
          <w:sz w:val="24"/>
          <w:szCs w:val="24"/>
          <w:lang w:val="fr-CI"/>
        </w:rPr>
        <w:t xml:space="preserve"> généraliser</w:t>
      </w:r>
      <w:r w:rsidR="00617DC3">
        <w:rPr>
          <w:rFonts w:ascii="Arial Narrow" w:hAnsi="Arial Narrow"/>
          <w:sz w:val="24"/>
          <w:szCs w:val="24"/>
          <w:lang w:val="fr-CI"/>
        </w:rPr>
        <w:t xml:space="preserve"> </w:t>
      </w:r>
      <w:r w:rsidR="00617DC3" w:rsidRPr="00617DC3">
        <w:rPr>
          <w:rFonts w:ascii="Arial Narrow" w:hAnsi="Arial Narrow"/>
          <w:sz w:val="24"/>
          <w:szCs w:val="24"/>
          <w:lang w:val="fr-CI"/>
        </w:rPr>
        <w:t>l’accréditation/certification des établissements</w:t>
      </w:r>
      <w:r w:rsidR="00617DC3">
        <w:rPr>
          <w:rFonts w:ascii="Arial Narrow" w:hAnsi="Arial Narrow"/>
          <w:sz w:val="24"/>
          <w:szCs w:val="24"/>
          <w:lang w:val="fr-CI"/>
        </w:rPr>
        <w:t xml:space="preserve"> </w:t>
      </w:r>
      <w:r w:rsidR="00617DC3" w:rsidRPr="00617DC3">
        <w:rPr>
          <w:rFonts w:ascii="Arial Narrow" w:hAnsi="Arial Narrow"/>
          <w:sz w:val="24"/>
          <w:szCs w:val="24"/>
          <w:lang w:val="fr-CI"/>
        </w:rPr>
        <w:t>sanitaires publics</w:t>
      </w:r>
      <w:r w:rsidR="00617DC3">
        <w:rPr>
          <w:rFonts w:ascii="Arial Narrow" w:hAnsi="Arial Narrow"/>
          <w:sz w:val="24"/>
          <w:szCs w:val="24"/>
          <w:lang w:val="fr-CI"/>
        </w:rPr>
        <w:t xml:space="preserve"> et privés</w:t>
      </w:r>
      <w:r w:rsidR="00D06295">
        <w:rPr>
          <w:rFonts w:ascii="Arial Narrow" w:hAnsi="Arial Narrow"/>
          <w:sz w:val="24"/>
          <w:szCs w:val="24"/>
          <w:lang w:val="fr-CI"/>
        </w:rPr>
        <w:t>.</w:t>
      </w:r>
      <w:r w:rsidR="00617DC3">
        <w:rPr>
          <w:rFonts w:ascii="Arial Narrow" w:hAnsi="Arial Narrow"/>
          <w:sz w:val="24"/>
          <w:szCs w:val="24"/>
          <w:lang w:val="fr-CI"/>
        </w:rPr>
        <w:t xml:space="preserve"> </w:t>
      </w:r>
      <w:r w:rsidR="00D06295">
        <w:rPr>
          <w:rFonts w:ascii="Arial Narrow" w:hAnsi="Arial Narrow"/>
          <w:sz w:val="24"/>
          <w:szCs w:val="24"/>
          <w:lang w:val="fr-CI"/>
        </w:rPr>
        <w:t>Cette initiative</w:t>
      </w:r>
      <w:r w:rsidR="00617DC3">
        <w:rPr>
          <w:rFonts w:ascii="Arial Narrow" w:hAnsi="Arial Narrow"/>
          <w:sz w:val="24"/>
          <w:szCs w:val="24"/>
          <w:lang w:val="fr-CI"/>
        </w:rPr>
        <w:t xml:space="preserve"> </w:t>
      </w:r>
      <w:r w:rsidR="00D06295">
        <w:rPr>
          <w:rFonts w:ascii="Arial Narrow" w:hAnsi="Arial Narrow"/>
          <w:sz w:val="24"/>
          <w:szCs w:val="24"/>
          <w:lang w:val="fr-CI"/>
        </w:rPr>
        <w:t>devait</w:t>
      </w:r>
      <w:r w:rsidR="00617DC3">
        <w:rPr>
          <w:rFonts w:ascii="Arial Narrow" w:hAnsi="Arial Narrow"/>
          <w:sz w:val="24"/>
          <w:szCs w:val="24"/>
          <w:lang w:val="fr-CI"/>
        </w:rPr>
        <w:t xml:space="preserve"> permettre </w:t>
      </w:r>
      <w:r w:rsidR="00D06295">
        <w:rPr>
          <w:rFonts w:ascii="Arial Narrow" w:hAnsi="Arial Narrow"/>
          <w:sz w:val="24"/>
          <w:szCs w:val="24"/>
          <w:lang w:val="fr-CI"/>
        </w:rPr>
        <w:t xml:space="preserve">d’augmenter </w:t>
      </w:r>
      <w:r w:rsidR="00823DF9" w:rsidRPr="007E7C5B">
        <w:rPr>
          <w:rFonts w:ascii="Arial Narrow" w:hAnsi="Arial Narrow"/>
          <w:sz w:val="24"/>
          <w:szCs w:val="24"/>
          <w:lang w:val="fr-CI"/>
        </w:rPr>
        <w:t>la p</w:t>
      </w:r>
      <w:r w:rsidR="00260F20" w:rsidRPr="00A918AC">
        <w:rPr>
          <w:rFonts w:ascii="Arial Narrow" w:hAnsi="Arial Narrow"/>
          <w:sz w:val="24"/>
          <w:szCs w:val="24"/>
          <w:lang w:val="fr-CI"/>
        </w:rPr>
        <w:t xml:space="preserve">roportion des établissements de santé </w:t>
      </w:r>
      <w:r w:rsidR="00AC700B" w:rsidRPr="007E7C5B">
        <w:rPr>
          <w:rFonts w:ascii="Arial Narrow" w:hAnsi="Arial Narrow"/>
          <w:sz w:val="24"/>
          <w:szCs w:val="24"/>
          <w:lang w:val="fr-CI"/>
        </w:rPr>
        <w:t>accrédités</w:t>
      </w:r>
      <w:r w:rsidR="00356D0A" w:rsidRPr="007E7C5B">
        <w:rPr>
          <w:rFonts w:ascii="Arial Narrow" w:hAnsi="Arial Narrow"/>
          <w:sz w:val="24"/>
          <w:szCs w:val="24"/>
          <w:lang w:val="fr-CI"/>
        </w:rPr>
        <w:t> </w:t>
      </w:r>
      <w:r w:rsidR="00AC700B" w:rsidRPr="007E7C5B">
        <w:rPr>
          <w:rFonts w:ascii="Arial Narrow" w:hAnsi="Arial Narrow"/>
          <w:sz w:val="24"/>
          <w:szCs w:val="24"/>
          <w:lang w:val="fr-CI"/>
        </w:rPr>
        <w:t xml:space="preserve">à </w:t>
      </w:r>
      <w:r w:rsidR="00356D0A" w:rsidRPr="007E7C5B">
        <w:rPr>
          <w:rFonts w:ascii="Arial Narrow" w:hAnsi="Arial Narrow"/>
          <w:sz w:val="24"/>
          <w:szCs w:val="24"/>
          <w:lang w:val="fr-CI"/>
        </w:rPr>
        <w:t>20%</w:t>
      </w:r>
      <w:r w:rsidR="00411DB0" w:rsidRPr="007E7C5B">
        <w:rPr>
          <w:rFonts w:ascii="Arial Narrow" w:hAnsi="Arial Narrow"/>
          <w:sz w:val="24"/>
          <w:szCs w:val="24"/>
          <w:lang w:val="fr-CI"/>
        </w:rPr>
        <w:t xml:space="preserve"> en 2023</w:t>
      </w:r>
      <w:r w:rsidR="00340F80" w:rsidRPr="007E7C5B">
        <w:rPr>
          <w:rFonts w:ascii="Arial Narrow" w:hAnsi="Arial Narrow"/>
          <w:sz w:val="24"/>
          <w:szCs w:val="24"/>
          <w:lang w:val="fr-CI"/>
        </w:rPr>
        <w:t>,</w:t>
      </w:r>
      <w:r w:rsidR="00411DB0" w:rsidRPr="007E7C5B">
        <w:rPr>
          <w:rFonts w:ascii="Arial Narrow" w:hAnsi="Arial Narrow"/>
          <w:sz w:val="24"/>
          <w:szCs w:val="24"/>
          <w:lang w:val="fr-CI"/>
        </w:rPr>
        <w:t xml:space="preserve"> </w:t>
      </w:r>
      <w:r w:rsidR="00AC700B" w:rsidRPr="007E7C5B">
        <w:rPr>
          <w:rFonts w:ascii="Arial Narrow" w:hAnsi="Arial Narrow"/>
          <w:sz w:val="24"/>
          <w:szCs w:val="24"/>
          <w:lang w:val="fr-CI"/>
        </w:rPr>
        <w:t>puis à</w:t>
      </w:r>
      <w:r w:rsidR="00411DB0" w:rsidRPr="007E7C5B">
        <w:rPr>
          <w:rFonts w:ascii="Arial Narrow" w:hAnsi="Arial Narrow"/>
          <w:sz w:val="24"/>
          <w:szCs w:val="24"/>
          <w:lang w:val="fr-CI"/>
        </w:rPr>
        <w:t xml:space="preserve"> 40% en 2025</w:t>
      </w:r>
      <w:r w:rsidR="00AC700B" w:rsidRPr="007E7C5B">
        <w:rPr>
          <w:rFonts w:ascii="Arial Narrow" w:hAnsi="Arial Narrow"/>
          <w:sz w:val="24"/>
          <w:szCs w:val="24"/>
          <w:lang w:val="fr-CI"/>
        </w:rPr>
        <w:t xml:space="preserve">. </w:t>
      </w:r>
      <w:r w:rsidR="00D06295">
        <w:rPr>
          <w:rFonts w:ascii="Arial Narrow" w:hAnsi="Arial Narrow"/>
          <w:sz w:val="24"/>
          <w:szCs w:val="24"/>
          <w:lang w:val="fr-CI"/>
        </w:rPr>
        <w:t>Pour y parvenir, il était prévu</w:t>
      </w:r>
      <w:r w:rsidR="0059646D" w:rsidRPr="007E7C5B">
        <w:rPr>
          <w:rFonts w:ascii="Arial Narrow" w:hAnsi="Arial Narrow"/>
          <w:sz w:val="24"/>
          <w:szCs w:val="24"/>
          <w:lang w:val="fr-CI"/>
        </w:rPr>
        <w:t xml:space="preserve"> </w:t>
      </w:r>
      <w:r w:rsidR="00A43CA9" w:rsidRPr="007E7C5B">
        <w:rPr>
          <w:rFonts w:ascii="Arial Narrow" w:hAnsi="Arial Narrow"/>
          <w:sz w:val="24"/>
          <w:szCs w:val="24"/>
          <w:lang w:val="fr-CI"/>
        </w:rPr>
        <w:t>d’</w:t>
      </w:r>
      <w:r w:rsidR="00A43CA9" w:rsidRPr="00A918AC">
        <w:rPr>
          <w:rFonts w:ascii="Arial Narrow" w:hAnsi="Arial Narrow"/>
          <w:sz w:val="24"/>
          <w:szCs w:val="24"/>
        </w:rPr>
        <w:t>a</w:t>
      </w:r>
      <w:proofErr w:type="spellStart"/>
      <w:r w:rsidR="00A43CA9" w:rsidRPr="007E7C5B">
        <w:rPr>
          <w:rFonts w:ascii="Arial Narrow" w:hAnsi="Arial Narrow"/>
          <w:sz w:val="24"/>
          <w:szCs w:val="24"/>
          <w:lang w:val="fr-CI"/>
        </w:rPr>
        <w:t>ccompagner</w:t>
      </w:r>
      <w:proofErr w:type="spellEnd"/>
      <w:r w:rsidR="00A43CA9" w:rsidRPr="007E7C5B">
        <w:rPr>
          <w:rFonts w:ascii="Arial Narrow" w:hAnsi="Arial Narrow"/>
          <w:sz w:val="24"/>
          <w:szCs w:val="24"/>
          <w:lang w:val="fr-CI"/>
        </w:rPr>
        <w:t xml:space="preserve"> les établissements sanitaires dans le processus d'accréditation</w:t>
      </w:r>
      <w:r w:rsidR="00A43CA9" w:rsidRPr="007E7C5B" w:rsidDel="00F5129B">
        <w:rPr>
          <w:rFonts w:ascii="Arial Narrow" w:hAnsi="Arial Narrow"/>
          <w:sz w:val="24"/>
          <w:szCs w:val="24"/>
          <w:lang w:val="fr-CI"/>
        </w:rPr>
        <w:t xml:space="preserve"> </w:t>
      </w:r>
      <w:r w:rsidR="00A43CA9" w:rsidRPr="007E7C5B">
        <w:rPr>
          <w:rFonts w:ascii="Arial Narrow" w:hAnsi="Arial Narrow"/>
          <w:sz w:val="24"/>
          <w:szCs w:val="24"/>
          <w:lang w:val="fr-CI"/>
        </w:rPr>
        <w:t>et d’évaluer tous les établissements sanitaires engagés dans le processus d'accréditation.</w:t>
      </w:r>
    </w:p>
    <w:p w14:paraId="393CB1DC" w14:textId="7EA80E34" w:rsidR="00C744CA" w:rsidRPr="007E7C5B" w:rsidRDefault="003C24F2" w:rsidP="00C744CA">
      <w:pPr>
        <w:jc w:val="both"/>
        <w:rPr>
          <w:rFonts w:ascii="Arial Narrow" w:hAnsi="Arial Narrow"/>
          <w:sz w:val="24"/>
          <w:szCs w:val="24"/>
        </w:rPr>
      </w:pPr>
      <w:r w:rsidRPr="007E7C5B">
        <w:rPr>
          <w:rFonts w:ascii="Arial Narrow" w:hAnsi="Arial Narrow"/>
          <w:sz w:val="24"/>
          <w:szCs w:val="24"/>
        </w:rPr>
        <w:lastRenderedPageBreak/>
        <w:t xml:space="preserve">En matière d’accompagnement des établissements sanitaires, </w:t>
      </w:r>
      <w:r w:rsidR="00C744CA" w:rsidRPr="007E7C5B">
        <w:rPr>
          <w:rFonts w:ascii="Arial Narrow" w:hAnsi="Arial Narrow"/>
          <w:sz w:val="24"/>
          <w:szCs w:val="24"/>
        </w:rPr>
        <w:t xml:space="preserve">le MSHPCMU </w:t>
      </w:r>
      <w:r w:rsidR="00EB23CA" w:rsidRPr="007E7C5B">
        <w:rPr>
          <w:rFonts w:ascii="Arial Narrow" w:hAnsi="Arial Narrow"/>
          <w:sz w:val="24"/>
          <w:szCs w:val="24"/>
        </w:rPr>
        <w:t>a initié</w:t>
      </w:r>
      <w:r w:rsidR="00C744CA" w:rsidRPr="007E7C5B">
        <w:rPr>
          <w:rFonts w:ascii="Arial Narrow" w:hAnsi="Arial Narrow"/>
          <w:sz w:val="24"/>
          <w:szCs w:val="24"/>
        </w:rPr>
        <w:t xml:space="preserve"> en 2024 un projet d’accréditation selon ISO 15189 de 5 laboratoires de biologie moléculaire engagés dans une démarche qualité depuis 2022</w:t>
      </w:r>
      <w:r w:rsidR="00066CD0" w:rsidRPr="007E7C5B">
        <w:rPr>
          <w:rFonts w:ascii="Arial Narrow" w:hAnsi="Arial Narrow"/>
          <w:sz w:val="24"/>
          <w:szCs w:val="24"/>
        </w:rPr>
        <w:t>.</w:t>
      </w:r>
    </w:p>
    <w:p w14:paraId="21F7D5CD" w14:textId="4D467E13" w:rsidR="00AF5D24" w:rsidRPr="00D3197F" w:rsidRDefault="005F2C5E" w:rsidP="00A918AC">
      <w:pPr>
        <w:jc w:val="both"/>
        <w:rPr>
          <w:rFonts w:ascii="Arial Narrow" w:hAnsi="Arial Narrow"/>
          <w:sz w:val="24"/>
          <w:szCs w:val="24"/>
        </w:rPr>
      </w:pPr>
      <w:r w:rsidRPr="00B82295">
        <w:rPr>
          <w:rFonts w:cstheme="minorHAnsi"/>
          <w:noProof/>
          <w:sz w:val="24"/>
          <w:szCs w:val="24"/>
        </w:rPr>
        <mc:AlternateContent>
          <mc:Choice Requires="wps">
            <w:drawing>
              <wp:anchor distT="0" distB="0" distL="114300" distR="114300" simplePos="0" relativeHeight="251658257" behindDoc="1" locked="0" layoutInCell="1" allowOverlap="1" wp14:anchorId="050B07B3" wp14:editId="523BB427">
                <wp:simplePos x="0" y="0"/>
                <wp:positionH relativeFrom="margin">
                  <wp:align>left</wp:align>
                </wp:positionH>
                <wp:positionV relativeFrom="paragraph">
                  <wp:posOffset>3810</wp:posOffset>
                </wp:positionV>
                <wp:extent cx="3302000" cy="2286000"/>
                <wp:effectExtent l="0" t="0" r="12700" b="19050"/>
                <wp:wrapTight wrapText="bothSides">
                  <wp:wrapPolygon edited="0">
                    <wp:start x="0" y="0"/>
                    <wp:lineTo x="0" y="21600"/>
                    <wp:lineTo x="21558" y="21600"/>
                    <wp:lineTo x="21558" y="0"/>
                    <wp:lineTo x="0" y="0"/>
                  </wp:wrapPolygon>
                </wp:wrapTight>
                <wp:docPr id="1307928278" name="Text Box 7"/>
                <wp:cNvGraphicFramePr/>
                <a:graphic xmlns:a="http://schemas.openxmlformats.org/drawingml/2006/main">
                  <a:graphicData uri="http://schemas.microsoft.com/office/word/2010/wordprocessingShape">
                    <wps:wsp>
                      <wps:cNvSpPr txBox="1"/>
                      <wps:spPr>
                        <a:xfrm>
                          <a:off x="0" y="0"/>
                          <a:ext cx="3302000" cy="2286000"/>
                        </a:xfrm>
                        <a:prstGeom prst="rect">
                          <a:avLst/>
                        </a:prstGeom>
                        <a:solidFill>
                          <a:schemeClr val="lt1"/>
                        </a:solidFill>
                        <a:ln w="6350">
                          <a:solidFill>
                            <a:schemeClr val="bg1">
                              <a:lumMod val="75000"/>
                            </a:schemeClr>
                          </a:solidFill>
                        </a:ln>
                      </wps:spPr>
                      <wps:txbx>
                        <w:txbxContent>
                          <w:p w14:paraId="6F52C5B9" w14:textId="16293E40" w:rsidR="00120CF6" w:rsidRPr="009F2C0C" w:rsidRDefault="00120CF6" w:rsidP="00DC5897">
                            <w:pPr>
                              <w:pStyle w:val="Lgende"/>
                            </w:pPr>
                            <w:bookmarkStart w:id="57" w:name="_Toc178328895"/>
                            <w:bookmarkStart w:id="58" w:name="_Toc183688795"/>
                            <w:r w:rsidRPr="009F2C0C">
                              <w:t xml:space="preserve">Graphique </w:t>
                            </w:r>
                            <w:r>
                              <w:fldChar w:fldCharType="begin"/>
                            </w:r>
                            <w:r w:rsidRPr="00117554">
                              <w:instrText xml:space="preserve"> SEQ Graphique \* ARABIC </w:instrText>
                            </w:r>
                            <w:r>
                              <w:fldChar w:fldCharType="separate"/>
                            </w:r>
                            <w:r w:rsidR="00F546EB">
                              <w:rPr>
                                <w:noProof/>
                              </w:rPr>
                              <w:t>8</w:t>
                            </w:r>
                            <w:r>
                              <w:fldChar w:fldCharType="end"/>
                            </w:r>
                            <w:r w:rsidRPr="009F2C0C">
                              <w:t xml:space="preserve"> : Proportion de</w:t>
                            </w:r>
                            <w:r w:rsidR="00FF2546">
                              <w:t xml:space="preserve"> laboratoire</w:t>
                            </w:r>
                            <w:r w:rsidRPr="009F2C0C">
                              <w:t xml:space="preserve"> de santé</w:t>
                            </w:r>
                            <w:r w:rsidR="00FF2546">
                              <w:t xml:space="preserve"> </w:t>
                            </w:r>
                            <w:r w:rsidRPr="009F2C0C">
                              <w:t>accrédité</w:t>
                            </w:r>
                            <w:r w:rsidR="00FF2546">
                              <w:t>s</w:t>
                            </w:r>
                            <w:bookmarkEnd w:id="57"/>
                            <w:bookmarkEnd w:id="58"/>
                          </w:p>
                          <w:p w14:paraId="5578313C" w14:textId="0C1D5A09" w:rsidR="00120CF6" w:rsidRPr="00B82295" w:rsidRDefault="00E36E8B" w:rsidP="00120CF6">
                            <w:pPr>
                              <w:keepNext/>
                            </w:pPr>
                            <w:r>
                              <w:rPr>
                                <w:noProof/>
                              </w:rPr>
                              <w:drawing>
                                <wp:inline distT="0" distB="0" distL="0" distR="0" wp14:anchorId="5D13C32A" wp14:editId="7C40C5CF">
                                  <wp:extent cx="3080825" cy="1470025"/>
                                  <wp:effectExtent l="0" t="0" r="5715" b="15875"/>
                                  <wp:docPr id="604716822" name="Chart 1">
                                    <a:extLst xmlns:a="http://schemas.openxmlformats.org/drawingml/2006/main">
                                      <a:ext uri="{FF2B5EF4-FFF2-40B4-BE49-F238E27FC236}">
                                        <a16:creationId xmlns:a16="http://schemas.microsoft.com/office/drawing/2014/main" id="{C2BCFC93-44BE-B487-C6D1-B67AB674D6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F059B57" w14:textId="77777777" w:rsidR="00120CF6" w:rsidRPr="002A5075" w:rsidRDefault="00120CF6" w:rsidP="00DC5897">
                            <w:pPr>
                              <w:pStyle w:val="Lgende"/>
                            </w:pPr>
                            <w:r w:rsidRPr="002A5075">
                              <w:t>Sources : Liste des établissements accréditeurs : CRESAC &amp; SOAC, DMHP</w:t>
                            </w:r>
                          </w:p>
                          <w:p w14:paraId="152562ED" w14:textId="77777777" w:rsidR="00120CF6" w:rsidRPr="002A5075" w:rsidRDefault="00120CF6" w:rsidP="00120CF6">
                            <w:pPr>
                              <w:keepNext/>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50B07B3" id="_x0000_s1037" type="#_x0000_t202" style="position:absolute;left:0;text-align:left;margin-left:0;margin-top:.3pt;width:260pt;height:180pt;z-index:-25165822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" fillcolor="white [3201]" strokecolor="#bfbfbf [2412]" strokeweight=".5pt">
                <v:textbox>
                  <w:txbxContent>
                    <w:p w14:paraId="6F52C5B9" w14:textId="16293E40" w:rsidR="00120CF6" w:rsidRPr="009F2C0C" w:rsidRDefault="00120CF6" w:rsidP="00DC5897">
                      <w:pPr>
                        <w:pStyle w:val="Lgende"/>
                      </w:pPr>
                      <w:bookmarkStart w:id="65" w:name="_Toc178328895"/>
                      <w:bookmarkStart w:id="66" w:name="_Toc183688795"/>
                      <w:r w:rsidRPr="009F2C0C">
                        <w:t xml:space="preserve">Graphique </w:t>
                      </w:r>
                      <w:r>
                        <w:fldChar w:fldCharType="begin"/>
                      </w:r>
                      <w:r w:rsidRPr="00117554">
                        <w:instrText xml:space="preserve"> SEQ Graphique \* ARABIC </w:instrText>
                      </w:r>
                      <w:r>
                        <w:fldChar w:fldCharType="separate"/>
                      </w:r>
                      <w:r w:rsidR="00F546EB">
                        <w:rPr>
                          <w:noProof/>
                        </w:rPr>
                        <w:t>8</w:t>
                      </w:r>
                      <w:r>
                        <w:fldChar w:fldCharType="end"/>
                      </w:r>
                      <w:r w:rsidRPr="009F2C0C">
                        <w:t xml:space="preserve"> : Proportion de</w:t>
                      </w:r>
                      <w:r w:rsidR="00FF2546">
                        <w:t xml:space="preserve"> laboratoire</w:t>
                      </w:r>
                      <w:r w:rsidRPr="009F2C0C">
                        <w:t xml:space="preserve"> de santé</w:t>
                      </w:r>
                      <w:r w:rsidR="00FF2546">
                        <w:t xml:space="preserve"> </w:t>
                      </w:r>
                      <w:r w:rsidRPr="009F2C0C">
                        <w:t>accrédité</w:t>
                      </w:r>
                      <w:r w:rsidR="00FF2546">
                        <w:t>s</w:t>
                      </w:r>
                      <w:bookmarkEnd w:id="65"/>
                      <w:bookmarkEnd w:id="66"/>
                    </w:p>
                    <w:p w14:paraId="5578313C" w14:textId="0C1D5A09" w:rsidR="00120CF6" w:rsidRPr="00B82295" w:rsidRDefault="00E36E8B" w:rsidP="00120CF6">
                      <w:pPr>
                        <w:keepNext/>
                      </w:pPr>
                      <w:r>
                        <w:rPr>
                          <w:noProof/>
                        </w:rPr>
                        <w:drawing>
                          <wp:inline distT="0" distB="0" distL="0" distR="0" wp14:anchorId="5D13C32A" wp14:editId="7C40C5CF">
                            <wp:extent cx="3080825" cy="1470025"/>
                            <wp:effectExtent l="0" t="0" r="5715" b="15875"/>
                            <wp:docPr id="604716822" name="Chart 1">
                              <a:extLst xmlns:a="http://schemas.openxmlformats.org/drawingml/2006/main">
                                <a:ext uri="{FF2B5EF4-FFF2-40B4-BE49-F238E27FC236}">
                                  <a16:creationId xmlns:a16="http://schemas.microsoft.com/office/drawing/2014/main" id="{C2BCFC93-44BE-B487-C6D1-B67AB674D6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F059B57" w14:textId="77777777" w:rsidR="00120CF6" w:rsidRPr="002A5075" w:rsidRDefault="00120CF6" w:rsidP="00DC5897">
                      <w:pPr>
                        <w:pStyle w:val="Lgende"/>
                      </w:pPr>
                      <w:r w:rsidRPr="002A5075">
                        <w:t>Sources : Liste des établissements accréditeurs : CRESAC &amp; SOAC, DMHP</w:t>
                      </w:r>
                    </w:p>
                    <w:p w14:paraId="152562ED" w14:textId="77777777" w:rsidR="00120CF6" w:rsidRPr="002A5075" w:rsidRDefault="00120CF6" w:rsidP="00120CF6">
                      <w:pPr>
                        <w:keepNext/>
                        <w:rPr>
                          <w:sz w:val="14"/>
                          <w:szCs w:val="14"/>
                        </w:rPr>
                      </w:pPr>
                    </w:p>
                  </w:txbxContent>
                </v:textbox>
                <w10:wrap type="tight" anchorx="margin"/>
              </v:shape>
            </w:pict>
          </mc:Fallback>
        </mc:AlternateContent>
      </w:r>
      <w:r w:rsidR="00CE6571" w:rsidRPr="007E7C5B">
        <w:rPr>
          <w:rFonts w:ascii="Arial Narrow" w:hAnsi="Arial Narrow"/>
          <w:sz w:val="24"/>
          <w:szCs w:val="24"/>
        </w:rPr>
        <w:t>La p</w:t>
      </w:r>
      <w:r w:rsidR="00777809" w:rsidRPr="007E7C5B">
        <w:rPr>
          <w:rFonts w:ascii="Arial Narrow" w:hAnsi="Arial Narrow"/>
          <w:sz w:val="24"/>
          <w:szCs w:val="24"/>
        </w:rPr>
        <w:t>roportion de</w:t>
      </w:r>
      <w:r w:rsidR="00FF2546">
        <w:rPr>
          <w:rFonts w:ascii="Arial Narrow" w:hAnsi="Arial Narrow"/>
          <w:sz w:val="24"/>
          <w:szCs w:val="24"/>
        </w:rPr>
        <w:t xml:space="preserve"> laboratoire </w:t>
      </w:r>
      <w:r w:rsidR="00777809" w:rsidRPr="007E7C5B">
        <w:rPr>
          <w:rFonts w:ascii="Arial Narrow" w:hAnsi="Arial Narrow"/>
          <w:sz w:val="24"/>
          <w:szCs w:val="24"/>
        </w:rPr>
        <w:t xml:space="preserve">de </w:t>
      </w:r>
      <w:r w:rsidR="00FF2546" w:rsidRPr="007E7C5B">
        <w:rPr>
          <w:rFonts w:ascii="Arial Narrow" w:hAnsi="Arial Narrow"/>
          <w:sz w:val="24"/>
          <w:szCs w:val="24"/>
        </w:rPr>
        <w:t>santé accrédité</w:t>
      </w:r>
      <w:r w:rsidR="00FF2546">
        <w:rPr>
          <w:rFonts w:ascii="Arial Narrow" w:hAnsi="Arial Narrow"/>
          <w:sz w:val="24"/>
          <w:szCs w:val="24"/>
        </w:rPr>
        <w:t>s</w:t>
      </w:r>
      <w:r w:rsidR="00CE6571" w:rsidRPr="007E7C5B">
        <w:rPr>
          <w:rFonts w:ascii="Arial Narrow" w:hAnsi="Arial Narrow"/>
          <w:sz w:val="24"/>
          <w:szCs w:val="24"/>
        </w:rPr>
        <w:t xml:space="preserve"> </w:t>
      </w:r>
      <w:r w:rsidR="00845C39" w:rsidRPr="007E7C5B">
        <w:rPr>
          <w:rFonts w:ascii="Arial Narrow" w:hAnsi="Arial Narrow"/>
          <w:sz w:val="24"/>
          <w:szCs w:val="24"/>
        </w:rPr>
        <w:t>s’établit à 25% en 2023</w:t>
      </w:r>
      <w:r w:rsidR="00093311" w:rsidRPr="007E7C5B">
        <w:rPr>
          <w:rFonts w:ascii="Arial Narrow" w:hAnsi="Arial Narrow"/>
          <w:sz w:val="24"/>
          <w:szCs w:val="24"/>
        </w:rPr>
        <w:t>, au-dessus de la cible de 20% pour la même année. Cela, grâce à</w:t>
      </w:r>
      <w:r w:rsidR="00BF27B1" w:rsidRPr="007E7C5B">
        <w:rPr>
          <w:rFonts w:ascii="Arial Narrow" w:hAnsi="Arial Narrow"/>
          <w:sz w:val="24"/>
          <w:szCs w:val="24"/>
        </w:rPr>
        <w:t xml:space="preserve"> la mise en place des programmes d’évaluation de la qualité et de coaching des hôpitaux</w:t>
      </w:r>
      <w:r w:rsidR="002F0AF6" w:rsidRPr="007E7C5B">
        <w:rPr>
          <w:rFonts w:ascii="Arial Narrow" w:hAnsi="Arial Narrow"/>
          <w:sz w:val="24"/>
          <w:szCs w:val="24"/>
        </w:rPr>
        <w:t xml:space="preserve">, </w:t>
      </w:r>
      <w:r w:rsidR="00BF27B1" w:rsidRPr="007E7C5B">
        <w:rPr>
          <w:rFonts w:ascii="Arial Narrow" w:hAnsi="Arial Narrow"/>
          <w:sz w:val="24"/>
          <w:szCs w:val="24"/>
        </w:rPr>
        <w:t>basés sur l’outil national de mesure de la qualité des soins et services.</w:t>
      </w:r>
      <w:r w:rsidR="00D3197F">
        <w:rPr>
          <w:rFonts w:ascii="Arial Narrow" w:hAnsi="Arial Narrow"/>
          <w:sz w:val="24"/>
          <w:szCs w:val="24"/>
        </w:rPr>
        <w:t xml:space="preserve"> </w:t>
      </w:r>
      <w:r w:rsidR="00DE0BB2" w:rsidRPr="007E7C5B">
        <w:rPr>
          <w:rFonts w:ascii="Arial Narrow" w:hAnsi="Arial Narrow"/>
          <w:sz w:val="24"/>
          <w:szCs w:val="24"/>
        </w:rPr>
        <w:t>Il faut souligner l</w:t>
      </w:r>
      <w:r w:rsidR="00096E7A" w:rsidRPr="007E7C5B">
        <w:rPr>
          <w:rFonts w:ascii="Arial Narrow" w:hAnsi="Arial Narrow"/>
          <w:sz w:val="24"/>
          <w:szCs w:val="24"/>
        </w:rPr>
        <w:t>’insuffisance</w:t>
      </w:r>
      <w:r w:rsidR="00F5129B" w:rsidRPr="00A918AC">
        <w:rPr>
          <w:rFonts w:ascii="Arial Narrow" w:hAnsi="Arial Narrow"/>
          <w:sz w:val="24"/>
          <w:szCs w:val="24"/>
        </w:rPr>
        <w:t xml:space="preserve"> d'infrastructures adéquates et d'équipements médicaux modernes</w:t>
      </w:r>
      <w:r w:rsidR="00DE0BB2" w:rsidRPr="007E7C5B">
        <w:rPr>
          <w:rFonts w:ascii="Arial Narrow" w:hAnsi="Arial Narrow"/>
          <w:sz w:val="24"/>
          <w:szCs w:val="24"/>
        </w:rPr>
        <w:t xml:space="preserve"> au niveau de</w:t>
      </w:r>
      <w:r w:rsidR="00096E7A" w:rsidRPr="007E7C5B">
        <w:rPr>
          <w:rFonts w:ascii="Arial Narrow" w:hAnsi="Arial Narrow"/>
          <w:sz w:val="24"/>
          <w:szCs w:val="24"/>
        </w:rPr>
        <w:t xml:space="preserve"> certains EPH,</w:t>
      </w:r>
      <w:r w:rsidR="00F5129B" w:rsidRPr="00A918AC">
        <w:rPr>
          <w:rFonts w:ascii="Arial Narrow" w:hAnsi="Arial Narrow"/>
          <w:sz w:val="24"/>
          <w:szCs w:val="24"/>
        </w:rPr>
        <w:t xml:space="preserve"> ce qui limite leur capacité à offrir des services de qualité et migrer vers l’accréditation de leurs laboratoires. Le co</w:t>
      </w:r>
      <w:r w:rsidR="00C10EE6" w:rsidRPr="007E7C5B">
        <w:rPr>
          <w:rFonts w:ascii="Arial Narrow" w:hAnsi="Arial Narrow"/>
          <w:sz w:val="24"/>
          <w:szCs w:val="24"/>
        </w:rPr>
        <w:t>û</w:t>
      </w:r>
      <w:r w:rsidR="00F5129B" w:rsidRPr="00A918AC">
        <w:rPr>
          <w:rFonts w:ascii="Arial Narrow" w:hAnsi="Arial Narrow"/>
          <w:sz w:val="24"/>
          <w:szCs w:val="24"/>
        </w:rPr>
        <w:t xml:space="preserve">t élevé de la démarche qualité est </w:t>
      </w:r>
      <w:r w:rsidR="00C10EE6" w:rsidRPr="007E7C5B">
        <w:rPr>
          <w:rFonts w:ascii="Arial Narrow" w:hAnsi="Arial Narrow"/>
          <w:sz w:val="24"/>
          <w:szCs w:val="24"/>
        </w:rPr>
        <w:t xml:space="preserve">aussi </w:t>
      </w:r>
      <w:r w:rsidR="00F5129B" w:rsidRPr="00A918AC">
        <w:rPr>
          <w:rFonts w:ascii="Arial Narrow" w:hAnsi="Arial Narrow"/>
          <w:sz w:val="24"/>
          <w:szCs w:val="24"/>
        </w:rPr>
        <w:t>un obstacle majeur à l’engagement des établissements dans le processus d’accréditation.</w:t>
      </w:r>
      <w:r w:rsidR="00A06E45" w:rsidRPr="007E7C5B">
        <w:rPr>
          <w:rFonts w:ascii="Arial Narrow" w:hAnsi="Arial Narrow"/>
          <w:sz w:val="24"/>
          <w:szCs w:val="24"/>
        </w:rPr>
        <w:t xml:space="preserve"> </w:t>
      </w:r>
      <w:r w:rsidR="00C10EE6" w:rsidRPr="007E7C5B">
        <w:rPr>
          <w:rFonts w:ascii="Arial Narrow" w:hAnsi="Arial Narrow"/>
          <w:sz w:val="24"/>
          <w:szCs w:val="24"/>
        </w:rPr>
        <w:t>Par ailleurs, l</w:t>
      </w:r>
      <w:r w:rsidR="00A06E45" w:rsidRPr="007E7C5B">
        <w:rPr>
          <w:rFonts w:ascii="Arial Narrow" w:hAnsi="Arial Narrow"/>
          <w:sz w:val="24"/>
          <w:szCs w:val="24"/>
        </w:rPr>
        <w:t xml:space="preserve">es </w:t>
      </w:r>
      <w:r w:rsidR="008614DA" w:rsidRPr="007E7C5B">
        <w:rPr>
          <w:rFonts w:ascii="Arial Narrow" w:hAnsi="Arial Narrow"/>
          <w:sz w:val="24"/>
          <w:szCs w:val="24"/>
        </w:rPr>
        <w:t>é</w:t>
      </w:r>
      <w:r w:rsidR="00A06E45" w:rsidRPr="007E7C5B">
        <w:rPr>
          <w:rFonts w:ascii="Arial Narrow" w:hAnsi="Arial Narrow"/>
          <w:sz w:val="24"/>
          <w:szCs w:val="24"/>
        </w:rPr>
        <w:t xml:space="preserve">tablissements sanitaires </w:t>
      </w:r>
      <w:r w:rsidR="0061764D" w:rsidRPr="007E7C5B">
        <w:rPr>
          <w:rFonts w:ascii="Arial Narrow" w:hAnsi="Arial Narrow"/>
          <w:sz w:val="24"/>
          <w:szCs w:val="24"/>
        </w:rPr>
        <w:t>rencontrent</w:t>
      </w:r>
      <w:r w:rsidR="00A06E45" w:rsidRPr="007E7C5B">
        <w:rPr>
          <w:rFonts w:ascii="Arial Narrow" w:hAnsi="Arial Narrow"/>
          <w:sz w:val="24"/>
          <w:szCs w:val="24"/>
        </w:rPr>
        <w:t xml:space="preserve"> </w:t>
      </w:r>
      <w:r w:rsidR="0061764D" w:rsidRPr="007E7C5B">
        <w:rPr>
          <w:rFonts w:ascii="Arial Narrow" w:hAnsi="Arial Narrow"/>
          <w:sz w:val="24"/>
          <w:szCs w:val="24"/>
        </w:rPr>
        <w:t>parfois des difficultés</w:t>
      </w:r>
      <w:r w:rsidR="00A06E45" w:rsidRPr="007E7C5B">
        <w:rPr>
          <w:rFonts w:ascii="Arial Narrow" w:hAnsi="Arial Narrow"/>
          <w:sz w:val="24"/>
          <w:szCs w:val="24"/>
        </w:rPr>
        <w:t xml:space="preserve"> </w:t>
      </w:r>
      <w:r w:rsidR="000E7274" w:rsidRPr="007E7C5B">
        <w:rPr>
          <w:rFonts w:ascii="Arial Narrow" w:hAnsi="Arial Narrow"/>
          <w:sz w:val="24"/>
          <w:szCs w:val="24"/>
        </w:rPr>
        <w:t>au niveau du</w:t>
      </w:r>
      <w:r w:rsidR="0061764D" w:rsidRPr="007E7C5B">
        <w:rPr>
          <w:rFonts w:ascii="Arial Narrow" w:hAnsi="Arial Narrow"/>
          <w:sz w:val="24"/>
          <w:szCs w:val="24"/>
        </w:rPr>
        <w:t xml:space="preserve"> </w:t>
      </w:r>
      <w:r w:rsidR="00A06E45" w:rsidRPr="007E7C5B">
        <w:rPr>
          <w:rFonts w:ascii="Arial Narrow" w:hAnsi="Arial Narrow"/>
          <w:sz w:val="24"/>
          <w:szCs w:val="24"/>
        </w:rPr>
        <w:t>finance</w:t>
      </w:r>
      <w:r w:rsidR="0061764D" w:rsidRPr="007E7C5B">
        <w:rPr>
          <w:rFonts w:ascii="Arial Narrow" w:hAnsi="Arial Narrow"/>
          <w:sz w:val="24"/>
          <w:szCs w:val="24"/>
        </w:rPr>
        <w:t>ment</w:t>
      </w:r>
      <w:r w:rsidR="00A06E45" w:rsidRPr="007E7C5B">
        <w:rPr>
          <w:rFonts w:ascii="Arial Narrow" w:hAnsi="Arial Narrow"/>
          <w:sz w:val="24"/>
          <w:szCs w:val="24"/>
        </w:rPr>
        <w:t xml:space="preserve"> </w:t>
      </w:r>
      <w:r w:rsidR="000E7274" w:rsidRPr="007E7C5B">
        <w:rPr>
          <w:rFonts w:ascii="Arial Narrow" w:hAnsi="Arial Narrow"/>
          <w:sz w:val="24"/>
          <w:szCs w:val="24"/>
        </w:rPr>
        <w:t>de</w:t>
      </w:r>
      <w:r w:rsidR="00A06E45" w:rsidRPr="007E7C5B">
        <w:rPr>
          <w:rFonts w:ascii="Arial Narrow" w:hAnsi="Arial Narrow"/>
          <w:sz w:val="24"/>
          <w:szCs w:val="24"/>
        </w:rPr>
        <w:t xml:space="preserve"> la formation d</w:t>
      </w:r>
      <w:r w:rsidR="000E7274" w:rsidRPr="007E7C5B">
        <w:rPr>
          <w:rFonts w:ascii="Arial Narrow" w:hAnsi="Arial Narrow"/>
          <w:sz w:val="24"/>
          <w:szCs w:val="24"/>
        </w:rPr>
        <w:t>e leur</w:t>
      </w:r>
      <w:r w:rsidR="00A06E45" w:rsidRPr="007E7C5B">
        <w:rPr>
          <w:rFonts w:ascii="Arial Narrow" w:hAnsi="Arial Narrow"/>
          <w:sz w:val="24"/>
          <w:szCs w:val="24"/>
        </w:rPr>
        <w:t xml:space="preserve"> personnel.</w:t>
      </w:r>
    </w:p>
    <w:p w14:paraId="1D6C247C" w14:textId="6AD25445" w:rsidR="002F3250" w:rsidRPr="007E7C5B" w:rsidRDefault="000258C0" w:rsidP="00AA7D22">
      <w:pPr>
        <w:pStyle w:val="Titre5"/>
        <w:shd w:val="clear" w:color="auto" w:fill="FBE4D5" w:themeFill="accent2" w:themeFillTint="33"/>
        <w:rPr>
          <w:rFonts w:ascii="Arial Narrow" w:hAnsi="Arial Narrow"/>
          <w:b/>
          <w:color w:val="auto"/>
          <w:sz w:val="24"/>
          <w:szCs w:val="24"/>
        </w:rPr>
      </w:pPr>
      <w:r w:rsidRPr="007E7C5B">
        <w:rPr>
          <w:rFonts w:ascii="Arial Narrow" w:hAnsi="Arial Narrow"/>
          <w:b/>
          <w:color w:val="auto"/>
          <w:sz w:val="24"/>
          <w:szCs w:val="24"/>
        </w:rPr>
        <w:t>Accessibilité à des produits de santé de qualité et en quantité suffisante</w:t>
      </w:r>
    </w:p>
    <w:p w14:paraId="3A4CFC2E" w14:textId="545FCA5E" w:rsidR="00D06295" w:rsidRPr="007E7C5B" w:rsidRDefault="001B4CE3" w:rsidP="00761F55">
      <w:pPr>
        <w:jc w:val="both"/>
        <w:rPr>
          <w:rFonts w:ascii="Arial Narrow" w:hAnsi="Arial Narrow" w:cstheme="minorHAnsi"/>
          <w:sz w:val="24"/>
          <w:szCs w:val="24"/>
        </w:rPr>
      </w:pPr>
      <w:r w:rsidRPr="007E7C5B">
        <w:rPr>
          <w:rFonts w:ascii="Arial Narrow" w:hAnsi="Arial Narrow" w:cstheme="minorHAnsi"/>
          <w:sz w:val="24"/>
          <w:szCs w:val="24"/>
        </w:rPr>
        <w:t xml:space="preserve">En ce qui concerne les produits de santé y compris le sang, </w:t>
      </w:r>
      <w:r w:rsidR="00D06295">
        <w:rPr>
          <w:rFonts w:ascii="Arial Narrow" w:hAnsi="Arial Narrow" w:cstheme="minorHAnsi"/>
          <w:sz w:val="24"/>
          <w:szCs w:val="24"/>
        </w:rPr>
        <w:t>l’objectif était de renforcer</w:t>
      </w:r>
      <w:r w:rsidR="00D32EB7" w:rsidRPr="007E7C5B">
        <w:rPr>
          <w:rFonts w:ascii="Arial Narrow" w:hAnsi="Arial Narrow" w:cstheme="minorHAnsi"/>
          <w:sz w:val="24"/>
          <w:szCs w:val="24"/>
        </w:rPr>
        <w:t> :</w:t>
      </w:r>
      <w:r w:rsidRPr="007E7C5B">
        <w:rPr>
          <w:rFonts w:ascii="Arial Narrow" w:hAnsi="Arial Narrow" w:cstheme="minorHAnsi"/>
          <w:sz w:val="24"/>
          <w:szCs w:val="24"/>
        </w:rPr>
        <w:t xml:space="preserve"> </w:t>
      </w:r>
      <w:r w:rsidRPr="00A918AC">
        <w:rPr>
          <w:rFonts w:ascii="Arial Narrow" w:hAnsi="Arial Narrow" w:cstheme="minorHAnsi"/>
          <w:i/>
          <w:sz w:val="24"/>
          <w:szCs w:val="24"/>
        </w:rPr>
        <w:t>(i)</w:t>
      </w:r>
      <w:r w:rsidRPr="007E7C5B">
        <w:rPr>
          <w:rFonts w:ascii="Arial Narrow" w:hAnsi="Arial Narrow" w:cstheme="minorHAnsi"/>
          <w:sz w:val="24"/>
          <w:szCs w:val="24"/>
        </w:rPr>
        <w:t xml:space="preserve"> la régulation du secteur pharmaceutique et de la transfusion sanguine ; </w:t>
      </w:r>
      <w:r w:rsidRPr="00A918AC">
        <w:rPr>
          <w:rFonts w:ascii="Arial Narrow" w:hAnsi="Arial Narrow" w:cstheme="minorHAnsi"/>
          <w:i/>
          <w:sz w:val="24"/>
          <w:szCs w:val="24"/>
        </w:rPr>
        <w:t>(ii)</w:t>
      </w:r>
      <w:r w:rsidRPr="007E7C5B">
        <w:rPr>
          <w:rFonts w:ascii="Arial Narrow" w:hAnsi="Arial Narrow" w:cstheme="minorHAnsi"/>
          <w:sz w:val="24"/>
          <w:szCs w:val="24"/>
        </w:rPr>
        <w:t xml:space="preserve"> le</w:t>
      </w:r>
      <w:r w:rsidR="00D06295">
        <w:rPr>
          <w:rFonts w:ascii="Arial Narrow" w:hAnsi="Arial Narrow" w:cstheme="minorHAnsi"/>
          <w:sz w:val="24"/>
          <w:szCs w:val="24"/>
        </w:rPr>
        <w:t xml:space="preserve">s </w:t>
      </w:r>
      <w:r w:rsidRPr="007E7C5B">
        <w:rPr>
          <w:rFonts w:ascii="Arial Narrow" w:hAnsi="Arial Narrow" w:cstheme="minorHAnsi"/>
          <w:sz w:val="24"/>
          <w:szCs w:val="24"/>
        </w:rPr>
        <w:t xml:space="preserve">capacités de production locale des produits de santé y compris les médicaments traditionnels homologués et les vaccins ; </w:t>
      </w:r>
      <w:r w:rsidRPr="00A918AC">
        <w:rPr>
          <w:rFonts w:ascii="Arial Narrow" w:hAnsi="Arial Narrow" w:cstheme="minorHAnsi"/>
          <w:i/>
          <w:sz w:val="24"/>
          <w:szCs w:val="24"/>
        </w:rPr>
        <w:t>(iii)</w:t>
      </w:r>
      <w:r w:rsidRPr="007E7C5B">
        <w:rPr>
          <w:rFonts w:ascii="Arial Narrow" w:hAnsi="Arial Narrow" w:cstheme="minorHAnsi"/>
          <w:sz w:val="24"/>
          <w:szCs w:val="24"/>
        </w:rPr>
        <w:t xml:space="preserve"> la disponibilité des produits de santé (produits sanguins, vaccins, médicaments et intrants stratégiques) en quantité suffisante</w:t>
      </w:r>
      <w:r w:rsidR="002B1491" w:rsidRPr="007E7C5B">
        <w:rPr>
          <w:rFonts w:ascii="Arial Narrow" w:hAnsi="Arial Narrow" w:cstheme="minorHAnsi"/>
          <w:sz w:val="24"/>
          <w:szCs w:val="24"/>
        </w:rPr>
        <w:t> ;</w:t>
      </w:r>
      <w:r w:rsidRPr="007E7C5B">
        <w:rPr>
          <w:rFonts w:ascii="Arial Narrow" w:hAnsi="Arial Narrow" w:cstheme="minorHAnsi"/>
          <w:sz w:val="24"/>
          <w:szCs w:val="24"/>
        </w:rPr>
        <w:t xml:space="preserve"> et </w:t>
      </w:r>
      <w:r w:rsidRPr="00A918AC">
        <w:rPr>
          <w:rFonts w:ascii="Arial Narrow" w:hAnsi="Arial Narrow" w:cstheme="minorHAnsi"/>
          <w:i/>
          <w:sz w:val="24"/>
          <w:szCs w:val="24"/>
        </w:rPr>
        <w:t>(iv)</w:t>
      </w:r>
      <w:r w:rsidRPr="007E7C5B">
        <w:rPr>
          <w:rFonts w:ascii="Arial Narrow" w:hAnsi="Arial Narrow" w:cstheme="minorHAnsi"/>
          <w:sz w:val="24"/>
          <w:szCs w:val="24"/>
        </w:rPr>
        <w:t xml:space="preserve"> la qualité des produits de santé</w:t>
      </w:r>
      <w:r w:rsidR="002B1491" w:rsidRPr="007E7C5B">
        <w:rPr>
          <w:rFonts w:ascii="Arial Narrow" w:hAnsi="Arial Narrow" w:cstheme="minorHAnsi"/>
          <w:sz w:val="24"/>
          <w:szCs w:val="24"/>
        </w:rPr>
        <w:t>.</w:t>
      </w:r>
      <w:r w:rsidR="00D06295">
        <w:rPr>
          <w:rFonts w:ascii="Arial Narrow" w:hAnsi="Arial Narrow" w:cstheme="minorHAnsi"/>
          <w:sz w:val="24"/>
          <w:szCs w:val="24"/>
        </w:rPr>
        <w:t xml:space="preserve"> Ces initiatives permettraient </w:t>
      </w:r>
      <w:r w:rsidR="00D06295" w:rsidRPr="007E7C5B">
        <w:rPr>
          <w:rFonts w:ascii="Arial Narrow" w:hAnsi="Arial Narrow" w:cstheme="minorHAnsi"/>
          <w:sz w:val="24"/>
          <w:szCs w:val="24"/>
        </w:rPr>
        <w:t>de faire passer le taux de satisfaction des commandes de produits sanguins de 39,30% en 2020 à 75% en 2023 et 90% à la fin de mise en œuvre du PNDS ;</w:t>
      </w:r>
      <w:r w:rsidR="00D06295" w:rsidRPr="007E7C5B" w:rsidDel="00E13FE7">
        <w:rPr>
          <w:rFonts w:ascii="Arial Narrow" w:hAnsi="Arial Narrow" w:cstheme="minorHAnsi"/>
          <w:sz w:val="24"/>
          <w:szCs w:val="24"/>
        </w:rPr>
        <w:t xml:space="preserve"> </w:t>
      </w:r>
      <w:r w:rsidR="00D06295" w:rsidRPr="007E7C5B">
        <w:rPr>
          <w:rFonts w:ascii="Arial Narrow" w:hAnsi="Arial Narrow" w:cstheme="minorHAnsi"/>
          <w:sz w:val="24"/>
          <w:szCs w:val="24"/>
        </w:rPr>
        <w:t>et accroitre le taux de disponibilité des produits traceurs dans les établissements de premier contact de 95% et le maintenir sur toute la période de mise en œuvre du PNDS.</w:t>
      </w:r>
    </w:p>
    <w:p w14:paraId="67146916" w14:textId="4D02ACA8" w:rsidR="001B4CE3" w:rsidRPr="007E7C5B" w:rsidRDefault="005D5067" w:rsidP="00761F55">
      <w:pPr>
        <w:jc w:val="both"/>
        <w:rPr>
          <w:rFonts w:ascii="Arial Narrow" w:hAnsi="Arial Narrow" w:cstheme="minorHAnsi"/>
          <w:sz w:val="24"/>
          <w:szCs w:val="24"/>
        </w:rPr>
      </w:pPr>
      <w:r w:rsidRPr="007E7C5B">
        <w:rPr>
          <w:rFonts w:ascii="Arial Narrow" w:hAnsi="Arial Narrow" w:cstheme="minorHAnsi"/>
          <w:sz w:val="24"/>
          <w:szCs w:val="24"/>
        </w:rPr>
        <w:t xml:space="preserve">A </w:t>
      </w:r>
      <w:r w:rsidR="006C5D2F" w:rsidRPr="007E7C5B">
        <w:rPr>
          <w:rFonts w:ascii="Arial Narrow" w:hAnsi="Arial Narrow" w:cstheme="minorHAnsi"/>
          <w:sz w:val="24"/>
          <w:szCs w:val="24"/>
        </w:rPr>
        <w:t>mi-parcours</w:t>
      </w:r>
      <w:r w:rsidRPr="007E7C5B">
        <w:rPr>
          <w:rFonts w:ascii="Arial Narrow" w:hAnsi="Arial Narrow" w:cstheme="minorHAnsi"/>
          <w:sz w:val="24"/>
          <w:szCs w:val="24"/>
        </w:rPr>
        <w:t>,</w:t>
      </w:r>
      <w:r w:rsidRPr="007E7C5B" w:rsidDel="00D13079">
        <w:rPr>
          <w:rFonts w:ascii="Arial Narrow" w:hAnsi="Arial Narrow" w:cstheme="minorHAnsi"/>
          <w:sz w:val="24"/>
          <w:szCs w:val="24"/>
        </w:rPr>
        <w:t xml:space="preserve"> </w:t>
      </w:r>
      <w:r w:rsidR="00D13079" w:rsidRPr="007E7C5B">
        <w:rPr>
          <w:rFonts w:ascii="Arial Narrow" w:hAnsi="Arial Narrow" w:cstheme="minorHAnsi"/>
          <w:sz w:val="24"/>
          <w:szCs w:val="24"/>
        </w:rPr>
        <w:t>p</w:t>
      </w:r>
      <w:r w:rsidR="001B4CE3" w:rsidRPr="00A918AC">
        <w:rPr>
          <w:rFonts w:ascii="Arial Narrow" w:hAnsi="Arial Narrow" w:cstheme="minorHAnsi"/>
          <w:sz w:val="24"/>
          <w:szCs w:val="24"/>
        </w:rPr>
        <w:t>our ce qui est de la</w:t>
      </w:r>
      <w:r w:rsidR="001B4CE3" w:rsidRPr="007E7C5B">
        <w:rPr>
          <w:rFonts w:ascii="Arial Narrow" w:hAnsi="Arial Narrow" w:cstheme="minorHAnsi"/>
          <w:b/>
          <w:bCs/>
          <w:sz w:val="24"/>
          <w:szCs w:val="24"/>
        </w:rPr>
        <w:t xml:space="preserve"> régulation du secteur pharmaceutique</w:t>
      </w:r>
      <w:r w:rsidR="001B4CE3" w:rsidRPr="007E7C5B">
        <w:rPr>
          <w:rFonts w:ascii="Arial Narrow" w:hAnsi="Arial Narrow" w:cstheme="minorHAnsi"/>
          <w:sz w:val="24"/>
          <w:szCs w:val="24"/>
        </w:rPr>
        <w:t>, le Ministère a élaboré la loi sur la biologie médicale qui est en cours d’adoption</w:t>
      </w:r>
      <w:r w:rsidR="006141E9" w:rsidRPr="007E7C5B">
        <w:rPr>
          <w:rFonts w:ascii="Arial Narrow" w:hAnsi="Arial Narrow" w:cstheme="minorHAnsi"/>
          <w:sz w:val="24"/>
          <w:szCs w:val="24"/>
        </w:rPr>
        <w:t>.</w:t>
      </w:r>
      <w:r w:rsidR="001B4CE3" w:rsidRPr="007E7C5B">
        <w:rPr>
          <w:rFonts w:ascii="Arial Narrow" w:hAnsi="Arial Narrow" w:cstheme="minorHAnsi"/>
          <w:sz w:val="24"/>
          <w:szCs w:val="24"/>
        </w:rPr>
        <w:t xml:space="preserve"> </w:t>
      </w:r>
      <w:r w:rsidR="006141E9" w:rsidRPr="007E7C5B">
        <w:rPr>
          <w:rFonts w:ascii="Arial Narrow" w:hAnsi="Arial Narrow" w:cstheme="minorHAnsi"/>
          <w:sz w:val="24"/>
          <w:szCs w:val="24"/>
        </w:rPr>
        <w:t>L</w:t>
      </w:r>
      <w:r w:rsidR="001B4CE3" w:rsidRPr="007E7C5B">
        <w:rPr>
          <w:rFonts w:ascii="Arial Narrow" w:hAnsi="Arial Narrow" w:cstheme="minorHAnsi"/>
          <w:sz w:val="24"/>
          <w:szCs w:val="24"/>
        </w:rPr>
        <w:t>a Politique Pharmaceutique Nationale (PPN)</w:t>
      </w:r>
      <w:r w:rsidR="001B4CE3" w:rsidRPr="007E7C5B" w:rsidDel="003159D5">
        <w:rPr>
          <w:rFonts w:ascii="Arial Narrow" w:hAnsi="Arial Narrow" w:cstheme="minorHAnsi"/>
          <w:sz w:val="24"/>
          <w:szCs w:val="24"/>
        </w:rPr>
        <w:t xml:space="preserve"> </w:t>
      </w:r>
      <w:r w:rsidR="003159D5" w:rsidRPr="007E7C5B">
        <w:rPr>
          <w:rFonts w:ascii="Arial Narrow" w:hAnsi="Arial Narrow" w:cstheme="minorHAnsi"/>
          <w:sz w:val="24"/>
          <w:szCs w:val="24"/>
        </w:rPr>
        <w:t>qui</w:t>
      </w:r>
      <w:r w:rsidR="001B4CE3" w:rsidRPr="007E7C5B">
        <w:rPr>
          <w:rFonts w:ascii="Arial Narrow" w:hAnsi="Arial Narrow" w:cstheme="minorHAnsi"/>
          <w:sz w:val="24"/>
          <w:szCs w:val="24"/>
        </w:rPr>
        <w:t xml:space="preserve"> </w:t>
      </w:r>
      <w:r w:rsidR="00802AA3" w:rsidRPr="007E7C5B">
        <w:rPr>
          <w:rFonts w:ascii="Arial Narrow" w:hAnsi="Arial Narrow" w:cstheme="minorHAnsi"/>
          <w:sz w:val="24"/>
          <w:szCs w:val="24"/>
        </w:rPr>
        <w:t>définit</w:t>
      </w:r>
      <w:r w:rsidR="001B4CE3" w:rsidRPr="007E7C5B">
        <w:rPr>
          <w:rFonts w:ascii="Arial Narrow" w:hAnsi="Arial Narrow" w:cstheme="minorHAnsi"/>
          <w:sz w:val="24"/>
          <w:szCs w:val="24"/>
        </w:rPr>
        <w:t xml:space="preserve"> les priorités des interventions</w:t>
      </w:r>
      <w:r w:rsidR="003159D5" w:rsidRPr="007E7C5B">
        <w:rPr>
          <w:rFonts w:ascii="Arial Narrow" w:hAnsi="Arial Narrow" w:cstheme="minorHAnsi"/>
          <w:sz w:val="24"/>
          <w:szCs w:val="24"/>
        </w:rPr>
        <w:t xml:space="preserve"> a été adoptée</w:t>
      </w:r>
      <w:r w:rsidR="001B4CE3" w:rsidRPr="007E7C5B">
        <w:rPr>
          <w:rFonts w:ascii="Arial Narrow" w:hAnsi="Arial Narrow" w:cstheme="minorHAnsi"/>
          <w:sz w:val="24"/>
          <w:szCs w:val="24"/>
        </w:rPr>
        <w:t xml:space="preserve">. De plus, le Plan National Stratégique de la Chaîne d’Approvisionnement (PNSCA) 2023-2025 ainsi que le Plan National Stratégique des Laboratoires de Biologie Médicale (PNSLAB) 2023 ont été élaboré. </w:t>
      </w:r>
    </w:p>
    <w:p w14:paraId="401E8780" w14:textId="50D87A41" w:rsidR="001B4CE3" w:rsidRPr="007E7C5B" w:rsidRDefault="001B4CE3" w:rsidP="00761F55">
      <w:pPr>
        <w:jc w:val="both"/>
        <w:rPr>
          <w:rFonts w:ascii="Arial Narrow" w:hAnsi="Arial Narrow" w:cstheme="minorHAnsi"/>
          <w:sz w:val="24"/>
          <w:szCs w:val="24"/>
        </w:rPr>
      </w:pPr>
      <w:r w:rsidRPr="007E7C5B">
        <w:rPr>
          <w:rFonts w:ascii="Arial Narrow" w:hAnsi="Arial Narrow" w:cstheme="minorHAnsi"/>
          <w:sz w:val="24"/>
          <w:szCs w:val="24"/>
        </w:rPr>
        <w:t>La mise en œuvre de ces plans a permis</w:t>
      </w:r>
      <w:r w:rsidRPr="007E7C5B" w:rsidDel="00D66022">
        <w:rPr>
          <w:rFonts w:ascii="Arial Narrow" w:hAnsi="Arial Narrow" w:cstheme="minorHAnsi"/>
          <w:sz w:val="24"/>
          <w:szCs w:val="24"/>
        </w:rPr>
        <w:t xml:space="preserve"> </w:t>
      </w:r>
      <w:r w:rsidRPr="007E7C5B">
        <w:rPr>
          <w:rFonts w:ascii="Arial Narrow" w:hAnsi="Arial Narrow" w:cstheme="minorHAnsi"/>
          <w:sz w:val="24"/>
          <w:szCs w:val="24"/>
        </w:rPr>
        <w:t xml:space="preserve">: </w:t>
      </w:r>
      <w:r w:rsidRPr="00A918AC">
        <w:rPr>
          <w:rFonts w:ascii="Arial Narrow" w:hAnsi="Arial Narrow" w:cstheme="minorHAnsi"/>
          <w:i/>
          <w:sz w:val="24"/>
          <w:szCs w:val="24"/>
        </w:rPr>
        <w:t>(i)</w:t>
      </w:r>
      <w:r w:rsidRPr="007E7C5B">
        <w:rPr>
          <w:rFonts w:ascii="Arial Narrow" w:hAnsi="Arial Narrow" w:cstheme="minorHAnsi"/>
          <w:sz w:val="24"/>
          <w:szCs w:val="24"/>
        </w:rPr>
        <w:t xml:space="preserve"> la révision de la Liste Nationale de Médicaments Essentiels (LNME) en 2023 pour une période de 3 ans</w:t>
      </w:r>
      <w:r w:rsidR="00AD5A30" w:rsidRPr="007E7C5B">
        <w:rPr>
          <w:rFonts w:ascii="Arial Narrow" w:hAnsi="Arial Narrow" w:cstheme="minorHAnsi"/>
          <w:sz w:val="24"/>
          <w:szCs w:val="24"/>
        </w:rPr>
        <w:t> ;</w:t>
      </w:r>
      <w:r w:rsidRPr="007E7C5B">
        <w:rPr>
          <w:rFonts w:ascii="Arial Narrow" w:hAnsi="Arial Narrow" w:cstheme="minorHAnsi"/>
          <w:sz w:val="24"/>
          <w:szCs w:val="24"/>
        </w:rPr>
        <w:t xml:space="preserve"> </w:t>
      </w:r>
      <w:r w:rsidRPr="00A918AC">
        <w:rPr>
          <w:rFonts w:ascii="Arial Narrow" w:hAnsi="Arial Narrow" w:cstheme="minorHAnsi"/>
          <w:i/>
          <w:sz w:val="24"/>
          <w:szCs w:val="24"/>
        </w:rPr>
        <w:t>(ii)</w:t>
      </w:r>
      <w:r w:rsidRPr="007E7C5B">
        <w:rPr>
          <w:rFonts w:ascii="Arial Narrow" w:hAnsi="Arial Narrow" w:cstheme="minorHAnsi"/>
          <w:sz w:val="24"/>
          <w:szCs w:val="24"/>
        </w:rPr>
        <w:t xml:space="preserve"> la réalisation de la cartographie des appuis et du financement du secteur pharmaceutique (2019-2022)</w:t>
      </w:r>
      <w:r w:rsidR="00AD5A30" w:rsidRPr="007E7C5B">
        <w:rPr>
          <w:rFonts w:ascii="Arial Narrow" w:hAnsi="Arial Narrow" w:cstheme="minorHAnsi"/>
          <w:sz w:val="24"/>
          <w:szCs w:val="24"/>
        </w:rPr>
        <w:t> ;</w:t>
      </w:r>
      <w:r w:rsidRPr="007E7C5B">
        <w:rPr>
          <w:rFonts w:ascii="Arial Narrow" w:hAnsi="Arial Narrow" w:cstheme="minorHAnsi"/>
          <w:sz w:val="24"/>
          <w:szCs w:val="24"/>
        </w:rPr>
        <w:t xml:space="preserve"> </w:t>
      </w:r>
      <w:r w:rsidRPr="00A918AC">
        <w:rPr>
          <w:rFonts w:ascii="Arial Narrow" w:hAnsi="Arial Narrow" w:cstheme="minorHAnsi"/>
          <w:i/>
          <w:sz w:val="24"/>
          <w:szCs w:val="24"/>
        </w:rPr>
        <w:t>(iii)</w:t>
      </w:r>
      <w:r w:rsidRPr="007E7C5B">
        <w:rPr>
          <w:rFonts w:ascii="Arial Narrow" w:hAnsi="Arial Narrow" w:cstheme="minorHAnsi"/>
          <w:sz w:val="24"/>
          <w:szCs w:val="24"/>
        </w:rPr>
        <w:t xml:space="preserve"> l’élaboration et la mise en œuvre du plan de distribution des produits de santé par l’élaboration de circuit optimisé pour les PRES de Man, de Daloa, et de Korhogo</w:t>
      </w:r>
      <w:r w:rsidR="00AD5A30" w:rsidRPr="007E7C5B">
        <w:rPr>
          <w:rFonts w:ascii="Arial Narrow" w:hAnsi="Arial Narrow" w:cstheme="minorHAnsi"/>
          <w:sz w:val="24"/>
          <w:szCs w:val="24"/>
        </w:rPr>
        <w:t> ;</w:t>
      </w:r>
      <w:r w:rsidRPr="007E7C5B">
        <w:rPr>
          <w:rFonts w:ascii="Arial Narrow" w:hAnsi="Arial Narrow" w:cstheme="minorHAnsi"/>
          <w:sz w:val="24"/>
          <w:szCs w:val="24"/>
        </w:rPr>
        <w:t xml:space="preserve"> </w:t>
      </w:r>
      <w:r w:rsidRPr="00A918AC">
        <w:rPr>
          <w:rFonts w:ascii="Arial Narrow" w:hAnsi="Arial Narrow" w:cstheme="minorHAnsi"/>
          <w:i/>
          <w:sz w:val="24"/>
          <w:szCs w:val="24"/>
        </w:rPr>
        <w:t>(</w:t>
      </w:r>
      <w:r w:rsidR="006469F8" w:rsidRPr="007E7C5B">
        <w:rPr>
          <w:rFonts w:ascii="Arial Narrow" w:hAnsi="Arial Narrow" w:cstheme="minorHAnsi"/>
          <w:i/>
          <w:iCs/>
          <w:sz w:val="24"/>
          <w:szCs w:val="24"/>
        </w:rPr>
        <w:t>i</w:t>
      </w:r>
      <w:r w:rsidRPr="00A918AC">
        <w:rPr>
          <w:rFonts w:ascii="Arial Narrow" w:hAnsi="Arial Narrow" w:cstheme="minorHAnsi"/>
          <w:i/>
          <w:sz w:val="24"/>
          <w:szCs w:val="24"/>
        </w:rPr>
        <w:t>v)</w:t>
      </w:r>
      <w:r w:rsidRPr="007E7C5B">
        <w:rPr>
          <w:rFonts w:ascii="Arial Narrow" w:hAnsi="Arial Narrow" w:cstheme="minorHAnsi"/>
          <w:sz w:val="24"/>
          <w:szCs w:val="24"/>
        </w:rPr>
        <w:t xml:space="preserve"> le déploiement de </w:t>
      </w:r>
      <w:proofErr w:type="spellStart"/>
      <w:r w:rsidRPr="007E7C5B">
        <w:rPr>
          <w:rFonts w:ascii="Arial Narrow" w:hAnsi="Arial Narrow" w:cstheme="minorHAnsi"/>
          <w:sz w:val="24"/>
          <w:szCs w:val="24"/>
        </w:rPr>
        <w:t>mSupply</w:t>
      </w:r>
      <w:proofErr w:type="spellEnd"/>
      <w:r w:rsidRPr="007E7C5B">
        <w:rPr>
          <w:rFonts w:ascii="Arial Narrow" w:hAnsi="Arial Narrow" w:cstheme="minorHAnsi"/>
          <w:sz w:val="24"/>
          <w:szCs w:val="24"/>
        </w:rPr>
        <w:t xml:space="preserve"> dans 61 districts sanitaires avec un taux d’utilisation de 71,06%</w:t>
      </w:r>
      <w:r w:rsidR="00AD5A30" w:rsidRPr="007E7C5B">
        <w:rPr>
          <w:rFonts w:ascii="Arial Narrow" w:hAnsi="Arial Narrow" w:cstheme="minorHAnsi"/>
          <w:sz w:val="24"/>
          <w:szCs w:val="24"/>
        </w:rPr>
        <w:t> ;</w:t>
      </w:r>
      <w:r w:rsidRPr="007E7C5B">
        <w:rPr>
          <w:rFonts w:ascii="Arial Narrow" w:hAnsi="Arial Narrow" w:cstheme="minorHAnsi"/>
          <w:sz w:val="24"/>
          <w:szCs w:val="24"/>
        </w:rPr>
        <w:t xml:space="preserve"> </w:t>
      </w:r>
      <w:r w:rsidRPr="00A918AC">
        <w:rPr>
          <w:rFonts w:ascii="Arial Narrow" w:hAnsi="Arial Narrow" w:cstheme="minorHAnsi"/>
          <w:i/>
          <w:iCs/>
          <w:sz w:val="24"/>
          <w:szCs w:val="24"/>
        </w:rPr>
        <w:t>(v</w:t>
      </w:r>
      <w:r w:rsidRPr="00A918AC">
        <w:rPr>
          <w:rFonts w:ascii="Arial Narrow" w:hAnsi="Arial Narrow" w:cstheme="minorHAnsi"/>
          <w:i/>
          <w:sz w:val="24"/>
          <w:szCs w:val="24"/>
        </w:rPr>
        <w:t>)</w:t>
      </w:r>
      <w:r w:rsidRPr="007E7C5B">
        <w:rPr>
          <w:rFonts w:ascii="Arial Narrow" w:hAnsi="Arial Narrow" w:cstheme="minorHAnsi"/>
          <w:sz w:val="24"/>
          <w:szCs w:val="24"/>
        </w:rPr>
        <w:t xml:space="preserve"> la formation habilitante de 314 nouveaux pharmaciens et PGP nouvellement affectés</w:t>
      </w:r>
      <w:r w:rsidR="00D66022" w:rsidRPr="007E7C5B">
        <w:rPr>
          <w:rFonts w:ascii="Arial Narrow" w:hAnsi="Arial Narrow" w:cstheme="minorHAnsi"/>
          <w:sz w:val="24"/>
          <w:szCs w:val="24"/>
        </w:rPr>
        <w:t> </w:t>
      </w:r>
      <w:r w:rsidR="006469F8" w:rsidRPr="007E7C5B">
        <w:rPr>
          <w:rFonts w:ascii="Arial Narrow" w:hAnsi="Arial Narrow" w:cstheme="minorHAnsi"/>
          <w:sz w:val="24"/>
          <w:szCs w:val="24"/>
        </w:rPr>
        <w:t>et</w:t>
      </w:r>
      <w:r w:rsidRPr="007E7C5B">
        <w:rPr>
          <w:rFonts w:ascii="Arial Narrow" w:hAnsi="Arial Narrow" w:cstheme="minorHAnsi"/>
          <w:sz w:val="24"/>
          <w:szCs w:val="24"/>
        </w:rPr>
        <w:t xml:space="preserve"> </w:t>
      </w:r>
      <w:r w:rsidRPr="00A918AC">
        <w:rPr>
          <w:rFonts w:ascii="Arial Narrow" w:hAnsi="Arial Narrow" w:cstheme="minorHAnsi"/>
          <w:i/>
          <w:iCs/>
          <w:sz w:val="24"/>
          <w:szCs w:val="24"/>
        </w:rPr>
        <w:t>(vi)</w:t>
      </w:r>
      <w:r w:rsidR="006469F8" w:rsidRPr="007E7C5B">
        <w:rPr>
          <w:rFonts w:ascii="Arial Narrow" w:hAnsi="Arial Narrow" w:cstheme="minorHAnsi"/>
          <w:sz w:val="24"/>
          <w:szCs w:val="24"/>
        </w:rPr>
        <w:t> </w:t>
      </w:r>
      <w:r w:rsidRPr="007E7C5B">
        <w:rPr>
          <w:rFonts w:ascii="Arial Narrow" w:hAnsi="Arial Narrow" w:cstheme="minorHAnsi"/>
          <w:sz w:val="24"/>
          <w:szCs w:val="24"/>
        </w:rPr>
        <w:t>la réalisation de neuf (09) exercices de quantification, ainsi que la tenue de réunions de suivi de stock.</w:t>
      </w:r>
    </w:p>
    <w:p w14:paraId="7BD4074B" w14:textId="101EF350" w:rsidR="00863663" w:rsidRPr="00FF2546" w:rsidRDefault="00315C45" w:rsidP="00761F55">
      <w:pPr>
        <w:jc w:val="both"/>
        <w:rPr>
          <w:rFonts w:ascii="Arial Narrow" w:hAnsi="Arial Narrow" w:cstheme="minorHAnsi"/>
          <w:sz w:val="24"/>
          <w:szCs w:val="24"/>
        </w:rPr>
      </w:pPr>
      <w:r w:rsidRPr="00B82295">
        <w:rPr>
          <w:rFonts w:cstheme="minorHAnsi"/>
          <w:noProof/>
          <w:sz w:val="24"/>
          <w:szCs w:val="24"/>
        </w:rPr>
        <w:lastRenderedPageBreak/>
        <mc:AlternateContent>
          <mc:Choice Requires="wps">
            <w:drawing>
              <wp:anchor distT="0" distB="0" distL="114300" distR="114300" simplePos="0" relativeHeight="251658258" behindDoc="0" locked="0" layoutInCell="1" allowOverlap="1" wp14:anchorId="5A0EA4E8" wp14:editId="1F1AF66E">
                <wp:simplePos x="0" y="0"/>
                <wp:positionH relativeFrom="margin">
                  <wp:align>left</wp:align>
                </wp:positionH>
                <wp:positionV relativeFrom="paragraph">
                  <wp:posOffset>29210</wp:posOffset>
                </wp:positionV>
                <wp:extent cx="3302000" cy="2384425"/>
                <wp:effectExtent l="0" t="0" r="12700" b="15875"/>
                <wp:wrapSquare wrapText="bothSides"/>
                <wp:docPr id="1040299344" name="Text Box 7"/>
                <wp:cNvGraphicFramePr/>
                <a:graphic xmlns:a="http://schemas.openxmlformats.org/drawingml/2006/main">
                  <a:graphicData uri="http://schemas.microsoft.com/office/word/2010/wordprocessingShape">
                    <wps:wsp>
                      <wps:cNvSpPr txBox="1"/>
                      <wps:spPr>
                        <a:xfrm>
                          <a:off x="0" y="0"/>
                          <a:ext cx="3302000" cy="2384474"/>
                        </a:xfrm>
                        <a:prstGeom prst="rect">
                          <a:avLst/>
                        </a:prstGeom>
                        <a:solidFill>
                          <a:schemeClr val="lt1"/>
                        </a:solidFill>
                        <a:ln w="6350">
                          <a:solidFill>
                            <a:schemeClr val="bg1">
                              <a:lumMod val="75000"/>
                            </a:schemeClr>
                          </a:solidFill>
                        </a:ln>
                      </wps:spPr>
                      <wps:txbx>
                        <w:txbxContent>
                          <w:p w14:paraId="59F11C13" w14:textId="61EF0C22" w:rsidR="00315C45" w:rsidRPr="009F2C0C" w:rsidRDefault="00315C45" w:rsidP="00DC5897">
                            <w:pPr>
                              <w:pStyle w:val="Lgende"/>
                            </w:pPr>
                            <w:bookmarkStart w:id="59" w:name="_Toc178328898"/>
                            <w:bookmarkStart w:id="60" w:name="_Toc183688796"/>
                            <w:r w:rsidRPr="009F2C0C">
                              <w:t xml:space="preserve">Graphique </w:t>
                            </w:r>
                            <w:r>
                              <w:fldChar w:fldCharType="begin"/>
                            </w:r>
                            <w:r w:rsidRPr="009F2C0C">
                              <w:instrText xml:space="preserve"> SEQ Graphique \* ARABIC </w:instrText>
                            </w:r>
                            <w:r>
                              <w:fldChar w:fldCharType="separate"/>
                            </w:r>
                            <w:r w:rsidR="00F546EB">
                              <w:rPr>
                                <w:noProof/>
                              </w:rPr>
                              <w:t>9</w:t>
                            </w:r>
                            <w:r>
                              <w:fldChar w:fldCharType="end"/>
                            </w:r>
                            <w:r w:rsidRPr="009F2C0C">
                              <w:t xml:space="preserve"> : Taux de disponibilité des produits traceurs dans les établissements de premier contact</w:t>
                            </w:r>
                            <w:bookmarkEnd w:id="59"/>
                            <w:bookmarkEnd w:id="60"/>
                          </w:p>
                          <w:p w14:paraId="11CEEE1B" w14:textId="74677AF6" w:rsidR="00315C45" w:rsidRDefault="009A2A3F" w:rsidP="00315C45">
                            <w:pPr>
                              <w:keepNext/>
                            </w:pPr>
                            <w:r>
                              <w:rPr>
                                <w:noProof/>
                              </w:rPr>
                              <w:drawing>
                                <wp:inline distT="0" distB="0" distL="0" distR="0" wp14:anchorId="40E52874" wp14:editId="505EBCDC">
                                  <wp:extent cx="3045655" cy="1546860"/>
                                  <wp:effectExtent l="0" t="0" r="2540" b="15240"/>
                                  <wp:docPr id="1960821094" name="Chart 1">
                                    <a:extLst xmlns:a="http://schemas.openxmlformats.org/drawingml/2006/main">
                                      <a:ext uri="{FF2B5EF4-FFF2-40B4-BE49-F238E27FC236}">
                                        <a16:creationId xmlns:a16="http://schemas.microsoft.com/office/drawing/2014/main" id="{9286C126-F965-D5B2-44FC-62774FB107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A91362F" w14:textId="77777777" w:rsidR="00315C45" w:rsidRDefault="00315C45" w:rsidP="00DC5897">
                            <w:pPr>
                              <w:pStyle w:val="Lgende"/>
                            </w:pPr>
                            <w:r>
                              <w:t xml:space="preserve">Source : </w:t>
                            </w:r>
                            <w:r w:rsidRPr="00A65E37">
                              <w:t>Rapports d'activités CNTS</w:t>
                            </w:r>
                          </w:p>
                          <w:p w14:paraId="3FD881A4" w14:textId="77777777" w:rsidR="00315C45" w:rsidRPr="00B82295" w:rsidRDefault="00315C45" w:rsidP="00315C45">
                            <w:pPr>
                              <w:keepNext/>
                            </w:pPr>
                          </w:p>
                          <w:p w14:paraId="6FF23EE0" w14:textId="77777777" w:rsidR="00315C45" w:rsidRPr="00B82295" w:rsidRDefault="00315C45" w:rsidP="00315C45">
                            <w:pPr>
                              <w:keepNext/>
                            </w:pPr>
                          </w:p>
                          <w:p w14:paraId="3B631076" w14:textId="77777777" w:rsidR="00315C45" w:rsidRPr="00B82295" w:rsidRDefault="00315C45" w:rsidP="00315C45">
                            <w:pPr>
                              <w:keepNext/>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A0EA4E8" id="_x0000_s1038" type="#_x0000_t202" style="position:absolute;left:0;text-align:left;margin-left:0;margin-top:2.3pt;width:260pt;height:187.75pt;z-index:25165825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" fillcolor="white [3201]" strokecolor="#bfbfbf [2412]" strokeweight=".5pt">
                <v:textbox>
                  <w:txbxContent>
                    <w:p w14:paraId="59F11C13" w14:textId="61EF0C22" w:rsidR="00315C45" w:rsidRPr="009F2C0C" w:rsidRDefault="00315C45" w:rsidP="00DC5897">
                      <w:pPr>
                        <w:pStyle w:val="Lgende"/>
                      </w:pPr>
                      <w:bookmarkStart w:id="69" w:name="_Toc178328898"/>
                      <w:bookmarkStart w:id="70" w:name="_Toc183688796"/>
                      <w:r w:rsidRPr="009F2C0C">
                        <w:t xml:space="preserve">Graphique </w:t>
                      </w:r>
                      <w:r>
                        <w:fldChar w:fldCharType="begin"/>
                      </w:r>
                      <w:r w:rsidRPr="009F2C0C">
                        <w:instrText xml:space="preserve"> SEQ Graphique \* ARABIC </w:instrText>
                      </w:r>
                      <w:r>
                        <w:fldChar w:fldCharType="separate"/>
                      </w:r>
                      <w:r w:rsidR="00F546EB">
                        <w:rPr>
                          <w:noProof/>
                        </w:rPr>
                        <w:t>9</w:t>
                      </w:r>
                      <w:r>
                        <w:fldChar w:fldCharType="end"/>
                      </w:r>
                      <w:r w:rsidRPr="009F2C0C">
                        <w:t xml:space="preserve"> : Taux de disponibilité des produits traceurs dans les établissements de premier contact</w:t>
                      </w:r>
                      <w:bookmarkEnd w:id="69"/>
                      <w:bookmarkEnd w:id="70"/>
                    </w:p>
                    <w:p w14:paraId="11CEEE1B" w14:textId="74677AF6" w:rsidR="00315C45" w:rsidRDefault="009A2A3F" w:rsidP="00315C45">
                      <w:pPr>
                        <w:keepNext/>
                      </w:pPr>
                      <w:r>
                        <w:rPr>
                          <w:noProof/>
                        </w:rPr>
                        <w:drawing>
                          <wp:inline distT="0" distB="0" distL="0" distR="0" wp14:anchorId="40E52874" wp14:editId="505EBCDC">
                            <wp:extent cx="3045655" cy="1546860"/>
                            <wp:effectExtent l="0" t="0" r="2540" b="15240"/>
                            <wp:docPr id="1960821094" name="Chart 1">
                              <a:extLst xmlns:a="http://schemas.openxmlformats.org/drawingml/2006/main">
                                <a:ext uri="{FF2B5EF4-FFF2-40B4-BE49-F238E27FC236}">
                                  <a16:creationId xmlns:a16="http://schemas.microsoft.com/office/drawing/2014/main" id="{9286C126-F965-D5B2-44FC-62774FB107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A91362F" w14:textId="77777777" w:rsidR="00315C45" w:rsidRDefault="00315C45" w:rsidP="00DC5897">
                      <w:pPr>
                        <w:pStyle w:val="Lgende"/>
                      </w:pPr>
                      <w:r>
                        <w:t xml:space="preserve">Source : </w:t>
                      </w:r>
                      <w:r w:rsidRPr="00A65E37">
                        <w:t>Rapports d'activités CNTS</w:t>
                      </w:r>
                    </w:p>
                    <w:p w14:paraId="3FD881A4" w14:textId="77777777" w:rsidR="00315C45" w:rsidRPr="00B82295" w:rsidRDefault="00315C45" w:rsidP="00315C45">
                      <w:pPr>
                        <w:keepNext/>
                      </w:pPr>
                    </w:p>
                    <w:p w14:paraId="6FF23EE0" w14:textId="77777777" w:rsidR="00315C45" w:rsidRPr="00B82295" w:rsidRDefault="00315C45" w:rsidP="00315C45">
                      <w:pPr>
                        <w:keepNext/>
                      </w:pPr>
                    </w:p>
                    <w:p w14:paraId="3B631076" w14:textId="77777777" w:rsidR="00315C45" w:rsidRPr="00B82295" w:rsidRDefault="00315C45" w:rsidP="00315C45">
                      <w:pPr>
                        <w:keepNext/>
                        <w:rPr>
                          <w:sz w:val="14"/>
                          <w:szCs w:val="14"/>
                        </w:rPr>
                      </w:pPr>
                    </w:p>
                  </w:txbxContent>
                </v:textbox>
                <w10:wrap type="square" anchorx="margin"/>
              </v:shape>
            </w:pict>
          </mc:Fallback>
        </mc:AlternateContent>
      </w:r>
      <w:r w:rsidR="0084742D" w:rsidRPr="00A918AC">
        <w:rPr>
          <w:rFonts w:ascii="Arial Narrow" w:hAnsi="Arial Narrow"/>
          <w:sz w:val="24"/>
          <w:szCs w:val="24"/>
        </w:rPr>
        <w:t xml:space="preserve">En ce qui concerne </w:t>
      </w:r>
      <w:r w:rsidR="00E75702" w:rsidRPr="00A918AC">
        <w:rPr>
          <w:rFonts w:ascii="Arial Narrow" w:hAnsi="Arial Narrow" w:cstheme="minorHAnsi"/>
          <w:sz w:val="24"/>
          <w:szCs w:val="24"/>
        </w:rPr>
        <w:t>la</w:t>
      </w:r>
      <w:r w:rsidR="00E75702" w:rsidRPr="007E7C5B">
        <w:rPr>
          <w:rFonts w:ascii="Arial Narrow" w:hAnsi="Arial Narrow" w:cstheme="minorHAnsi"/>
          <w:b/>
          <w:sz w:val="24"/>
          <w:szCs w:val="24"/>
        </w:rPr>
        <w:t xml:space="preserve"> disponibilité des produits de santé</w:t>
      </w:r>
      <w:r w:rsidR="00E75702" w:rsidRPr="007E7C5B">
        <w:rPr>
          <w:rFonts w:ascii="Arial Narrow" w:hAnsi="Arial Narrow" w:cstheme="minorHAnsi"/>
          <w:sz w:val="24"/>
          <w:szCs w:val="24"/>
        </w:rPr>
        <w:t xml:space="preserve">, celle des produits traceurs au niveau des sites clients directs de la NPSP connaît une légère hausse de 1,1 point, passant de 82,9% en 2021 à 84% en 2023. </w:t>
      </w:r>
      <w:r w:rsidR="00E75702" w:rsidRPr="00FF2546">
        <w:rPr>
          <w:rFonts w:ascii="Arial Narrow" w:hAnsi="Arial Narrow" w:cstheme="minorHAnsi"/>
          <w:sz w:val="24"/>
          <w:szCs w:val="24"/>
        </w:rPr>
        <w:t>Cette augmentation est due aux différentes actions réalisées, à savoir</w:t>
      </w:r>
      <w:r w:rsidR="00155CFC" w:rsidRPr="00FF2546">
        <w:rPr>
          <w:rFonts w:ascii="Arial Narrow" w:hAnsi="Arial Narrow" w:cstheme="minorHAnsi"/>
          <w:sz w:val="24"/>
          <w:szCs w:val="24"/>
        </w:rPr>
        <w:t> </w:t>
      </w:r>
      <w:r w:rsidR="00E75702" w:rsidRPr="00FF2546">
        <w:rPr>
          <w:rFonts w:ascii="Arial Narrow" w:hAnsi="Arial Narrow" w:cstheme="minorHAnsi"/>
          <w:sz w:val="24"/>
          <w:szCs w:val="24"/>
        </w:rPr>
        <w:t xml:space="preserve">: </w:t>
      </w:r>
      <w:r w:rsidR="00E75702" w:rsidRPr="00FF2546">
        <w:rPr>
          <w:rFonts w:ascii="Arial Narrow" w:hAnsi="Arial Narrow" w:cstheme="minorHAnsi"/>
          <w:i/>
          <w:sz w:val="24"/>
          <w:szCs w:val="24"/>
        </w:rPr>
        <w:t>(i)</w:t>
      </w:r>
      <w:r w:rsidR="00D25445" w:rsidRPr="00FF2546">
        <w:rPr>
          <w:rFonts w:ascii="Arial Narrow" w:hAnsi="Arial Narrow" w:cstheme="minorHAnsi"/>
          <w:sz w:val="24"/>
          <w:szCs w:val="24"/>
        </w:rPr>
        <w:t> </w:t>
      </w:r>
      <w:r w:rsidR="0080315D" w:rsidRPr="00FF2546">
        <w:rPr>
          <w:rFonts w:ascii="Arial Narrow" w:hAnsi="Arial Narrow" w:cstheme="minorHAnsi"/>
          <w:sz w:val="24"/>
          <w:szCs w:val="24"/>
        </w:rPr>
        <w:t>l</w:t>
      </w:r>
      <w:r w:rsidR="00E75702" w:rsidRPr="00FF2546">
        <w:rPr>
          <w:rFonts w:ascii="Arial Narrow" w:hAnsi="Arial Narrow" w:cstheme="minorHAnsi"/>
          <w:sz w:val="24"/>
          <w:szCs w:val="24"/>
        </w:rPr>
        <w:t xml:space="preserve">’opérationnalisation des 03 dépôts régionaux (Man, Korhogo et Odienné) </w:t>
      </w:r>
      <w:r w:rsidR="00FF2546" w:rsidRPr="007E7C5B">
        <w:rPr>
          <w:rFonts w:ascii="Arial Narrow" w:eastAsia="Times New Roman" w:hAnsi="Arial Narrow" w:cs="Arial"/>
          <w:sz w:val="24"/>
          <w:szCs w:val="24"/>
        </w:rPr>
        <w:t>ayant permis l’augmentation des capacités opérationnelles de stockage (33 058 palettes en 2021 à 35 250 palettes en 2024) </w:t>
      </w:r>
      <w:r w:rsidR="00E75702" w:rsidRPr="00FF2546">
        <w:rPr>
          <w:rFonts w:ascii="Arial Narrow" w:hAnsi="Arial Narrow" w:cstheme="minorHAnsi"/>
          <w:sz w:val="24"/>
          <w:szCs w:val="24"/>
        </w:rPr>
        <w:t xml:space="preserve">; </w:t>
      </w:r>
      <w:r w:rsidR="00E75702" w:rsidRPr="00FF2546">
        <w:rPr>
          <w:rFonts w:ascii="Arial Narrow" w:hAnsi="Arial Narrow" w:cstheme="minorHAnsi"/>
          <w:i/>
          <w:sz w:val="24"/>
          <w:szCs w:val="24"/>
        </w:rPr>
        <w:t>(ii)</w:t>
      </w:r>
      <w:r w:rsidR="00E75702" w:rsidRPr="00FF2546">
        <w:rPr>
          <w:rFonts w:ascii="Arial Narrow" w:hAnsi="Arial Narrow" w:cstheme="minorHAnsi"/>
          <w:sz w:val="24"/>
          <w:szCs w:val="24"/>
        </w:rPr>
        <w:t xml:space="preserve"> la mise en œuvre du plan</w:t>
      </w:r>
      <w:r w:rsidR="006A0168" w:rsidRPr="00FF2546">
        <w:rPr>
          <w:rFonts w:ascii="Arial Narrow" w:hAnsi="Arial Narrow" w:cstheme="minorHAnsi"/>
          <w:sz w:val="24"/>
          <w:szCs w:val="24"/>
        </w:rPr>
        <w:t xml:space="preserve"> </w:t>
      </w:r>
      <w:r w:rsidR="00E75702" w:rsidRPr="00FF2546">
        <w:rPr>
          <w:rFonts w:ascii="Arial Narrow" w:hAnsi="Arial Narrow" w:cstheme="minorHAnsi"/>
          <w:sz w:val="24"/>
          <w:szCs w:val="24"/>
        </w:rPr>
        <w:t xml:space="preserve">d'optimisation de la distribution des produits de santé au dernier kilomètre, y compris la distribution à base communautaire </w:t>
      </w:r>
      <w:r w:rsidR="004B706B" w:rsidRPr="00FF2546">
        <w:rPr>
          <w:rFonts w:ascii="Arial Narrow" w:hAnsi="Arial Narrow" w:cstheme="minorHAnsi"/>
          <w:sz w:val="24"/>
          <w:szCs w:val="24"/>
        </w:rPr>
        <w:t xml:space="preserve">et </w:t>
      </w:r>
      <w:r w:rsidR="00E75702" w:rsidRPr="00FF2546">
        <w:rPr>
          <w:rFonts w:ascii="Arial Narrow" w:hAnsi="Arial Narrow" w:cstheme="minorHAnsi"/>
          <w:i/>
          <w:sz w:val="24"/>
          <w:szCs w:val="24"/>
        </w:rPr>
        <w:t>(iii)</w:t>
      </w:r>
      <w:r w:rsidR="00E75702" w:rsidRPr="00FF2546">
        <w:rPr>
          <w:rFonts w:ascii="Arial Narrow" w:hAnsi="Arial Narrow" w:cstheme="minorHAnsi"/>
          <w:sz w:val="24"/>
          <w:szCs w:val="24"/>
        </w:rPr>
        <w:t xml:space="preserve"> la formation des acteurs à l’utilisation du logiciel </w:t>
      </w:r>
      <w:proofErr w:type="spellStart"/>
      <w:r w:rsidR="00E75702" w:rsidRPr="00FF2546">
        <w:rPr>
          <w:rFonts w:ascii="Arial Narrow" w:hAnsi="Arial Narrow" w:cstheme="minorHAnsi"/>
          <w:sz w:val="24"/>
          <w:szCs w:val="24"/>
        </w:rPr>
        <w:t>mSupply</w:t>
      </w:r>
      <w:proofErr w:type="spellEnd"/>
      <w:r w:rsidR="006A0168" w:rsidRPr="00FF2546">
        <w:rPr>
          <w:rFonts w:ascii="Arial Narrow" w:hAnsi="Arial Narrow" w:cstheme="minorHAnsi"/>
          <w:sz w:val="24"/>
          <w:szCs w:val="24"/>
        </w:rPr>
        <w:t>.</w:t>
      </w:r>
    </w:p>
    <w:p w14:paraId="138841DD" w14:textId="74641ED2" w:rsidR="00242CBA" w:rsidRPr="007E7C5B" w:rsidRDefault="00242CBA" w:rsidP="00761F55">
      <w:pPr>
        <w:jc w:val="both"/>
        <w:rPr>
          <w:rFonts w:ascii="Arial Narrow" w:eastAsia="Times New Roman" w:hAnsi="Arial Narrow" w:cs="Arial"/>
          <w:sz w:val="24"/>
          <w:szCs w:val="24"/>
        </w:rPr>
      </w:pPr>
      <w:r w:rsidRPr="007E7C5B">
        <w:rPr>
          <w:rFonts w:ascii="Arial Narrow" w:hAnsi="Arial Narrow"/>
          <w:sz w:val="24"/>
          <w:szCs w:val="24"/>
        </w:rPr>
        <w:t xml:space="preserve">Également, </w:t>
      </w:r>
      <w:r w:rsidRPr="007E7C5B">
        <w:rPr>
          <w:rFonts w:ascii="Arial Narrow" w:eastAsia="Times New Roman" w:hAnsi="Arial Narrow" w:cs="Arial"/>
          <w:sz w:val="24"/>
          <w:szCs w:val="24"/>
        </w:rPr>
        <w:t xml:space="preserve">la disponibilité et l’accessibilité géographique des médicaments essentiels et intrants stratégiques du niveau central </w:t>
      </w:r>
      <w:r w:rsidR="0086324C" w:rsidRPr="007E7C5B">
        <w:rPr>
          <w:rFonts w:ascii="Arial Narrow" w:eastAsia="Times New Roman" w:hAnsi="Arial Narrow" w:cs="Arial"/>
          <w:sz w:val="24"/>
          <w:szCs w:val="24"/>
        </w:rPr>
        <w:t>se</w:t>
      </w:r>
      <w:r w:rsidR="00A14D37" w:rsidRPr="007E7C5B">
        <w:rPr>
          <w:rFonts w:ascii="Arial Narrow" w:eastAsia="Times New Roman" w:hAnsi="Arial Narrow" w:cs="Arial"/>
          <w:sz w:val="24"/>
          <w:szCs w:val="24"/>
        </w:rPr>
        <w:t xml:space="preserve"> </w:t>
      </w:r>
      <w:r w:rsidR="0086324C" w:rsidRPr="007E7C5B">
        <w:rPr>
          <w:rFonts w:ascii="Arial Narrow" w:eastAsia="Times New Roman" w:hAnsi="Arial Narrow" w:cs="Arial"/>
          <w:sz w:val="24"/>
          <w:szCs w:val="24"/>
        </w:rPr>
        <w:t>son</w:t>
      </w:r>
      <w:r w:rsidRPr="007E7C5B">
        <w:rPr>
          <w:rFonts w:ascii="Arial Narrow" w:eastAsia="Times New Roman" w:hAnsi="Arial Narrow" w:cs="Arial"/>
          <w:sz w:val="24"/>
          <w:szCs w:val="24"/>
        </w:rPr>
        <w:t>t nettement améliorée</w:t>
      </w:r>
      <w:r w:rsidR="00A14D37" w:rsidRPr="007E7C5B">
        <w:rPr>
          <w:rFonts w:ascii="Arial Narrow" w:eastAsia="Times New Roman" w:hAnsi="Arial Narrow" w:cs="Arial"/>
          <w:sz w:val="24"/>
          <w:szCs w:val="24"/>
        </w:rPr>
        <w:t>s,</w:t>
      </w:r>
      <w:r w:rsidR="00825E60" w:rsidRPr="007E7C5B">
        <w:rPr>
          <w:rFonts w:ascii="Arial Narrow" w:eastAsia="Times New Roman" w:hAnsi="Arial Narrow" w:cs="Arial"/>
          <w:sz w:val="24"/>
          <w:szCs w:val="24"/>
        </w:rPr>
        <w:t xml:space="preserve"> permettant d’assurer </w:t>
      </w:r>
      <w:r w:rsidRPr="007E7C5B">
        <w:rPr>
          <w:rFonts w:ascii="Arial Narrow" w:eastAsia="Times New Roman" w:hAnsi="Arial Narrow" w:cs="Arial"/>
          <w:sz w:val="24"/>
          <w:szCs w:val="24"/>
        </w:rPr>
        <w:t xml:space="preserve">une bonne réponse aux urgences nationales et aux crises sanitaires. </w:t>
      </w:r>
      <w:r w:rsidR="005D0002">
        <w:rPr>
          <w:rFonts w:ascii="Arial Narrow" w:eastAsia="Times New Roman" w:hAnsi="Arial Narrow" w:cs="Arial"/>
          <w:sz w:val="24"/>
          <w:szCs w:val="24"/>
        </w:rPr>
        <w:t>Parmi les progrès</w:t>
      </w:r>
      <w:r w:rsidRPr="007E7C5B">
        <w:rPr>
          <w:rFonts w:ascii="Arial Narrow" w:eastAsia="Times New Roman" w:hAnsi="Arial Narrow" w:cs="Arial"/>
          <w:sz w:val="24"/>
          <w:szCs w:val="24"/>
        </w:rPr>
        <w:t xml:space="preserve">, on note </w:t>
      </w:r>
      <w:r w:rsidR="005D0002">
        <w:rPr>
          <w:rFonts w:ascii="Arial Narrow" w:eastAsia="Times New Roman" w:hAnsi="Arial Narrow" w:cs="Arial"/>
          <w:sz w:val="24"/>
          <w:szCs w:val="24"/>
        </w:rPr>
        <w:t>une hausse</w:t>
      </w:r>
      <w:r w:rsidRPr="00A918AC">
        <w:rPr>
          <w:rFonts w:ascii="Arial Narrow" w:eastAsia="Times New Roman" w:hAnsi="Arial Narrow" w:cs="Arial"/>
          <w:sz w:val="24"/>
          <w:szCs w:val="24"/>
        </w:rPr>
        <w:t xml:space="preserve"> relative du taux de disponibilité des produits traceurs de </w:t>
      </w:r>
      <w:r w:rsidR="00A37E28" w:rsidRPr="007E7C5B">
        <w:rPr>
          <w:rFonts w:ascii="Arial Narrow" w:eastAsia="Times New Roman" w:hAnsi="Arial Narrow" w:cs="Arial"/>
          <w:sz w:val="24"/>
          <w:szCs w:val="24"/>
        </w:rPr>
        <w:t>3</w:t>
      </w:r>
      <w:r w:rsidRPr="00A918AC">
        <w:rPr>
          <w:rFonts w:ascii="Arial Narrow" w:eastAsia="Times New Roman" w:hAnsi="Arial Narrow" w:cs="Arial"/>
          <w:sz w:val="24"/>
          <w:szCs w:val="24"/>
        </w:rPr>
        <w:t xml:space="preserve"> points, passant de 85% en 20</w:t>
      </w:r>
      <w:r w:rsidR="002A1CA7" w:rsidRPr="007E7C5B">
        <w:rPr>
          <w:rFonts w:ascii="Arial Narrow" w:eastAsia="Times New Roman" w:hAnsi="Arial Narrow" w:cs="Arial"/>
          <w:sz w:val="24"/>
          <w:szCs w:val="24"/>
        </w:rPr>
        <w:t>19</w:t>
      </w:r>
      <w:r w:rsidRPr="00A918AC">
        <w:rPr>
          <w:rFonts w:ascii="Arial Narrow" w:eastAsia="Times New Roman" w:hAnsi="Arial Narrow" w:cs="Arial"/>
          <w:sz w:val="24"/>
          <w:szCs w:val="24"/>
        </w:rPr>
        <w:t xml:space="preserve"> à</w:t>
      </w:r>
      <w:r w:rsidR="00A37E28" w:rsidRPr="007E7C5B">
        <w:rPr>
          <w:rFonts w:ascii="Arial Narrow" w:eastAsia="Times New Roman" w:hAnsi="Arial Narrow" w:cs="Arial"/>
          <w:sz w:val="24"/>
          <w:szCs w:val="24"/>
        </w:rPr>
        <w:t xml:space="preserve"> 85,5% en 2021 puis</w:t>
      </w:r>
      <w:r w:rsidR="00E33227">
        <w:rPr>
          <w:rFonts w:ascii="Arial Narrow" w:eastAsia="Times New Roman" w:hAnsi="Arial Narrow" w:cs="Arial"/>
          <w:sz w:val="24"/>
          <w:szCs w:val="24"/>
        </w:rPr>
        <w:t xml:space="preserve"> </w:t>
      </w:r>
      <w:r w:rsidRPr="00A918AC">
        <w:rPr>
          <w:rFonts w:ascii="Arial Narrow" w:eastAsia="Times New Roman" w:hAnsi="Arial Narrow" w:cs="Arial"/>
          <w:sz w:val="24"/>
          <w:szCs w:val="24"/>
        </w:rPr>
        <w:t>88% au premier semestre 2024</w:t>
      </w:r>
      <w:r w:rsidR="005D0002">
        <w:rPr>
          <w:rFonts w:ascii="Arial Narrow" w:eastAsia="Times New Roman" w:hAnsi="Arial Narrow" w:cs="Arial"/>
          <w:sz w:val="24"/>
          <w:szCs w:val="24"/>
        </w:rPr>
        <w:t>. Cela résulte notamment des actions suivantes :</w:t>
      </w:r>
      <w:r w:rsidRPr="007E7C5B">
        <w:rPr>
          <w:rFonts w:ascii="Arial Narrow" w:eastAsia="Times New Roman" w:hAnsi="Arial Narrow" w:cs="Arial"/>
          <w:sz w:val="24"/>
          <w:szCs w:val="24"/>
        </w:rPr>
        <w:t xml:space="preserve"> </w:t>
      </w:r>
      <w:r w:rsidRPr="00A918AC">
        <w:rPr>
          <w:rFonts w:ascii="Arial Narrow" w:eastAsia="Times New Roman" w:hAnsi="Arial Narrow" w:cs="Arial"/>
          <w:i/>
          <w:sz w:val="24"/>
          <w:szCs w:val="24"/>
        </w:rPr>
        <w:t>(i)</w:t>
      </w:r>
      <w:r w:rsidRPr="007E7C5B">
        <w:rPr>
          <w:rFonts w:ascii="Arial Narrow" w:eastAsia="Times New Roman" w:hAnsi="Arial Narrow" w:cs="Arial"/>
          <w:sz w:val="24"/>
          <w:szCs w:val="24"/>
        </w:rPr>
        <w:t xml:space="preserve"> l’amélioration des conditions de stockage des produits de santé avec la mise aux normes de plus de 70% des espaces en atmosphère contrôlée</w:t>
      </w:r>
      <w:r w:rsidR="007D0DF3" w:rsidRPr="007E7C5B">
        <w:rPr>
          <w:rFonts w:ascii="Arial Narrow" w:eastAsia="Times New Roman" w:hAnsi="Arial Narrow" w:cs="Arial"/>
          <w:sz w:val="24"/>
          <w:szCs w:val="24"/>
        </w:rPr>
        <w:t xml:space="preserve"> ; </w:t>
      </w:r>
      <w:r w:rsidRPr="00A918AC">
        <w:rPr>
          <w:rFonts w:ascii="Arial Narrow" w:eastAsia="Times New Roman" w:hAnsi="Arial Narrow" w:cs="Arial"/>
          <w:i/>
          <w:sz w:val="24"/>
          <w:szCs w:val="24"/>
        </w:rPr>
        <w:t>(i</w:t>
      </w:r>
      <w:r w:rsidR="00FF2546">
        <w:rPr>
          <w:rFonts w:ascii="Arial Narrow" w:eastAsia="Times New Roman" w:hAnsi="Arial Narrow" w:cs="Arial"/>
          <w:i/>
          <w:sz w:val="24"/>
          <w:szCs w:val="24"/>
        </w:rPr>
        <w:t>i</w:t>
      </w:r>
      <w:r w:rsidRPr="00A918AC">
        <w:rPr>
          <w:rFonts w:ascii="Arial Narrow" w:eastAsia="Times New Roman" w:hAnsi="Arial Narrow" w:cs="Arial"/>
          <w:i/>
          <w:sz w:val="24"/>
          <w:szCs w:val="24"/>
        </w:rPr>
        <w:t>)</w:t>
      </w:r>
      <w:r w:rsidRPr="007E7C5B">
        <w:rPr>
          <w:rFonts w:ascii="Arial Narrow" w:eastAsia="Times New Roman" w:hAnsi="Arial Narrow" w:cs="Arial"/>
          <w:sz w:val="24"/>
          <w:szCs w:val="24"/>
        </w:rPr>
        <w:t xml:space="preserve"> le renforcement du parc automobile par l’internalisation de la logistique de distribution et l’acquisition de véhicules, engins et équipements de manutention</w:t>
      </w:r>
      <w:r w:rsidR="007D0DF3" w:rsidRPr="007E7C5B">
        <w:rPr>
          <w:rFonts w:ascii="Arial Narrow" w:eastAsia="Times New Roman" w:hAnsi="Arial Narrow" w:cs="Arial"/>
          <w:sz w:val="24"/>
          <w:szCs w:val="24"/>
        </w:rPr>
        <w:t> ;</w:t>
      </w:r>
      <w:r w:rsidRPr="007E7C5B">
        <w:rPr>
          <w:rFonts w:ascii="Arial Narrow" w:eastAsia="Times New Roman" w:hAnsi="Arial Narrow" w:cs="Arial"/>
          <w:sz w:val="24"/>
          <w:szCs w:val="24"/>
        </w:rPr>
        <w:t xml:space="preserve"> </w:t>
      </w:r>
      <w:r w:rsidRPr="00A918AC">
        <w:rPr>
          <w:rFonts w:ascii="Arial Narrow" w:eastAsia="Times New Roman" w:hAnsi="Arial Narrow" w:cs="Arial"/>
          <w:i/>
          <w:sz w:val="24"/>
          <w:szCs w:val="24"/>
        </w:rPr>
        <w:t>(</w:t>
      </w:r>
      <w:r w:rsidR="00FF2546">
        <w:rPr>
          <w:rFonts w:ascii="Arial Narrow" w:eastAsia="Times New Roman" w:hAnsi="Arial Narrow" w:cs="Arial"/>
          <w:i/>
          <w:sz w:val="24"/>
          <w:szCs w:val="24"/>
        </w:rPr>
        <w:t>i</w:t>
      </w:r>
      <w:r w:rsidR="005D0002">
        <w:rPr>
          <w:rFonts w:ascii="Arial Narrow" w:eastAsia="Times New Roman" w:hAnsi="Arial Narrow" w:cs="Arial"/>
          <w:i/>
          <w:sz w:val="24"/>
          <w:szCs w:val="24"/>
        </w:rPr>
        <w:t>ii</w:t>
      </w:r>
      <w:r w:rsidRPr="00A918AC">
        <w:rPr>
          <w:rFonts w:ascii="Arial Narrow" w:eastAsia="Times New Roman" w:hAnsi="Arial Narrow" w:cs="Arial"/>
          <w:i/>
          <w:sz w:val="24"/>
          <w:szCs w:val="24"/>
        </w:rPr>
        <w:t>)</w:t>
      </w:r>
      <w:r w:rsidRPr="007E7C5B">
        <w:rPr>
          <w:rFonts w:ascii="Arial Narrow" w:eastAsia="Times New Roman" w:hAnsi="Arial Narrow" w:cs="Arial"/>
          <w:sz w:val="24"/>
          <w:szCs w:val="24"/>
        </w:rPr>
        <w:t xml:space="preserve"> le renforcement du système de contrôle qualité des produits par des Laboratoires pré-qualifiés OMS</w:t>
      </w:r>
      <w:r w:rsidR="007D0DF3" w:rsidRPr="007E7C5B">
        <w:rPr>
          <w:rFonts w:ascii="Arial Narrow" w:eastAsia="Times New Roman" w:hAnsi="Arial Narrow" w:cs="Arial"/>
          <w:sz w:val="24"/>
          <w:szCs w:val="24"/>
        </w:rPr>
        <w:t xml:space="preserve"> ; </w:t>
      </w:r>
      <w:r w:rsidRPr="00A918AC">
        <w:rPr>
          <w:rFonts w:ascii="Arial Narrow" w:eastAsia="Times New Roman" w:hAnsi="Arial Narrow" w:cs="Arial"/>
          <w:i/>
          <w:sz w:val="24"/>
          <w:szCs w:val="24"/>
        </w:rPr>
        <w:t>(</w:t>
      </w:r>
      <w:r w:rsidR="005D0002">
        <w:rPr>
          <w:rFonts w:ascii="Arial Narrow" w:eastAsia="Times New Roman" w:hAnsi="Arial Narrow" w:cs="Arial"/>
          <w:i/>
          <w:sz w:val="24"/>
          <w:szCs w:val="24"/>
        </w:rPr>
        <w:t>i</w:t>
      </w:r>
      <w:r w:rsidRPr="00A918AC">
        <w:rPr>
          <w:rFonts w:ascii="Arial Narrow" w:eastAsia="Times New Roman" w:hAnsi="Arial Narrow" w:cs="Arial"/>
          <w:i/>
          <w:sz w:val="24"/>
          <w:szCs w:val="24"/>
        </w:rPr>
        <w:t>v)</w:t>
      </w:r>
      <w:r w:rsidRPr="007E7C5B">
        <w:rPr>
          <w:rFonts w:ascii="Arial Narrow" w:eastAsia="Times New Roman" w:hAnsi="Arial Narrow" w:cs="Arial"/>
          <w:sz w:val="24"/>
          <w:szCs w:val="24"/>
        </w:rPr>
        <w:t xml:space="preserve"> le déploiement d’un Progiciel de Gestion Intégrée SAGE X3</w:t>
      </w:r>
      <w:r w:rsidRPr="007E7C5B" w:rsidDel="001C30B1">
        <w:rPr>
          <w:rFonts w:ascii="Arial Narrow" w:eastAsia="Times New Roman" w:hAnsi="Arial Narrow" w:cs="Arial"/>
          <w:sz w:val="24"/>
          <w:szCs w:val="24"/>
        </w:rPr>
        <w:t xml:space="preserve"> </w:t>
      </w:r>
      <w:r w:rsidR="007D0DF3" w:rsidRPr="007E7C5B">
        <w:rPr>
          <w:rFonts w:ascii="Arial Narrow" w:eastAsia="Times New Roman" w:hAnsi="Arial Narrow" w:cs="Arial"/>
          <w:sz w:val="24"/>
          <w:szCs w:val="24"/>
        </w:rPr>
        <w:t xml:space="preserve">; </w:t>
      </w:r>
      <w:r w:rsidRPr="00A918AC">
        <w:rPr>
          <w:rFonts w:ascii="Arial Narrow" w:eastAsia="Times New Roman" w:hAnsi="Arial Narrow" w:cs="Arial"/>
          <w:i/>
          <w:sz w:val="24"/>
          <w:szCs w:val="24"/>
        </w:rPr>
        <w:t>(</w:t>
      </w:r>
      <w:r w:rsidR="005D0002">
        <w:rPr>
          <w:rFonts w:ascii="Arial Narrow" w:eastAsia="Times New Roman" w:hAnsi="Arial Narrow" w:cs="Arial"/>
          <w:i/>
          <w:sz w:val="24"/>
          <w:szCs w:val="24"/>
        </w:rPr>
        <w:t>v</w:t>
      </w:r>
      <w:r w:rsidRPr="00A918AC">
        <w:rPr>
          <w:rFonts w:ascii="Arial Narrow" w:eastAsia="Times New Roman" w:hAnsi="Arial Narrow" w:cs="Arial"/>
          <w:i/>
          <w:sz w:val="24"/>
          <w:szCs w:val="24"/>
        </w:rPr>
        <w:t>)</w:t>
      </w:r>
      <w:r w:rsidR="00D00022" w:rsidRPr="007E7C5B">
        <w:rPr>
          <w:rFonts w:ascii="Arial Narrow" w:eastAsia="Times New Roman" w:hAnsi="Arial Narrow" w:cs="Arial"/>
          <w:sz w:val="24"/>
          <w:szCs w:val="24"/>
        </w:rPr>
        <w:t> </w:t>
      </w:r>
      <w:r w:rsidRPr="007E7C5B">
        <w:rPr>
          <w:rFonts w:ascii="Arial Narrow" w:eastAsia="Times New Roman" w:hAnsi="Arial Narrow" w:cs="Arial"/>
          <w:sz w:val="24"/>
          <w:szCs w:val="24"/>
        </w:rPr>
        <w:t>le respect du plan d’approvisionnement avec une bonne gouvernance des achats et une accessibilité financière des produits vitaux</w:t>
      </w:r>
      <w:r w:rsidR="001C30B1" w:rsidRPr="007E7C5B">
        <w:rPr>
          <w:rFonts w:ascii="Arial Narrow" w:eastAsia="Times New Roman" w:hAnsi="Arial Narrow" w:cs="Arial"/>
          <w:sz w:val="24"/>
          <w:szCs w:val="24"/>
        </w:rPr>
        <w:t xml:space="preserve"> ; </w:t>
      </w:r>
      <w:r w:rsidRPr="00A918AC">
        <w:rPr>
          <w:rFonts w:ascii="Arial Narrow" w:eastAsia="Times New Roman" w:hAnsi="Arial Narrow" w:cs="Arial"/>
          <w:i/>
          <w:sz w:val="24"/>
          <w:szCs w:val="24"/>
        </w:rPr>
        <w:t>(vi)</w:t>
      </w:r>
      <w:r w:rsidRPr="007E7C5B">
        <w:rPr>
          <w:rFonts w:ascii="Arial Narrow" w:eastAsia="Times New Roman" w:hAnsi="Arial Narrow" w:cs="Arial"/>
          <w:sz w:val="24"/>
          <w:szCs w:val="24"/>
        </w:rPr>
        <w:t xml:space="preserve"> l’opérationnalisation de l’</w:t>
      </w:r>
      <w:r w:rsidR="007B5412">
        <w:rPr>
          <w:rFonts w:ascii="Arial Narrow" w:eastAsia="Times New Roman" w:hAnsi="Arial Narrow" w:cs="Arial"/>
          <w:sz w:val="24"/>
          <w:szCs w:val="24"/>
        </w:rPr>
        <w:t>a</w:t>
      </w:r>
      <w:r w:rsidRPr="007E7C5B">
        <w:rPr>
          <w:rFonts w:ascii="Arial Narrow" w:eastAsia="Times New Roman" w:hAnsi="Arial Narrow" w:cs="Arial"/>
          <w:sz w:val="24"/>
          <w:szCs w:val="24"/>
        </w:rPr>
        <w:t xml:space="preserve">gence </w:t>
      </w:r>
      <w:r w:rsidR="007B5412">
        <w:rPr>
          <w:rFonts w:ascii="Arial Narrow" w:eastAsia="Times New Roman" w:hAnsi="Arial Narrow" w:cs="Arial"/>
          <w:sz w:val="24"/>
          <w:szCs w:val="24"/>
        </w:rPr>
        <w:t>r</w:t>
      </w:r>
      <w:r w:rsidRPr="007E7C5B">
        <w:rPr>
          <w:rFonts w:ascii="Arial Narrow" w:eastAsia="Times New Roman" w:hAnsi="Arial Narrow" w:cs="Arial"/>
          <w:sz w:val="24"/>
          <w:szCs w:val="24"/>
        </w:rPr>
        <w:t xml:space="preserve">égionale de Bouaké et des </w:t>
      </w:r>
      <w:r w:rsidR="007B5412" w:rsidRPr="0044167B">
        <w:rPr>
          <w:rFonts w:ascii="Arial Narrow" w:eastAsia="Times New Roman" w:hAnsi="Arial Narrow" w:cs="Arial"/>
          <w:sz w:val="24"/>
          <w:szCs w:val="24"/>
        </w:rPr>
        <w:t>différents d</w:t>
      </w:r>
      <w:r w:rsidRPr="007B5412">
        <w:rPr>
          <w:rFonts w:ascii="Arial Narrow" w:eastAsia="Times New Roman" w:hAnsi="Arial Narrow" w:cs="Arial"/>
          <w:sz w:val="24"/>
          <w:szCs w:val="24"/>
        </w:rPr>
        <w:t xml:space="preserve">épôts </w:t>
      </w:r>
      <w:r w:rsidR="007B5412" w:rsidRPr="0044167B">
        <w:rPr>
          <w:rFonts w:ascii="Arial Narrow" w:eastAsia="Times New Roman" w:hAnsi="Arial Narrow" w:cs="Arial"/>
          <w:sz w:val="24"/>
          <w:szCs w:val="24"/>
        </w:rPr>
        <w:t>r</w:t>
      </w:r>
      <w:r w:rsidRPr="007B5412">
        <w:rPr>
          <w:rFonts w:ascii="Arial Narrow" w:eastAsia="Times New Roman" w:hAnsi="Arial Narrow" w:cs="Arial"/>
          <w:sz w:val="24"/>
          <w:szCs w:val="24"/>
        </w:rPr>
        <w:t>égionaux</w:t>
      </w:r>
      <w:r w:rsidRPr="007E7C5B">
        <w:rPr>
          <w:rFonts w:ascii="Arial Narrow" w:eastAsia="Times New Roman" w:hAnsi="Arial Narrow" w:cs="Arial"/>
          <w:sz w:val="24"/>
          <w:szCs w:val="24"/>
        </w:rPr>
        <w:t xml:space="preserve"> avec pour impact direct</w:t>
      </w:r>
      <w:r w:rsidRPr="007E7C5B" w:rsidDel="00B11B79">
        <w:rPr>
          <w:rFonts w:ascii="Arial Narrow" w:eastAsia="Times New Roman" w:hAnsi="Arial Narrow" w:cs="Arial"/>
          <w:sz w:val="24"/>
          <w:szCs w:val="24"/>
        </w:rPr>
        <w:t xml:space="preserve"> </w:t>
      </w:r>
      <w:r w:rsidRPr="007E7C5B">
        <w:rPr>
          <w:rFonts w:ascii="Arial Narrow" w:eastAsia="Times New Roman" w:hAnsi="Arial Narrow" w:cs="Arial"/>
          <w:sz w:val="24"/>
          <w:szCs w:val="24"/>
        </w:rPr>
        <w:t>la réduction des délais de livraison des commandes clients de 30 à 07 jours à l’intérieur du pays et à 24h à Abidjan et dans les zones d’implantation des dépôts.</w:t>
      </w:r>
    </w:p>
    <w:p w14:paraId="2951B616" w14:textId="26A29EFC" w:rsidR="00D6433E" w:rsidRPr="007B5412" w:rsidRDefault="007C032F" w:rsidP="00D6433E">
      <w:pPr>
        <w:jc w:val="both"/>
        <w:rPr>
          <w:rFonts w:ascii="Arial Narrow" w:hAnsi="Arial Narrow" w:cs="Arial"/>
          <w:sz w:val="24"/>
          <w:szCs w:val="24"/>
          <w:lang w:val="fr-CI"/>
        </w:rPr>
      </w:pPr>
      <w:r w:rsidRPr="007E7C5B">
        <w:rPr>
          <w:rFonts w:ascii="Arial Narrow" w:eastAsia="Times New Roman" w:hAnsi="Arial Narrow" w:cs="Arial"/>
          <w:sz w:val="24"/>
          <w:szCs w:val="24"/>
        </w:rPr>
        <w:t xml:space="preserve">En lien avec la </w:t>
      </w:r>
      <w:r w:rsidRPr="00A918AC">
        <w:rPr>
          <w:rFonts w:ascii="Arial Narrow" w:hAnsi="Arial Narrow" w:cs="Arial"/>
          <w:sz w:val="24"/>
          <w:szCs w:val="24"/>
          <w:lang w:val="fr-CI"/>
        </w:rPr>
        <w:t>d</w:t>
      </w:r>
      <w:r w:rsidR="00FC37E6" w:rsidRPr="00A918AC">
        <w:rPr>
          <w:rFonts w:ascii="Arial Narrow" w:hAnsi="Arial Narrow" w:cs="Arial"/>
          <w:sz w:val="24"/>
          <w:szCs w:val="24"/>
          <w:lang w:val="fr-CI"/>
        </w:rPr>
        <w:t xml:space="preserve">isponibilité des </w:t>
      </w:r>
      <w:r w:rsidR="007C45CA" w:rsidRPr="007E7C5B">
        <w:rPr>
          <w:rFonts w:ascii="Arial Narrow" w:hAnsi="Arial Narrow" w:cs="Arial"/>
          <w:sz w:val="24"/>
          <w:szCs w:val="24"/>
          <w:lang w:val="fr-CI"/>
        </w:rPr>
        <w:t>p</w:t>
      </w:r>
      <w:r w:rsidR="00FC37E6" w:rsidRPr="00A918AC">
        <w:rPr>
          <w:rFonts w:ascii="Arial Narrow" w:hAnsi="Arial Narrow" w:cs="Arial"/>
          <w:sz w:val="24"/>
          <w:szCs w:val="24"/>
          <w:lang w:val="fr-CI"/>
        </w:rPr>
        <w:t xml:space="preserve">roduits </w:t>
      </w:r>
      <w:r w:rsidR="007C45CA" w:rsidRPr="007E7C5B">
        <w:rPr>
          <w:rFonts w:ascii="Arial Narrow" w:hAnsi="Arial Narrow" w:cs="Arial"/>
          <w:sz w:val="24"/>
          <w:szCs w:val="24"/>
          <w:lang w:val="fr-CI"/>
        </w:rPr>
        <w:t>t</w:t>
      </w:r>
      <w:r w:rsidR="00FC37E6" w:rsidRPr="00A918AC">
        <w:rPr>
          <w:rFonts w:ascii="Arial Narrow" w:hAnsi="Arial Narrow" w:cs="Arial"/>
          <w:sz w:val="24"/>
          <w:szCs w:val="24"/>
          <w:lang w:val="fr-CI"/>
        </w:rPr>
        <w:t>raceurs</w:t>
      </w:r>
      <w:r w:rsidRPr="00A918AC">
        <w:rPr>
          <w:rFonts w:ascii="Arial Narrow" w:hAnsi="Arial Narrow" w:cs="Arial"/>
          <w:sz w:val="24"/>
          <w:szCs w:val="24"/>
          <w:lang w:val="fr-CI"/>
        </w:rPr>
        <w:t>,</w:t>
      </w:r>
      <w:r w:rsidR="009A5073" w:rsidRPr="007E7C5B">
        <w:rPr>
          <w:rFonts w:ascii="Arial Narrow" w:hAnsi="Arial Narrow" w:cs="Arial"/>
          <w:sz w:val="24"/>
          <w:szCs w:val="24"/>
          <w:lang w:val="fr-CI"/>
        </w:rPr>
        <w:t xml:space="preserve"> l</w:t>
      </w:r>
      <w:r w:rsidR="00FC37E6" w:rsidRPr="00A918AC">
        <w:rPr>
          <w:rFonts w:ascii="Arial Narrow" w:hAnsi="Arial Narrow" w:cs="Arial"/>
          <w:sz w:val="24"/>
          <w:szCs w:val="24"/>
          <w:lang w:val="fr-CI"/>
        </w:rPr>
        <w:t xml:space="preserve">e taux de disponibilité au niveau périphérique </w:t>
      </w:r>
      <w:r w:rsidR="009A5073" w:rsidRPr="007E7C5B">
        <w:rPr>
          <w:rFonts w:ascii="Arial Narrow" w:hAnsi="Arial Narrow" w:cs="Arial"/>
          <w:sz w:val="24"/>
          <w:szCs w:val="24"/>
          <w:lang w:val="fr-CI"/>
        </w:rPr>
        <w:t xml:space="preserve">des médicaments CMU </w:t>
      </w:r>
      <w:r w:rsidR="00FC37E6" w:rsidRPr="00A918AC">
        <w:rPr>
          <w:rFonts w:ascii="Arial Narrow" w:hAnsi="Arial Narrow" w:cs="Arial"/>
          <w:sz w:val="24"/>
          <w:szCs w:val="24"/>
          <w:lang w:val="fr-CI"/>
        </w:rPr>
        <w:t xml:space="preserve">a chuté </w:t>
      </w:r>
      <w:r w:rsidR="00FC37E6" w:rsidRPr="007B5412">
        <w:rPr>
          <w:rFonts w:ascii="Arial Narrow" w:hAnsi="Arial Narrow" w:cs="Arial"/>
          <w:sz w:val="24"/>
          <w:szCs w:val="24"/>
          <w:lang w:val="fr-CI"/>
        </w:rPr>
        <w:t xml:space="preserve">de </w:t>
      </w:r>
      <w:r w:rsidR="00FC37E6" w:rsidRPr="0044167B">
        <w:rPr>
          <w:rFonts w:ascii="Arial Narrow" w:hAnsi="Arial Narrow" w:cs="Arial"/>
          <w:sz w:val="24"/>
          <w:szCs w:val="24"/>
          <w:lang w:val="fr-CI"/>
        </w:rPr>
        <w:t>64,11%</w:t>
      </w:r>
      <w:r w:rsidR="00FC37E6" w:rsidRPr="007B5412">
        <w:rPr>
          <w:rFonts w:ascii="Arial Narrow" w:hAnsi="Arial Narrow" w:cs="Arial"/>
          <w:sz w:val="24"/>
          <w:szCs w:val="24"/>
          <w:lang w:val="fr-CI"/>
        </w:rPr>
        <w:t xml:space="preserve"> en 2020 à </w:t>
      </w:r>
      <w:r w:rsidR="00FC37E6" w:rsidRPr="0044167B">
        <w:rPr>
          <w:rFonts w:ascii="Arial Narrow" w:hAnsi="Arial Narrow" w:cs="Arial"/>
          <w:sz w:val="24"/>
          <w:szCs w:val="24"/>
          <w:lang w:val="fr-CI"/>
        </w:rPr>
        <w:t>45,80%</w:t>
      </w:r>
      <w:r w:rsidR="00FC37E6" w:rsidRPr="007B5412">
        <w:rPr>
          <w:rFonts w:ascii="Arial Narrow" w:hAnsi="Arial Narrow" w:cs="Arial"/>
          <w:sz w:val="24"/>
          <w:szCs w:val="24"/>
          <w:lang w:val="fr-CI"/>
        </w:rPr>
        <w:t xml:space="preserve"> en septembre 2024.</w:t>
      </w:r>
      <w:r w:rsidR="00D6433E" w:rsidRPr="007B5412">
        <w:rPr>
          <w:rFonts w:ascii="Arial Narrow" w:hAnsi="Arial Narrow" w:cs="Arial"/>
          <w:sz w:val="24"/>
          <w:szCs w:val="24"/>
          <w:lang w:val="fr-CI"/>
        </w:rPr>
        <w:t xml:space="preserve"> </w:t>
      </w:r>
    </w:p>
    <w:p w14:paraId="09762A7F" w14:textId="593E00F1" w:rsidR="00D6433E" w:rsidRPr="007B5412" w:rsidRDefault="009C486E" w:rsidP="00A918AC">
      <w:pPr>
        <w:jc w:val="both"/>
        <w:rPr>
          <w:rFonts w:ascii="Arial Narrow" w:hAnsi="Arial Narrow" w:cs="Arial"/>
          <w:sz w:val="24"/>
          <w:szCs w:val="24"/>
          <w:lang w:val="fr-CI"/>
        </w:rPr>
      </w:pPr>
      <w:r w:rsidRPr="007B5412">
        <w:rPr>
          <w:rFonts w:ascii="Arial Narrow" w:hAnsi="Arial Narrow" w:cs="Arial"/>
          <w:sz w:val="24"/>
          <w:szCs w:val="24"/>
          <w:lang w:val="fr-CI"/>
        </w:rPr>
        <w:t>En ce qui concerne les p</w:t>
      </w:r>
      <w:r w:rsidR="00FC37E6" w:rsidRPr="007B5412">
        <w:rPr>
          <w:rFonts w:ascii="Arial Narrow" w:hAnsi="Arial Narrow" w:cs="Arial"/>
          <w:sz w:val="24"/>
          <w:szCs w:val="24"/>
          <w:lang w:val="fr-CI"/>
        </w:rPr>
        <w:t xml:space="preserve">roduits </w:t>
      </w:r>
      <w:r w:rsidRPr="007B5412">
        <w:rPr>
          <w:rFonts w:ascii="Arial Narrow" w:hAnsi="Arial Narrow" w:cs="Arial"/>
          <w:sz w:val="24"/>
          <w:szCs w:val="24"/>
          <w:lang w:val="fr-CI"/>
        </w:rPr>
        <w:t>t</w:t>
      </w:r>
      <w:r w:rsidR="00FC37E6" w:rsidRPr="007B5412">
        <w:rPr>
          <w:rFonts w:ascii="Arial Narrow" w:hAnsi="Arial Narrow" w:cs="Arial"/>
          <w:sz w:val="24"/>
          <w:szCs w:val="24"/>
          <w:lang w:val="fr-CI"/>
        </w:rPr>
        <w:t xml:space="preserve">raceurs des </w:t>
      </w:r>
      <w:r w:rsidRPr="007B5412">
        <w:rPr>
          <w:rFonts w:ascii="Arial Narrow" w:hAnsi="Arial Narrow" w:cs="Arial"/>
          <w:sz w:val="24"/>
          <w:szCs w:val="24"/>
          <w:lang w:val="fr-CI"/>
        </w:rPr>
        <w:t>c</w:t>
      </w:r>
      <w:r w:rsidR="00FC37E6" w:rsidRPr="007B5412">
        <w:rPr>
          <w:rFonts w:ascii="Arial Narrow" w:hAnsi="Arial Narrow" w:cs="Arial"/>
          <w:sz w:val="24"/>
          <w:szCs w:val="24"/>
          <w:lang w:val="fr-CI"/>
        </w:rPr>
        <w:t xml:space="preserve">inq </w:t>
      </w:r>
      <w:r w:rsidRPr="007B5412">
        <w:rPr>
          <w:rFonts w:ascii="Arial Narrow" w:hAnsi="Arial Narrow" w:cs="Arial"/>
          <w:sz w:val="24"/>
          <w:szCs w:val="24"/>
          <w:lang w:val="fr-CI"/>
        </w:rPr>
        <w:t>p</w:t>
      </w:r>
      <w:r w:rsidR="00FC37E6" w:rsidRPr="007B5412">
        <w:rPr>
          <w:rFonts w:ascii="Arial Narrow" w:hAnsi="Arial Narrow" w:cs="Arial"/>
          <w:sz w:val="24"/>
          <w:szCs w:val="24"/>
          <w:lang w:val="fr-CI"/>
        </w:rPr>
        <w:t xml:space="preserve">rogrammes </w:t>
      </w:r>
      <w:r w:rsidRPr="007B5412">
        <w:rPr>
          <w:rFonts w:ascii="Arial Narrow" w:hAnsi="Arial Narrow" w:cs="Arial"/>
          <w:sz w:val="24"/>
          <w:szCs w:val="24"/>
          <w:lang w:val="fr-CI"/>
        </w:rPr>
        <w:t>n</w:t>
      </w:r>
      <w:r w:rsidR="00FC37E6" w:rsidRPr="007B5412">
        <w:rPr>
          <w:rFonts w:ascii="Arial Narrow" w:hAnsi="Arial Narrow" w:cs="Arial"/>
          <w:sz w:val="24"/>
          <w:szCs w:val="24"/>
          <w:lang w:val="fr-CI"/>
        </w:rPr>
        <w:t>ationaux</w:t>
      </w:r>
      <w:r w:rsidRPr="007B5412">
        <w:rPr>
          <w:rStyle w:val="Appelnotedebasdep"/>
          <w:rFonts w:ascii="Arial Narrow" w:hAnsi="Arial Narrow" w:cs="Arial"/>
          <w:sz w:val="24"/>
          <w:szCs w:val="24"/>
          <w:lang w:val="fr-CI"/>
        </w:rPr>
        <w:footnoteReference w:id="20"/>
      </w:r>
      <w:r w:rsidR="00FC37E6" w:rsidRPr="007B5412">
        <w:rPr>
          <w:rFonts w:ascii="Arial Narrow" w:hAnsi="Arial Narrow" w:cs="Arial"/>
          <w:sz w:val="24"/>
          <w:szCs w:val="24"/>
          <w:lang w:val="fr-CI"/>
        </w:rPr>
        <w:t xml:space="preserve"> de </w:t>
      </w:r>
      <w:r w:rsidRPr="007B5412">
        <w:rPr>
          <w:rFonts w:ascii="Arial Narrow" w:hAnsi="Arial Narrow" w:cs="Arial"/>
          <w:sz w:val="24"/>
          <w:szCs w:val="24"/>
          <w:lang w:val="fr-CI"/>
        </w:rPr>
        <w:t>s</w:t>
      </w:r>
      <w:r w:rsidR="00FC37E6" w:rsidRPr="007B5412">
        <w:rPr>
          <w:rFonts w:ascii="Arial Narrow" w:hAnsi="Arial Narrow" w:cs="Arial"/>
          <w:sz w:val="24"/>
          <w:szCs w:val="24"/>
          <w:lang w:val="fr-CI"/>
        </w:rPr>
        <w:t>anté</w:t>
      </w:r>
      <w:r w:rsidRPr="007B5412">
        <w:rPr>
          <w:rFonts w:ascii="Arial Narrow" w:hAnsi="Arial Narrow" w:cs="Arial"/>
          <w:sz w:val="24"/>
          <w:szCs w:val="24"/>
          <w:lang w:val="fr-CI"/>
        </w:rPr>
        <w:t>,</w:t>
      </w:r>
      <w:r w:rsidR="007C032F" w:rsidRPr="007B5412">
        <w:rPr>
          <w:rFonts w:ascii="Arial Narrow" w:hAnsi="Arial Narrow" w:cs="Arial"/>
          <w:sz w:val="24"/>
          <w:szCs w:val="24"/>
          <w:lang w:val="fr-CI"/>
        </w:rPr>
        <w:t xml:space="preserve"> </w:t>
      </w:r>
      <w:r w:rsidR="009A50DF" w:rsidRPr="007B5412">
        <w:rPr>
          <w:rFonts w:ascii="Arial Narrow" w:hAnsi="Arial Narrow" w:cs="Arial"/>
          <w:sz w:val="24"/>
          <w:szCs w:val="24"/>
          <w:lang w:val="fr-CI"/>
        </w:rPr>
        <w:t>a</w:t>
      </w:r>
      <w:r w:rsidR="00FC37E6" w:rsidRPr="007B5412">
        <w:rPr>
          <w:rFonts w:ascii="Arial Narrow" w:hAnsi="Arial Narrow" w:cs="Arial"/>
          <w:sz w:val="24"/>
          <w:szCs w:val="24"/>
          <w:lang w:val="fr-CI"/>
        </w:rPr>
        <w:t xml:space="preserve">u niveau central, le taux de disponibilité a progressé de </w:t>
      </w:r>
      <w:r w:rsidR="00FC37E6" w:rsidRPr="0044167B">
        <w:rPr>
          <w:rFonts w:ascii="Arial Narrow" w:hAnsi="Arial Narrow" w:cs="Arial"/>
          <w:sz w:val="24"/>
          <w:szCs w:val="24"/>
          <w:lang w:val="fr-CI"/>
        </w:rPr>
        <w:t>74,66%</w:t>
      </w:r>
      <w:r w:rsidR="00FC37E6" w:rsidRPr="007B5412">
        <w:rPr>
          <w:rFonts w:ascii="Arial Narrow" w:hAnsi="Arial Narrow" w:cs="Arial"/>
          <w:sz w:val="24"/>
          <w:szCs w:val="24"/>
          <w:lang w:val="fr-CI"/>
        </w:rPr>
        <w:t xml:space="preserve"> à </w:t>
      </w:r>
      <w:r w:rsidR="00FC37E6" w:rsidRPr="0044167B">
        <w:rPr>
          <w:rFonts w:ascii="Arial Narrow" w:hAnsi="Arial Narrow" w:cs="Arial"/>
          <w:sz w:val="24"/>
          <w:szCs w:val="24"/>
          <w:lang w:val="fr-CI"/>
        </w:rPr>
        <w:t>88,21%</w:t>
      </w:r>
      <w:r w:rsidR="00FC37E6" w:rsidRPr="007B5412">
        <w:rPr>
          <w:rFonts w:ascii="Arial Narrow" w:hAnsi="Arial Narrow" w:cs="Arial"/>
          <w:sz w:val="24"/>
          <w:szCs w:val="24"/>
          <w:lang w:val="fr-CI"/>
        </w:rPr>
        <w:t xml:space="preserve">. Au niveau périphérique, le taux de disponibilité a également augmenté de </w:t>
      </w:r>
      <w:r w:rsidR="00FC37E6" w:rsidRPr="0044167B">
        <w:rPr>
          <w:rFonts w:ascii="Arial Narrow" w:hAnsi="Arial Narrow" w:cs="Arial"/>
          <w:sz w:val="24"/>
          <w:szCs w:val="24"/>
          <w:lang w:val="fr-CI"/>
        </w:rPr>
        <w:t>67,86%</w:t>
      </w:r>
      <w:r w:rsidR="00FC37E6" w:rsidRPr="007B5412">
        <w:rPr>
          <w:rFonts w:ascii="Arial Narrow" w:hAnsi="Arial Narrow" w:cs="Arial"/>
          <w:sz w:val="24"/>
          <w:szCs w:val="24"/>
          <w:lang w:val="fr-CI"/>
        </w:rPr>
        <w:t xml:space="preserve"> à </w:t>
      </w:r>
      <w:r w:rsidR="00FC37E6" w:rsidRPr="0044167B">
        <w:rPr>
          <w:rFonts w:ascii="Arial Narrow" w:hAnsi="Arial Narrow" w:cs="Arial"/>
          <w:sz w:val="24"/>
          <w:szCs w:val="24"/>
          <w:lang w:val="fr-CI"/>
        </w:rPr>
        <w:t>86,06%</w:t>
      </w:r>
      <w:r w:rsidR="00FC37E6" w:rsidRPr="007B5412">
        <w:rPr>
          <w:rFonts w:ascii="Arial Narrow" w:hAnsi="Arial Narrow" w:cs="Arial"/>
          <w:sz w:val="24"/>
          <w:szCs w:val="24"/>
          <w:lang w:val="fr-CI"/>
        </w:rPr>
        <w:t>.</w:t>
      </w:r>
    </w:p>
    <w:p w14:paraId="18C68A68" w14:textId="77777777" w:rsidR="00FB5078" w:rsidRPr="008B2903" w:rsidRDefault="000E3F95" w:rsidP="008B2903">
      <w:pPr>
        <w:tabs>
          <w:tab w:val="num" w:pos="720"/>
        </w:tabs>
        <w:spacing w:after="0"/>
        <w:jc w:val="both"/>
        <w:rPr>
          <w:rFonts w:ascii="Arial Narrow" w:hAnsi="Arial Narrow" w:cs="Arial"/>
          <w:sz w:val="24"/>
          <w:szCs w:val="24"/>
          <w:lang w:val="fr-CI"/>
        </w:rPr>
      </w:pPr>
      <w:r w:rsidRPr="007E7C5B">
        <w:rPr>
          <w:rFonts w:ascii="Arial Narrow" w:hAnsi="Arial Narrow" w:cs="Arial"/>
          <w:b/>
          <w:bCs/>
          <w:sz w:val="24"/>
          <w:szCs w:val="24"/>
          <w:lang w:val="fr-CI"/>
        </w:rPr>
        <w:t>Quant aux p</w:t>
      </w:r>
      <w:r w:rsidR="00FC37E6" w:rsidRPr="00A918AC">
        <w:rPr>
          <w:rFonts w:ascii="Arial Narrow" w:hAnsi="Arial Narrow" w:cs="Arial"/>
          <w:b/>
          <w:sz w:val="24"/>
          <w:szCs w:val="24"/>
          <w:lang w:val="fr-CI"/>
        </w:rPr>
        <w:t xml:space="preserve">roduits </w:t>
      </w:r>
      <w:r w:rsidRPr="007E7C5B">
        <w:rPr>
          <w:rFonts w:ascii="Arial Narrow" w:hAnsi="Arial Narrow" w:cs="Arial"/>
          <w:b/>
          <w:bCs/>
          <w:sz w:val="24"/>
          <w:szCs w:val="24"/>
          <w:lang w:val="fr-CI"/>
        </w:rPr>
        <w:t>t</w:t>
      </w:r>
      <w:r w:rsidR="00FC37E6" w:rsidRPr="00A918AC">
        <w:rPr>
          <w:rFonts w:ascii="Arial Narrow" w:hAnsi="Arial Narrow" w:cs="Arial"/>
          <w:b/>
          <w:sz w:val="24"/>
          <w:szCs w:val="24"/>
          <w:lang w:val="fr-CI"/>
        </w:rPr>
        <w:t xml:space="preserve">raceurs de la </w:t>
      </w:r>
      <w:r w:rsidRPr="007E7C5B">
        <w:rPr>
          <w:rFonts w:ascii="Arial Narrow" w:hAnsi="Arial Narrow" w:cs="Arial"/>
          <w:b/>
          <w:bCs/>
          <w:sz w:val="24"/>
          <w:szCs w:val="24"/>
          <w:lang w:val="fr-CI"/>
        </w:rPr>
        <w:t>g</w:t>
      </w:r>
      <w:r w:rsidR="00FC37E6" w:rsidRPr="00A918AC">
        <w:rPr>
          <w:rFonts w:ascii="Arial Narrow" w:hAnsi="Arial Narrow" w:cs="Arial"/>
          <w:b/>
          <w:sz w:val="24"/>
          <w:szCs w:val="24"/>
          <w:lang w:val="fr-CI"/>
        </w:rPr>
        <w:t xml:space="preserve">ratuité </w:t>
      </w:r>
      <w:r w:rsidRPr="007E7C5B">
        <w:rPr>
          <w:rFonts w:ascii="Arial Narrow" w:hAnsi="Arial Narrow" w:cs="Arial"/>
          <w:b/>
          <w:bCs/>
          <w:sz w:val="24"/>
          <w:szCs w:val="24"/>
          <w:lang w:val="fr-CI"/>
        </w:rPr>
        <w:t>c</w:t>
      </w:r>
      <w:r w:rsidR="00FC37E6" w:rsidRPr="00A918AC">
        <w:rPr>
          <w:rFonts w:ascii="Arial Narrow" w:hAnsi="Arial Narrow" w:cs="Arial"/>
          <w:b/>
          <w:sz w:val="24"/>
          <w:szCs w:val="24"/>
          <w:lang w:val="fr-CI"/>
        </w:rPr>
        <w:t>iblée</w:t>
      </w:r>
      <w:r w:rsidR="007C032F" w:rsidRPr="00A918AC">
        <w:rPr>
          <w:rFonts w:ascii="Arial Narrow" w:hAnsi="Arial Narrow" w:cs="Arial"/>
          <w:sz w:val="24"/>
          <w:szCs w:val="24"/>
          <w:lang w:val="fr-CI"/>
        </w:rPr>
        <w:t xml:space="preserve"> </w:t>
      </w:r>
      <w:r w:rsidR="00031416" w:rsidRPr="007E7C5B">
        <w:rPr>
          <w:rFonts w:ascii="Arial Narrow" w:hAnsi="Arial Narrow" w:cs="Arial"/>
          <w:sz w:val="24"/>
          <w:szCs w:val="24"/>
          <w:lang w:val="fr-CI"/>
        </w:rPr>
        <w:t>a</w:t>
      </w:r>
      <w:r w:rsidR="00FC37E6" w:rsidRPr="00A918AC">
        <w:rPr>
          <w:rFonts w:ascii="Arial Narrow" w:hAnsi="Arial Narrow" w:cs="Arial"/>
          <w:sz w:val="24"/>
          <w:szCs w:val="24"/>
          <w:lang w:val="fr-CI"/>
        </w:rPr>
        <w:t xml:space="preserve">u niveau périphérique, le taux de disponibilité a considérablement augmenté </w:t>
      </w:r>
      <w:r w:rsidR="00FC37E6" w:rsidRPr="007B5412">
        <w:rPr>
          <w:rFonts w:ascii="Arial Narrow" w:hAnsi="Arial Narrow" w:cs="Arial"/>
          <w:sz w:val="24"/>
          <w:szCs w:val="24"/>
          <w:lang w:val="fr-CI"/>
        </w:rPr>
        <w:t xml:space="preserve">de </w:t>
      </w:r>
      <w:r w:rsidR="00FC37E6" w:rsidRPr="0044167B">
        <w:rPr>
          <w:rFonts w:ascii="Arial Narrow" w:hAnsi="Arial Narrow" w:cs="Arial"/>
          <w:sz w:val="24"/>
          <w:szCs w:val="24"/>
          <w:lang w:val="fr-CI"/>
        </w:rPr>
        <w:t>40,44%</w:t>
      </w:r>
      <w:r w:rsidR="00FC37E6" w:rsidRPr="007B5412">
        <w:rPr>
          <w:rFonts w:ascii="Arial Narrow" w:hAnsi="Arial Narrow" w:cs="Arial"/>
          <w:sz w:val="24"/>
          <w:szCs w:val="24"/>
          <w:lang w:val="fr-CI"/>
        </w:rPr>
        <w:t xml:space="preserve"> en 2020 à </w:t>
      </w:r>
      <w:r w:rsidR="00FC37E6" w:rsidRPr="0044167B">
        <w:rPr>
          <w:rFonts w:ascii="Arial Narrow" w:hAnsi="Arial Narrow" w:cs="Arial"/>
          <w:sz w:val="24"/>
          <w:szCs w:val="24"/>
          <w:lang w:val="fr-CI"/>
        </w:rPr>
        <w:t>61,64%</w:t>
      </w:r>
      <w:r w:rsidR="00FC37E6" w:rsidRPr="007B5412">
        <w:rPr>
          <w:rFonts w:ascii="Arial Narrow" w:hAnsi="Arial Narrow" w:cs="Arial"/>
          <w:sz w:val="24"/>
          <w:szCs w:val="24"/>
          <w:lang w:val="fr-CI"/>
        </w:rPr>
        <w:t xml:space="preserve"> en</w:t>
      </w:r>
      <w:r w:rsidR="00FC37E6" w:rsidRPr="00A918AC">
        <w:rPr>
          <w:rFonts w:ascii="Arial Narrow" w:hAnsi="Arial Narrow" w:cs="Arial"/>
          <w:sz w:val="24"/>
          <w:szCs w:val="24"/>
          <w:lang w:val="fr-CI"/>
        </w:rPr>
        <w:t xml:space="preserve"> septembre 2024.</w:t>
      </w:r>
    </w:p>
    <w:p w14:paraId="1B2A5BA0" w14:textId="77777777" w:rsidR="00FC37E6" w:rsidRPr="00A918AC" w:rsidRDefault="00FC37E6" w:rsidP="00A918AC">
      <w:pPr>
        <w:tabs>
          <w:tab w:val="num" w:pos="720"/>
        </w:tabs>
        <w:spacing w:after="0"/>
        <w:jc w:val="both"/>
        <w:rPr>
          <w:rFonts w:ascii="Arial Narrow" w:eastAsia="Times New Roman" w:hAnsi="Arial Narrow" w:cs="Arial"/>
          <w:sz w:val="24"/>
          <w:szCs w:val="24"/>
          <w:lang w:val="fr-CI"/>
        </w:rPr>
      </w:pPr>
    </w:p>
    <w:p w14:paraId="233037E2" w14:textId="1A721C84" w:rsidR="008E4C0C" w:rsidRDefault="008E4C0C" w:rsidP="00DC5897">
      <w:pPr>
        <w:pStyle w:val="Lgende"/>
      </w:pPr>
      <w:bookmarkStart w:id="61" w:name="_Toc183688797"/>
      <w:r>
        <w:t xml:space="preserve">Graphique </w:t>
      </w:r>
      <w:r>
        <w:fldChar w:fldCharType="begin"/>
      </w:r>
      <w:r>
        <w:instrText xml:space="preserve"> SEQ Graphique \* ARABIC </w:instrText>
      </w:r>
      <w:r>
        <w:fldChar w:fldCharType="separate"/>
      </w:r>
      <w:r w:rsidR="00F546EB">
        <w:rPr>
          <w:noProof/>
        </w:rPr>
        <w:t>10</w:t>
      </w:r>
      <w:r>
        <w:fldChar w:fldCharType="end"/>
      </w:r>
      <w:r>
        <w:t xml:space="preserve"> : </w:t>
      </w:r>
      <w:r w:rsidR="001336FC" w:rsidRPr="007E7C5B">
        <w:t>Evolution des indicateurs liés à l'accessibilité des produits de santé de qualité et en quantité suffisante</w:t>
      </w:r>
      <w:bookmarkEnd w:id="61"/>
    </w:p>
    <w:p w14:paraId="3EDC1B2D" w14:textId="685781F4" w:rsidR="001336FC" w:rsidRDefault="006A4E7F" w:rsidP="00A918AC">
      <w:pPr>
        <w:keepNext/>
      </w:pPr>
      <w:r>
        <w:rPr>
          <w:noProof/>
        </w:rPr>
        <w:lastRenderedPageBreak/>
        <w:drawing>
          <wp:inline distT="0" distB="0" distL="0" distR="0" wp14:anchorId="00214D67" wp14:editId="617DD6D0">
            <wp:extent cx="5423026" cy="2743200"/>
            <wp:effectExtent l="0" t="0" r="6350" b="0"/>
            <wp:docPr id="915070531" name="Chart 1">
              <a:extLst xmlns:a="http://schemas.openxmlformats.org/drawingml/2006/main">
                <a:ext uri="{FF2B5EF4-FFF2-40B4-BE49-F238E27FC236}">
                  <a16:creationId xmlns:a16="http://schemas.microsoft.com/office/drawing/2014/main" id="{BEE13C0A-0A4F-BC6F-64C7-CAA488D01B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A83C00C" w14:textId="250F6EC1" w:rsidR="00F44442" w:rsidRPr="00A918AC" w:rsidRDefault="001336FC" w:rsidP="00DC5897">
      <w:pPr>
        <w:pStyle w:val="Lgende"/>
      </w:pPr>
      <w:r>
        <w:t xml:space="preserve">Source : </w:t>
      </w:r>
      <w:r w:rsidR="00920E0D" w:rsidRPr="00A65E37">
        <w:t>Rapports d'activités CNTS</w:t>
      </w:r>
    </w:p>
    <w:p w14:paraId="2A47F08C" w14:textId="12700123" w:rsidR="0043006D" w:rsidRDefault="00EA27DE" w:rsidP="00761F55">
      <w:pPr>
        <w:jc w:val="both"/>
        <w:rPr>
          <w:rFonts w:ascii="Arial Narrow" w:hAnsi="Arial Narrow" w:cstheme="minorHAnsi"/>
          <w:sz w:val="24"/>
          <w:szCs w:val="24"/>
        </w:rPr>
      </w:pPr>
      <w:r w:rsidRPr="007E7C5B">
        <w:rPr>
          <w:rFonts w:ascii="Arial Narrow" w:hAnsi="Arial Narrow"/>
          <w:b/>
          <w:bCs/>
          <w:sz w:val="24"/>
          <w:szCs w:val="24"/>
        </w:rPr>
        <w:t xml:space="preserve">Pour </w:t>
      </w:r>
      <w:r w:rsidR="00A34243" w:rsidRPr="007E7C5B">
        <w:rPr>
          <w:rFonts w:ascii="Arial Narrow" w:hAnsi="Arial Narrow"/>
          <w:b/>
          <w:bCs/>
          <w:sz w:val="24"/>
          <w:szCs w:val="24"/>
        </w:rPr>
        <w:t xml:space="preserve">assurer </w:t>
      </w:r>
      <w:r w:rsidRPr="007E7C5B">
        <w:rPr>
          <w:rFonts w:ascii="Arial Narrow" w:hAnsi="Arial Narrow"/>
          <w:b/>
          <w:bCs/>
          <w:sz w:val="24"/>
          <w:szCs w:val="24"/>
        </w:rPr>
        <w:t>la</w:t>
      </w:r>
      <w:r w:rsidR="0043006D" w:rsidRPr="007E7C5B">
        <w:rPr>
          <w:rFonts w:ascii="Arial Narrow" w:hAnsi="Arial Narrow"/>
          <w:b/>
          <w:bCs/>
          <w:sz w:val="24"/>
          <w:szCs w:val="24"/>
        </w:rPr>
        <w:t xml:space="preserve"> qualité des produits de santé</w:t>
      </w:r>
      <w:r w:rsidR="0043006D" w:rsidRPr="007E7C5B">
        <w:rPr>
          <w:rFonts w:ascii="Arial Narrow" w:hAnsi="Arial Narrow"/>
          <w:b/>
          <w:bCs/>
          <w:i/>
          <w:iCs/>
          <w:sz w:val="24"/>
          <w:szCs w:val="24"/>
        </w:rPr>
        <w:t xml:space="preserve">, </w:t>
      </w:r>
      <w:r w:rsidR="0043006D" w:rsidRPr="007E7C5B">
        <w:rPr>
          <w:rFonts w:ascii="Arial Narrow" w:hAnsi="Arial Narrow" w:cstheme="minorHAnsi"/>
          <w:sz w:val="24"/>
          <w:szCs w:val="24"/>
        </w:rPr>
        <w:t xml:space="preserve">le </w:t>
      </w:r>
      <w:r w:rsidR="003A0635" w:rsidRPr="007E7C5B">
        <w:rPr>
          <w:rFonts w:ascii="Arial Narrow" w:hAnsi="Arial Narrow" w:cstheme="minorHAnsi"/>
          <w:sz w:val="24"/>
          <w:szCs w:val="24"/>
        </w:rPr>
        <w:t xml:space="preserve">Ministère </w:t>
      </w:r>
      <w:r w:rsidR="0043006D" w:rsidRPr="007E7C5B">
        <w:rPr>
          <w:rFonts w:ascii="Arial Narrow" w:hAnsi="Arial Narrow" w:cstheme="minorHAnsi"/>
          <w:sz w:val="24"/>
          <w:szCs w:val="24"/>
        </w:rPr>
        <w:t xml:space="preserve">a procédé à : </w:t>
      </w:r>
      <w:r w:rsidR="0043006D" w:rsidRPr="00A918AC">
        <w:rPr>
          <w:rFonts w:ascii="Arial Narrow" w:hAnsi="Arial Narrow" w:cstheme="minorHAnsi"/>
          <w:i/>
          <w:sz w:val="24"/>
          <w:szCs w:val="24"/>
        </w:rPr>
        <w:t>(</w:t>
      </w:r>
      <w:r w:rsidR="0043006D" w:rsidRPr="00A918AC" w:rsidDel="006F36C2">
        <w:rPr>
          <w:rFonts w:ascii="Arial Narrow" w:hAnsi="Arial Narrow" w:cstheme="minorHAnsi"/>
          <w:i/>
          <w:sz w:val="24"/>
          <w:szCs w:val="24"/>
        </w:rPr>
        <w:t>i</w:t>
      </w:r>
      <w:r w:rsidR="0043006D" w:rsidRPr="00A918AC">
        <w:rPr>
          <w:rFonts w:ascii="Arial Narrow" w:hAnsi="Arial Narrow" w:cstheme="minorHAnsi"/>
          <w:i/>
          <w:sz w:val="24"/>
          <w:szCs w:val="24"/>
        </w:rPr>
        <w:t>)</w:t>
      </w:r>
      <w:r w:rsidR="0043006D" w:rsidRPr="007E7C5B">
        <w:rPr>
          <w:rFonts w:ascii="Arial Narrow" w:hAnsi="Arial Narrow" w:cstheme="minorHAnsi"/>
          <w:sz w:val="24"/>
          <w:szCs w:val="24"/>
        </w:rPr>
        <w:t xml:space="preserve"> l’élaboration d’un Plan Stratégique de lutte contre les Produits Médicaux de Qualité Inférieure et Falsifiés (PMQIF) ; </w:t>
      </w:r>
      <w:r w:rsidR="0043006D" w:rsidRPr="00A918AC">
        <w:rPr>
          <w:rFonts w:ascii="Arial Narrow" w:hAnsi="Arial Narrow" w:cstheme="minorHAnsi"/>
          <w:i/>
          <w:sz w:val="24"/>
          <w:szCs w:val="24"/>
        </w:rPr>
        <w:t>(</w:t>
      </w:r>
      <w:r w:rsidR="0043006D" w:rsidRPr="00A918AC">
        <w:rPr>
          <w:rFonts w:ascii="Arial Narrow" w:hAnsi="Arial Narrow" w:cstheme="minorHAnsi"/>
          <w:i/>
          <w:iCs/>
          <w:sz w:val="24"/>
          <w:szCs w:val="24"/>
        </w:rPr>
        <w:t>ii</w:t>
      </w:r>
      <w:r w:rsidR="0043006D" w:rsidRPr="00A918AC">
        <w:rPr>
          <w:rFonts w:ascii="Arial Narrow" w:hAnsi="Arial Narrow" w:cstheme="minorHAnsi"/>
          <w:i/>
          <w:sz w:val="24"/>
          <w:szCs w:val="24"/>
        </w:rPr>
        <w:t>)</w:t>
      </w:r>
      <w:r w:rsidR="0043006D" w:rsidRPr="007E7C5B">
        <w:rPr>
          <w:rFonts w:ascii="Arial Narrow" w:hAnsi="Arial Narrow" w:cstheme="minorHAnsi"/>
          <w:sz w:val="24"/>
          <w:szCs w:val="24"/>
        </w:rPr>
        <w:t xml:space="preserve"> la réalisation effective des réunions de coordination des parties-prenantes de lutte contre les PMQIF (Gendarmerie, Police, Douanes Ivoiriennes, Justice, </w:t>
      </w:r>
      <w:r w:rsidR="00AC1109" w:rsidRPr="007E7C5B">
        <w:rPr>
          <w:rFonts w:ascii="Arial Narrow" w:hAnsi="Arial Narrow" w:cstheme="minorHAnsi"/>
          <w:sz w:val="24"/>
          <w:szCs w:val="24"/>
        </w:rPr>
        <w:t>e</w:t>
      </w:r>
      <w:r w:rsidR="0043006D" w:rsidRPr="007E7C5B">
        <w:rPr>
          <w:rFonts w:ascii="Arial Narrow" w:hAnsi="Arial Narrow" w:cstheme="minorHAnsi"/>
          <w:sz w:val="24"/>
          <w:szCs w:val="24"/>
        </w:rPr>
        <w:t xml:space="preserve">tc.) ; </w:t>
      </w:r>
      <w:r w:rsidR="0043006D" w:rsidRPr="00A918AC">
        <w:rPr>
          <w:rFonts w:ascii="Arial Narrow" w:hAnsi="Arial Narrow" w:cstheme="minorHAnsi"/>
          <w:i/>
          <w:iCs/>
          <w:sz w:val="24"/>
          <w:szCs w:val="24"/>
        </w:rPr>
        <w:t>(</w:t>
      </w:r>
      <w:r w:rsidR="001D54DD" w:rsidRPr="007E7C5B">
        <w:rPr>
          <w:rFonts w:ascii="Arial Narrow" w:hAnsi="Arial Narrow" w:cstheme="minorHAnsi"/>
          <w:i/>
          <w:iCs/>
          <w:sz w:val="24"/>
          <w:szCs w:val="24"/>
        </w:rPr>
        <w:t>ii</w:t>
      </w:r>
      <w:r w:rsidR="00BB0F1D" w:rsidRPr="007E7C5B">
        <w:rPr>
          <w:rFonts w:ascii="Arial Narrow" w:hAnsi="Arial Narrow" w:cstheme="minorHAnsi"/>
          <w:i/>
          <w:iCs/>
          <w:sz w:val="24"/>
          <w:szCs w:val="24"/>
        </w:rPr>
        <w:t>i</w:t>
      </w:r>
      <w:r w:rsidR="0043006D" w:rsidRPr="00A918AC">
        <w:rPr>
          <w:rFonts w:ascii="Arial Narrow" w:hAnsi="Arial Narrow" w:cstheme="minorHAnsi"/>
          <w:i/>
          <w:sz w:val="24"/>
          <w:szCs w:val="24"/>
        </w:rPr>
        <w:t>)</w:t>
      </w:r>
      <w:r w:rsidR="0043006D" w:rsidRPr="007E7C5B">
        <w:rPr>
          <w:rFonts w:ascii="Arial Narrow" w:hAnsi="Arial Narrow" w:cstheme="minorHAnsi"/>
          <w:sz w:val="24"/>
          <w:szCs w:val="24"/>
        </w:rPr>
        <w:t xml:space="preserve"> l’accroissement </w:t>
      </w:r>
      <w:r w:rsidR="00A07EB2" w:rsidRPr="007E7C5B">
        <w:rPr>
          <w:rFonts w:ascii="Arial Narrow" w:hAnsi="Arial Narrow" w:cstheme="minorHAnsi"/>
          <w:sz w:val="24"/>
          <w:szCs w:val="24"/>
        </w:rPr>
        <w:t xml:space="preserve">du contrôle menant à </w:t>
      </w:r>
      <w:r w:rsidR="0043006D" w:rsidRPr="007E7C5B">
        <w:rPr>
          <w:rFonts w:ascii="Arial Narrow" w:hAnsi="Arial Narrow" w:cstheme="minorHAnsi"/>
          <w:sz w:val="24"/>
          <w:szCs w:val="24"/>
        </w:rPr>
        <w:t xml:space="preserve">des saisies des </w:t>
      </w:r>
      <w:r w:rsidR="00E7106D" w:rsidRPr="007E7C5B">
        <w:rPr>
          <w:rFonts w:ascii="Arial Narrow" w:hAnsi="Arial Narrow" w:cstheme="minorHAnsi"/>
          <w:sz w:val="24"/>
          <w:szCs w:val="24"/>
        </w:rPr>
        <w:t>P</w:t>
      </w:r>
      <w:r w:rsidR="0043006D" w:rsidRPr="007E7C5B">
        <w:rPr>
          <w:rFonts w:ascii="Arial Narrow" w:hAnsi="Arial Narrow" w:cstheme="minorHAnsi"/>
          <w:sz w:val="24"/>
          <w:szCs w:val="24"/>
        </w:rPr>
        <w:t xml:space="preserve">MQIFS (676 tonnes de PMQIF saisies) ; </w:t>
      </w:r>
      <w:r w:rsidR="0043006D" w:rsidRPr="00A918AC">
        <w:rPr>
          <w:rFonts w:ascii="Arial Narrow" w:hAnsi="Arial Narrow" w:cstheme="minorHAnsi"/>
          <w:i/>
          <w:sz w:val="24"/>
          <w:szCs w:val="24"/>
        </w:rPr>
        <w:t>(</w:t>
      </w:r>
      <w:r w:rsidR="004A5335" w:rsidRPr="007E7C5B">
        <w:rPr>
          <w:rFonts w:ascii="Arial Narrow" w:hAnsi="Arial Narrow" w:cstheme="minorHAnsi"/>
          <w:i/>
          <w:iCs/>
          <w:sz w:val="24"/>
          <w:szCs w:val="24"/>
        </w:rPr>
        <w:t>i</w:t>
      </w:r>
      <w:r w:rsidR="0043006D" w:rsidRPr="00A918AC">
        <w:rPr>
          <w:rFonts w:ascii="Arial Narrow" w:hAnsi="Arial Narrow" w:cstheme="minorHAnsi"/>
          <w:i/>
          <w:sz w:val="24"/>
          <w:szCs w:val="24"/>
        </w:rPr>
        <w:t>v)</w:t>
      </w:r>
      <w:r w:rsidR="0043006D" w:rsidRPr="007E7C5B">
        <w:rPr>
          <w:rFonts w:ascii="Arial Narrow" w:hAnsi="Arial Narrow" w:cstheme="minorHAnsi"/>
          <w:sz w:val="24"/>
          <w:szCs w:val="24"/>
        </w:rPr>
        <w:t xml:space="preserve"> le renforcement du processus d’homologation des produits pharmaceutiques</w:t>
      </w:r>
      <w:r w:rsidR="003C2D00" w:rsidRPr="007E7C5B">
        <w:rPr>
          <w:rFonts w:ascii="Arial Narrow" w:hAnsi="Arial Narrow" w:cstheme="minorHAnsi"/>
          <w:sz w:val="24"/>
          <w:szCs w:val="24"/>
        </w:rPr>
        <w:t> ;</w:t>
      </w:r>
      <w:r w:rsidR="0043006D" w:rsidRPr="007E7C5B">
        <w:rPr>
          <w:rFonts w:ascii="Arial Narrow" w:hAnsi="Arial Narrow" w:cstheme="minorHAnsi"/>
          <w:sz w:val="24"/>
          <w:szCs w:val="24"/>
        </w:rPr>
        <w:t xml:space="preserve"> </w:t>
      </w:r>
      <w:r w:rsidR="0043006D" w:rsidRPr="00A918AC">
        <w:rPr>
          <w:rFonts w:ascii="Arial Narrow" w:hAnsi="Arial Narrow" w:cstheme="minorHAnsi"/>
          <w:i/>
          <w:sz w:val="24"/>
          <w:szCs w:val="24"/>
        </w:rPr>
        <w:t>(</w:t>
      </w:r>
      <w:r w:rsidR="0043006D" w:rsidRPr="00A918AC">
        <w:rPr>
          <w:rFonts w:ascii="Arial Narrow" w:hAnsi="Arial Narrow" w:cstheme="minorHAnsi"/>
          <w:i/>
          <w:iCs/>
          <w:sz w:val="24"/>
          <w:szCs w:val="24"/>
        </w:rPr>
        <w:t>v</w:t>
      </w:r>
      <w:r w:rsidR="0043006D" w:rsidRPr="00A918AC">
        <w:rPr>
          <w:rFonts w:ascii="Arial Narrow" w:hAnsi="Arial Narrow" w:cstheme="minorHAnsi"/>
          <w:i/>
          <w:sz w:val="24"/>
          <w:szCs w:val="24"/>
        </w:rPr>
        <w:t>)</w:t>
      </w:r>
      <w:r w:rsidR="0043006D" w:rsidRPr="007E7C5B">
        <w:rPr>
          <w:rFonts w:ascii="Arial Narrow" w:hAnsi="Arial Narrow" w:cstheme="minorHAnsi"/>
          <w:sz w:val="24"/>
          <w:szCs w:val="24"/>
        </w:rPr>
        <w:t xml:space="preserve"> la mise en place de comités techniques d’experts pour l’évaluation technique des dossiers de demande d’homologation</w:t>
      </w:r>
      <w:r w:rsidR="00342E8C" w:rsidRPr="007E7C5B">
        <w:rPr>
          <w:rFonts w:ascii="Arial Narrow" w:hAnsi="Arial Narrow" w:cstheme="minorHAnsi"/>
          <w:sz w:val="24"/>
          <w:szCs w:val="24"/>
        </w:rPr>
        <w:t>,</w:t>
      </w:r>
      <w:r w:rsidR="0043006D" w:rsidRPr="007E7C5B">
        <w:rPr>
          <w:rFonts w:ascii="Arial Narrow" w:hAnsi="Arial Narrow" w:cstheme="minorHAnsi"/>
          <w:sz w:val="24"/>
          <w:szCs w:val="24"/>
        </w:rPr>
        <w:t xml:space="preserve"> </w:t>
      </w:r>
      <w:r w:rsidR="006A0554" w:rsidRPr="007E7C5B">
        <w:rPr>
          <w:rFonts w:ascii="Arial Narrow" w:hAnsi="Arial Narrow" w:cstheme="minorHAnsi"/>
          <w:sz w:val="24"/>
          <w:szCs w:val="24"/>
        </w:rPr>
        <w:t xml:space="preserve">ainsi que </w:t>
      </w:r>
      <w:r w:rsidR="0043006D" w:rsidRPr="007E7C5B">
        <w:rPr>
          <w:rFonts w:ascii="Arial Narrow" w:hAnsi="Arial Narrow" w:cstheme="minorHAnsi"/>
          <w:sz w:val="24"/>
          <w:szCs w:val="24"/>
        </w:rPr>
        <w:t xml:space="preserve">de la commission nationale du médicament et des autres produits pharmaceutiques ; </w:t>
      </w:r>
      <w:r w:rsidR="0043006D" w:rsidRPr="00A918AC">
        <w:rPr>
          <w:rFonts w:ascii="Arial Narrow" w:hAnsi="Arial Narrow" w:cstheme="minorHAnsi"/>
          <w:i/>
          <w:iCs/>
          <w:sz w:val="24"/>
          <w:szCs w:val="24"/>
        </w:rPr>
        <w:t>(vi</w:t>
      </w:r>
      <w:r w:rsidR="0043006D" w:rsidRPr="00A918AC">
        <w:rPr>
          <w:rFonts w:ascii="Arial Narrow" w:hAnsi="Arial Narrow" w:cstheme="minorHAnsi"/>
          <w:i/>
          <w:sz w:val="24"/>
          <w:szCs w:val="24"/>
        </w:rPr>
        <w:t>)</w:t>
      </w:r>
      <w:r w:rsidR="0043006D" w:rsidRPr="007E7C5B">
        <w:rPr>
          <w:rFonts w:ascii="Arial Narrow" w:hAnsi="Arial Narrow" w:cstheme="minorHAnsi"/>
          <w:sz w:val="24"/>
          <w:szCs w:val="24"/>
        </w:rPr>
        <w:t xml:space="preserve"> le traitement de 8</w:t>
      </w:r>
      <w:r w:rsidR="00F54833" w:rsidRPr="007E7C5B">
        <w:rPr>
          <w:rFonts w:ascii="Arial Narrow" w:hAnsi="Arial Narrow" w:cstheme="minorHAnsi"/>
          <w:sz w:val="24"/>
          <w:szCs w:val="24"/>
        </w:rPr>
        <w:t xml:space="preserve"> </w:t>
      </w:r>
      <w:r w:rsidR="0043006D" w:rsidRPr="007E7C5B">
        <w:rPr>
          <w:rFonts w:ascii="Arial Narrow" w:hAnsi="Arial Narrow" w:cstheme="minorHAnsi"/>
          <w:sz w:val="24"/>
          <w:szCs w:val="24"/>
        </w:rPr>
        <w:t xml:space="preserve">021 dossiers de demande d’autorisation de mise sur le marché / autorisation de commercialisation ; </w:t>
      </w:r>
      <w:r w:rsidR="0043006D" w:rsidRPr="00A918AC">
        <w:rPr>
          <w:rFonts w:ascii="Arial Narrow" w:hAnsi="Arial Narrow" w:cstheme="minorHAnsi"/>
          <w:i/>
          <w:sz w:val="24"/>
          <w:szCs w:val="24"/>
        </w:rPr>
        <w:t>(</w:t>
      </w:r>
      <w:r w:rsidR="00F6408F" w:rsidRPr="007E7C5B">
        <w:rPr>
          <w:rFonts w:ascii="Arial Narrow" w:hAnsi="Arial Narrow" w:cstheme="minorHAnsi"/>
          <w:i/>
          <w:iCs/>
          <w:sz w:val="24"/>
          <w:szCs w:val="24"/>
        </w:rPr>
        <w:t>vi</w:t>
      </w:r>
      <w:r w:rsidR="0043006D" w:rsidRPr="00A918AC">
        <w:rPr>
          <w:rFonts w:ascii="Arial Narrow" w:hAnsi="Arial Narrow" w:cstheme="minorHAnsi"/>
          <w:i/>
          <w:iCs/>
          <w:sz w:val="24"/>
          <w:szCs w:val="24"/>
        </w:rPr>
        <w:t>i</w:t>
      </w:r>
      <w:r w:rsidR="0043006D" w:rsidRPr="00A918AC">
        <w:rPr>
          <w:rFonts w:ascii="Arial Narrow" w:hAnsi="Arial Narrow" w:cstheme="minorHAnsi"/>
          <w:i/>
          <w:sz w:val="24"/>
          <w:szCs w:val="24"/>
        </w:rPr>
        <w:t>)</w:t>
      </w:r>
      <w:r w:rsidR="0043006D" w:rsidRPr="007E7C5B">
        <w:rPr>
          <w:rFonts w:ascii="Arial Narrow" w:hAnsi="Arial Narrow" w:cstheme="minorHAnsi"/>
          <w:sz w:val="24"/>
          <w:szCs w:val="24"/>
        </w:rPr>
        <w:t xml:space="preserve"> la réalisation des inspections et des visites de conformité dans 440 établissements pharmaceutiques </w:t>
      </w:r>
      <w:r w:rsidR="00C70655" w:rsidRPr="007E7C5B">
        <w:rPr>
          <w:rFonts w:ascii="Arial Narrow" w:hAnsi="Arial Narrow" w:cstheme="minorHAnsi"/>
          <w:sz w:val="24"/>
          <w:szCs w:val="24"/>
        </w:rPr>
        <w:t xml:space="preserve">et </w:t>
      </w:r>
      <w:r w:rsidR="0043006D" w:rsidRPr="00A918AC">
        <w:rPr>
          <w:rFonts w:ascii="Arial Narrow" w:hAnsi="Arial Narrow" w:cstheme="minorHAnsi"/>
          <w:i/>
          <w:sz w:val="24"/>
          <w:szCs w:val="24"/>
        </w:rPr>
        <w:t>(</w:t>
      </w:r>
      <w:r w:rsidR="00F6408F" w:rsidRPr="007E7C5B">
        <w:rPr>
          <w:rFonts w:ascii="Arial Narrow" w:hAnsi="Arial Narrow" w:cstheme="minorHAnsi"/>
          <w:i/>
          <w:iCs/>
          <w:sz w:val="24"/>
          <w:szCs w:val="24"/>
        </w:rPr>
        <w:t>viii</w:t>
      </w:r>
      <w:r w:rsidR="0043006D" w:rsidRPr="00A918AC">
        <w:rPr>
          <w:rFonts w:ascii="Arial Narrow" w:hAnsi="Arial Narrow" w:cstheme="minorHAnsi"/>
          <w:i/>
          <w:sz w:val="24"/>
          <w:szCs w:val="24"/>
        </w:rPr>
        <w:t>)</w:t>
      </w:r>
      <w:r w:rsidR="00164D52" w:rsidRPr="007E7C5B">
        <w:rPr>
          <w:rFonts w:ascii="Arial Narrow" w:hAnsi="Arial Narrow" w:cstheme="minorHAnsi"/>
          <w:sz w:val="24"/>
          <w:szCs w:val="24"/>
        </w:rPr>
        <w:t> la m</w:t>
      </w:r>
      <w:r w:rsidR="0043006D" w:rsidRPr="007E7C5B">
        <w:rPr>
          <w:rFonts w:ascii="Arial Narrow" w:hAnsi="Arial Narrow" w:cstheme="minorHAnsi"/>
          <w:sz w:val="24"/>
          <w:szCs w:val="24"/>
        </w:rPr>
        <w:t>ise en place de comité d’experts des vigilances.</w:t>
      </w:r>
    </w:p>
    <w:p w14:paraId="1F94FBAF" w14:textId="557BCA1A" w:rsidR="00966718" w:rsidRPr="0044167B" w:rsidRDefault="00F25927" w:rsidP="0044167B">
      <w:pPr>
        <w:rPr>
          <w:color w:val="00B0F0"/>
        </w:rPr>
      </w:pPr>
      <w:r w:rsidRPr="00F25927">
        <w:rPr>
          <w:rFonts w:ascii="Arial Narrow" w:hAnsi="Arial Narrow" w:cstheme="minorHAnsi"/>
          <w:sz w:val="24"/>
          <w:szCs w:val="24"/>
        </w:rPr>
        <w:t xml:space="preserve">De plus, </w:t>
      </w:r>
      <w:r w:rsidRPr="0044167B">
        <w:rPr>
          <w:rFonts w:ascii="Arial Narrow" w:hAnsi="Arial Narrow" w:cstheme="minorHAnsi"/>
          <w:sz w:val="24"/>
          <w:szCs w:val="24"/>
        </w:rPr>
        <w:t xml:space="preserve">l’évaluation et la sélection des laboratoires répondant au critère de préqualification OMS a été effectuée pour la réalisation du contrôle pour la surveillance du marché. Le </w:t>
      </w:r>
      <w:r>
        <w:rPr>
          <w:rFonts w:ascii="Arial Narrow" w:hAnsi="Arial Narrow" w:cstheme="minorHAnsi"/>
          <w:sz w:val="24"/>
          <w:szCs w:val="24"/>
        </w:rPr>
        <w:t>t</w:t>
      </w:r>
      <w:r w:rsidR="00966718" w:rsidRPr="0044167B">
        <w:rPr>
          <w:rFonts w:ascii="Arial Narrow" w:hAnsi="Arial Narrow" w:cstheme="minorHAnsi"/>
          <w:sz w:val="24"/>
          <w:szCs w:val="24"/>
        </w:rPr>
        <w:t>aux de conformité aux normes des lots de produits de santé contrôlés en post-marketing </w:t>
      </w:r>
      <w:r>
        <w:rPr>
          <w:rFonts w:ascii="Arial Narrow" w:hAnsi="Arial Narrow" w:cstheme="minorHAnsi"/>
          <w:sz w:val="24"/>
          <w:szCs w:val="24"/>
        </w:rPr>
        <w:t xml:space="preserve">est restée stable de </w:t>
      </w:r>
      <w:r w:rsidR="00966718" w:rsidRPr="0044167B">
        <w:rPr>
          <w:rFonts w:ascii="Arial Narrow" w:hAnsi="Arial Narrow" w:cstheme="minorHAnsi"/>
          <w:sz w:val="24"/>
          <w:szCs w:val="24"/>
        </w:rPr>
        <w:t>2020</w:t>
      </w:r>
      <w:r>
        <w:rPr>
          <w:rFonts w:ascii="Arial Narrow" w:hAnsi="Arial Narrow" w:cstheme="minorHAnsi"/>
          <w:sz w:val="24"/>
          <w:szCs w:val="24"/>
        </w:rPr>
        <w:t xml:space="preserve"> à 2022 (1</w:t>
      </w:r>
      <w:r w:rsidR="00966718" w:rsidRPr="0044167B">
        <w:rPr>
          <w:rFonts w:ascii="Arial Narrow" w:hAnsi="Arial Narrow" w:cstheme="minorHAnsi"/>
          <w:sz w:val="24"/>
          <w:szCs w:val="24"/>
        </w:rPr>
        <w:t>00%</w:t>
      </w:r>
      <w:r>
        <w:rPr>
          <w:rFonts w:ascii="Arial Narrow" w:hAnsi="Arial Narrow" w:cstheme="minorHAnsi"/>
          <w:sz w:val="24"/>
          <w:szCs w:val="24"/>
        </w:rPr>
        <w:t>).</w:t>
      </w:r>
    </w:p>
    <w:p w14:paraId="5457DDC0" w14:textId="7F1D9376" w:rsidR="0043006D" w:rsidRPr="007E7C5B" w:rsidRDefault="00EC7BEB" w:rsidP="007C208A">
      <w:pPr>
        <w:rPr>
          <w:rFonts w:ascii="Arial Narrow" w:hAnsi="Arial Narrow" w:cs="Arial"/>
          <w:sz w:val="24"/>
          <w:szCs w:val="24"/>
          <w:lang w:val="fr-CI"/>
        </w:rPr>
      </w:pPr>
      <w:r w:rsidRPr="0044167B">
        <w:rPr>
          <w:rFonts w:ascii="Arial Narrow" w:hAnsi="Arial Narrow" w:cstheme="minorHAnsi"/>
          <w:sz w:val="24"/>
          <w:szCs w:val="24"/>
        </w:rPr>
        <w:t xml:space="preserve">Toutefois, la </w:t>
      </w:r>
      <w:r w:rsidR="0028716F" w:rsidRPr="0044167B">
        <w:rPr>
          <w:rFonts w:ascii="Arial Narrow" w:hAnsi="Arial Narrow" w:cs="Arial"/>
          <w:sz w:val="24"/>
          <w:szCs w:val="24"/>
          <w:lang w:val="fr-CI"/>
        </w:rPr>
        <w:t>dépendance</w:t>
      </w:r>
      <w:r w:rsidR="0043006D" w:rsidRPr="0044167B">
        <w:rPr>
          <w:rFonts w:ascii="Arial Narrow" w:hAnsi="Arial Narrow" w:cs="Arial"/>
          <w:sz w:val="24"/>
          <w:szCs w:val="24"/>
          <w:lang w:val="fr-CI"/>
        </w:rPr>
        <w:t xml:space="preserve"> vis à vis du financement des Partenaires Techniques et Financiers</w:t>
      </w:r>
      <w:r w:rsidR="0028716F" w:rsidRPr="0044167B">
        <w:rPr>
          <w:rFonts w:ascii="Arial Narrow" w:hAnsi="Arial Narrow" w:cs="Arial"/>
          <w:sz w:val="24"/>
          <w:szCs w:val="24"/>
          <w:lang w:val="fr-CI"/>
        </w:rPr>
        <w:t xml:space="preserve"> reste un défi pour le financement durable de la chaine d’approvisionnement des produits de santé. Le secteur souffre également de l’absence d’une</w:t>
      </w:r>
      <w:r w:rsidR="0043006D" w:rsidRPr="0044167B">
        <w:rPr>
          <w:rFonts w:ascii="Arial Narrow" w:hAnsi="Arial Narrow" w:cs="Arial"/>
          <w:sz w:val="24"/>
          <w:szCs w:val="24"/>
          <w:lang w:val="fr-CI"/>
        </w:rPr>
        <w:t xml:space="preserve"> stratégie </w:t>
      </w:r>
      <w:r w:rsidR="0028716F" w:rsidRPr="0044167B">
        <w:rPr>
          <w:rFonts w:ascii="Arial Narrow" w:hAnsi="Arial Narrow" w:cs="Arial"/>
          <w:sz w:val="24"/>
          <w:szCs w:val="24"/>
          <w:lang w:val="fr-CI"/>
        </w:rPr>
        <w:t xml:space="preserve">globale et intégrée </w:t>
      </w:r>
      <w:r w:rsidR="0043006D" w:rsidRPr="0044167B">
        <w:rPr>
          <w:rFonts w:ascii="Arial Narrow" w:hAnsi="Arial Narrow" w:cs="Arial"/>
          <w:sz w:val="24"/>
          <w:szCs w:val="24"/>
          <w:lang w:val="fr-CI"/>
        </w:rPr>
        <w:t>pour le développement de l’industrie pharmaceutique</w:t>
      </w:r>
      <w:r w:rsidR="0028716F" w:rsidRPr="0044167B">
        <w:rPr>
          <w:rFonts w:ascii="Arial Narrow" w:hAnsi="Arial Narrow" w:cs="Arial"/>
          <w:sz w:val="24"/>
          <w:szCs w:val="24"/>
          <w:lang w:val="fr-CI"/>
        </w:rPr>
        <w:t xml:space="preserve">. </w:t>
      </w:r>
      <w:r w:rsidR="007C208A" w:rsidRPr="007C208A">
        <w:rPr>
          <w:rFonts w:ascii="Arial Narrow" w:hAnsi="Arial Narrow" w:cs="Arial"/>
          <w:sz w:val="24"/>
          <w:szCs w:val="24"/>
        </w:rPr>
        <w:t xml:space="preserve">La captation de l’information sur les industries pharmaceutiques, la non-appropriation du logiciel </w:t>
      </w:r>
      <w:proofErr w:type="spellStart"/>
      <w:r w:rsidR="007C208A" w:rsidRPr="0044167B">
        <w:rPr>
          <w:rFonts w:ascii="Arial Narrow" w:hAnsi="Arial Narrow" w:cs="Arial"/>
          <w:sz w:val="24"/>
          <w:szCs w:val="24"/>
        </w:rPr>
        <w:t>mSupply</w:t>
      </w:r>
      <w:proofErr w:type="spellEnd"/>
      <w:r w:rsidR="007C208A" w:rsidRPr="007B5412">
        <w:rPr>
          <w:rFonts w:ascii="Arial Narrow" w:hAnsi="Arial Narrow" w:cs="Arial"/>
          <w:sz w:val="24"/>
          <w:szCs w:val="24"/>
        </w:rPr>
        <w:t xml:space="preserve"> </w:t>
      </w:r>
      <w:r w:rsidR="007C208A" w:rsidRPr="007C208A">
        <w:rPr>
          <w:rFonts w:ascii="Arial Narrow" w:hAnsi="Arial Narrow" w:cs="Arial"/>
          <w:sz w:val="24"/>
          <w:szCs w:val="24"/>
        </w:rPr>
        <w:t>par certains utilisateurs pour la gestion quotidienne des stocks sur les sites, ainsi que les capacités limitées de stockage des produits constituent des défis majeurs. En matière de qualité, des difficultés subsistent concernant la disponibilité des ressources pour étendre le contrôle à une plus grande variété de produits, l’insuffisance dans l’application des réglementations et le manque de coordination dans la mise en œuvre des activités de contrôle post-commercialisation</w:t>
      </w:r>
      <w:r w:rsidR="007C208A">
        <w:rPr>
          <w:rFonts w:ascii="Arial Narrow" w:hAnsi="Arial Narrow" w:cs="Arial"/>
          <w:sz w:val="24"/>
          <w:szCs w:val="24"/>
        </w:rPr>
        <w:t>.</w:t>
      </w:r>
    </w:p>
    <w:p w14:paraId="05B10084" w14:textId="77777777" w:rsidR="00866EF6" w:rsidRPr="007E7C5B" w:rsidRDefault="00235D8D" w:rsidP="00761F55">
      <w:pPr>
        <w:jc w:val="both"/>
        <w:rPr>
          <w:rFonts w:ascii="Arial Narrow" w:hAnsi="Arial Narrow" w:cstheme="minorHAnsi"/>
          <w:sz w:val="24"/>
          <w:szCs w:val="24"/>
        </w:rPr>
      </w:pPr>
      <w:r w:rsidRPr="007E7C5B">
        <w:rPr>
          <w:rFonts w:ascii="Arial Narrow" w:hAnsi="Arial Narrow" w:cstheme="minorHAnsi"/>
          <w:b/>
          <w:bCs/>
          <w:sz w:val="24"/>
          <w:szCs w:val="24"/>
        </w:rPr>
        <w:t>Au niveau des</w:t>
      </w:r>
      <w:r w:rsidR="0043006D" w:rsidRPr="007E7C5B">
        <w:rPr>
          <w:rFonts w:ascii="Arial Narrow" w:hAnsi="Arial Narrow" w:cstheme="minorHAnsi"/>
          <w:b/>
          <w:bCs/>
          <w:sz w:val="24"/>
          <w:szCs w:val="24"/>
        </w:rPr>
        <w:t xml:space="preserve"> produits sanguins</w:t>
      </w:r>
      <w:r w:rsidR="0043006D" w:rsidRPr="007E7C5B">
        <w:rPr>
          <w:rFonts w:ascii="Arial Narrow" w:hAnsi="Arial Narrow" w:cstheme="minorHAnsi"/>
          <w:sz w:val="24"/>
          <w:szCs w:val="24"/>
        </w:rPr>
        <w:t xml:space="preserve">, la mise en œuvre des activités sur la période a permis d’améliorer la disponibilité et l’accessibilité des poches de sang. </w:t>
      </w:r>
    </w:p>
    <w:p w14:paraId="5957C711" w14:textId="1FDF7EDB" w:rsidR="0043006D" w:rsidRPr="007E7C5B" w:rsidRDefault="00F82B8E" w:rsidP="00761F55">
      <w:pPr>
        <w:jc w:val="both"/>
        <w:rPr>
          <w:rFonts w:ascii="Arial Narrow" w:hAnsi="Arial Narrow" w:cstheme="minorHAnsi"/>
          <w:sz w:val="24"/>
          <w:szCs w:val="24"/>
        </w:rPr>
      </w:pPr>
      <w:r w:rsidRPr="007E7C5B">
        <w:rPr>
          <w:rFonts w:ascii="Arial Narrow" w:hAnsi="Arial Narrow" w:cstheme="minorHAnsi"/>
          <w:sz w:val="24"/>
          <w:szCs w:val="24"/>
        </w:rPr>
        <w:t>Dans le cadre de la régulation</w:t>
      </w:r>
      <w:r w:rsidR="00BE3960" w:rsidRPr="007E7C5B">
        <w:rPr>
          <w:rFonts w:ascii="Arial Narrow" w:hAnsi="Arial Narrow" w:cstheme="minorHAnsi"/>
          <w:sz w:val="24"/>
          <w:szCs w:val="24"/>
        </w:rPr>
        <w:t>, l</w:t>
      </w:r>
      <w:r w:rsidR="0043006D" w:rsidRPr="007E7C5B">
        <w:rPr>
          <w:rFonts w:ascii="Arial Narrow" w:hAnsi="Arial Narrow" w:cstheme="minorHAnsi"/>
          <w:sz w:val="24"/>
          <w:szCs w:val="24"/>
        </w:rPr>
        <w:t>’arrêté N°00025 MSHPCMU/CAB/du 08.03.2022 portant fixation du co</w:t>
      </w:r>
      <w:r w:rsidRPr="007E7C5B">
        <w:rPr>
          <w:rFonts w:ascii="Arial Narrow" w:hAnsi="Arial Narrow" w:cstheme="minorHAnsi"/>
          <w:sz w:val="24"/>
          <w:szCs w:val="24"/>
        </w:rPr>
        <w:t>û</w:t>
      </w:r>
      <w:r w:rsidR="0043006D" w:rsidRPr="007E7C5B">
        <w:rPr>
          <w:rFonts w:ascii="Arial Narrow" w:hAnsi="Arial Narrow" w:cstheme="minorHAnsi"/>
          <w:sz w:val="24"/>
          <w:szCs w:val="24"/>
        </w:rPr>
        <w:t xml:space="preserve">t de cession des produits sanguins en Côte d’Ivoire </w:t>
      </w:r>
      <w:r w:rsidR="0056565F" w:rsidRPr="007E7C5B">
        <w:rPr>
          <w:rFonts w:ascii="Arial Narrow" w:hAnsi="Arial Narrow" w:cstheme="minorHAnsi"/>
          <w:sz w:val="24"/>
          <w:szCs w:val="24"/>
        </w:rPr>
        <w:t>à 3 000 FCFA</w:t>
      </w:r>
      <w:r w:rsidR="007A5E72" w:rsidRPr="007E7C5B">
        <w:rPr>
          <w:rFonts w:ascii="Arial Narrow" w:hAnsi="Arial Narrow" w:cstheme="minorHAnsi"/>
          <w:sz w:val="24"/>
          <w:szCs w:val="24"/>
        </w:rPr>
        <w:t xml:space="preserve"> a été pris</w:t>
      </w:r>
      <w:r w:rsidR="0033286F" w:rsidRPr="007E7C5B">
        <w:rPr>
          <w:rFonts w:ascii="Arial Narrow" w:hAnsi="Arial Narrow" w:cstheme="minorHAnsi"/>
          <w:sz w:val="24"/>
          <w:szCs w:val="24"/>
        </w:rPr>
        <w:t>.</w:t>
      </w:r>
    </w:p>
    <w:p w14:paraId="0B9F592C" w14:textId="3262C1E2" w:rsidR="00B9136B" w:rsidRPr="007E7C5B" w:rsidRDefault="003438C3" w:rsidP="00761F55">
      <w:pPr>
        <w:jc w:val="both"/>
        <w:rPr>
          <w:rFonts w:ascii="Arial Narrow" w:hAnsi="Arial Narrow" w:cstheme="minorHAnsi"/>
          <w:sz w:val="24"/>
          <w:szCs w:val="24"/>
        </w:rPr>
      </w:pPr>
      <w:r w:rsidRPr="007E7C5B">
        <w:rPr>
          <w:rFonts w:ascii="Arial Narrow" w:hAnsi="Arial Narrow" w:cstheme="minorHAnsi"/>
          <w:sz w:val="24"/>
          <w:szCs w:val="24"/>
        </w:rPr>
        <w:lastRenderedPageBreak/>
        <w:t xml:space="preserve">Il faut noter également le </w:t>
      </w:r>
      <w:r w:rsidR="00B9136B" w:rsidRPr="007E7C5B">
        <w:rPr>
          <w:rFonts w:ascii="Arial Narrow" w:hAnsi="Arial Narrow" w:cstheme="minorHAnsi"/>
          <w:sz w:val="24"/>
          <w:szCs w:val="24"/>
        </w:rPr>
        <w:t>renforcement de capacités matérielles et infrastructurelles du CNTSCI</w:t>
      </w:r>
      <w:r w:rsidR="00B86312" w:rsidRPr="007E7C5B">
        <w:rPr>
          <w:rFonts w:ascii="Arial Narrow" w:hAnsi="Arial Narrow" w:cstheme="minorHAnsi"/>
          <w:sz w:val="24"/>
          <w:szCs w:val="24"/>
        </w:rPr>
        <w:t>,</w:t>
      </w:r>
      <w:r w:rsidR="00B9136B" w:rsidRPr="007E7C5B">
        <w:rPr>
          <w:rFonts w:ascii="Arial Narrow" w:hAnsi="Arial Narrow" w:cstheme="minorHAnsi"/>
          <w:sz w:val="24"/>
          <w:szCs w:val="24"/>
        </w:rPr>
        <w:t xml:space="preserve"> tant au niveau central que déconcentré. </w:t>
      </w:r>
      <w:r w:rsidR="00C1685C" w:rsidRPr="007E7C5B">
        <w:rPr>
          <w:rFonts w:ascii="Arial Narrow" w:hAnsi="Arial Narrow" w:cstheme="minorHAnsi"/>
          <w:sz w:val="24"/>
          <w:szCs w:val="24"/>
        </w:rPr>
        <w:t>Des</w:t>
      </w:r>
      <w:r w:rsidR="00B9136B" w:rsidRPr="007E7C5B" w:rsidDel="00C1685C">
        <w:rPr>
          <w:rFonts w:ascii="Arial Narrow" w:hAnsi="Arial Narrow" w:cstheme="minorHAnsi"/>
          <w:sz w:val="24"/>
          <w:szCs w:val="24"/>
        </w:rPr>
        <w:t xml:space="preserve"> </w:t>
      </w:r>
      <w:r w:rsidR="00B9136B" w:rsidRPr="007E7C5B">
        <w:rPr>
          <w:rFonts w:ascii="Arial Narrow" w:hAnsi="Arial Narrow" w:cstheme="minorHAnsi"/>
          <w:sz w:val="24"/>
          <w:szCs w:val="24"/>
        </w:rPr>
        <w:t xml:space="preserve">projets d’acquisition de matériels et </w:t>
      </w:r>
      <w:r w:rsidR="00C1685C" w:rsidRPr="007E7C5B">
        <w:rPr>
          <w:rFonts w:ascii="Arial Narrow" w:hAnsi="Arial Narrow" w:cstheme="minorHAnsi"/>
          <w:sz w:val="24"/>
          <w:szCs w:val="24"/>
        </w:rPr>
        <w:t>d’</w:t>
      </w:r>
      <w:r w:rsidR="00B9136B" w:rsidRPr="007E7C5B">
        <w:rPr>
          <w:rFonts w:ascii="Arial Narrow" w:hAnsi="Arial Narrow" w:cstheme="minorHAnsi"/>
          <w:sz w:val="24"/>
          <w:szCs w:val="24"/>
        </w:rPr>
        <w:t>équipements ainsi que des travaux de construction et de réhabilitation de centres ont été mis en œuvre sur la période 2021-2023</w:t>
      </w:r>
      <w:r w:rsidR="00B34D4D" w:rsidRPr="007E7C5B">
        <w:rPr>
          <w:rFonts w:ascii="Arial Narrow" w:hAnsi="Arial Narrow" w:cstheme="minorHAnsi"/>
          <w:sz w:val="24"/>
          <w:szCs w:val="24"/>
        </w:rPr>
        <w:t>. Il s’agit notamment de</w:t>
      </w:r>
      <w:r w:rsidR="00B9136B" w:rsidRPr="007E7C5B">
        <w:rPr>
          <w:rFonts w:ascii="Arial Narrow" w:hAnsi="Arial Narrow" w:cstheme="minorHAnsi"/>
          <w:sz w:val="24"/>
          <w:szCs w:val="24"/>
        </w:rPr>
        <w:t xml:space="preserve"> : </w:t>
      </w:r>
    </w:p>
    <w:p w14:paraId="7B2CAF25" w14:textId="11B4D133" w:rsidR="00B9136B" w:rsidRPr="007E7C5B" w:rsidRDefault="00B55942" w:rsidP="000A1A7B">
      <w:pPr>
        <w:pStyle w:val="Paragraphedeliste"/>
        <w:numPr>
          <w:ilvl w:val="0"/>
          <w:numId w:val="4"/>
        </w:numPr>
        <w:spacing w:line="254" w:lineRule="auto"/>
        <w:jc w:val="both"/>
        <w:rPr>
          <w:rFonts w:ascii="Arial Narrow" w:hAnsi="Arial Narrow" w:cs="Arial"/>
          <w:sz w:val="24"/>
          <w:szCs w:val="24"/>
        </w:rPr>
      </w:pPr>
      <w:r w:rsidRPr="007E7C5B">
        <w:rPr>
          <w:rFonts w:ascii="Arial Narrow" w:eastAsia="Times New Roman" w:hAnsi="Arial Narrow" w:cs="Arial"/>
          <w:sz w:val="24"/>
          <w:szCs w:val="24"/>
        </w:rPr>
        <w:t>L’a</w:t>
      </w:r>
      <w:r w:rsidR="00B9136B" w:rsidRPr="007E7C5B">
        <w:rPr>
          <w:rFonts w:ascii="Arial Narrow" w:eastAsia="Times New Roman" w:hAnsi="Arial Narrow" w:cs="Arial"/>
          <w:sz w:val="24"/>
          <w:szCs w:val="24"/>
        </w:rPr>
        <w:t xml:space="preserve">cquisition des équipements de prélèvement, de laboratoire, de préparation et de stockage du sang en vue de renforcer les capacités du CNTSCI et les structures déconcentrées ; </w:t>
      </w:r>
    </w:p>
    <w:p w14:paraId="7C480730" w14:textId="39D90E01" w:rsidR="00B9136B" w:rsidRPr="007E7C5B" w:rsidRDefault="00B55942" w:rsidP="000A1A7B">
      <w:pPr>
        <w:pStyle w:val="Paragraphedeliste"/>
        <w:numPr>
          <w:ilvl w:val="0"/>
          <w:numId w:val="4"/>
        </w:numPr>
        <w:spacing w:line="254" w:lineRule="auto"/>
        <w:jc w:val="both"/>
        <w:rPr>
          <w:rFonts w:ascii="Arial Narrow" w:hAnsi="Arial Narrow" w:cs="Arial"/>
          <w:sz w:val="24"/>
          <w:szCs w:val="24"/>
        </w:rPr>
      </w:pPr>
      <w:r w:rsidRPr="007E7C5B">
        <w:rPr>
          <w:rFonts w:ascii="Arial Narrow" w:eastAsia="Times New Roman" w:hAnsi="Arial Narrow" w:cs="Arial"/>
          <w:sz w:val="24"/>
          <w:szCs w:val="24"/>
        </w:rPr>
        <w:t>L’a</w:t>
      </w:r>
      <w:r w:rsidR="00B9136B" w:rsidRPr="007E7C5B">
        <w:rPr>
          <w:rFonts w:ascii="Arial Narrow" w:eastAsia="Times New Roman" w:hAnsi="Arial Narrow" w:cs="Arial"/>
          <w:sz w:val="24"/>
          <w:szCs w:val="24"/>
        </w:rPr>
        <w:t>cquisition d</w:t>
      </w:r>
      <w:r w:rsidR="0057633C" w:rsidRPr="007E7C5B">
        <w:rPr>
          <w:rFonts w:ascii="Arial Narrow" w:eastAsia="Times New Roman" w:hAnsi="Arial Narrow" w:cs="Arial"/>
          <w:sz w:val="24"/>
          <w:szCs w:val="24"/>
        </w:rPr>
        <w:t>e</w:t>
      </w:r>
      <w:r w:rsidR="00B9136B" w:rsidRPr="007E7C5B">
        <w:rPr>
          <w:rFonts w:ascii="Arial Narrow" w:eastAsia="Times New Roman" w:hAnsi="Arial Narrow" w:cs="Arial"/>
          <w:sz w:val="24"/>
          <w:szCs w:val="24"/>
        </w:rPr>
        <w:t xml:space="preserve"> matériel informatique</w:t>
      </w:r>
      <w:r w:rsidR="0057633C" w:rsidRPr="007E7C5B">
        <w:rPr>
          <w:rFonts w:ascii="Arial Narrow" w:eastAsia="Times New Roman" w:hAnsi="Arial Narrow" w:cs="Arial"/>
          <w:sz w:val="24"/>
          <w:szCs w:val="24"/>
        </w:rPr>
        <w:t xml:space="preserve"> et </w:t>
      </w:r>
      <w:r w:rsidR="00B9136B" w:rsidRPr="007E7C5B">
        <w:rPr>
          <w:rFonts w:ascii="Arial Narrow" w:eastAsia="Times New Roman" w:hAnsi="Arial Narrow" w:cs="Arial"/>
          <w:sz w:val="24"/>
          <w:szCs w:val="24"/>
        </w:rPr>
        <w:t>d</w:t>
      </w:r>
      <w:r w:rsidR="0057633C" w:rsidRPr="007E7C5B">
        <w:rPr>
          <w:rFonts w:ascii="Arial Narrow" w:eastAsia="Times New Roman" w:hAnsi="Arial Narrow" w:cs="Arial"/>
          <w:sz w:val="24"/>
          <w:szCs w:val="24"/>
        </w:rPr>
        <w:t>e</w:t>
      </w:r>
      <w:r w:rsidR="00B9136B" w:rsidRPr="007E7C5B">
        <w:rPr>
          <w:rFonts w:ascii="Arial Narrow" w:eastAsia="Times New Roman" w:hAnsi="Arial Narrow" w:cs="Arial"/>
          <w:sz w:val="24"/>
          <w:szCs w:val="24"/>
        </w:rPr>
        <w:t xml:space="preserve"> mobilier de bureau ;</w:t>
      </w:r>
    </w:p>
    <w:p w14:paraId="7248BA3D" w14:textId="03EC3E06" w:rsidR="00B9136B" w:rsidRPr="007E7C5B" w:rsidRDefault="00CE6768" w:rsidP="000A1A7B">
      <w:pPr>
        <w:pStyle w:val="Paragraphedeliste"/>
        <w:numPr>
          <w:ilvl w:val="0"/>
          <w:numId w:val="4"/>
        </w:numPr>
        <w:spacing w:line="254" w:lineRule="auto"/>
        <w:jc w:val="both"/>
        <w:rPr>
          <w:rFonts w:ascii="Arial Narrow" w:hAnsi="Arial Narrow" w:cs="Arial"/>
          <w:sz w:val="24"/>
          <w:szCs w:val="24"/>
        </w:rPr>
      </w:pPr>
      <w:r w:rsidRPr="007E7C5B">
        <w:rPr>
          <w:rFonts w:ascii="Arial Narrow" w:eastAsia="Times New Roman" w:hAnsi="Arial Narrow" w:cs="Arial"/>
          <w:sz w:val="24"/>
          <w:szCs w:val="24"/>
        </w:rPr>
        <w:t>L’a</w:t>
      </w:r>
      <w:r w:rsidR="00B9136B" w:rsidRPr="007E7C5B">
        <w:rPr>
          <w:rFonts w:ascii="Arial Narrow" w:eastAsia="Times New Roman" w:hAnsi="Arial Narrow" w:cs="Arial"/>
          <w:sz w:val="24"/>
          <w:szCs w:val="24"/>
        </w:rPr>
        <w:t>cquisition d’équipement de stockage et de distribution d</w:t>
      </w:r>
      <w:r w:rsidRPr="007E7C5B">
        <w:rPr>
          <w:rFonts w:ascii="Arial Narrow" w:eastAsia="Times New Roman" w:hAnsi="Arial Narrow" w:cs="Arial"/>
          <w:sz w:val="24"/>
          <w:szCs w:val="24"/>
        </w:rPr>
        <w:t>e</w:t>
      </w:r>
      <w:r w:rsidR="00B9136B" w:rsidRPr="007E7C5B">
        <w:rPr>
          <w:rFonts w:ascii="Arial Narrow" w:eastAsia="Times New Roman" w:hAnsi="Arial Narrow" w:cs="Arial"/>
          <w:sz w:val="24"/>
          <w:szCs w:val="24"/>
        </w:rPr>
        <w:t xml:space="preserve"> sang ; </w:t>
      </w:r>
    </w:p>
    <w:p w14:paraId="623E5D3C" w14:textId="350C3653" w:rsidR="00C66852" w:rsidRPr="00A918AC" w:rsidRDefault="00CE6768" w:rsidP="000A1A7B">
      <w:pPr>
        <w:pStyle w:val="Paragraphedeliste"/>
        <w:numPr>
          <w:ilvl w:val="0"/>
          <w:numId w:val="4"/>
        </w:numPr>
        <w:spacing w:line="254" w:lineRule="auto"/>
        <w:jc w:val="both"/>
        <w:rPr>
          <w:rFonts w:ascii="Arial Narrow" w:hAnsi="Arial Narrow" w:cs="Arial"/>
          <w:sz w:val="24"/>
          <w:szCs w:val="24"/>
        </w:rPr>
      </w:pPr>
      <w:r w:rsidRPr="007E7C5B">
        <w:rPr>
          <w:rFonts w:ascii="Arial Narrow" w:eastAsia="Times New Roman" w:hAnsi="Arial Narrow" w:cs="Arial"/>
          <w:sz w:val="24"/>
          <w:szCs w:val="24"/>
        </w:rPr>
        <w:t>L’ac</w:t>
      </w:r>
      <w:r w:rsidR="00B9136B" w:rsidRPr="007E7C5B">
        <w:rPr>
          <w:rFonts w:ascii="Arial Narrow" w:eastAsia="Times New Roman" w:hAnsi="Arial Narrow" w:cs="Arial"/>
          <w:sz w:val="24"/>
          <w:szCs w:val="24"/>
        </w:rPr>
        <w:t>quisition de logiciels de recouvrement des recettes</w:t>
      </w:r>
      <w:r w:rsidR="006B029A" w:rsidRPr="007E7C5B">
        <w:rPr>
          <w:rFonts w:ascii="Arial Narrow" w:eastAsia="Times New Roman" w:hAnsi="Arial Narrow" w:cs="Arial"/>
          <w:sz w:val="24"/>
          <w:szCs w:val="24"/>
        </w:rPr>
        <w:t> ;</w:t>
      </w:r>
    </w:p>
    <w:p w14:paraId="6B1DB576" w14:textId="02C8C754" w:rsidR="00B9136B" w:rsidRPr="007E7C5B" w:rsidRDefault="00C66852" w:rsidP="000A1A7B">
      <w:pPr>
        <w:pStyle w:val="Paragraphedeliste"/>
        <w:numPr>
          <w:ilvl w:val="0"/>
          <w:numId w:val="4"/>
        </w:numPr>
        <w:spacing w:line="254" w:lineRule="auto"/>
        <w:jc w:val="both"/>
        <w:rPr>
          <w:rFonts w:ascii="Arial Narrow" w:hAnsi="Arial Narrow" w:cs="Arial"/>
          <w:sz w:val="24"/>
          <w:szCs w:val="24"/>
        </w:rPr>
      </w:pPr>
      <w:r w:rsidRPr="007E7C5B">
        <w:rPr>
          <w:rFonts w:ascii="Arial Narrow" w:eastAsia="Times New Roman" w:hAnsi="Arial Narrow" w:cs="Arial"/>
          <w:sz w:val="24"/>
          <w:szCs w:val="24"/>
        </w:rPr>
        <w:t>L’acquisition de logiciels de</w:t>
      </w:r>
      <w:r w:rsidR="00EC205E" w:rsidRPr="007E7C5B">
        <w:rPr>
          <w:rFonts w:ascii="Arial Narrow" w:eastAsia="Times New Roman" w:hAnsi="Arial Narrow" w:cs="Arial"/>
          <w:sz w:val="24"/>
          <w:szCs w:val="24"/>
        </w:rPr>
        <w:t xml:space="preserve"> </w:t>
      </w:r>
      <w:r w:rsidR="00B9136B" w:rsidRPr="007E7C5B" w:rsidDel="00EC205E">
        <w:rPr>
          <w:rFonts w:ascii="Arial Narrow" w:eastAsia="Times New Roman" w:hAnsi="Arial Narrow" w:cs="Arial"/>
          <w:sz w:val="24"/>
          <w:szCs w:val="24"/>
        </w:rPr>
        <w:t>t</w:t>
      </w:r>
      <w:r w:rsidR="00B9136B" w:rsidRPr="007E7C5B">
        <w:rPr>
          <w:rFonts w:ascii="Arial Narrow" w:eastAsia="Times New Roman" w:hAnsi="Arial Narrow" w:cs="Arial"/>
          <w:sz w:val="24"/>
          <w:szCs w:val="24"/>
        </w:rPr>
        <w:t>raçabilité du sang</w:t>
      </w:r>
      <w:r w:rsidR="00EC205E" w:rsidRPr="007E7C5B">
        <w:rPr>
          <w:rFonts w:ascii="Arial Narrow" w:eastAsia="Times New Roman" w:hAnsi="Arial Narrow" w:cs="Arial"/>
          <w:sz w:val="24"/>
          <w:szCs w:val="24"/>
        </w:rPr>
        <w:t xml:space="preserve"> </w:t>
      </w:r>
      <w:r w:rsidR="00EC205E" w:rsidRPr="00A918AC">
        <w:rPr>
          <w:rFonts w:ascii="Arial Narrow" w:eastAsia="Times New Roman" w:hAnsi="Arial Narrow" w:cs="Arial"/>
          <w:i/>
          <w:sz w:val="24"/>
          <w:szCs w:val="24"/>
        </w:rPr>
        <w:t>(CNTS Mobile</w:t>
      </w:r>
      <w:r w:rsidR="00EC205E" w:rsidRPr="00A918AC">
        <w:rPr>
          <w:rFonts w:ascii="Arial Narrow" w:eastAsia="Times New Roman" w:hAnsi="Arial Narrow" w:cs="Arial"/>
          <w:i/>
          <w:iCs/>
          <w:sz w:val="24"/>
          <w:szCs w:val="24"/>
        </w:rPr>
        <w:t>)</w:t>
      </w:r>
      <w:r w:rsidR="00B9136B" w:rsidRPr="007E7C5B">
        <w:rPr>
          <w:rFonts w:ascii="Arial Narrow" w:eastAsia="Times New Roman" w:hAnsi="Arial Narrow" w:cs="Arial"/>
          <w:sz w:val="24"/>
          <w:szCs w:val="24"/>
        </w:rPr>
        <w:t xml:space="preserve"> et de smartphones</w:t>
      </w:r>
      <w:r w:rsidR="00EC205E" w:rsidRPr="007E7C5B">
        <w:rPr>
          <w:rFonts w:ascii="Arial Narrow" w:eastAsia="Times New Roman" w:hAnsi="Arial Narrow" w:cs="Arial"/>
          <w:sz w:val="24"/>
          <w:szCs w:val="24"/>
        </w:rPr>
        <w:t xml:space="preserve">, ainsi que son </w:t>
      </w:r>
      <w:r w:rsidR="0071696E" w:rsidRPr="007E7C5B">
        <w:rPr>
          <w:rFonts w:ascii="Arial Narrow" w:hAnsi="Arial Narrow" w:cstheme="minorHAnsi"/>
          <w:sz w:val="24"/>
          <w:szCs w:val="24"/>
        </w:rPr>
        <w:t>implémentation dans 220 établissements</w:t>
      </w:r>
      <w:r w:rsidR="00EC205E" w:rsidRPr="007E7C5B">
        <w:rPr>
          <w:rFonts w:ascii="Arial Narrow" w:hAnsi="Arial Narrow" w:cstheme="minorHAnsi"/>
          <w:sz w:val="24"/>
          <w:szCs w:val="24"/>
        </w:rPr>
        <w:t xml:space="preserve">, avec </w:t>
      </w:r>
      <w:r w:rsidR="0071696E" w:rsidRPr="007E7C5B">
        <w:rPr>
          <w:rFonts w:ascii="Arial Narrow" w:hAnsi="Arial Narrow" w:cstheme="minorHAnsi"/>
          <w:sz w:val="24"/>
          <w:szCs w:val="24"/>
        </w:rPr>
        <w:t>la formation de 440 gestionnaires de dépôt de sang et 1 300 personnels médicaux et paramédicaux à l’utilisation de l’outil et sur les bonnes pratiques transfusionnelles</w:t>
      </w:r>
      <w:r w:rsidR="00F104DD" w:rsidRPr="007E7C5B">
        <w:rPr>
          <w:rFonts w:ascii="Arial Narrow" w:hAnsi="Arial Narrow" w:cstheme="minorHAnsi"/>
          <w:sz w:val="24"/>
          <w:szCs w:val="24"/>
        </w:rPr>
        <w:t xml:space="preserve"> </w:t>
      </w:r>
      <w:r w:rsidR="00B9136B" w:rsidRPr="007E7C5B">
        <w:rPr>
          <w:rFonts w:ascii="Arial Narrow" w:eastAsia="Times New Roman" w:hAnsi="Arial Narrow" w:cs="Arial"/>
          <w:sz w:val="24"/>
          <w:szCs w:val="24"/>
        </w:rPr>
        <w:t>;</w:t>
      </w:r>
    </w:p>
    <w:p w14:paraId="6DC76115" w14:textId="19ECAD40" w:rsidR="00B9136B" w:rsidRPr="007E7C5B" w:rsidRDefault="00CE6768" w:rsidP="000A1A7B">
      <w:pPr>
        <w:pStyle w:val="Paragraphedeliste"/>
        <w:numPr>
          <w:ilvl w:val="0"/>
          <w:numId w:val="4"/>
        </w:numPr>
        <w:spacing w:line="254" w:lineRule="auto"/>
        <w:jc w:val="both"/>
        <w:rPr>
          <w:rFonts w:ascii="Arial Narrow" w:hAnsi="Arial Narrow" w:cs="Arial"/>
          <w:sz w:val="24"/>
          <w:szCs w:val="24"/>
        </w:rPr>
      </w:pPr>
      <w:r w:rsidRPr="007E7C5B">
        <w:rPr>
          <w:rFonts w:ascii="Arial Narrow" w:eastAsia="Times New Roman" w:hAnsi="Arial Narrow" w:cs="Arial"/>
          <w:sz w:val="24"/>
          <w:szCs w:val="24"/>
        </w:rPr>
        <w:t>La c</w:t>
      </w:r>
      <w:r w:rsidR="00B9136B" w:rsidRPr="007E7C5B">
        <w:rPr>
          <w:rFonts w:ascii="Arial Narrow" w:eastAsia="Times New Roman" w:hAnsi="Arial Narrow" w:cs="Arial"/>
          <w:sz w:val="24"/>
          <w:szCs w:val="24"/>
        </w:rPr>
        <w:t xml:space="preserve">onstruction </w:t>
      </w:r>
      <w:r w:rsidR="00E836AE" w:rsidRPr="007E7C5B">
        <w:rPr>
          <w:rFonts w:ascii="Arial Narrow" w:eastAsia="Times New Roman" w:hAnsi="Arial Narrow" w:cs="Arial"/>
          <w:sz w:val="24"/>
          <w:szCs w:val="24"/>
        </w:rPr>
        <w:t>du</w:t>
      </w:r>
      <w:r w:rsidR="00B9136B" w:rsidRPr="007E7C5B">
        <w:rPr>
          <w:rFonts w:ascii="Arial Narrow" w:eastAsia="Times New Roman" w:hAnsi="Arial Narrow" w:cs="Arial"/>
          <w:sz w:val="24"/>
          <w:szCs w:val="24"/>
        </w:rPr>
        <w:t xml:space="preserve"> C</w:t>
      </w:r>
      <w:r w:rsidR="00E836AE" w:rsidRPr="007E7C5B">
        <w:rPr>
          <w:rFonts w:ascii="Arial Narrow" w:eastAsia="Times New Roman" w:hAnsi="Arial Narrow" w:cs="Arial"/>
          <w:sz w:val="24"/>
          <w:szCs w:val="24"/>
        </w:rPr>
        <w:t xml:space="preserve">entre </w:t>
      </w:r>
      <w:r w:rsidR="00B9136B" w:rsidRPr="007E7C5B">
        <w:rPr>
          <w:rFonts w:ascii="Arial Narrow" w:eastAsia="Times New Roman" w:hAnsi="Arial Narrow" w:cs="Arial"/>
          <w:sz w:val="24"/>
          <w:szCs w:val="24"/>
        </w:rPr>
        <w:t>D</w:t>
      </w:r>
      <w:r w:rsidR="00E836AE" w:rsidRPr="007E7C5B">
        <w:rPr>
          <w:rFonts w:ascii="Arial Narrow" w:eastAsia="Times New Roman" w:hAnsi="Arial Narrow" w:cs="Arial"/>
          <w:sz w:val="24"/>
          <w:szCs w:val="24"/>
        </w:rPr>
        <w:t xml:space="preserve">épartemental de </w:t>
      </w:r>
      <w:r w:rsidR="00B9136B" w:rsidRPr="007E7C5B">
        <w:rPr>
          <w:rFonts w:ascii="Arial Narrow" w:eastAsia="Times New Roman" w:hAnsi="Arial Narrow" w:cs="Arial"/>
          <w:sz w:val="24"/>
          <w:szCs w:val="24"/>
        </w:rPr>
        <w:t>T</w:t>
      </w:r>
      <w:r w:rsidR="00E836AE" w:rsidRPr="007E7C5B">
        <w:rPr>
          <w:rFonts w:ascii="Arial Narrow" w:eastAsia="Times New Roman" w:hAnsi="Arial Narrow" w:cs="Arial"/>
          <w:sz w:val="24"/>
          <w:szCs w:val="24"/>
        </w:rPr>
        <w:t xml:space="preserve">ransfusion </w:t>
      </w:r>
      <w:r w:rsidR="00B9136B" w:rsidRPr="007E7C5B">
        <w:rPr>
          <w:rFonts w:ascii="Arial Narrow" w:eastAsia="Times New Roman" w:hAnsi="Arial Narrow" w:cs="Arial"/>
          <w:sz w:val="24"/>
          <w:szCs w:val="24"/>
        </w:rPr>
        <w:t>S</w:t>
      </w:r>
      <w:r w:rsidR="00E836AE" w:rsidRPr="007E7C5B">
        <w:rPr>
          <w:rFonts w:ascii="Arial Narrow" w:eastAsia="Times New Roman" w:hAnsi="Arial Narrow" w:cs="Arial"/>
          <w:sz w:val="24"/>
          <w:szCs w:val="24"/>
        </w:rPr>
        <w:t>anguine (CDTS)</w:t>
      </w:r>
      <w:r w:rsidR="00B9136B" w:rsidRPr="007E7C5B">
        <w:rPr>
          <w:rFonts w:ascii="Arial Narrow" w:eastAsia="Times New Roman" w:hAnsi="Arial Narrow" w:cs="Arial"/>
          <w:sz w:val="24"/>
          <w:szCs w:val="24"/>
        </w:rPr>
        <w:t xml:space="preserve"> de Divo ; </w:t>
      </w:r>
    </w:p>
    <w:p w14:paraId="14E44E27" w14:textId="2DA178C8" w:rsidR="00B9136B" w:rsidRPr="007E7C5B" w:rsidRDefault="00E836AE" w:rsidP="000A1A7B">
      <w:pPr>
        <w:pStyle w:val="Paragraphedeliste"/>
        <w:numPr>
          <w:ilvl w:val="0"/>
          <w:numId w:val="4"/>
        </w:numPr>
        <w:spacing w:line="254" w:lineRule="auto"/>
        <w:jc w:val="both"/>
        <w:rPr>
          <w:rFonts w:ascii="Arial Narrow" w:hAnsi="Arial Narrow" w:cs="Arial"/>
          <w:sz w:val="24"/>
          <w:szCs w:val="24"/>
        </w:rPr>
      </w:pPr>
      <w:r w:rsidRPr="007E7C5B">
        <w:rPr>
          <w:rFonts w:ascii="Arial Narrow" w:eastAsia="Times New Roman" w:hAnsi="Arial Narrow" w:cs="Arial"/>
          <w:sz w:val="24"/>
          <w:szCs w:val="24"/>
        </w:rPr>
        <w:t>La r</w:t>
      </w:r>
      <w:r w:rsidR="00B9136B" w:rsidRPr="007E7C5B">
        <w:rPr>
          <w:rFonts w:ascii="Arial Narrow" w:eastAsia="Times New Roman" w:hAnsi="Arial Narrow" w:cs="Arial"/>
          <w:sz w:val="24"/>
          <w:szCs w:val="24"/>
        </w:rPr>
        <w:t xml:space="preserve">éhabilitation et </w:t>
      </w:r>
      <w:r w:rsidRPr="007E7C5B">
        <w:rPr>
          <w:rFonts w:ascii="Arial Narrow" w:eastAsia="Times New Roman" w:hAnsi="Arial Narrow" w:cs="Arial"/>
          <w:sz w:val="24"/>
          <w:szCs w:val="24"/>
        </w:rPr>
        <w:t>l’</w:t>
      </w:r>
      <w:r w:rsidR="00B9136B" w:rsidRPr="007E7C5B">
        <w:rPr>
          <w:rFonts w:ascii="Arial Narrow" w:eastAsia="Times New Roman" w:hAnsi="Arial Narrow" w:cs="Arial"/>
          <w:sz w:val="24"/>
          <w:szCs w:val="24"/>
        </w:rPr>
        <w:t>extension des CDTS</w:t>
      </w:r>
      <w:r w:rsidR="00546900" w:rsidRPr="007E7C5B">
        <w:rPr>
          <w:rFonts w:ascii="Arial Narrow" w:eastAsia="Times New Roman" w:hAnsi="Arial Narrow" w:cs="Arial"/>
          <w:sz w:val="24"/>
          <w:szCs w:val="24"/>
        </w:rPr>
        <w:t xml:space="preserve"> de Bouna, Bondoukou, Daoukro et des</w:t>
      </w:r>
      <w:r w:rsidR="00B9136B" w:rsidRPr="007E7C5B">
        <w:rPr>
          <w:rFonts w:ascii="Arial Narrow" w:eastAsia="Times New Roman" w:hAnsi="Arial Narrow" w:cs="Arial"/>
          <w:sz w:val="24"/>
          <w:szCs w:val="24"/>
        </w:rPr>
        <w:t xml:space="preserve"> Centres Régionaux de Transfusion Sanguine (CRTS)</w:t>
      </w:r>
      <w:r w:rsidR="00546900" w:rsidRPr="007E7C5B">
        <w:rPr>
          <w:rFonts w:ascii="Arial Narrow" w:eastAsia="Times New Roman" w:hAnsi="Arial Narrow" w:cs="Arial"/>
          <w:sz w:val="24"/>
          <w:szCs w:val="24"/>
        </w:rPr>
        <w:t xml:space="preserve"> </w:t>
      </w:r>
      <w:r w:rsidR="00B9136B" w:rsidRPr="007E7C5B">
        <w:rPr>
          <w:rFonts w:ascii="Arial Narrow" w:eastAsia="Times New Roman" w:hAnsi="Arial Narrow" w:cs="Arial"/>
          <w:sz w:val="24"/>
          <w:szCs w:val="24"/>
        </w:rPr>
        <w:t xml:space="preserve">de Daloa et d’Abidjan (Treichville) ; </w:t>
      </w:r>
    </w:p>
    <w:p w14:paraId="1596FAD3" w14:textId="26A35298" w:rsidR="00B9136B" w:rsidRPr="007E7C5B" w:rsidRDefault="00546900" w:rsidP="000A1A7B">
      <w:pPr>
        <w:pStyle w:val="Paragraphedeliste"/>
        <w:numPr>
          <w:ilvl w:val="0"/>
          <w:numId w:val="4"/>
        </w:numPr>
        <w:spacing w:line="254" w:lineRule="auto"/>
        <w:jc w:val="both"/>
        <w:rPr>
          <w:rFonts w:ascii="Arial Narrow" w:hAnsi="Arial Narrow" w:cs="Arial"/>
          <w:sz w:val="24"/>
          <w:szCs w:val="24"/>
        </w:rPr>
      </w:pPr>
      <w:r w:rsidRPr="007E7C5B">
        <w:rPr>
          <w:rFonts w:ascii="Arial Narrow" w:eastAsia="Times New Roman" w:hAnsi="Arial Narrow" w:cs="Arial"/>
          <w:sz w:val="24"/>
          <w:szCs w:val="24"/>
        </w:rPr>
        <w:t>L’o</w:t>
      </w:r>
      <w:r w:rsidR="00B9136B" w:rsidRPr="007E7C5B">
        <w:rPr>
          <w:rFonts w:ascii="Arial Narrow" w:eastAsia="Times New Roman" w:hAnsi="Arial Narrow" w:cs="Arial"/>
          <w:sz w:val="24"/>
          <w:szCs w:val="24"/>
        </w:rPr>
        <w:t>uverture d’un site de prélèvement (Anyama)</w:t>
      </w:r>
      <w:r w:rsidR="00B9136B" w:rsidRPr="007E7C5B">
        <w:rPr>
          <w:rFonts w:ascii="Arial Narrow" w:eastAsia="Times New Roman" w:hAnsi="Arial Narrow" w:cs="Arial"/>
          <w:b/>
          <w:sz w:val="24"/>
          <w:szCs w:val="24"/>
        </w:rPr>
        <w:t xml:space="preserve"> </w:t>
      </w:r>
      <w:r w:rsidR="00B9136B" w:rsidRPr="007E7C5B">
        <w:rPr>
          <w:rFonts w:ascii="Arial Narrow" w:eastAsia="Times New Roman" w:hAnsi="Arial Narrow" w:cs="Arial"/>
          <w:sz w:val="24"/>
          <w:szCs w:val="24"/>
        </w:rPr>
        <w:t>;</w:t>
      </w:r>
    </w:p>
    <w:p w14:paraId="5C211D29" w14:textId="62A46510" w:rsidR="00B9136B" w:rsidRPr="007E7C5B" w:rsidRDefault="000C633E" w:rsidP="000A1A7B">
      <w:pPr>
        <w:pStyle w:val="Paragraphedeliste"/>
        <w:numPr>
          <w:ilvl w:val="0"/>
          <w:numId w:val="4"/>
        </w:numPr>
        <w:spacing w:line="254" w:lineRule="auto"/>
        <w:jc w:val="both"/>
        <w:rPr>
          <w:rFonts w:ascii="Arial Narrow" w:hAnsi="Arial Narrow" w:cs="Arial"/>
          <w:sz w:val="24"/>
          <w:szCs w:val="24"/>
        </w:rPr>
      </w:pPr>
      <w:r w:rsidRPr="007E7C5B">
        <w:rPr>
          <w:rFonts w:ascii="Arial Narrow" w:eastAsia="Times New Roman" w:hAnsi="Arial Narrow" w:cs="Arial"/>
          <w:sz w:val="24"/>
          <w:szCs w:val="24"/>
        </w:rPr>
        <w:t>L’o</w:t>
      </w:r>
      <w:r w:rsidR="00B9136B" w:rsidRPr="007E7C5B">
        <w:rPr>
          <w:rFonts w:ascii="Arial Narrow" w:eastAsia="Times New Roman" w:hAnsi="Arial Narrow" w:cs="Arial"/>
          <w:sz w:val="24"/>
          <w:szCs w:val="24"/>
        </w:rPr>
        <w:t>uverture du Laboratoire du CRTS de San Pédro</w:t>
      </w:r>
      <w:r w:rsidR="00B9136B" w:rsidRPr="007E7C5B">
        <w:rPr>
          <w:rFonts w:ascii="Arial Narrow" w:eastAsia="Times New Roman" w:hAnsi="Arial Narrow" w:cs="Arial"/>
          <w:b/>
          <w:sz w:val="24"/>
          <w:szCs w:val="24"/>
        </w:rPr>
        <w:t xml:space="preserve"> </w:t>
      </w:r>
      <w:r w:rsidR="00B9136B" w:rsidRPr="007E7C5B">
        <w:rPr>
          <w:rFonts w:ascii="Arial Narrow" w:eastAsia="Times New Roman" w:hAnsi="Arial Narrow" w:cs="Arial"/>
          <w:sz w:val="24"/>
          <w:szCs w:val="24"/>
        </w:rPr>
        <w:t>;</w:t>
      </w:r>
    </w:p>
    <w:p w14:paraId="7D6883AF" w14:textId="0EBF716D" w:rsidR="00B9136B" w:rsidRPr="007E7C5B" w:rsidRDefault="000C633E" w:rsidP="000A1A7B">
      <w:pPr>
        <w:pStyle w:val="Paragraphedeliste"/>
        <w:numPr>
          <w:ilvl w:val="0"/>
          <w:numId w:val="4"/>
        </w:numPr>
        <w:spacing w:line="254" w:lineRule="auto"/>
        <w:jc w:val="both"/>
        <w:rPr>
          <w:rFonts w:ascii="Arial Narrow" w:hAnsi="Arial Narrow" w:cs="Arial"/>
          <w:sz w:val="24"/>
          <w:szCs w:val="24"/>
        </w:rPr>
      </w:pPr>
      <w:r w:rsidRPr="007E7C5B">
        <w:rPr>
          <w:rFonts w:ascii="Arial Narrow" w:eastAsia="Times New Roman" w:hAnsi="Arial Narrow" w:cs="Arial"/>
          <w:sz w:val="24"/>
          <w:szCs w:val="24"/>
        </w:rPr>
        <w:t>L</w:t>
      </w:r>
      <w:r w:rsidR="00725A48" w:rsidRPr="007E7C5B">
        <w:rPr>
          <w:rFonts w:ascii="Arial Narrow" w:eastAsia="Times New Roman" w:hAnsi="Arial Narrow" w:cs="Arial"/>
          <w:sz w:val="24"/>
          <w:szCs w:val="24"/>
        </w:rPr>
        <w:t>’</w:t>
      </w:r>
      <w:r w:rsidRPr="007E7C5B">
        <w:rPr>
          <w:rFonts w:ascii="Arial Narrow" w:eastAsia="Times New Roman" w:hAnsi="Arial Narrow" w:cs="Arial"/>
          <w:sz w:val="24"/>
          <w:szCs w:val="24"/>
        </w:rPr>
        <w:t>a</w:t>
      </w:r>
      <w:r w:rsidR="00B9136B" w:rsidRPr="007E7C5B">
        <w:rPr>
          <w:rFonts w:ascii="Arial Narrow" w:eastAsia="Times New Roman" w:hAnsi="Arial Narrow" w:cs="Arial"/>
          <w:sz w:val="24"/>
          <w:szCs w:val="24"/>
        </w:rPr>
        <w:t xml:space="preserve">cquisition de véhicules de collecte, de prospection, de direction, de liaison et de transport du matériel et de motos de prospection (39 véhicules et 13 motos) ; </w:t>
      </w:r>
    </w:p>
    <w:p w14:paraId="2D90CFF4" w14:textId="32E88E78" w:rsidR="00B9136B" w:rsidRPr="007E7C5B" w:rsidRDefault="00BB5F39" w:rsidP="000A1A7B">
      <w:pPr>
        <w:pStyle w:val="Paragraphedeliste"/>
        <w:numPr>
          <w:ilvl w:val="0"/>
          <w:numId w:val="4"/>
        </w:numPr>
        <w:spacing w:line="254" w:lineRule="auto"/>
        <w:jc w:val="both"/>
        <w:rPr>
          <w:rFonts w:ascii="Arial Narrow" w:hAnsi="Arial Narrow" w:cs="Arial"/>
          <w:sz w:val="24"/>
          <w:szCs w:val="24"/>
        </w:rPr>
      </w:pPr>
      <w:r w:rsidRPr="007E7C5B">
        <w:rPr>
          <w:rFonts w:ascii="Arial Narrow" w:eastAsia="Times New Roman" w:hAnsi="Arial Narrow" w:cs="Arial"/>
          <w:sz w:val="24"/>
          <w:szCs w:val="24"/>
        </w:rPr>
        <w:t>Le r</w:t>
      </w:r>
      <w:r w:rsidR="00B9136B" w:rsidRPr="007E7C5B">
        <w:rPr>
          <w:rFonts w:ascii="Arial Narrow" w:eastAsia="Times New Roman" w:hAnsi="Arial Narrow" w:cs="Arial"/>
          <w:sz w:val="24"/>
          <w:szCs w:val="24"/>
        </w:rPr>
        <w:t>enforcement de la communication et de la sensibilisation sur le don de sang</w:t>
      </w:r>
      <w:r w:rsidRPr="007E7C5B">
        <w:rPr>
          <w:rFonts w:ascii="Arial Narrow" w:eastAsia="Times New Roman" w:hAnsi="Arial Narrow" w:cs="Arial"/>
          <w:sz w:val="24"/>
          <w:szCs w:val="24"/>
        </w:rPr>
        <w:t> : c</w:t>
      </w:r>
      <w:r w:rsidR="00B9136B" w:rsidRPr="007E7C5B">
        <w:rPr>
          <w:rFonts w:ascii="Arial Narrow" w:eastAsia="Times New Roman" w:hAnsi="Arial Narrow" w:cs="Arial"/>
          <w:sz w:val="24"/>
          <w:szCs w:val="24"/>
        </w:rPr>
        <w:t xml:space="preserve">onception de supports audio-visuels de communication et de sensibilisation, diffusion de spot TV et radio, production d’un journal du CNTSCI intitulé </w:t>
      </w:r>
      <w:r w:rsidR="00B9136B" w:rsidRPr="00A918AC">
        <w:rPr>
          <w:rFonts w:ascii="Arial Narrow" w:eastAsia="Times New Roman" w:hAnsi="Arial Narrow" w:cs="Arial"/>
          <w:i/>
          <w:sz w:val="24"/>
          <w:szCs w:val="24"/>
        </w:rPr>
        <w:t>100% info</w:t>
      </w:r>
      <w:r w:rsidR="002A162D" w:rsidRPr="007E7C5B">
        <w:rPr>
          <w:rFonts w:ascii="Arial Narrow" w:eastAsia="Times New Roman" w:hAnsi="Arial Narrow" w:cs="Arial"/>
          <w:sz w:val="24"/>
          <w:szCs w:val="24"/>
        </w:rPr>
        <w:t>, etc.</w:t>
      </w:r>
    </w:p>
    <w:p w14:paraId="4680CBBD" w14:textId="40BBD8A9" w:rsidR="0033286F" w:rsidRPr="007E7C5B" w:rsidRDefault="000C2FD3" w:rsidP="009C0101">
      <w:pPr>
        <w:spacing w:line="276" w:lineRule="auto"/>
        <w:jc w:val="both"/>
        <w:rPr>
          <w:rFonts w:ascii="Arial Narrow" w:hAnsi="Arial Narrow" w:cs="Arial"/>
          <w:sz w:val="24"/>
          <w:szCs w:val="24"/>
        </w:rPr>
      </w:pPr>
      <w:r w:rsidRPr="00B82295">
        <w:rPr>
          <w:rFonts w:cstheme="minorHAnsi"/>
          <w:noProof/>
          <w:sz w:val="24"/>
          <w:szCs w:val="24"/>
        </w:rPr>
        <mc:AlternateContent>
          <mc:Choice Requires="wps">
            <w:drawing>
              <wp:anchor distT="0" distB="0" distL="114300" distR="114300" simplePos="0" relativeHeight="251658259" behindDoc="1" locked="0" layoutInCell="1" allowOverlap="1" wp14:anchorId="4282C06D" wp14:editId="4D0E54E6">
                <wp:simplePos x="0" y="0"/>
                <wp:positionH relativeFrom="margin">
                  <wp:align>left</wp:align>
                </wp:positionH>
                <wp:positionV relativeFrom="paragraph">
                  <wp:posOffset>127635</wp:posOffset>
                </wp:positionV>
                <wp:extent cx="3302000" cy="2552700"/>
                <wp:effectExtent l="0" t="0" r="12700" b="19050"/>
                <wp:wrapTight wrapText="bothSides">
                  <wp:wrapPolygon edited="0">
                    <wp:start x="0" y="0"/>
                    <wp:lineTo x="0" y="21600"/>
                    <wp:lineTo x="21558" y="21600"/>
                    <wp:lineTo x="21558" y="0"/>
                    <wp:lineTo x="0" y="0"/>
                  </wp:wrapPolygon>
                </wp:wrapTight>
                <wp:docPr id="56116669" name="Text Box 7"/>
                <wp:cNvGraphicFramePr/>
                <a:graphic xmlns:a="http://schemas.openxmlformats.org/drawingml/2006/main">
                  <a:graphicData uri="http://schemas.microsoft.com/office/word/2010/wordprocessingShape">
                    <wps:wsp>
                      <wps:cNvSpPr txBox="1"/>
                      <wps:spPr>
                        <a:xfrm>
                          <a:off x="0" y="0"/>
                          <a:ext cx="3302000" cy="2552700"/>
                        </a:xfrm>
                        <a:prstGeom prst="rect">
                          <a:avLst/>
                        </a:prstGeom>
                        <a:solidFill>
                          <a:schemeClr val="lt1"/>
                        </a:solidFill>
                        <a:ln w="6350">
                          <a:solidFill>
                            <a:schemeClr val="bg1">
                              <a:lumMod val="75000"/>
                            </a:schemeClr>
                          </a:solidFill>
                        </a:ln>
                      </wps:spPr>
                      <wps:txbx>
                        <w:txbxContent>
                          <w:p w14:paraId="558C4B63" w14:textId="2ACDB8E1" w:rsidR="000C2FD3" w:rsidRPr="009F2C0C" w:rsidRDefault="000C2FD3" w:rsidP="00DC5897">
                            <w:pPr>
                              <w:pStyle w:val="Lgende"/>
                            </w:pPr>
                            <w:bookmarkStart w:id="62" w:name="_Toc178328897"/>
                            <w:bookmarkStart w:id="63" w:name="_Toc183688798"/>
                            <w:r w:rsidRPr="009F2C0C">
                              <w:t xml:space="preserve">Graphique </w:t>
                            </w:r>
                            <w:r>
                              <w:fldChar w:fldCharType="begin"/>
                            </w:r>
                            <w:r w:rsidRPr="00117554">
                              <w:instrText xml:space="preserve"> SEQ Graphique \* ARABIC </w:instrText>
                            </w:r>
                            <w:r>
                              <w:fldChar w:fldCharType="separate"/>
                            </w:r>
                            <w:r w:rsidR="00F546EB">
                              <w:rPr>
                                <w:noProof/>
                              </w:rPr>
                              <w:t>11</w:t>
                            </w:r>
                            <w:r>
                              <w:fldChar w:fldCharType="end"/>
                            </w:r>
                            <w:r w:rsidRPr="009F2C0C">
                              <w:t xml:space="preserve"> : Taux de satisfaction des commandes de produits sanguins</w:t>
                            </w:r>
                            <w:bookmarkEnd w:id="62"/>
                            <w:bookmarkEnd w:id="63"/>
                          </w:p>
                          <w:p w14:paraId="0234ED29" w14:textId="22AC3C06" w:rsidR="000C2FD3" w:rsidRPr="00B82295" w:rsidRDefault="00DE36B7" w:rsidP="000C2FD3">
                            <w:pPr>
                              <w:keepNext/>
                            </w:pPr>
                            <w:r>
                              <w:rPr>
                                <w:noProof/>
                              </w:rPr>
                              <w:drawing>
                                <wp:inline distT="0" distB="0" distL="0" distR="0" wp14:anchorId="448769C7" wp14:editId="3776F045">
                                  <wp:extent cx="3066757" cy="1715770"/>
                                  <wp:effectExtent l="0" t="0" r="635" b="17780"/>
                                  <wp:docPr id="912353834" name="Chart 1">
                                    <a:extLst xmlns:a="http://schemas.openxmlformats.org/drawingml/2006/main">
                                      <a:ext uri="{FF2B5EF4-FFF2-40B4-BE49-F238E27FC236}">
                                        <a16:creationId xmlns:a16="http://schemas.microsoft.com/office/drawing/2014/main" id="{45D9E137-EE46-E261-2375-757D800725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37AE95A" w14:textId="77777777" w:rsidR="000C2FD3" w:rsidRPr="00B82295" w:rsidRDefault="000C2FD3" w:rsidP="00DC5897">
                            <w:pPr>
                              <w:pStyle w:val="Lgende"/>
                            </w:pPr>
                            <w:r w:rsidRPr="00B82295">
                              <w:t>Sources : Rapports d'activités CNTS</w:t>
                            </w:r>
                          </w:p>
                          <w:p w14:paraId="5D570906" w14:textId="77777777" w:rsidR="000C2FD3" w:rsidRPr="00B82295" w:rsidRDefault="000C2FD3" w:rsidP="000C2FD3">
                            <w:pPr>
                              <w:keepNext/>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282C06D" id="_x0000_s1039" type="#_x0000_t202" style="position:absolute;left:0;text-align:left;margin-left:0;margin-top:10.05pt;width:260pt;height:201pt;z-index:-25165822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" fillcolor="white [3201]" strokecolor="#bfbfbf [2412]" strokeweight=".5pt">
                <v:textbox>
                  <w:txbxContent>
                    <w:p w14:paraId="558C4B63" w14:textId="2ACDB8E1" w:rsidR="000C2FD3" w:rsidRPr="009F2C0C" w:rsidRDefault="000C2FD3" w:rsidP="00DC5897">
                      <w:pPr>
                        <w:pStyle w:val="Lgende"/>
                      </w:pPr>
                      <w:bookmarkStart w:id="74" w:name="_Toc178328897"/>
                      <w:bookmarkStart w:id="75" w:name="_Toc183688798"/>
                      <w:r w:rsidRPr="009F2C0C">
                        <w:t xml:space="preserve">Graphique </w:t>
                      </w:r>
                      <w:r>
                        <w:fldChar w:fldCharType="begin"/>
                      </w:r>
                      <w:r w:rsidRPr="00117554">
                        <w:instrText xml:space="preserve"> SEQ Graphique \* ARABIC </w:instrText>
                      </w:r>
                      <w:r>
                        <w:fldChar w:fldCharType="separate"/>
                      </w:r>
                      <w:r w:rsidR="00F546EB">
                        <w:rPr>
                          <w:noProof/>
                        </w:rPr>
                        <w:t>11</w:t>
                      </w:r>
                      <w:r>
                        <w:fldChar w:fldCharType="end"/>
                      </w:r>
                      <w:r w:rsidRPr="009F2C0C">
                        <w:t xml:space="preserve"> : Taux de satisfaction des commandes de produits sanguins</w:t>
                      </w:r>
                      <w:bookmarkEnd w:id="74"/>
                      <w:bookmarkEnd w:id="75"/>
                    </w:p>
                    <w:p w14:paraId="0234ED29" w14:textId="22AC3C06" w:rsidR="000C2FD3" w:rsidRPr="00B82295" w:rsidRDefault="00DE36B7" w:rsidP="000C2FD3">
                      <w:pPr>
                        <w:keepNext/>
                      </w:pPr>
                      <w:r>
                        <w:rPr>
                          <w:noProof/>
                        </w:rPr>
                        <w:drawing>
                          <wp:inline distT="0" distB="0" distL="0" distR="0" wp14:anchorId="448769C7" wp14:editId="3776F045">
                            <wp:extent cx="3066757" cy="1715770"/>
                            <wp:effectExtent l="0" t="0" r="635" b="17780"/>
                            <wp:docPr id="912353834" name="Chart 1">
                              <a:extLst xmlns:a="http://schemas.openxmlformats.org/drawingml/2006/main">
                                <a:ext uri="{FF2B5EF4-FFF2-40B4-BE49-F238E27FC236}">
                                  <a16:creationId xmlns:a16="http://schemas.microsoft.com/office/drawing/2014/main" id="{45D9E137-EE46-E261-2375-757D800725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37AE95A" w14:textId="77777777" w:rsidR="000C2FD3" w:rsidRPr="00B82295" w:rsidRDefault="000C2FD3" w:rsidP="00DC5897">
                      <w:pPr>
                        <w:pStyle w:val="Lgende"/>
                      </w:pPr>
                      <w:r w:rsidRPr="00B82295">
                        <w:t>Sources : Rapports d'activités CNTS</w:t>
                      </w:r>
                    </w:p>
                    <w:p w14:paraId="5D570906" w14:textId="77777777" w:rsidR="000C2FD3" w:rsidRPr="00B82295" w:rsidRDefault="000C2FD3" w:rsidP="000C2FD3">
                      <w:pPr>
                        <w:keepNext/>
                        <w:rPr>
                          <w:sz w:val="14"/>
                          <w:szCs w:val="14"/>
                        </w:rPr>
                      </w:pPr>
                    </w:p>
                  </w:txbxContent>
                </v:textbox>
                <w10:wrap type="tight" anchorx="margin"/>
              </v:shape>
            </w:pict>
          </mc:Fallback>
        </mc:AlternateContent>
      </w:r>
      <w:r w:rsidR="00B0690D" w:rsidRPr="007E7C5B">
        <w:rPr>
          <w:rFonts w:ascii="Arial Narrow" w:hAnsi="Arial Narrow" w:cstheme="minorHAnsi"/>
          <w:sz w:val="24"/>
          <w:szCs w:val="24"/>
        </w:rPr>
        <w:t>Ces actions ont permis de faire passer</w:t>
      </w:r>
      <w:r w:rsidR="003438C3" w:rsidRPr="007E7C5B">
        <w:rPr>
          <w:rFonts w:ascii="Arial Narrow" w:hAnsi="Arial Narrow" w:cstheme="minorHAnsi"/>
          <w:sz w:val="24"/>
          <w:szCs w:val="24"/>
        </w:rPr>
        <w:t xml:space="preserve"> </w:t>
      </w:r>
      <w:r w:rsidR="0033286F" w:rsidRPr="007E7C5B">
        <w:rPr>
          <w:rFonts w:ascii="Arial Narrow" w:hAnsi="Arial Narrow" w:cstheme="minorHAnsi"/>
          <w:sz w:val="24"/>
          <w:szCs w:val="24"/>
        </w:rPr>
        <w:t xml:space="preserve">le taux de disponibilité des produits sanguins labiles </w:t>
      </w:r>
      <w:r w:rsidR="00B0690D" w:rsidRPr="007E7C5B">
        <w:rPr>
          <w:rFonts w:ascii="Arial Narrow" w:hAnsi="Arial Narrow" w:cstheme="minorHAnsi"/>
          <w:sz w:val="24"/>
          <w:szCs w:val="24"/>
        </w:rPr>
        <w:t xml:space="preserve">de </w:t>
      </w:r>
      <w:r w:rsidR="00E04C47" w:rsidRPr="007E7C5B">
        <w:rPr>
          <w:rFonts w:ascii="Arial Narrow" w:hAnsi="Arial Narrow" w:cstheme="minorHAnsi"/>
          <w:sz w:val="24"/>
          <w:szCs w:val="24"/>
        </w:rPr>
        <w:t>79,8</w:t>
      </w:r>
      <w:r w:rsidR="00B0690D" w:rsidRPr="007E7C5B">
        <w:rPr>
          <w:rFonts w:ascii="Arial Narrow" w:hAnsi="Arial Narrow" w:cstheme="minorHAnsi"/>
          <w:sz w:val="24"/>
          <w:szCs w:val="24"/>
        </w:rPr>
        <w:t xml:space="preserve">% en 2020 à </w:t>
      </w:r>
      <w:r w:rsidR="0033286F" w:rsidRPr="007E7C5B">
        <w:rPr>
          <w:rFonts w:ascii="Arial Narrow" w:hAnsi="Arial Narrow" w:cstheme="minorHAnsi"/>
          <w:sz w:val="24"/>
          <w:szCs w:val="24"/>
        </w:rPr>
        <w:t xml:space="preserve">100% </w:t>
      </w:r>
      <w:r w:rsidR="00B0690D" w:rsidRPr="007E7C5B">
        <w:rPr>
          <w:rFonts w:ascii="Arial Narrow" w:hAnsi="Arial Narrow" w:cstheme="minorHAnsi"/>
          <w:sz w:val="24"/>
          <w:szCs w:val="24"/>
        </w:rPr>
        <w:t xml:space="preserve">en 2023. Il en est de même pour </w:t>
      </w:r>
      <w:r w:rsidR="00E04C47" w:rsidRPr="007E7C5B">
        <w:rPr>
          <w:rFonts w:ascii="Arial Narrow" w:hAnsi="Arial Narrow" w:cstheme="minorHAnsi"/>
          <w:sz w:val="24"/>
          <w:szCs w:val="24"/>
        </w:rPr>
        <w:t>le</w:t>
      </w:r>
      <w:r w:rsidR="0033286F" w:rsidRPr="007E7C5B">
        <w:rPr>
          <w:rFonts w:ascii="Arial Narrow" w:hAnsi="Arial Narrow" w:cstheme="minorHAnsi"/>
          <w:sz w:val="24"/>
          <w:szCs w:val="24"/>
        </w:rPr>
        <w:t xml:space="preserve"> taux de satisfaction des commandes des produits sanguins</w:t>
      </w:r>
      <w:r w:rsidR="00E04C47" w:rsidRPr="007E7C5B">
        <w:rPr>
          <w:rFonts w:ascii="Arial Narrow" w:hAnsi="Arial Narrow" w:cstheme="minorHAnsi"/>
          <w:sz w:val="24"/>
          <w:szCs w:val="24"/>
        </w:rPr>
        <w:t xml:space="preserve"> qui</w:t>
      </w:r>
      <w:r w:rsidR="00914686" w:rsidRPr="007E7C5B">
        <w:rPr>
          <w:rFonts w:ascii="Arial Narrow" w:hAnsi="Arial Narrow" w:cstheme="minorHAnsi"/>
          <w:sz w:val="24"/>
          <w:szCs w:val="24"/>
        </w:rPr>
        <w:t xml:space="preserve"> a augmenté,</w:t>
      </w:r>
      <w:r w:rsidR="0033286F" w:rsidRPr="007E7C5B">
        <w:rPr>
          <w:rFonts w:ascii="Arial Narrow" w:hAnsi="Arial Narrow" w:cstheme="minorHAnsi"/>
          <w:sz w:val="24"/>
          <w:szCs w:val="24"/>
        </w:rPr>
        <w:t xml:space="preserve"> </w:t>
      </w:r>
      <w:r w:rsidR="00E0306B" w:rsidRPr="007E7C5B">
        <w:rPr>
          <w:rFonts w:ascii="Arial Narrow" w:hAnsi="Arial Narrow" w:cstheme="minorHAnsi"/>
          <w:sz w:val="24"/>
          <w:szCs w:val="24"/>
        </w:rPr>
        <w:t>pass</w:t>
      </w:r>
      <w:r w:rsidR="00914686" w:rsidRPr="007E7C5B">
        <w:rPr>
          <w:rFonts w:ascii="Arial Narrow" w:hAnsi="Arial Narrow" w:cstheme="minorHAnsi"/>
          <w:sz w:val="24"/>
          <w:szCs w:val="24"/>
        </w:rPr>
        <w:t>ant</w:t>
      </w:r>
      <w:r w:rsidR="00E0306B" w:rsidRPr="007E7C5B">
        <w:rPr>
          <w:rFonts w:ascii="Arial Narrow" w:hAnsi="Arial Narrow" w:cstheme="minorHAnsi"/>
          <w:sz w:val="24"/>
          <w:szCs w:val="24"/>
        </w:rPr>
        <w:t xml:space="preserve"> de 39,</w:t>
      </w:r>
      <w:r w:rsidR="00E95B20" w:rsidRPr="007E7C5B">
        <w:rPr>
          <w:rFonts w:ascii="Arial Narrow" w:hAnsi="Arial Narrow" w:cstheme="minorHAnsi"/>
          <w:sz w:val="24"/>
          <w:szCs w:val="24"/>
        </w:rPr>
        <w:t>3</w:t>
      </w:r>
      <w:r w:rsidR="00E0306B" w:rsidRPr="007E7C5B">
        <w:rPr>
          <w:rFonts w:ascii="Arial Narrow" w:hAnsi="Arial Narrow" w:cstheme="minorHAnsi"/>
          <w:sz w:val="24"/>
          <w:szCs w:val="24"/>
        </w:rPr>
        <w:t xml:space="preserve">% en 2020 à </w:t>
      </w:r>
      <w:r w:rsidR="0033286F" w:rsidRPr="007E7C5B">
        <w:rPr>
          <w:rFonts w:ascii="Arial Narrow" w:hAnsi="Arial Narrow" w:cstheme="minorHAnsi"/>
          <w:sz w:val="24"/>
          <w:szCs w:val="24"/>
        </w:rPr>
        <w:t>96%</w:t>
      </w:r>
      <w:r w:rsidR="00E0306B" w:rsidRPr="007E7C5B">
        <w:rPr>
          <w:rFonts w:ascii="Arial Narrow" w:hAnsi="Arial Narrow" w:cstheme="minorHAnsi"/>
          <w:sz w:val="24"/>
          <w:szCs w:val="24"/>
        </w:rPr>
        <w:t xml:space="preserve"> en 2023</w:t>
      </w:r>
      <w:r w:rsidR="0033286F" w:rsidRPr="007E7C5B">
        <w:rPr>
          <w:rFonts w:ascii="Arial Narrow" w:hAnsi="Arial Narrow" w:cstheme="minorHAnsi"/>
          <w:sz w:val="24"/>
          <w:szCs w:val="24"/>
        </w:rPr>
        <w:t>.</w:t>
      </w:r>
    </w:p>
    <w:p w14:paraId="2A5F9AA6" w14:textId="45683008" w:rsidR="00431F70" w:rsidRPr="007E7C5B" w:rsidRDefault="00EE37BC" w:rsidP="009C0101">
      <w:pPr>
        <w:spacing w:line="276" w:lineRule="auto"/>
        <w:jc w:val="both"/>
        <w:rPr>
          <w:rFonts w:ascii="Arial Narrow" w:hAnsi="Arial Narrow" w:cs="Arial"/>
          <w:sz w:val="24"/>
          <w:szCs w:val="24"/>
        </w:rPr>
      </w:pPr>
      <w:r w:rsidRPr="007E7C5B">
        <w:rPr>
          <w:rFonts w:ascii="Arial Narrow" w:hAnsi="Arial Narrow" w:cs="Arial"/>
          <w:sz w:val="24"/>
          <w:szCs w:val="24"/>
        </w:rPr>
        <w:t xml:space="preserve">De plus, la disponibilité des médicaments au dernier km s’est </w:t>
      </w:r>
      <w:r w:rsidR="00B10FEE" w:rsidRPr="007E7C5B">
        <w:rPr>
          <w:rFonts w:ascii="Arial Narrow" w:hAnsi="Arial Narrow" w:cs="Arial"/>
          <w:sz w:val="24"/>
          <w:szCs w:val="24"/>
        </w:rPr>
        <w:t>vue</w:t>
      </w:r>
      <w:r w:rsidRPr="007E7C5B">
        <w:rPr>
          <w:rFonts w:ascii="Arial Narrow" w:hAnsi="Arial Narrow" w:cs="Arial"/>
          <w:sz w:val="24"/>
          <w:szCs w:val="24"/>
        </w:rPr>
        <w:t xml:space="preserve"> améliorée avec le projet </w:t>
      </w:r>
      <w:proofErr w:type="spellStart"/>
      <w:r w:rsidRPr="007E7C5B">
        <w:rPr>
          <w:rFonts w:ascii="Arial Narrow" w:hAnsi="Arial Narrow" w:cs="Arial"/>
          <w:sz w:val="24"/>
          <w:szCs w:val="24"/>
        </w:rPr>
        <w:t>zipline</w:t>
      </w:r>
      <w:proofErr w:type="spellEnd"/>
      <w:r w:rsidR="0024488E" w:rsidRPr="007E7C5B">
        <w:rPr>
          <w:rFonts w:ascii="Arial Narrow" w:hAnsi="Arial Narrow" w:cs="Arial"/>
          <w:sz w:val="24"/>
          <w:szCs w:val="24"/>
        </w:rPr>
        <w:t>, par l’utilisation de drones</w:t>
      </w:r>
      <w:r w:rsidRPr="007E7C5B">
        <w:rPr>
          <w:rFonts w:ascii="Arial Narrow" w:hAnsi="Arial Narrow" w:cs="Arial"/>
          <w:sz w:val="24"/>
          <w:szCs w:val="24"/>
        </w:rPr>
        <w:t xml:space="preserve">. </w:t>
      </w:r>
      <w:r w:rsidR="0024488E" w:rsidRPr="007E7C5B">
        <w:rPr>
          <w:rFonts w:ascii="Arial Narrow" w:hAnsi="Arial Narrow" w:cs="Arial"/>
          <w:sz w:val="24"/>
          <w:szCs w:val="24"/>
        </w:rPr>
        <w:t xml:space="preserve">Cela </w:t>
      </w:r>
      <w:r w:rsidRPr="007E7C5B">
        <w:rPr>
          <w:rFonts w:ascii="Arial Narrow" w:hAnsi="Arial Narrow" w:cs="Arial"/>
          <w:sz w:val="24"/>
          <w:szCs w:val="24"/>
        </w:rPr>
        <w:t xml:space="preserve">fait de la Côte d’Ivoire le premier pays francophone d’Afrique a utilisé cette technologie révolutionnaire pour la distribution des produits </w:t>
      </w:r>
      <w:r w:rsidR="009735E6" w:rsidRPr="007E7C5B">
        <w:rPr>
          <w:rFonts w:ascii="Arial Narrow" w:hAnsi="Arial Narrow" w:cs="Arial"/>
          <w:sz w:val="24"/>
          <w:szCs w:val="24"/>
        </w:rPr>
        <w:t>sanguins et médicaux</w:t>
      </w:r>
      <w:r w:rsidR="009C7BF1" w:rsidRPr="007E7C5B">
        <w:rPr>
          <w:rFonts w:ascii="Arial Narrow" w:hAnsi="Arial Narrow" w:cs="Arial"/>
          <w:sz w:val="24"/>
          <w:szCs w:val="24"/>
        </w:rPr>
        <w:t xml:space="preserve"> </w:t>
      </w:r>
      <w:r w:rsidR="00997E72" w:rsidRPr="007E7C5B">
        <w:rPr>
          <w:rFonts w:ascii="Arial Narrow" w:hAnsi="Arial Narrow" w:cs="Arial"/>
          <w:sz w:val="24"/>
          <w:szCs w:val="24"/>
        </w:rPr>
        <w:t>(kits d’accouchement, médicaments, produits sanguins et vaccins)</w:t>
      </w:r>
      <w:r w:rsidR="009735E6" w:rsidRPr="007E7C5B">
        <w:rPr>
          <w:rFonts w:ascii="Arial Narrow" w:hAnsi="Arial Narrow" w:cs="Arial"/>
          <w:sz w:val="24"/>
          <w:szCs w:val="24"/>
        </w:rPr>
        <w:t xml:space="preserve"> </w:t>
      </w:r>
      <w:r w:rsidRPr="007E7C5B">
        <w:rPr>
          <w:rFonts w:ascii="Arial Narrow" w:hAnsi="Arial Narrow" w:cs="Arial"/>
          <w:sz w:val="24"/>
          <w:szCs w:val="24"/>
        </w:rPr>
        <w:t xml:space="preserve">au dernier kilomètre depuis le 2 </w:t>
      </w:r>
      <w:r w:rsidR="000F3886" w:rsidRPr="007E7C5B">
        <w:rPr>
          <w:rFonts w:ascii="Arial Narrow" w:hAnsi="Arial Narrow" w:cs="Arial"/>
          <w:sz w:val="24"/>
          <w:szCs w:val="24"/>
        </w:rPr>
        <w:t>mars</w:t>
      </w:r>
      <w:r w:rsidRPr="007E7C5B">
        <w:rPr>
          <w:rFonts w:ascii="Arial Narrow" w:hAnsi="Arial Narrow" w:cs="Arial"/>
          <w:sz w:val="24"/>
          <w:szCs w:val="24"/>
        </w:rPr>
        <w:t xml:space="preserve"> 2023. Les activités de </w:t>
      </w:r>
      <w:proofErr w:type="spellStart"/>
      <w:r w:rsidRPr="007E7C5B">
        <w:rPr>
          <w:rFonts w:ascii="Arial Narrow" w:hAnsi="Arial Narrow" w:cs="Arial"/>
          <w:sz w:val="24"/>
          <w:szCs w:val="24"/>
        </w:rPr>
        <w:t>Zipline</w:t>
      </w:r>
      <w:proofErr w:type="spellEnd"/>
      <w:r w:rsidRPr="007E7C5B">
        <w:rPr>
          <w:rFonts w:ascii="Arial Narrow" w:hAnsi="Arial Narrow" w:cs="Arial"/>
          <w:sz w:val="24"/>
          <w:szCs w:val="24"/>
        </w:rPr>
        <w:t xml:space="preserve"> ont </w:t>
      </w:r>
      <w:r w:rsidR="00EF2761" w:rsidRPr="007E7C5B">
        <w:rPr>
          <w:rFonts w:ascii="Arial Narrow" w:hAnsi="Arial Narrow" w:cs="Arial"/>
          <w:sz w:val="24"/>
          <w:szCs w:val="24"/>
        </w:rPr>
        <w:t>été réalisées en premier lieu</w:t>
      </w:r>
      <w:r w:rsidRPr="007E7C5B">
        <w:rPr>
          <w:rFonts w:ascii="Arial Narrow" w:hAnsi="Arial Narrow" w:cs="Arial"/>
          <w:sz w:val="24"/>
          <w:szCs w:val="24"/>
        </w:rPr>
        <w:t xml:space="preserve"> </w:t>
      </w:r>
      <w:r w:rsidR="00EF2761" w:rsidRPr="007E7C5B">
        <w:rPr>
          <w:rFonts w:ascii="Arial Narrow" w:hAnsi="Arial Narrow" w:cs="Arial"/>
          <w:sz w:val="24"/>
          <w:szCs w:val="24"/>
        </w:rPr>
        <w:t>dans le</w:t>
      </w:r>
      <w:r w:rsidRPr="007E7C5B">
        <w:rPr>
          <w:rFonts w:ascii="Arial Narrow" w:hAnsi="Arial Narrow" w:cs="Arial"/>
          <w:sz w:val="24"/>
          <w:szCs w:val="24"/>
        </w:rPr>
        <w:t xml:space="preserve"> Hub de Daloa</w:t>
      </w:r>
      <w:r w:rsidR="00E15359" w:rsidRPr="007E7C5B">
        <w:rPr>
          <w:rFonts w:ascii="Arial Narrow" w:hAnsi="Arial Narrow" w:cs="Arial"/>
          <w:sz w:val="24"/>
          <w:szCs w:val="24"/>
        </w:rPr>
        <w:t>, couvrant</w:t>
      </w:r>
      <w:r w:rsidRPr="007E7C5B">
        <w:rPr>
          <w:rFonts w:ascii="Arial Narrow" w:hAnsi="Arial Narrow" w:cs="Arial"/>
          <w:sz w:val="24"/>
          <w:szCs w:val="24"/>
        </w:rPr>
        <w:t xml:space="preserve"> les DRS de la Nawa, du Haut Sassandra, du </w:t>
      </w:r>
      <w:proofErr w:type="spellStart"/>
      <w:r w:rsidRPr="007E7C5B">
        <w:rPr>
          <w:rFonts w:ascii="Arial Narrow" w:hAnsi="Arial Narrow" w:cs="Arial"/>
          <w:sz w:val="24"/>
          <w:szCs w:val="24"/>
        </w:rPr>
        <w:t>Guemon</w:t>
      </w:r>
      <w:proofErr w:type="spellEnd"/>
      <w:r w:rsidRPr="007E7C5B">
        <w:rPr>
          <w:rFonts w:ascii="Arial Narrow" w:hAnsi="Arial Narrow" w:cs="Arial"/>
          <w:sz w:val="24"/>
          <w:szCs w:val="24"/>
        </w:rPr>
        <w:t xml:space="preserve">, de la </w:t>
      </w:r>
      <w:proofErr w:type="spellStart"/>
      <w:r w:rsidRPr="007E7C5B">
        <w:rPr>
          <w:rFonts w:ascii="Arial Narrow" w:hAnsi="Arial Narrow" w:cs="Arial"/>
          <w:sz w:val="24"/>
          <w:szCs w:val="24"/>
        </w:rPr>
        <w:t>Marahoué</w:t>
      </w:r>
      <w:proofErr w:type="spellEnd"/>
      <w:r w:rsidRPr="007E7C5B">
        <w:rPr>
          <w:rFonts w:ascii="Arial Narrow" w:hAnsi="Arial Narrow" w:cs="Arial"/>
          <w:sz w:val="24"/>
          <w:szCs w:val="24"/>
        </w:rPr>
        <w:t xml:space="preserve"> et du Goh et 224 ESPC.</w:t>
      </w:r>
      <w:r w:rsidR="00E33227">
        <w:rPr>
          <w:rFonts w:ascii="Arial Narrow" w:hAnsi="Arial Narrow" w:cs="Arial"/>
          <w:sz w:val="24"/>
          <w:szCs w:val="24"/>
        </w:rPr>
        <w:t xml:space="preserve"> </w:t>
      </w:r>
      <w:r w:rsidRPr="007E7C5B">
        <w:rPr>
          <w:rFonts w:ascii="Arial Narrow" w:hAnsi="Arial Narrow" w:cs="Arial"/>
          <w:sz w:val="24"/>
          <w:szCs w:val="24"/>
        </w:rPr>
        <w:t>Les résultats de cette approche révolutionnaire sont probants</w:t>
      </w:r>
      <w:r w:rsidR="00910FD0" w:rsidRPr="007E7C5B">
        <w:rPr>
          <w:rFonts w:ascii="Arial Narrow" w:hAnsi="Arial Narrow" w:cs="Arial"/>
          <w:sz w:val="24"/>
          <w:szCs w:val="24"/>
        </w:rPr>
        <w:t> : au 8 novembre 2023, ce sont au total, 3 111 produits sanguins, 11 366 kits d’accouchement et de médicaments et 29 205 doses de vaccins qui ont été délivrés au dernier kilomètre.</w:t>
      </w:r>
      <w:r w:rsidRPr="007E7C5B">
        <w:rPr>
          <w:rFonts w:ascii="Arial Narrow" w:hAnsi="Arial Narrow" w:cs="Arial"/>
          <w:sz w:val="24"/>
          <w:szCs w:val="24"/>
        </w:rPr>
        <w:t xml:space="preserve"> Ces livraisons de poches de sang</w:t>
      </w:r>
      <w:r w:rsidR="001458A1" w:rsidRPr="007E7C5B">
        <w:rPr>
          <w:rFonts w:ascii="Arial Narrow" w:hAnsi="Arial Narrow" w:cs="Arial"/>
          <w:sz w:val="24"/>
          <w:szCs w:val="24"/>
        </w:rPr>
        <w:t xml:space="preserve"> et </w:t>
      </w:r>
      <w:r w:rsidR="0059778D" w:rsidRPr="007E7C5B">
        <w:rPr>
          <w:rFonts w:ascii="Arial Narrow" w:hAnsi="Arial Narrow" w:cs="Arial"/>
          <w:sz w:val="24"/>
          <w:szCs w:val="24"/>
        </w:rPr>
        <w:t>de produits médicaux</w:t>
      </w:r>
      <w:r w:rsidR="00DE0F9A" w:rsidRPr="007E7C5B">
        <w:rPr>
          <w:rFonts w:ascii="Arial Narrow" w:hAnsi="Arial Narrow" w:cs="Arial"/>
          <w:sz w:val="24"/>
          <w:szCs w:val="24"/>
        </w:rPr>
        <w:t xml:space="preserve">, dont 50% </w:t>
      </w:r>
      <w:r w:rsidR="002644CB" w:rsidRPr="007E7C5B">
        <w:rPr>
          <w:rFonts w:ascii="Arial Narrow" w:hAnsi="Arial Narrow" w:cs="Arial"/>
          <w:sz w:val="24"/>
          <w:szCs w:val="24"/>
        </w:rPr>
        <w:t xml:space="preserve">ont été faites en </w:t>
      </w:r>
      <w:r w:rsidR="00DE0F9A" w:rsidRPr="007E7C5B">
        <w:rPr>
          <w:rFonts w:ascii="Arial Narrow" w:hAnsi="Arial Narrow" w:cs="Arial"/>
          <w:sz w:val="24"/>
          <w:szCs w:val="24"/>
        </w:rPr>
        <w:t>urgence,</w:t>
      </w:r>
      <w:r w:rsidRPr="007E7C5B">
        <w:rPr>
          <w:rFonts w:ascii="Arial Narrow" w:hAnsi="Arial Narrow" w:cs="Arial"/>
          <w:sz w:val="24"/>
          <w:szCs w:val="24"/>
        </w:rPr>
        <w:t xml:space="preserve"> ont permis de sauver la vie de nombreuses femmes en accouchement et </w:t>
      </w:r>
      <w:r w:rsidR="00C6507A" w:rsidRPr="007E7C5B">
        <w:rPr>
          <w:rFonts w:ascii="Arial Narrow" w:hAnsi="Arial Narrow" w:cs="Arial"/>
          <w:sz w:val="24"/>
          <w:szCs w:val="24"/>
        </w:rPr>
        <w:t>d’</w:t>
      </w:r>
      <w:r w:rsidRPr="007E7C5B">
        <w:rPr>
          <w:rFonts w:ascii="Arial Narrow" w:hAnsi="Arial Narrow" w:cs="Arial"/>
          <w:sz w:val="24"/>
          <w:szCs w:val="24"/>
        </w:rPr>
        <w:t xml:space="preserve">au moins de 50 enfants de moins de deux ans. </w:t>
      </w:r>
    </w:p>
    <w:p w14:paraId="535E98C7" w14:textId="10D95132" w:rsidR="00B9136B" w:rsidRPr="007E7C5B" w:rsidRDefault="009C5FF6" w:rsidP="009C0101">
      <w:pPr>
        <w:spacing w:line="276" w:lineRule="auto"/>
        <w:jc w:val="both"/>
        <w:rPr>
          <w:rFonts w:ascii="Arial Narrow" w:hAnsi="Arial Narrow" w:cs="Arial"/>
          <w:sz w:val="24"/>
          <w:szCs w:val="24"/>
          <w:lang w:val="fr-CI"/>
        </w:rPr>
      </w:pPr>
      <w:r w:rsidRPr="007E7C5B">
        <w:rPr>
          <w:rFonts w:ascii="Arial Narrow" w:hAnsi="Arial Narrow" w:cs="Arial"/>
          <w:sz w:val="24"/>
          <w:szCs w:val="24"/>
        </w:rPr>
        <w:lastRenderedPageBreak/>
        <w:t>Pour consolider ces acquis</w:t>
      </w:r>
      <w:r w:rsidR="00CC58C3" w:rsidRPr="007E7C5B">
        <w:rPr>
          <w:rFonts w:ascii="Arial Narrow" w:hAnsi="Arial Narrow" w:cs="Arial"/>
          <w:sz w:val="24"/>
          <w:szCs w:val="24"/>
        </w:rPr>
        <w:t>,</w:t>
      </w:r>
      <w:r w:rsidRPr="007E7C5B">
        <w:rPr>
          <w:rFonts w:ascii="Arial Narrow" w:hAnsi="Arial Narrow" w:cs="Arial"/>
          <w:sz w:val="24"/>
          <w:szCs w:val="24"/>
        </w:rPr>
        <w:t xml:space="preserve"> le </w:t>
      </w:r>
      <w:r w:rsidR="00A07ECD" w:rsidRPr="007E7C5B">
        <w:rPr>
          <w:rFonts w:ascii="Arial Narrow" w:hAnsi="Arial Narrow" w:cs="Arial"/>
          <w:sz w:val="24"/>
          <w:szCs w:val="24"/>
        </w:rPr>
        <w:t xml:space="preserve">MSHPCMU devra adresser </w:t>
      </w:r>
      <w:r w:rsidR="00A07ECD" w:rsidRPr="007E7C5B" w:rsidDel="005B7FE7">
        <w:rPr>
          <w:rFonts w:ascii="Arial Narrow" w:hAnsi="Arial Narrow" w:cs="Arial"/>
          <w:sz w:val="24"/>
          <w:szCs w:val="24"/>
        </w:rPr>
        <w:t xml:space="preserve">certains </w:t>
      </w:r>
      <w:r w:rsidR="005B7FE7" w:rsidRPr="007E7C5B">
        <w:rPr>
          <w:rFonts w:ascii="Arial Narrow" w:hAnsi="Arial Narrow" w:cs="Arial"/>
          <w:sz w:val="24"/>
          <w:szCs w:val="24"/>
        </w:rPr>
        <w:t>problèmes</w:t>
      </w:r>
      <w:r w:rsidR="00FA488A" w:rsidRPr="007E7C5B">
        <w:rPr>
          <w:rFonts w:ascii="Arial Narrow" w:hAnsi="Arial Narrow" w:cs="Arial"/>
          <w:sz w:val="24"/>
          <w:szCs w:val="24"/>
        </w:rPr>
        <w:t>, en l’occurrence</w:t>
      </w:r>
      <w:r w:rsidR="009C0101" w:rsidRPr="007E7C5B">
        <w:rPr>
          <w:rFonts w:ascii="Arial Narrow" w:hAnsi="Arial Narrow" w:cs="Arial"/>
          <w:sz w:val="24"/>
          <w:szCs w:val="24"/>
        </w:rPr>
        <w:t xml:space="preserve"> </w:t>
      </w:r>
      <w:r w:rsidR="009C0101" w:rsidRPr="007E7C5B">
        <w:rPr>
          <w:rFonts w:ascii="Arial Narrow" w:hAnsi="Arial Narrow" w:cs="Arial"/>
          <w:sz w:val="24"/>
          <w:szCs w:val="24"/>
          <w:lang w:val="fr-CI"/>
        </w:rPr>
        <w:t>le c</w:t>
      </w:r>
      <w:r w:rsidR="00B9136B" w:rsidRPr="007E7C5B">
        <w:rPr>
          <w:rFonts w:ascii="Arial Narrow" w:hAnsi="Arial Narrow" w:cs="Arial"/>
          <w:sz w:val="24"/>
          <w:szCs w:val="24"/>
          <w:lang w:val="fr-CI"/>
        </w:rPr>
        <w:t>o</w:t>
      </w:r>
      <w:r w:rsidR="007362B9" w:rsidRPr="007E7C5B">
        <w:rPr>
          <w:rFonts w:ascii="Arial Narrow" w:hAnsi="Arial Narrow" w:cs="Arial"/>
          <w:sz w:val="24"/>
          <w:szCs w:val="24"/>
          <w:lang w:val="fr-CI"/>
        </w:rPr>
        <w:t>û</w:t>
      </w:r>
      <w:r w:rsidR="00B9136B" w:rsidRPr="007E7C5B">
        <w:rPr>
          <w:rFonts w:ascii="Arial Narrow" w:hAnsi="Arial Narrow" w:cs="Arial"/>
          <w:sz w:val="24"/>
          <w:szCs w:val="24"/>
          <w:lang w:val="fr-CI"/>
        </w:rPr>
        <w:t xml:space="preserve">t élevé des réclames par les médias d’Etat (radio, télé et presse écrite) pour la sensibilisation sur la transfusion sanguine </w:t>
      </w:r>
      <w:r w:rsidR="0031254C" w:rsidRPr="007E7C5B">
        <w:rPr>
          <w:rFonts w:ascii="Arial Narrow" w:hAnsi="Arial Narrow" w:cs="Arial"/>
          <w:sz w:val="24"/>
          <w:szCs w:val="24"/>
          <w:lang w:val="fr-CI"/>
        </w:rPr>
        <w:t xml:space="preserve">et </w:t>
      </w:r>
      <w:r w:rsidR="00AE314D" w:rsidRPr="007E7C5B">
        <w:rPr>
          <w:rFonts w:ascii="Arial Narrow" w:hAnsi="Arial Narrow" w:cs="Arial"/>
          <w:sz w:val="24"/>
          <w:szCs w:val="24"/>
          <w:lang w:val="fr-CI"/>
        </w:rPr>
        <w:t xml:space="preserve">pour </w:t>
      </w:r>
      <w:r w:rsidR="00B9136B" w:rsidRPr="007E7C5B">
        <w:rPr>
          <w:rFonts w:ascii="Arial Narrow" w:hAnsi="Arial Narrow" w:cs="Arial"/>
          <w:sz w:val="24"/>
          <w:szCs w:val="24"/>
          <w:lang w:val="fr-CI"/>
        </w:rPr>
        <w:t>les activités promotionnelles y afférentes.</w:t>
      </w:r>
      <w:r w:rsidR="009C0101" w:rsidRPr="007E7C5B">
        <w:rPr>
          <w:rFonts w:ascii="Arial Narrow" w:hAnsi="Arial Narrow" w:cs="Arial"/>
          <w:sz w:val="24"/>
          <w:szCs w:val="24"/>
          <w:lang w:val="fr-CI"/>
        </w:rPr>
        <w:t xml:space="preserve"> Aussi,</w:t>
      </w:r>
      <w:r w:rsidR="007B543C" w:rsidRPr="007E7C5B">
        <w:rPr>
          <w:rFonts w:ascii="Arial Narrow" w:hAnsi="Arial Narrow" w:cs="Arial"/>
          <w:sz w:val="24"/>
          <w:szCs w:val="24"/>
          <w:lang w:val="fr-CI"/>
        </w:rPr>
        <w:t xml:space="preserve"> on note</w:t>
      </w:r>
      <w:r w:rsidR="009C0101" w:rsidRPr="007E7C5B">
        <w:rPr>
          <w:rFonts w:ascii="Arial Narrow" w:hAnsi="Arial Narrow" w:cs="Arial"/>
          <w:sz w:val="24"/>
          <w:szCs w:val="24"/>
          <w:lang w:val="fr-CI"/>
        </w:rPr>
        <w:t xml:space="preserve"> </w:t>
      </w:r>
      <w:r w:rsidR="007B543C" w:rsidRPr="007E7C5B">
        <w:rPr>
          <w:rFonts w:ascii="Arial Narrow" w:hAnsi="Arial Narrow" w:cs="Arial"/>
          <w:sz w:val="24"/>
          <w:szCs w:val="24"/>
          <w:lang w:val="fr-CI"/>
        </w:rPr>
        <w:t xml:space="preserve">un </w:t>
      </w:r>
      <w:r w:rsidR="009C0101" w:rsidRPr="007E7C5B">
        <w:rPr>
          <w:rFonts w:ascii="Arial Narrow" w:hAnsi="Arial Narrow" w:cs="Arial"/>
          <w:sz w:val="24"/>
          <w:szCs w:val="24"/>
          <w:lang w:val="fr-CI"/>
        </w:rPr>
        <w:t>r</w:t>
      </w:r>
      <w:r w:rsidR="00B9136B" w:rsidRPr="007E7C5B">
        <w:rPr>
          <w:rFonts w:ascii="Arial Narrow" w:hAnsi="Arial Narrow" w:cs="Arial"/>
          <w:sz w:val="24"/>
          <w:szCs w:val="24"/>
          <w:lang w:val="fr-CI"/>
        </w:rPr>
        <w:t xml:space="preserve">etard dans l’attribution des marchés </w:t>
      </w:r>
      <w:r w:rsidR="00274C6F" w:rsidRPr="007E7C5B">
        <w:rPr>
          <w:rFonts w:ascii="Arial Narrow" w:hAnsi="Arial Narrow" w:cs="Arial"/>
          <w:sz w:val="24"/>
          <w:szCs w:val="24"/>
          <w:lang w:val="fr-CI"/>
        </w:rPr>
        <w:t xml:space="preserve">pour </w:t>
      </w:r>
      <w:r w:rsidR="00B9136B" w:rsidRPr="007E7C5B">
        <w:rPr>
          <w:rFonts w:ascii="Arial Narrow" w:hAnsi="Arial Narrow" w:cs="Arial"/>
          <w:sz w:val="24"/>
          <w:szCs w:val="24"/>
          <w:lang w:val="fr-CI"/>
        </w:rPr>
        <w:t>l’achat des intrants, consommables et réactifs</w:t>
      </w:r>
      <w:r w:rsidR="00CF73BC" w:rsidRPr="007E7C5B">
        <w:rPr>
          <w:rFonts w:ascii="Arial Narrow" w:hAnsi="Arial Narrow" w:cs="Arial"/>
          <w:sz w:val="24"/>
          <w:szCs w:val="24"/>
          <w:lang w:val="fr-CI"/>
        </w:rPr>
        <w:t>,</w:t>
      </w:r>
      <w:r w:rsidR="00B9136B" w:rsidRPr="007E7C5B" w:rsidDel="009E2A41">
        <w:rPr>
          <w:rFonts w:ascii="Arial Narrow" w:hAnsi="Arial Narrow" w:cs="Arial"/>
          <w:sz w:val="24"/>
          <w:szCs w:val="24"/>
          <w:lang w:val="fr-CI"/>
        </w:rPr>
        <w:t xml:space="preserve"> </w:t>
      </w:r>
      <w:r w:rsidR="009E2A41" w:rsidRPr="007E7C5B">
        <w:rPr>
          <w:rFonts w:ascii="Arial Narrow" w:hAnsi="Arial Narrow" w:cs="Arial"/>
          <w:sz w:val="24"/>
          <w:szCs w:val="24"/>
          <w:lang w:val="fr-CI"/>
        </w:rPr>
        <w:t xml:space="preserve">l’insuffisance </w:t>
      </w:r>
      <w:r w:rsidR="00B9136B" w:rsidRPr="007E7C5B">
        <w:rPr>
          <w:rFonts w:ascii="Arial Narrow" w:hAnsi="Arial Narrow" w:cs="Arial"/>
          <w:sz w:val="24"/>
          <w:szCs w:val="24"/>
          <w:lang w:val="fr-CI"/>
        </w:rPr>
        <w:t xml:space="preserve">de financement pour l’achat du matériel pour le déploiement du logiciel de traçabilité des produits sanguins labiles dans toutes les structures sanitaires qui </w:t>
      </w:r>
      <w:r w:rsidR="008B6F37" w:rsidRPr="007E7C5B">
        <w:rPr>
          <w:rFonts w:ascii="Arial Narrow" w:hAnsi="Arial Narrow" w:cs="Arial"/>
          <w:sz w:val="24"/>
          <w:szCs w:val="24"/>
          <w:lang w:val="fr-CI"/>
        </w:rPr>
        <w:t xml:space="preserve">pratiquent </w:t>
      </w:r>
      <w:r w:rsidR="00B9136B" w:rsidRPr="007E7C5B">
        <w:rPr>
          <w:rFonts w:ascii="Arial Narrow" w:hAnsi="Arial Narrow" w:cs="Arial"/>
          <w:sz w:val="24"/>
          <w:szCs w:val="24"/>
          <w:lang w:val="fr-CI"/>
        </w:rPr>
        <w:t>les transfusions sanguines</w:t>
      </w:r>
      <w:r w:rsidR="009C0101" w:rsidRPr="007E7C5B">
        <w:rPr>
          <w:rFonts w:ascii="Arial Narrow" w:hAnsi="Arial Narrow" w:cs="Arial"/>
          <w:sz w:val="24"/>
          <w:szCs w:val="24"/>
          <w:lang w:val="fr-CI"/>
        </w:rPr>
        <w:t xml:space="preserve"> </w:t>
      </w:r>
      <w:r w:rsidR="00CF73BC" w:rsidRPr="007E7C5B">
        <w:rPr>
          <w:rFonts w:ascii="Arial Narrow" w:hAnsi="Arial Narrow" w:cs="Arial"/>
          <w:sz w:val="24"/>
          <w:szCs w:val="24"/>
          <w:lang w:val="fr-CI"/>
        </w:rPr>
        <w:t xml:space="preserve">ainsi que </w:t>
      </w:r>
      <w:r w:rsidR="009C0101" w:rsidRPr="007E7C5B">
        <w:rPr>
          <w:rFonts w:ascii="Arial Narrow" w:hAnsi="Arial Narrow" w:cs="Arial"/>
          <w:sz w:val="24"/>
          <w:szCs w:val="24"/>
          <w:lang w:val="fr-CI"/>
        </w:rPr>
        <w:t>l’</w:t>
      </w:r>
      <w:r w:rsidR="00B9136B" w:rsidRPr="007E7C5B">
        <w:rPr>
          <w:rFonts w:ascii="Arial Narrow" w:hAnsi="Arial Narrow" w:cs="Arial"/>
          <w:sz w:val="24"/>
          <w:szCs w:val="24"/>
          <w:lang w:val="fr-CI"/>
        </w:rPr>
        <w:t>Insuffisance de certaines catégories de personnels (techniciens de laboratoire et ingénieurs biologistes)</w:t>
      </w:r>
      <w:r w:rsidR="009C0101" w:rsidRPr="007E7C5B">
        <w:rPr>
          <w:rFonts w:ascii="Arial Narrow" w:hAnsi="Arial Narrow" w:cs="Arial"/>
          <w:sz w:val="24"/>
          <w:szCs w:val="24"/>
          <w:lang w:val="fr-CI"/>
        </w:rPr>
        <w:t xml:space="preserve">. </w:t>
      </w:r>
    </w:p>
    <w:p w14:paraId="1766956D" w14:textId="77777777" w:rsidR="00003650" w:rsidRPr="007E7C5B" w:rsidRDefault="00F0208D" w:rsidP="00AA7D22">
      <w:pPr>
        <w:pStyle w:val="Titre5"/>
        <w:shd w:val="clear" w:color="auto" w:fill="FBE4D5" w:themeFill="accent2" w:themeFillTint="33"/>
        <w:rPr>
          <w:rFonts w:ascii="Arial Narrow" w:hAnsi="Arial Narrow"/>
          <w:b/>
          <w:color w:val="auto"/>
          <w:sz w:val="24"/>
          <w:szCs w:val="24"/>
        </w:rPr>
      </w:pPr>
      <w:r w:rsidRPr="007E7C5B">
        <w:rPr>
          <w:rFonts w:ascii="Arial Narrow" w:hAnsi="Arial Narrow"/>
          <w:b/>
          <w:color w:val="auto"/>
          <w:sz w:val="24"/>
          <w:szCs w:val="24"/>
        </w:rPr>
        <w:t>Santé de la mère, du nouveau-né et de l'enfant</w:t>
      </w:r>
    </w:p>
    <w:p w14:paraId="612EF56E" w14:textId="3FFF5AE5" w:rsidR="006541B8" w:rsidRDefault="0ABAD550" w:rsidP="00FA7C5C">
      <w:pPr>
        <w:jc w:val="both"/>
        <w:rPr>
          <w:rFonts w:ascii="Arial Narrow" w:eastAsia="Calibri" w:hAnsi="Arial Narrow" w:cs="Calibri"/>
          <w:color w:val="000000" w:themeColor="text1"/>
          <w:sz w:val="24"/>
          <w:szCs w:val="24"/>
        </w:rPr>
      </w:pPr>
      <w:r w:rsidRPr="007E7C5B">
        <w:rPr>
          <w:rFonts w:ascii="Arial Narrow" w:eastAsia="Calibri" w:hAnsi="Arial Narrow" w:cs="Calibri"/>
          <w:color w:val="000000" w:themeColor="text1"/>
          <w:sz w:val="24"/>
          <w:szCs w:val="24"/>
        </w:rPr>
        <w:t>Pour améliorer la santé de la mère et de l’enfant</w:t>
      </w:r>
      <w:r w:rsidR="6B9CE12C" w:rsidRPr="007E7C5B">
        <w:rPr>
          <w:rFonts w:ascii="Arial Narrow" w:eastAsia="Calibri" w:hAnsi="Arial Narrow" w:cs="Calibri"/>
          <w:color w:val="000000" w:themeColor="text1"/>
          <w:sz w:val="24"/>
          <w:szCs w:val="24"/>
        </w:rPr>
        <w:t>, l</w:t>
      </w:r>
      <w:r w:rsidRPr="007E7C5B">
        <w:rPr>
          <w:rFonts w:ascii="Arial Narrow" w:eastAsia="Calibri" w:hAnsi="Arial Narrow" w:cs="Calibri"/>
          <w:color w:val="000000" w:themeColor="text1"/>
          <w:sz w:val="24"/>
          <w:szCs w:val="24"/>
        </w:rPr>
        <w:t xml:space="preserve">e </w:t>
      </w:r>
      <w:r w:rsidR="00DF4B17" w:rsidRPr="007E7C5B">
        <w:rPr>
          <w:rFonts w:ascii="Arial Narrow" w:eastAsia="Calibri" w:hAnsi="Arial Narrow" w:cs="Calibri"/>
          <w:color w:val="000000" w:themeColor="text1"/>
          <w:sz w:val="24"/>
          <w:szCs w:val="24"/>
        </w:rPr>
        <w:t xml:space="preserve">MSHPCMU s’est engagé à mieux </w:t>
      </w:r>
      <w:r w:rsidRPr="007E7C5B">
        <w:rPr>
          <w:rFonts w:ascii="Arial Narrow" w:eastAsia="Calibri" w:hAnsi="Arial Narrow" w:cs="Calibri"/>
          <w:color w:val="000000" w:themeColor="text1"/>
          <w:sz w:val="24"/>
          <w:szCs w:val="24"/>
        </w:rPr>
        <w:t>outill</w:t>
      </w:r>
      <w:r w:rsidR="0034606D" w:rsidRPr="007E7C5B">
        <w:rPr>
          <w:rFonts w:ascii="Arial Narrow" w:eastAsia="Calibri" w:hAnsi="Arial Narrow" w:cs="Calibri"/>
          <w:color w:val="000000" w:themeColor="text1"/>
          <w:sz w:val="24"/>
          <w:szCs w:val="24"/>
        </w:rPr>
        <w:t xml:space="preserve">er le système de santé, </w:t>
      </w:r>
      <w:r w:rsidR="007A4CA1" w:rsidRPr="007E7C5B">
        <w:rPr>
          <w:rFonts w:ascii="Arial Narrow" w:eastAsia="Calibri" w:hAnsi="Arial Narrow" w:cs="Calibri"/>
          <w:color w:val="000000" w:themeColor="text1"/>
          <w:sz w:val="24"/>
          <w:szCs w:val="24"/>
        </w:rPr>
        <w:t>à l’effet</w:t>
      </w:r>
      <w:r w:rsidR="0034606D" w:rsidRPr="007E7C5B">
        <w:rPr>
          <w:rFonts w:ascii="Arial Narrow" w:eastAsia="Calibri" w:hAnsi="Arial Narrow" w:cs="Calibri"/>
          <w:color w:val="000000" w:themeColor="text1"/>
          <w:sz w:val="24"/>
          <w:szCs w:val="24"/>
        </w:rPr>
        <w:t xml:space="preserve"> d’</w:t>
      </w:r>
      <w:r w:rsidRPr="007E7C5B">
        <w:rPr>
          <w:rFonts w:ascii="Arial Narrow" w:eastAsia="Calibri" w:hAnsi="Arial Narrow" w:cs="Calibri"/>
          <w:color w:val="000000" w:themeColor="text1"/>
          <w:sz w:val="24"/>
          <w:szCs w:val="24"/>
        </w:rPr>
        <w:t>offrir des services intégrés et adaptés aux besoins de la mère, du nouveau-né et de l'enfant. Pour ce faire,</w:t>
      </w:r>
      <w:r w:rsidR="3AB2E546" w:rsidRPr="007E7C5B">
        <w:rPr>
          <w:rFonts w:ascii="Arial Narrow" w:eastAsia="Calibri" w:hAnsi="Arial Narrow" w:cs="Calibri"/>
          <w:color w:val="000000" w:themeColor="text1"/>
          <w:sz w:val="24"/>
          <w:szCs w:val="24"/>
        </w:rPr>
        <w:t xml:space="preserve"> </w:t>
      </w:r>
      <w:r w:rsidR="3AB2E546" w:rsidRPr="00A918AC">
        <w:rPr>
          <w:rFonts w:ascii="Arial Narrow" w:eastAsia="Calibri" w:hAnsi="Arial Narrow" w:cs="Calibri"/>
          <w:i/>
          <w:color w:val="000000" w:themeColor="text1"/>
          <w:sz w:val="24"/>
          <w:szCs w:val="24"/>
        </w:rPr>
        <w:t>(i)</w:t>
      </w:r>
      <w:r w:rsidR="3AB2E546" w:rsidRPr="007E7C5B">
        <w:rPr>
          <w:rFonts w:ascii="Arial Narrow" w:eastAsia="Calibri" w:hAnsi="Arial Narrow" w:cs="Calibri"/>
          <w:color w:val="000000" w:themeColor="text1"/>
          <w:sz w:val="24"/>
          <w:szCs w:val="24"/>
        </w:rPr>
        <w:t xml:space="preserve"> l'offre de service de santé de la mère ainsi que </w:t>
      </w:r>
      <w:r w:rsidR="6F6A60BB" w:rsidRPr="00A918AC">
        <w:rPr>
          <w:rFonts w:ascii="Arial Narrow" w:eastAsia="Calibri" w:hAnsi="Arial Narrow" w:cs="Calibri"/>
          <w:i/>
          <w:color w:val="000000" w:themeColor="text1"/>
          <w:sz w:val="24"/>
          <w:szCs w:val="24"/>
        </w:rPr>
        <w:t>(ii)</w:t>
      </w:r>
      <w:r w:rsidR="4A4E9B31" w:rsidRPr="007E7C5B">
        <w:rPr>
          <w:rFonts w:ascii="Arial Narrow" w:eastAsia="Calibri" w:hAnsi="Arial Narrow" w:cs="Calibri"/>
          <w:color w:val="000000" w:themeColor="text1"/>
          <w:sz w:val="24"/>
          <w:szCs w:val="24"/>
        </w:rPr>
        <w:t xml:space="preserve"> </w:t>
      </w:r>
      <w:r w:rsidR="3AB2E546" w:rsidRPr="007E7C5B">
        <w:rPr>
          <w:rFonts w:ascii="Arial Narrow" w:eastAsia="Calibri" w:hAnsi="Arial Narrow" w:cs="Calibri"/>
          <w:color w:val="000000" w:themeColor="text1"/>
          <w:sz w:val="24"/>
          <w:szCs w:val="24"/>
        </w:rPr>
        <w:t>l'offre de service de santé du nouveau-né et de l'enfant devaient être renforcé</w:t>
      </w:r>
      <w:r w:rsidR="003D04F2" w:rsidRPr="007E7C5B">
        <w:rPr>
          <w:rFonts w:ascii="Arial Narrow" w:eastAsia="Calibri" w:hAnsi="Arial Narrow" w:cs="Calibri"/>
          <w:color w:val="000000" w:themeColor="text1"/>
          <w:sz w:val="24"/>
          <w:szCs w:val="24"/>
        </w:rPr>
        <w:t>es</w:t>
      </w:r>
      <w:r w:rsidR="6F0B9240" w:rsidRPr="007E7C5B">
        <w:rPr>
          <w:rFonts w:ascii="Arial Narrow" w:eastAsia="Calibri" w:hAnsi="Arial Narrow" w:cs="Calibri"/>
          <w:color w:val="000000" w:themeColor="text1"/>
          <w:sz w:val="24"/>
          <w:szCs w:val="24"/>
        </w:rPr>
        <w:t xml:space="preserve">. </w:t>
      </w:r>
      <w:r w:rsidR="00FA7C5C">
        <w:rPr>
          <w:rFonts w:ascii="Arial Narrow" w:eastAsia="Calibri" w:hAnsi="Arial Narrow" w:cs="Calibri"/>
          <w:color w:val="000000" w:themeColor="text1"/>
          <w:sz w:val="24"/>
          <w:szCs w:val="24"/>
        </w:rPr>
        <w:t>Ces initiatives devaient permettre de f</w:t>
      </w:r>
      <w:r w:rsidR="00FA7C5C" w:rsidRPr="00FA7C5C">
        <w:rPr>
          <w:rFonts w:ascii="Arial Narrow" w:eastAsia="Calibri" w:hAnsi="Arial Narrow" w:cs="Calibri"/>
          <w:color w:val="000000" w:themeColor="text1"/>
          <w:sz w:val="24"/>
          <w:szCs w:val="24"/>
        </w:rPr>
        <w:t>aire passer la proportion des besoins satisfaits en SONU de 11,1% en 2020 à 68% en 2025 ;</w:t>
      </w:r>
      <w:r w:rsidR="00FA7C5C">
        <w:rPr>
          <w:rFonts w:ascii="Arial Narrow" w:eastAsia="Calibri" w:hAnsi="Arial Narrow" w:cs="Calibri"/>
          <w:color w:val="000000" w:themeColor="text1"/>
          <w:sz w:val="24"/>
          <w:szCs w:val="24"/>
        </w:rPr>
        <w:t xml:space="preserve"> a</w:t>
      </w:r>
      <w:r w:rsidR="00FA7C5C" w:rsidRPr="00FA7C5C">
        <w:rPr>
          <w:rFonts w:ascii="Arial Narrow" w:eastAsia="Calibri" w:hAnsi="Arial Narrow" w:cs="Calibri"/>
          <w:color w:val="000000" w:themeColor="text1"/>
          <w:sz w:val="24"/>
          <w:szCs w:val="24"/>
        </w:rPr>
        <w:t>ccroitre la proportion d’accouchements assistés par du personnel de santé qualifié, notamment</w:t>
      </w:r>
      <w:r w:rsidR="00FA7C5C">
        <w:rPr>
          <w:rFonts w:ascii="Arial Narrow" w:eastAsia="Calibri" w:hAnsi="Arial Narrow" w:cs="Calibri"/>
          <w:color w:val="000000" w:themeColor="text1"/>
          <w:sz w:val="24"/>
          <w:szCs w:val="24"/>
        </w:rPr>
        <w:t xml:space="preserve"> </w:t>
      </w:r>
      <w:r w:rsidR="00FA7C5C" w:rsidRPr="00FA7C5C">
        <w:rPr>
          <w:rFonts w:ascii="Arial Narrow" w:eastAsia="Calibri" w:hAnsi="Arial Narrow" w:cs="Calibri"/>
          <w:color w:val="000000" w:themeColor="text1"/>
          <w:sz w:val="24"/>
          <w:szCs w:val="24"/>
        </w:rPr>
        <w:t>de 71,6% en 2016 à 81,8% en 2025 ;</w:t>
      </w:r>
      <w:r w:rsidR="00FA7C5C">
        <w:rPr>
          <w:rFonts w:ascii="Arial Narrow" w:eastAsia="Calibri" w:hAnsi="Arial Narrow" w:cs="Calibri"/>
          <w:color w:val="000000" w:themeColor="text1"/>
          <w:sz w:val="24"/>
          <w:szCs w:val="24"/>
        </w:rPr>
        <w:t xml:space="preserve"> a</w:t>
      </w:r>
      <w:r w:rsidR="00FA7C5C" w:rsidRPr="00FA7C5C">
        <w:rPr>
          <w:rFonts w:ascii="Arial Narrow" w:eastAsia="Calibri" w:hAnsi="Arial Narrow" w:cs="Calibri"/>
          <w:color w:val="000000" w:themeColor="text1"/>
          <w:sz w:val="24"/>
          <w:szCs w:val="24"/>
        </w:rPr>
        <w:t>ccroitre le pourcentage des femmes enceintes ayant suivi au moins 4 CPN de 51,3% en 2020</w:t>
      </w:r>
      <w:r w:rsidR="00FA7C5C">
        <w:rPr>
          <w:rFonts w:ascii="Arial Narrow" w:eastAsia="Calibri" w:hAnsi="Arial Narrow" w:cs="Calibri"/>
          <w:color w:val="000000" w:themeColor="text1"/>
          <w:sz w:val="24"/>
          <w:szCs w:val="24"/>
        </w:rPr>
        <w:t xml:space="preserve"> </w:t>
      </w:r>
      <w:r w:rsidR="00FA7C5C" w:rsidRPr="00FA7C5C">
        <w:rPr>
          <w:rFonts w:ascii="Arial Narrow" w:eastAsia="Calibri" w:hAnsi="Arial Narrow" w:cs="Calibri"/>
          <w:color w:val="000000" w:themeColor="text1"/>
          <w:sz w:val="24"/>
          <w:szCs w:val="24"/>
        </w:rPr>
        <w:t xml:space="preserve">à 63,15% en 2025 </w:t>
      </w:r>
      <w:r w:rsidR="00FA7C5C">
        <w:rPr>
          <w:rFonts w:ascii="Arial Narrow" w:eastAsia="Calibri" w:hAnsi="Arial Narrow" w:cs="Calibri"/>
          <w:color w:val="000000" w:themeColor="text1"/>
          <w:sz w:val="24"/>
          <w:szCs w:val="24"/>
        </w:rPr>
        <w:t>et a</w:t>
      </w:r>
      <w:r w:rsidR="00FA7C5C" w:rsidRPr="00FA7C5C">
        <w:rPr>
          <w:rFonts w:ascii="Arial Narrow" w:eastAsia="Calibri" w:hAnsi="Arial Narrow" w:cs="Calibri"/>
          <w:color w:val="000000" w:themeColor="text1"/>
          <w:sz w:val="24"/>
          <w:szCs w:val="24"/>
        </w:rPr>
        <w:t>ccroître la prévalence contraceptive chez les femmes en âge de procréer de 21% en 2020 à</w:t>
      </w:r>
      <w:r w:rsidR="00FA7C5C">
        <w:rPr>
          <w:rFonts w:ascii="Arial Narrow" w:eastAsia="Calibri" w:hAnsi="Arial Narrow" w:cs="Calibri"/>
          <w:color w:val="000000" w:themeColor="text1"/>
          <w:sz w:val="24"/>
          <w:szCs w:val="24"/>
        </w:rPr>
        <w:t xml:space="preserve"> </w:t>
      </w:r>
      <w:r w:rsidR="00FA7C5C" w:rsidRPr="00FA7C5C">
        <w:rPr>
          <w:rFonts w:ascii="Arial Narrow" w:eastAsia="Calibri" w:hAnsi="Arial Narrow" w:cs="Calibri"/>
          <w:color w:val="000000" w:themeColor="text1"/>
          <w:sz w:val="24"/>
          <w:szCs w:val="24"/>
        </w:rPr>
        <w:t>40,5% en 2025</w:t>
      </w:r>
      <w:r w:rsidR="00FA7C5C">
        <w:rPr>
          <w:rFonts w:ascii="Arial Narrow" w:eastAsia="Calibri" w:hAnsi="Arial Narrow" w:cs="Calibri"/>
          <w:color w:val="000000" w:themeColor="text1"/>
          <w:sz w:val="24"/>
          <w:szCs w:val="24"/>
        </w:rPr>
        <w:t>.</w:t>
      </w:r>
    </w:p>
    <w:p w14:paraId="7A2E990B" w14:textId="77777777" w:rsidR="00117F66" w:rsidRPr="00FA7C5C" w:rsidRDefault="00117F66" w:rsidP="00FA7C5C">
      <w:pPr>
        <w:jc w:val="both"/>
        <w:rPr>
          <w:rFonts w:ascii="Arial Narrow" w:eastAsia="Calibri" w:hAnsi="Arial Narrow" w:cs="Calibri"/>
          <w:color w:val="000000" w:themeColor="text1"/>
          <w:sz w:val="24"/>
          <w:szCs w:val="24"/>
        </w:rPr>
      </w:pPr>
    </w:p>
    <w:p w14:paraId="4D50E5D2" w14:textId="3A03C6D7" w:rsidR="2DBC241D" w:rsidRPr="007E7C5B" w:rsidRDefault="2DBC241D" w:rsidP="00761F55">
      <w:pPr>
        <w:jc w:val="both"/>
        <w:rPr>
          <w:rFonts w:ascii="Arial Narrow" w:hAnsi="Arial Narrow" w:cs="Arial"/>
          <w:sz w:val="24"/>
          <w:szCs w:val="24"/>
        </w:rPr>
      </w:pPr>
      <w:r w:rsidRPr="007E7C5B">
        <w:rPr>
          <w:rFonts w:ascii="Arial Narrow" w:eastAsia="Calibri" w:hAnsi="Arial Narrow" w:cs="Calibri"/>
          <w:b/>
          <w:bCs/>
          <w:color w:val="000000" w:themeColor="text1"/>
          <w:sz w:val="24"/>
          <w:szCs w:val="24"/>
        </w:rPr>
        <w:t>S'agissant du r</w:t>
      </w:r>
      <w:r w:rsidRPr="007E7C5B">
        <w:rPr>
          <w:rFonts w:ascii="Arial Narrow" w:eastAsia="Calibri" w:hAnsi="Arial Narrow" w:cs="Calibri"/>
          <w:b/>
          <w:bCs/>
          <w:sz w:val="24"/>
          <w:szCs w:val="24"/>
        </w:rPr>
        <w:t>enforcement de l'offre de service de santé de la mère</w:t>
      </w:r>
      <w:r w:rsidR="0A97093A" w:rsidRPr="007E7C5B">
        <w:rPr>
          <w:rFonts w:ascii="Arial Narrow" w:eastAsia="Calibri" w:hAnsi="Arial Narrow" w:cs="Calibri"/>
          <w:b/>
          <w:bCs/>
          <w:sz w:val="24"/>
          <w:szCs w:val="24"/>
        </w:rPr>
        <w:t>,</w:t>
      </w:r>
      <w:r w:rsidR="60EB4EA6" w:rsidRPr="007E7C5B">
        <w:rPr>
          <w:rFonts w:ascii="Arial Narrow" w:eastAsia="Calibri" w:hAnsi="Arial Narrow" w:cs="Calibri"/>
          <w:sz w:val="24"/>
          <w:szCs w:val="24"/>
        </w:rPr>
        <w:t xml:space="preserve"> </w:t>
      </w:r>
      <w:r w:rsidR="005466DF" w:rsidRPr="007E7C5B" w:rsidDel="001C3B16">
        <w:rPr>
          <w:rFonts w:ascii="Arial Narrow" w:eastAsia="Calibri" w:hAnsi="Arial Narrow" w:cs="Calibri"/>
          <w:sz w:val="24"/>
          <w:szCs w:val="24"/>
        </w:rPr>
        <w:t xml:space="preserve">le </w:t>
      </w:r>
      <w:r w:rsidR="34375804" w:rsidRPr="007E7C5B">
        <w:rPr>
          <w:rFonts w:ascii="Arial Narrow" w:eastAsia="Calibri" w:hAnsi="Arial Narrow" w:cs="Calibri"/>
          <w:sz w:val="24"/>
          <w:szCs w:val="24"/>
        </w:rPr>
        <w:t xml:space="preserve">MSHPCMU a entrepris des </w:t>
      </w:r>
      <w:r w:rsidR="0093252B" w:rsidRPr="007E7C5B">
        <w:rPr>
          <w:rFonts w:ascii="Arial Narrow" w:eastAsia="Calibri" w:hAnsi="Arial Narrow" w:cs="Calibri"/>
          <w:sz w:val="24"/>
          <w:szCs w:val="24"/>
        </w:rPr>
        <w:t xml:space="preserve">projets </w:t>
      </w:r>
      <w:r w:rsidR="34375804" w:rsidRPr="007E7C5B">
        <w:rPr>
          <w:rFonts w:ascii="Arial Narrow" w:eastAsia="Calibri" w:hAnsi="Arial Narrow" w:cs="Calibri"/>
          <w:sz w:val="24"/>
          <w:szCs w:val="24"/>
        </w:rPr>
        <w:t xml:space="preserve">de construction et </w:t>
      </w:r>
      <w:r w:rsidR="00035E6E" w:rsidRPr="007E7C5B">
        <w:rPr>
          <w:rFonts w:ascii="Arial Narrow" w:eastAsia="Calibri" w:hAnsi="Arial Narrow" w:cs="Calibri"/>
          <w:sz w:val="24"/>
          <w:szCs w:val="24"/>
        </w:rPr>
        <w:t>d’</w:t>
      </w:r>
      <w:r w:rsidR="34375804" w:rsidRPr="007E7C5B">
        <w:rPr>
          <w:rFonts w:ascii="Arial Narrow" w:eastAsia="Calibri" w:hAnsi="Arial Narrow" w:cs="Calibri"/>
          <w:sz w:val="24"/>
          <w:szCs w:val="24"/>
        </w:rPr>
        <w:t>équipements des établissements de santé</w:t>
      </w:r>
      <w:r w:rsidR="00035E6E" w:rsidRPr="007E7C5B">
        <w:rPr>
          <w:rFonts w:ascii="Arial Narrow" w:eastAsia="Calibri" w:hAnsi="Arial Narrow" w:cs="Calibri"/>
          <w:sz w:val="24"/>
          <w:szCs w:val="24"/>
        </w:rPr>
        <w:t>,</w:t>
      </w:r>
      <w:r w:rsidR="34375804" w:rsidRPr="007E7C5B">
        <w:rPr>
          <w:rFonts w:ascii="Arial Narrow" w:eastAsia="Calibri" w:hAnsi="Arial Narrow" w:cs="Calibri"/>
          <w:sz w:val="24"/>
          <w:szCs w:val="24"/>
        </w:rPr>
        <w:t xml:space="preserve"> ainsi que le renforcement des capacités</w:t>
      </w:r>
      <w:r w:rsidR="00035E6E" w:rsidRPr="007E7C5B">
        <w:rPr>
          <w:rFonts w:ascii="Arial Narrow" w:eastAsia="Calibri" w:hAnsi="Arial Narrow" w:cs="Calibri"/>
          <w:sz w:val="24"/>
          <w:szCs w:val="24"/>
        </w:rPr>
        <w:t xml:space="preserve"> des prestataires</w:t>
      </w:r>
      <w:r w:rsidR="34375804" w:rsidRPr="007E7C5B">
        <w:rPr>
          <w:rFonts w:ascii="Arial Narrow" w:eastAsia="Calibri" w:hAnsi="Arial Narrow" w:cs="Calibri"/>
          <w:sz w:val="24"/>
          <w:szCs w:val="24"/>
        </w:rPr>
        <w:t xml:space="preserve">. </w:t>
      </w:r>
      <w:r w:rsidR="005F3ACC" w:rsidRPr="007E7C5B">
        <w:rPr>
          <w:rFonts w:ascii="Arial Narrow" w:eastAsia="Calibri" w:hAnsi="Arial Narrow" w:cs="Calibri"/>
          <w:sz w:val="24"/>
          <w:szCs w:val="24"/>
        </w:rPr>
        <w:t>Ainsi,</w:t>
      </w:r>
      <w:r w:rsidR="006C53A6" w:rsidRPr="006C53A6">
        <w:rPr>
          <w:color w:val="000000"/>
          <w:sz w:val="27"/>
          <w:szCs w:val="27"/>
        </w:rPr>
        <w:t xml:space="preserve"> </w:t>
      </w:r>
      <w:r w:rsidR="006C53A6">
        <w:rPr>
          <w:rFonts w:ascii="Arial Narrow" w:eastAsia="Calibri" w:hAnsi="Arial Narrow" w:cs="Calibri"/>
          <w:sz w:val="24"/>
          <w:szCs w:val="24"/>
        </w:rPr>
        <w:t>on note</w:t>
      </w:r>
      <w:r w:rsidR="006C53A6" w:rsidRPr="006C53A6">
        <w:rPr>
          <w:rFonts w:ascii="Arial Narrow" w:eastAsia="Calibri" w:hAnsi="Arial Narrow" w:cs="Calibri"/>
          <w:sz w:val="24"/>
          <w:szCs w:val="24"/>
        </w:rPr>
        <w:t xml:space="preserve"> </w:t>
      </w:r>
      <w:r w:rsidR="006C53A6">
        <w:rPr>
          <w:rFonts w:ascii="Arial Narrow" w:eastAsia="Calibri" w:hAnsi="Arial Narrow" w:cs="Calibri"/>
          <w:sz w:val="24"/>
          <w:szCs w:val="24"/>
        </w:rPr>
        <w:t xml:space="preserve">la </w:t>
      </w:r>
      <w:r w:rsidR="006C53A6" w:rsidRPr="006C53A6">
        <w:rPr>
          <w:rFonts w:ascii="Arial Narrow" w:eastAsia="Calibri" w:hAnsi="Arial Narrow" w:cs="Calibri"/>
          <w:sz w:val="24"/>
          <w:szCs w:val="24"/>
        </w:rPr>
        <w:t xml:space="preserve">mise en place des Pôles et Réseaux Régionaux SONU pour la prise en charge de proximité </w:t>
      </w:r>
      <w:r w:rsidR="006C53A6">
        <w:rPr>
          <w:rFonts w:ascii="Arial Narrow" w:eastAsia="Calibri" w:hAnsi="Arial Narrow" w:cs="Calibri"/>
          <w:sz w:val="24"/>
          <w:szCs w:val="24"/>
        </w:rPr>
        <w:t>avec la c</w:t>
      </w:r>
      <w:r w:rsidR="006C53A6" w:rsidRPr="006C53A6">
        <w:rPr>
          <w:rFonts w:ascii="Arial Narrow" w:eastAsia="Calibri" w:hAnsi="Arial Narrow" w:cs="Calibri"/>
          <w:sz w:val="24"/>
          <w:szCs w:val="24"/>
        </w:rPr>
        <w:t>onstruction de 48 maternités SONUC</w:t>
      </w:r>
      <w:r w:rsidR="3F31219D" w:rsidRPr="00272529">
        <w:rPr>
          <w:rFonts w:ascii="Arial Narrow" w:eastAsia="Times New Roman" w:hAnsi="Arial Narrow" w:cs="Times New Roman"/>
          <w:sz w:val="24"/>
          <w:szCs w:val="24"/>
          <w:lang w:eastAsia="fr-CI"/>
        </w:rPr>
        <w:t>,</w:t>
      </w:r>
      <w:r w:rsidR="60EB4EA6" w:rsidRPr="00272529">
        <w:rPr>
          <w:rFonts w:ascii="Arial Narrow" w:hAnsi="Arial Narrow" w:cs="Arial"/>
          <w:sz w:val="24"/>
          <w:szCs w:val="24"/>
        </w:rPr>
        <w:t xml:space="preserve"> </w:t>
      </w:r>
      <w:r w:rsidR="19A28900" w:rsidRPr="00272529">
        <w:rPr>
          <w:rFonts w:ascii="Arial Narrow" w:hAnsi="Arial Narrow" w:cs="Arial"/>
          <w:sz w:val="24"/>
          <w:szCs w:val="24"/>
        </w:rPr>
        <w:t>la c</w:t>
      </w:r>
      <w:r w:rsidR="19A28900" w:rsidRPr="00272529">
        <w:rPr>
          <w:rFonts w:ascii="Arial Narrow" w:hAnsi="Arial Narrow" w:cs="TimesNewRomanPSMT"/>
          <w:sz w:val="24"/>
          <w:szCs w:val="24"/>
        </w:rPr>
        <w:t xml:space="preserve">onstruction et </w:t>
      </w:r>
      <w:r w:rsidR="00466A5E" w:rsidRPr="00272529">
        <w:rPr>
          <w:rFonts w:ascii="Arial Narrow" w:hAnsi="Arial Narrow" w:cs="TimesNewRomanPSMT"/>
          <w:sz w:val="24"/>
          <w:szCs w:val="24"/>
        </w:rPr>
        <w:t>l’</w:t>
      </w:r>
      <w:r w:rsidR="19A28900" w:rsidRPr="00272529">
        <w:rPr>
          <w:rFonts w:ascii="Arial Narrow" w:hAnsi="Arial Narrow" w:cs="TimesNewRomanPSMT"/>
          <w:sz w:val="24"/>
          <w:szCs w:val="24"/>
        </w:rPr>
        <w:t xml:space="preserve">équipement de 26 maternités disposant de blocs </w:t>
      </w:r>
      <w:r w:rsidR="197A5388" w:rsidRPr="00272529">
        <w:rPr>
          <w:rFonts w:ascii="Arial Narrow" w:hAnsi="Arial Narrow" w:cs="TimesNewRomanPSMT"/>
          <w:sz w:val="24"/>
          <w:szCs w:val="24"/>
        </w:rPr>
        <w:t>opératoires</w:t>
      </w:r>
      <w:r w:rsidR="60EB4EA6" w:rsidRPr="00272529">
        <w:rPr>
          <w:rFonts w:ascii="Arial Narrow" w:hAnsi="Arial Narrow" w:cs="TimesNewRomanPSMT"/>
          <w:sz w:val="24"/>
          <w:szCs w:val="24"/>
        </w:rPr>
        <w:t>,</w:t>
      </w:r>
      <w:r w:rsidR="60EB4EA6" w:rsidRPr="00272529">
        <w:rPr>
          <w:rFonts w:ascii="Arial Narrow" w:hAnsi="Arial Narrow" w:cs="Arial"/>
          <w:sz w:val="24"/>
          <w:szCs w:val="24"/>
        </w:rPr>
        <w:t xml:space="preserve"> </w:t>
      </w:r>
      <w:r w:rsidR="00AB4C16" w:rsidRPr="00272529">
        <w:rPr>
          <w:rFonts w:ascii="Arial Narrow" w:hAnsi="Arial Narrow" w:cs="Arial"/>
          <w:sz w:val="24"/>
          <w:szCs w:val="24"/>
        </w:rPr>
        <w:t xml:space="preserve">ainsi que </w:t>
      </w:r>
      <w:r w:rsidR="60EB4EA6" w:rsidRPr="00272529">
        <w:rPr>
          <w:rFonts w:ascii="Arial Narrow" w:hAnsi="Arial Narrow" w:cs="Arial"/>
          <w:sz w:val="24"/>
          <w:szCs w:val="24"/>
        </w:rPr>
        <w:t>la fourniture d’équipement et</w:t>
      </w:r>
      <w:r w:rsidR="00466A5E" w:rsidRPr="00272529">
        <w:rPr>
          <w:rFonts w:ascii="Arial Narrow" w:hAnsi="Arial Narrow" w:cs="Arial"/>
          <w:sz w:val="24"/>
          <w:szCs w:val="24"/>
        </w:rPr>
        <w:t xml:space="preserve"> de</w:t>
      </w:r>
      <w:r w:rsidR="60EB4EA6" w:rsidRPr="00272529">
        <w:rPr>
          <w:rFonts w:ascii="Arial Narrow" w:hAnsi="Arial Narrow" w:cs="Arial"/>
          <w:sz w:val="24"/>
          <w:szCs w:val="24"/>
        </w:rPr>
        <w:t xml:space="preserve"> matériel d</w:t>
      </w:r>
      <w:r w:rsidR="00BF029B" w:rsidRPr="00272529">
        <w:rPr>
          <w:rFonts w:ascii="Arial Narrow" w:hAnsi="Arial Narrow" w:cs="Arial"/>
          <w:sz w:val="24"/>
          <w:szCs w:val="24"/>
        </w:rPr>
        <w:t>ans</w:t>
      </w:r>
      <w:r w:rsidR="60EB4EA6" w:rsidRPr="00272529">
        <w:rPr>
          <w:rFonts w:ascii="Arial Narrow" w:hAnsi="Arial Narrow" w:cs="Arial"/>
          <w:sz w:val="24"/>
          <w:szCs w:val="24"/>
        </w:rPr>
        <w:t xml:space="preserve"> 22 structures</w:t>
      </w:r>
      <w:r w:rsidR="60EB4EA6" w:rsidRPr="007E7C5B">
        <w:rPr>
          <w:rFonts w:ascii="Arial Narrow" w:hAnsi="Arial Narrow" w:cs="Arial"/>
          <w:sz w:val="24"/>
          <w:szCs w:val="24"/>
        </w:rPr>
        <w:t xml:space="preserve"> (21 ESPC et 1 HG)</w:t>
      </w:r>
      <w:r w:rsidR="757BC146" w:rsidRPr="007E7C5B">
        <w:rPr>
          <w:rFonts w:ascii="Arial Narrow" w:hAnsi="Arial Narrow" w:cs="Arial"/>
          <w:sz w:val="24"/>
          <w:szCs w:val="24"/>
        </w:rPr>
        <w:t>. Au titre de la gratuité ciblée,</w:t>
      </w:r>
      <w:r w:rsidR="41B23897" w:rsidRPr="007E7C5B">
        <w:rPr>
          <w:rFonts w:ascii="Arial Narrow" w:hAnsi="Arial Narrow" w:cs="Arial"/>
          <w:sz w:val="24"/>
          <w:szCs w:val="24"/>
        </w:rPr>
        <w:t xml:space="preserve"> on note la distribution de </w:t>
      </w:r>
      <w:r w:rsidR="60EB4EA6" w:rsidRPr="007E7C5B">
        <w:rPr>
          <w:rFonts w:ascii="Arial Narrow" w:hAnsi="Arial Narrow" w:cs="Arial"/>
          <w:sz w:val="24"/>
          <w:szCs w:val="24"/>
          <w:lang w:val="fr-CI"/>
        </w:rPr>
        <w:t xml:space="preserve">419 621 kits d'accouchement et 47 310 kits de césarienne </w:t>
      </w:r>
      <w:r w:rsidR="60EB4EA6" w:rsidRPr="007E7C5B">
        <w:rPr>
          <w:rFonts w:ascii="Arial Narrow" w:hAnsi="Arial Narrow" w:cs="Arial"/>
          <w:sz w:val="24"/>
          <w:szCs w:val="24"/>
        </w:rPr>
        <w:t>en</w:t>
      </w:r>
      <w:r w:rsidR="60EB4EA6" w:rsidRPr="007E7C5B">
        <w:rPr>
          <w:rFonts w:ascii="Arial Narrow" w:hAnsi="Arial Narrow" w:cs="Arial"/>
          <w:sz w:val="24"/>
          <w:szCs w:val="24"/>
          <w:lang w:val="fr-CI"/>
        </w:rPr>
        <w:t xml:space="preserve"> moyenne par an</w:t>
      </w:r>
      <w:r w:rsidR="6271364D" w:rsidRPr="007E7C5B">
        <w:rPr>
          <w:rFonts w:ascii="Arial Narrow" w:hAnsi="Arial Narrow" w:cs="Arial"/>
          <w:sz w:val="24"/>
          <w:szCs w:val="24"/>
          <w:lang w:val="fr-CI"/>
        </w:rPr>
        <w:t>.</w:t>
      </w:r>
      <w:r w:rsidR="00C22492" w:rsidRPr="007E7C5B">
        <w:rPr>
          <w:rFonts w:ascii="Arial Narrow" w:hAnsi="Arial Narrow" w:cs="Arial"/>
          <w:sz w:val="24"/>
          <w:szCs w:val="24"/>
          <w:lang w:val="fr-CI"/>
        </w:rPr>
        <w:t xml:space="preserve"> </w:t>
      </w:r>
    </w:p>
    <w:p w14:paraId="053577EF" w14:textId="205301FF" w:rsidR="792BB393" w:rsidRPr="007E7C5B" w:rsidRDefault="5F11975F" w:rsidP="00761F55">
      <w:pPr>
        <w:jc w:val="both"/>
        <w:rPr>
          <w:rFonts w:ascii="Arial Narrow" w:hAnsi="Arial Narrow" w:cs="Arial"/>
          <w:sz w:val="24"/>
          <w:szCs w:val="24"/>
        </w:rPr>
      </w:pPr>
      <w:r w:rsidRPr="007E7C5B">
        <w:rPr>
          <w:rFonts w:ascii="Arial Narrow" w:hAnsi="Arial Narrow" w:cs="Arial"/>
          <w:sz w:val="24"/>
          <w:szCs w:val="24"/>
          <w:lang w:val="fr-CI"/>
        </w:rPr>
        <w:t>En plus des</w:t>
      </w:r>
      <w:r w:rsidRPr="007E7C5B" w:rsidDel="004C3CD9">
        <w:rPr>
          <w:rFonts w:ascii="Arial Narrow" w:hAnsi="Arial Narrow" w:cs="Arial"/>
          <w:sz w:val="24"/>
          <w:szCs w:val="24"/>
          <w:lang w:val="fr-CI"/>
        </w:rPr>
        <w:t xml:space="preserve"> </w:t>
      </w:r>
      <w:r w:rsidR="004C3CD9" w:rsidRPr="007E7C5B">
        <w:rPr>
          <w:rFonts w:ascii="Arial Narrow" w:hAnsi="Arial Narrow" w:cs="Arial"/>
          <w:sz w:val="24"/>
          <w:szCs w:val="24"/>
          <w:lang w:val="fr-CI"/>
        </w:rPr>
        <w:t xml:space="preserve">interventions </w:t>
      </w:r>
      <w:r w:rsidRPr="007E7C5B">
        <w:rPr>
          <w:rFonts w:ascii="Arial Narrow" w:hAnsi="Arial Narrow" w:cs="Arial"/>
          <w:sz w:val="24"/>
          <w:szCs w:val="24"/>
          <w:lang w:val="fr-CI"/>
        </w:rPr>
        <w:t xml:space="preserve">citées plus haut, le ministère s’est engagé dans un programme de renforcement des </w:t>
      </w:r>
      <w:r w:rsidR="6C6A919C" w:rsidRPr="007E7C5B">
        <w:rPr>
          <w:rFonts w:ascii="Arial Narrow" w:hAnsi="Arial Narrow" w:cs="Arial"/>
          <w:sz w:val="24"/>
          <w:szCs w:val="24"/>
          <w:lang w:val="fr-CI"/>
        </w:rPr>
        <w:t>capacités</w:t>
      </w:r>
      <w:r w:rsidR="30B1D10E" w:rsidRPr="007E7C5B">
        <w:rPr>
          <w:rFonts w:ascii="Arial Narrow" w:hAnsi="Arial Narrow" w:cs="Arial"/>
          <w:sz w:val="24"/>
          <w:szCs w:val="24"/>
          <w:lang w:val="fr-CI"/>
        </w:rPr>
        <w:t xml:space="preserve"> des prestataires</w:t>
      </w:r>
      <w:r w:rsidR="0331D9AE" w:rsidRPr="007E7C5B">
        <w:rPr>
          <w:rFonts w:ascii="Arial Narrow" w:hAnsi="Arial Narrow" w:cs="Arial"/>
          <w:sz w:val="24"/>
          <w:szCs w:val="24"/>
          <w:lang w:val="fr-CI"/>
        </w:rPr>
        <w:t>.</w:t>
      </w:r>
      <w:r w:rsidR="52FEB1DA" w:rsidRPr="007E7C5B">
        <w:rPr>
          <w:rFonts w:ascii="Arial Narrow" w:hAnsi="Arial Narrow" w:cs="Arial"/>
          <w:sz w:val="24"/>
          <w:szCs w:val="24"/>
          <w:lang w:val="fr-CI"/>
        </w:rPr>
        <w:t xml:space="preserve"> </w:t>
      </w:r>
      <w:r w:rsidR="7450199C" w:rsidRPr="007E7C5B">
        <w:rPr>
          <w:rFonts w:ascii="Arial Narrow" w:hAnsi="Arial Narrow" w:cs="Arial"/>
          <w:sz w:val="24"/>
          <w:szCs w:val="24"/>
          <w:lang w:val="fr-CI"/>
        </w:rPr>
        <w:t>Ces actions sont entre</w:t>
      </w:r>
      <w:r w:rsidR="52FEB1DA" w:rsidRPr="007E7C5B">
        <w:rPr>
          <w:rFonts w:ascii="Arial Narrow" w:hAnsi="Arial Narrow" w:cs="Arial"/>
          <w:sz w:val="24"/>
          <w:szCs w:val="24"/>
          <w:lang w:val="fr-CI"/>
        </w:rPr>
        <w:t xml:space="preserve"> </w:t>
      </w:r>
      <w:r w:rsidR="7450199C" w:rsidRPr="007E7C5B">
        <w:rPr>
          <w:rFonts w:ascii="Arial Narrow" w:hAnsi="Arial Narrow" w:cs="Arial"/>
          <w:sz w:val="24"/>
          <w:szCs w:val="24"/>
          <w:lang w:val="fr-CI"/>
        </w:rPr>
        <w:t>autres :</w:t>
      </w:r>
      <w:r w:rsidR="00391D73" w:rsidRPr="00391D73">
        <w:rPr>
          <w:color w:val="000000"/>
          <w:sz w:val="27"/>
          <w:szCs w:val="27"/>
        </w:rPr>
        <w:t xml:space="preserve"> </w:t>
      </w:r>
      <w:r w:rsidR="00391D73">
        <w:rPr>
          <w:rFonts w:ascii="Arial Narrow" w:hAnsi="Arial Narrow" w:cs="Arial"/>
          <w:sz w:val="24"/>
          <w:szCs w:val="24"/>
        </w:rPr>
        <w:t xml:space="preserve">(i) </w:t>
      </w:r>
      <w:r w:rsidR="00FF2546">
        <w:rPr>
          <w:rFonts w:ascii="Arial Narrow" w:hAnsi="Arial Narrow" w:cs="Arial"/>
          <w:sz w:val="24"/>
          <w:szCs w:val="24"/>
        </w:rPr>
        <w:t>le r</w:t>
      </w:r>
      <w:r w:rsidR="00391D73" w:rsidRPr="00391D73">
        <w:rPr>
          <w:rFonts w:ascii="Arial Narrow" w:hAnsi="Arial Narrow" w:cs="Arial"/>
          <w:sz w:val="24"/>
          <w:szCs w:val="24"/>
        </w:rPr>
        <w:t>enforcement de la Surveillance des décès Maternels, Périnatals et Riposte</w:t>
      </w:r>
      <w:r w:rsidR="7450199C" w:rsidRPr="007E7C5B">
        <w:rPr>
          <w:rFonts w:ascii="Arial Narrow" w:hAnsi="Arial Narrow" w:cs="Arial"/>
          <w:sz w:val="24"/>
          <w:szCs w:val="24"/>
          <w:lang w:val="fr-CI"/>
        </w:rPr>
        <w:t xml:space="preserve"> </w:t>
      </w:r>
      <w:r w:rsidR="00AE48F4" w:rsidRPr="00A918AC">
        <w:rPr>
          <w:rFonts w:ascii="Arial Narrow" w:hAnsi="Arial Narrow" w:cs="Arial"/>
          <w:i/>
          <w:sz w:val="24"/>
          <w:szCs w:val="24"/>
          <w:lang w:val="fr-CI"/>
        </w:rPr>
        <w:t>(</w:t>
      </w:r>
      <w:r w:rsidR="2A98D558" w:rsidRPr="00A918AC">
        <w:rPr>
          <w:rFonts w:ascii="Arial Narrow" w:eastAsia="Times New Roman" w:hAnsi="Arial Narrow" w:cs="Times New Roman"/>
          <w:i/>
          <w:sz w:val="24"/>
          <w:szCs w:val="24"/>
          <w:lang w:eastAsia="fr-CI"/>
        </w:rPr>
        <w:t>i</w:t>
      </w:r>
      <w:r w:rsidR="00FF2546">
        <w:rPr>
          <w:rFonts w:ascii="Arial Narrow" w:eastAsia="Times New Roman" w:hAnsi="Arial Narrow" w:cs="Times New Roman"/>
          <w:i/>
          <w:sz w:val="24"/>
          <w:szCs w:val="24"/>
          <w:lang w:eastAsia="fr-CI"/>
        </w:rPr>
        <w:t>i</w:t>
      </w:r>
      <w:r w:rsidR="2A98D558" w:rsidRPr="00A918AC">
        <w:rPr>
          <w:rFonts w:ascii="Arial Narrow" w:eastAsia="Times New Roman" w:hAnsi="Arial Narrow" w:cs="Times New Roman"/>
          <w:i/>
          <w:sz w:val="24"/>
          <w:szCs w:val="24"/>
          <w:lang w:eastAsia="fr-CI"/>
        </w:rPr>
        <w:t>)</w:t>
      </w:r>
      <w:r w:rsidR="2A98D558" w:rsidRPr="007E7C5B">
        <w:rPr>
          <w:rFonts w:ascii="Arial Narrow" w:eastAsia="Times New Roman" w:hAnsi="Arial Narrow" w:cs="Times New Roman"/>
          <w:sz w:val="24"/>
          <w:szCs w:val="24"/>
          <w:lang w:eastAsia="fr-CI"/>
        </w:rPr>
        <w:t xml:space="preserve"> </w:t>
      </w:r>
      <w:r w:rsidR="17E6A4F9" w:rsidRPr="007E7C5B">
        <w:rPr>
          <w:rFonts w:ascii="Arial Narrow" w:eastAsia="Times New Roman" w:hAnsi="Arial Narrow" w:cs="Times New Roman"/>
          <w:sz w:val="24"/>
          <w:szCs w:val="24"/>
          <w:lang w:eastAsia="fr-CI"/>
        </w:rPr>
        <w:t>la</w:t>
      </w:r>
      <w:r w:rsidR="2A98D558" w:rsidRPr="007E7C5B">
        <w:rPr>
          <w:rFonts w:ascii="Arial Narrow" w:eastAsia="Times New Roman" w:hAnsi="Arial Narrow" w:cs="Times New Roman"/>
          <w:sz w:val="24"/>
          <w:szCs w:val="24"/>
          <w:lang w:eastAsia="fr-CI"/>
        </w:rPr>
        <w:t xml:space="preserve"> m</w:t>
      </w:r>
      <w:r w:rsidR="2A98D558" w:rsidRPr="007E7C5B">
        <w:rPr>
          <w:rFonts w:ascii="Arial Narrow" w:hAnsi="Arial Narrow" w:cs="TimesNewRomanPSMT"/>
          <w:sz w:val="24"/>
          <w:szCs w:val="24"/>
        </w:rPr>
        <w:t>ise en place des pools de formateurs dans les 113 districts sanitaires dans le cadre du réseau SONU</w:t>
      </w:r>
      <w:r w:rsidR="00FA7CBD" w:rsidRPr="007E7C5B">
        <w:rPr>
          <w:rFonts w:ascii="Arial Narrow" w:hAnsi="Arial Narrow" w:cs="TimesNewRomanPSMT"/>
          <w:sz w:val="24"/>
          <w:szCs w:val="24"/>
        </w:rPr>
        <w:t xml:space="preserve"> ; </w:t>
      </w:r>
      <w:r w:rsidR="004C3CD9" w:rsidRPr="00A918AC">
        <w:rPr>
          <w:rFonts w:ascii="Arial Narrow" w:hAnsi="Arial Narrow" w:cs="TimesNewRomanPSMT"/>
          <w:i/>
          <w:sz w:val="24"/>
          <w:szCs w:val="24"/>
        </w:rPr>
        <w:t>(</w:t>
      </w:r>
      <w:r w:rsidR="47B3D136" w:rsidRPr="00A918AC">
        <w:rPr>
          <w:rFonts w:ascii="Arial Narrow" w:hAnsi="Arial Narrow" w:cs="TimesNewRomanPSMT"/>
          <w:i/>
          <w:sz w:val="24"/>
          <w:szCs w:val="24"/>
        </w:rPr>
        <w:t>ii</w:t>
      </w:r>
      <w:r w:rsidR="00FF2546">
        <w:rPr>
          <w:rFonts w:ascii="Arial Narrow" w:hAnsi="Arial Narrow" w:cs="TimesNewRomanPSMT"/>
          <w:i/>
          <w:sz w:val="24"/>
          <w:szCs w:val="24"/>
        </w:rPr>
        <w:t>i</w:t>
      </w:r>
      <w:r w:rsidR="47B3D136" w:rsidRPr="00A918AC">
        <w:rPr>
          <w:rFonts w:ascii="Arial Narrow" w:hAnsi="Arial Narrow" w:cs="TimesNewRomanPSMT"/>
          <w:i/>
          <w:sz w:val="24"/>
          <w:szCs w:val="24"/>
        </w:rPr>
        <w:t>)</w:t>
      </w:r>
      <w:r w:rsidR="47B3D136" w:rsidRPr="007E7C5B">
        <w:rPr>
          <w:rFonts w:ascii="Arial Narrow" w:hAnsi="Arial Narrow" w:cs="TimesNewRomanPSMT"/>
          <w:sz w:val="24"/>
          <w:szCs w:val="24"/>
        </w:rPr>
        <w:t xml:space="preserve"> le</w:t>
      </w:r>
      <w:r w:rsidR="2A98D558" w:rsidRPr="007E7C5B">
        <w:rPr>
          <w:rFonts w:ascii="Arial Narrow" w:hAnsi="Arial Narrow" w:cs="Times New Roman"/>
          <w:sz w:val="24"/>
          <w:szCs w:val="24"/>
        </w:rPr>
        <w:t xml:space="preserve"> renforcement des capacités de 8</w:t>
      </w:r>
      <w:r w:rsidR="004A25EB" w:rsidRPr="007E7C5B">
        <w:rPr>
          <w:rFonts w:ascii="Arial Narrow" w:hAnsi="Arial Narrow" w:cs="Times New Roman"/>
          <w:sz w:val="24"/>
          <w:szCs w:val="24"/>
        </w:rPr>
        <w:t xml:space="preserve"> </w:t>
      </w:r>
      <w:r w:rsidR="2A98D558" w:rsidRPr="007E7C5B">
        <w:rPr>
          <w:rFonts w:ascii="Arial Narrow" w:hAnsi="Arial Narrow" w:cs="Times New Roman"/>
          <w:sz w:val="24"/>
          <w:szCs w:val="24"/>
        </w:rPr>
        <w:t>025 S</w:t>
      </w:r>
      <w:r w:rsidR="00192DFD" w:rsidRPr="007E7C5B">
        <w:rPr>
          <w:rFonts w:ascii="Arial Narrow" w:hAnsi="Arial Narrow" w:cs="Times New Roman"/>
          <w:sz w:val="24"/>
          <w:szCs w:val="24"/>
        </w:rPr>
        <w:t xml:space="preserve">ages </w:t>
      </w:r>
      <w:r w:rsidR="2A98D558" w:rsidRPr="007E7C5B">
        <w:rPr>
          <w:rFonts w:ascii="Arial Narrow" w:hAnsi="Arial Narrow" w:cs="Times New Roman"/>
          <w:sz w:val="24"/>
          <w:szCs w:val="24"/>
        </w:rPr>
        <w:t>F</w:t>
      </w:r>
      <w:r w:rsidR="00192DFD" w:rsidRPr="007E7C5B">
        <w:rPr>
          <w:rFonts w:ascii="Arial Narrow" w:hAnsi="Arial Narrow" w:cs="Times New Roman"/>
          <w:sz w:val="24"/>
          <w:szCs w:val="24"/>
        </w:rPr>
        <w:t xml:space="preserve">emmes </w:t>
      </w:r>
      <w:r w:rsidR="2A98D558" w:rsidRPr="007E7C5B">
        <w:rPr>
          <w:rFonts w:ascii="Arial Narrow" w:hAnsi="Arial Narrow" w:cs="Times New Roman"/>
          <w:sz w:val="24"/>
          <w:szCs w:val="24"/>
        </w:rPr>
        <w:t>D</w:t>
      </w:r>
      <w:r w:rsidR="00192DFD" w:rsidRPr="007E7C5B">
        <w:rPr>
          <w:rFonts w:ascii="Arial Narrow" w:hAnsi="Arial Narrow" w:cs="Times New Roman"/>
          <w:sz w:val="24"/>
          <w:szCs w:val="24"/>
        </w:rPr>
        <w:t>iplômées d’</w:t>
      </w:r>
      <w:r w:rsidR="2A98D558" w:rsidRPr="007E7C5B">
        <w:rPr>
          <w:rFonts w:ascii="Arial Narrow" w:hAnsi="Arial Narrow" w:cs="Times New Roman"/>
          <w:sz w:val="24"/>
          <w:szCs w:val="24"/>
        </w:rPr>
        <w:t>E</w:t>
      </w:r>
      <w:r w:rsidR="00192DFD" w:rsidRPr="007E7C5B">
        <w:rPr>
          <w:rFonts w:ascii="Arial Narrow" w:hAnsi="Arial Narrow" w:cs="Times New Roman"/>
          <w:sz w:val="24"/>
          <w:szCs w:val="24"/>
        </w:rPr>
        <w:t>tat (SFDE)</w:t>
      </w:r>
      <w:r w:rsidR="2A98D558" w:rsidRPr="007E7C5B">
        <w:rPr>
          <w:rFonts w:ascii="Arial Narrow" w:hAnsi="Arial Narrow" w:cs="Times New Roman"/>
          <w:sz w:val="24"/>
          <w:szCs w:val="24"/>
        </w:rPr>
        <w:t>, 13</w:t>
      </w:r>
      <w:r w:rsidR="00192DFD" w:rsidRPr="007E7C5B">
        <w:rPr>
          <w:rFonts w:ascii="Arial Narrow" w:hAnsi="Arial Narrow" w:cs="Times New Roman"/>
          <w:sz w:val="24"/>
          <w:szCs w:val="24"/>
        </w:rPr>
        <w:t xml:space="preserve"> </w:t>
      </w:r>
      <w:r w:rsidR="2A98D558" w:rsidRPr="007E7C5B">
        <w:rPr>
          <w:rFonts w:ascii="Arial Narrow" w:hAnsi="Arial Narrow" w:cs="Times New Roman"/>
          <w:sz w:val="24"/>
          <w:szCs w:val="24"/>
        </w:rPr>
        <w:t>541 I</w:t>
      </w:r>
      <w:r w:rsidR="00192DFD" w:rsidRPr="007E7C5B">
        <w:rPr>
          <w:rFonts w:ascii="Arial Narrow" w:hAnsi="Arial Narrow" w:cs="Times New Roman"/>
          <w:sz w:val="24"/>
          <w:szCs w:val="24"/>
        </w:rPr>
        <w:t xml:space="preserve">nfirmiers </w:t>
      </w:r>
      <w:r w:rsidR="2A98D558" w:rsidRPr="007E7C5B">
        <w:rPr>
          <w:rFonts w:ascii="Arial Narrow" w:hAnsi="Arial Narrow" w:cs="Times New Roman"/>
          <w:sz w:val="24"/>
          <w:szCs w:val="24"/>
        </w:rPr>
        <w:t>D</w:t>
      </w:r>
      <w:r w:rsidR="00192DFD" w:rsidRPr="007E7C5B">
        <w:rPr>
          <w:rFonts w:ascii="Arial Narrow" w:hAnsi="Arial Narrow" w:cs="Times New Roman"/>
          <w:sz w:val="24"/>
          <w:szCs w:val="24"/>
        </w:rPr>
        <w:t>iplômés d’</w:t>
      </w:r>
      <w:r w:rsidR="2A98D558" w:rsidRPr="007E7C5B">
        <w:rPr>
          <w:rFonts w:ascii="Arial Narrow" w:hAnsi="Arial Narrow" w:cs="Times New Roman"/>
          <w:sz w:val="24"/>
          <w:szCs w:val="24"/>
        </w:rPr>
        <w:t>E</w:t>
      </w:r>
      <w:r w:rsidR="00192DFD" w:rsidRPr="007E7C5B">
        <w:rPr>
          <w:rFonts w:ascii="Arial Narrow" w:hAnsi="Arial Narrow" w:cs="Times New Roman"/>
          <w:sz w:val="24"/>
          <w:szCs w:val="24"/>
        </w:rPr>
        <w:t>tat (IDE)</w:t>
      </w:r>
      <w:r w:rsidR="2A98D558" w:rsidRPr="007E7C5B">
        <w:rPr>
          <w:rFonts w:ascii="Arial Narrow" w:hAnsi="Arial Narrow" w:cs="Times New Roman"/>
          <w:sz w:val="24"/>
          <w:szCs w:val="24"/>
        </w:rPr>
        <w:t xml:space="preserve"> en module SONU</w:t>
      </w:r>
      <w:r w:rsidR="006E19F5" w:rsidRPr="007E7C5B">
        <w:rPr>
          <w:rFonts w:ascii="Arial Narrow" w:hAnsi="Arial Narrow" w:cs="Times New Roman"/>
          <w:sz w:val="24"/>
          <w:szCs w:val="24"/>
        </w:rPr>
        <w:t>,</w:t>
      </w:r>
      <w:r w:rsidR="2A98D558" w:rsidRPr="007E7C5B">
        <w:rPr>
          <w:rFonts w:ascii="Arial Narrow" w:hAnsi="Arial Narrow" w:cs="Times New Roman"/>
          <w:sz w:val="24"/>
          <w:szCs w:val="24"/>
        </w:rPr>
        <w:t xml:space="preserve"> en accueil</w:t>
      </w:r>
      <w:r w:rsidR="008E5D24" w:rsidRPr="007E7C5B">
        <w:rPr>
          <w:rFonts w:ascii="Arial Narrow" w:hAnsi="Arial Narrow" w:cs="Times New Roman"/>
          <w:sz w:val="24"/>
          <w:szCs w:val="24"/>
        </w:rPr>
        <w:t xml:space="preserve"> et </w:t>
      </w:r>
      <w:r w:rsidR="2A98D558" w:rsidRPr="007E7C5B">
        <w:rPr>
          <w:rFonts w:ascii="Arial Narrow" w:hAnsi="Arial Narrow" w:cs="Times New Roman"/>
          <w:sz w:val="24"/>
          <w:szCs w:val="24"/>
        </w:rPr>
        <w:t>en soins respectueux</w:t>
      </w:r>
      <w:r w:rsidR="008E5D24" w:rsidRPr="007E7C5B">
        <w:rPr>
          <w:rFonts w:ascii="Arial Narrow" w:hAnsi="Arial Narrow" w:cs="Times New Roman"/>
          <w:sz w:val="24"/>
          <w:szCs w:val="24"/>
        </w:rPr>
        <w:t xml:space="preserve"> en mode</w:t>
      </w:r>
      <w:r w:rsidR="2A98D558" w:rsidRPr="007E7C5B">
        <w:rPr>
          <w:rFonts w:ascii="Arial Narrow" w:hAnsi="Arial Narrow" w:cs="Times New Roman"/>
          <w:sz w:val="24"/>
          <w:szCs w:val="24"/>
        </w:rPr>
        <w:t xml:space="preserve"> e-learning</w:t>
      </w:r>
      <w:r w:rsidR="00FA7CBD" w:rsidRPr="007E7C5B">
        <w:rPr>
          <w:rFonts w:ascii="Arial Narrow" w:hAnsi="Arial Narrow" w:cs="Times New Roman"/>
          <w:sz w:val="24"/>
          <w:szCs w:val="24"/>
        </w:rPr>
        <w:t> ;</w:t>
      </w:r>
      <w:r w:rsidR="3AB22DF8" w:rsidRPr="007E7C5B">
        <w:rPr>
          <w:rFonts w:ascii="Arial Narrow" w:hAnsi="Arial Narrow" w:cs="Times New Roman"/>
          <w:sz w:val="24"/>
          <w:szCs w:val="24"/>
        </w:rPr>
        <w:t xml:space="preserve"> </w:t>
      </w:r>
      <w:r w:rsidR="004C3CD9" w:rsidRPr="00A918AC">
        <w:rPr>
          <w:rFonts w:ascii="Arial Narrow" w:hAnsi="Arial Narrow" w:cs="Times New Roman"/>
          <w:i/>
          <w:sz w:val="24"/>
          <w:szCs w:val="24"/>
        </w:rPr>
        <w:t>(</w:t>
      </w:r>
      <w:r w:rsidR="3AB22DF8" w:rsidRPr="00A918AC">
        <w:rPr>
          <w:rFonts w:ascii="Arial Narrow" w:hAnsi="Arial Narrow" w:cs="Times New Roman"/>
          <w:i/>
          <w:sz w:val="24"/>
          <w:szCs w:val="24"/>
        </w:rPr>
        <w:t>i</w:t>
      </w:r>
      <w:r w:rsidR="00FF2546">
        <w:rPr>
          <w:rFonts w:ascii="Arial Narrow" w:hAnsi="Arial Narrow" w:cs="Times New Roman"/>
          <w:i/>
          <w:sz w:val="24"/>
          <w:szCs w:val="24"/>
        </w:rPr>
        <w:t>v</w:t>
      </w:r>
      <w:r w:rsidR="3AB22DF8" w:rsidRPr="00A918AC">
        <w:rPr>
          <w:rFonts w:ascii="Arial Narrow" w:hAnsi="Arial Narrow" w:cs="Times New Roman"/>
          <w:i/>
          <w:sz w:val="24"/>
          <w:szCs w:val="24"/>
        </w:rPr>
        <w:t>)</w:t>
      </w:r>
      <w:r w:rsidR="2CDBB080" w:rsidRPr="007E7C5B">
        <w:rPr>
          <w:rFonts w:ascii="Arial Narrow" w:hAnsi="Arial Narrow" w:cs="Arial"/>
          <w:sz w:val="24"/>
          <w:szCs w:val="24"/>
        </w:rPr>
        <w:t xml:space="preserve"> </w:t>
      </w:r>
      <w:r w:rsidR="77CFEFAA" w:rsidRPr="007E7C5B">
        <w:rPr>
          <w:rFonts w:ascii="Arial Narrow" w:hAnsi="Arial Narrow" w:cs="Arial"/>
          <w:sz w:val="24"/>
          <w:szCs w:val="24"/>
        </w:rPr>
        <w:t xml:space="preserve">la formation de </w:t>
      </w:r>
      <w:r w:rsidR="2CDBB080" w:rsidRPr="007E7C5B">
        <w:rPr>
          <w:rFonts w:ascii="Arial Narrow" w:eastAsia="Times New Roman" w:hAnsi="Arial Narrow" w:cs="Arial"/>
          <w:sz w:val="24"/>
          <w:szCs w:val="24"/>
          <w:lang w:eastAsia="fr-CI"/>
        </w:rPr>
        <w:t>16 formateurs nationaux sur la surveillance des décès maternels</w:t>
      </w:r>
      <w:r w:rsidR="00492732" w:rsidRPr="007E7C5B">
        <w:rPr>
          <w:rFonts w:ascii="Arial Narrow" w:eastAsia="Times New Roman" w:hAnsi="Arial Narrow" w:cs="Arial"/>
          <w:sz w:val="24"/>
          <w:szCs w:val="24"/>
          <w:lang w:eastAsia="fr-CI"/>
        </w:rPr>
        <w:t> ;</w:t>
      </w:r>
      <w:r w:rsidR="2CDBB080" w:rsidRPr="007E7C5B">
        <w:rPr>
          <w:rFonts w:ascii="Arial Narrow" w:eastAsia="Times New Roman" w:hAnsi="Arial Narrow" w:cs="Arial"/>
          <w:sz w:val="24"/>
          <w:szCs w:val="24"/>
          <w:lang w:eastAsia="fr-CI"/>
        </w:rPr>
        <w:t xml:space="preserve"> </w:t>
      </w:r>
      <w:r w:rsidR="004C3CD9" w:rsidRPr="00991796">
        <w:rPr>
          <w:rFonts w:ascii="Arial Narrow" w:eastAsia="Times New Roman" w:hAnsi="Arial Narrow" w:cs="Arial"/>
          <w:i/>
          <w:sz w:val="24"/>
          <w:szCs w:val="24"/>
          <w:lang w:eastAsia="fr-CI"/>
        </w:rPr>
        <w:t>(</w:t>
      </w:r>
      <w:r w:rsidR="2CDBB080" w:rsidRPr="00991796">
        <w:rPr>
          <w:rFonts w:ascii="Arial Narrow" w:eastAsia="Times New Roman" w:hAnsi="Arial Narrow" w:cs="Arial"/>
          <w:i/>
          <w:sz w:val="24"/>
          <w:szCs w:val="24"/>
          <w:lang w:eastAsia="fr-CI"/>
        </w:rPr>
        <w:t>v)</w:t>
      </w:r>
      <w:r w:rsidR="2CDBB080" w:rsidRPr="00991796">
        <w:rPr>
          <w:rFonts w:ascii="Arial Narrow" w:eastAsia="Times New Roman" w:hAnsi="Arial Narrow" w:cs="Arial"/>
          <w:sz w:val="24"/>
          <w:szCs w:val="24"/>
          <w:lang w:eastAsia="fr-CI"/>
        </w:rPr>
        <w:t xml:space="preserve"> 128 médecins formés à la prévention</w:t>
      </w:r>
      <w:r w:rsidR="001E7436" w:rsidRPr="00991796">
        <w:rPr>
          <w:rFonts w:ascii="Arial Narrow" w:eastAsia="Times New Roman" w:hAnsi="Arial Narrow" w:cs="Arial"/>
          <w:sz w:val="24"/>
          <w:szCs w:val="24"/>
          <w:lang w:eastAsia="fr-CI"/>
        </w:rPr>
        <w:t>,</w:t>
      </w:r>
      <w:r w:rsidR="2CDBB080" w:rsidRPr="00991796">
        <w:rPr>
          <w:rFonts w:ascii="Arial Narrow" w:eastAsia="Times New Roman" w:hAnsi="Arial Narrow" w:cs="Arial"/>
          <w:sz w:val="24"/>
          <w:szCs w:val="24"/>
          <w:lang w:eastAsia="fr-CI"/>
        </w:rPr>
        <w:t xml:space="preserve"> au diagnostic et à la prise</w:t>
      </w:r>
      <w:r w:rsidR="2CDBB080" w:rsidRPr="007E7C5B">
        <w:rPr>
          <w:rFonts w:ascii="Arial Narrow" w:eastAsia="Times New Roman" w:hAnsi="Arial Narrow" w:cs="Arial"/>
          <w:sz w:val="24"/>
          <w:szCs w:val="24"/>
          <w:lang w:eastAsia="fr-CI"/>
        </w:rPr>
        <w:t xml:space="preserve"> en charge des fistules obstétricales</w:t>
      </w:r>
      <w:r w:rsidR="2CDBB080" w:rsidRPr="007E7C5B">
        <w:rPr>
          <w:rFonts w:ascii="Arial Narrow" w:hAnsi="Arial Narrow" w:cs="Arial"/>
          <w:sz w:val="24"/>
          <w:szCs w:val="24"/>
        </w:rPr>
        <w:t>)</w:t>
      </w:r>
      <w:r w:rsidR="00CE45C1" w:rsidRPr="007E7C5B">
        <w:rPr>
          <w:rFonts w:ascii="Arial Narrow" w:hAnsi="Arial Narrow" w:cs="Arial"/>
          <w:sz w:val="24"/>
          <w:szCs w:val="24"/>
        </w:rPr>
        <w:t> ;</w:t>
      </w:r>
      <w:r w:rsidR="2CDBB080" w:rsidRPr="007E7C5B">
        <w:rPr>
          <w:rFonts w:ascii="Arial Narrow" w:hAnsi="Arial Narrow" w:cs="Arial"/>
          <w:sz w:val="24"/>
          <w:szCs w:val="24"/>
        </w:rPr>
        <w:t xml:space="preserve"> </w:t>
      </w:r>
      <w:r w:rsidR="004C3CD9" w:rsidRPr="00A918AC">
        <w:rPr>
          <w:rFonts w:ascii="Arial Narrow" w:hAnsi="Arial Narrow" w:cs="Arial"/>
          <w:i/>
          <w:sz w:val="24"/>
          <w:szCs w:val="24"/>
        </w:rPr>
        <w:t>(</w:t>
      </w:r>
      <w:r w:rsidR="2CDBB080" w:rsidRPr="00A918AC">
        <w:rPr>
          <w:rFonts w:ascii="Arial Narrow" w:hAnsi="Arial Narrow" w:cs="Arial"/>
          <w:i/>
          <w:sz w:val="24"/>
          <w:szCs w:val="24"/>
        </w:rPr>
        <w:t>v</w:t>
      </w:r>
      <w:r w:rsidR="40D0FCED" w:rsidRPr="00A918AC">
        <w:rPr>
          <w:rFonts w:ascii="Arial Narrow" w:hAnsi="Arial Narrow" w:cs="Arial"/>
          <w:i/>
          <w:sz w:val="24"/>
          <w:szCs w:val="24"/>
        </w:rPr>
        <w:t>i</w:t>
      </w:r>
      <w:r w:rsidR="2CDBB080" w:rsidRPr="00A918AC">
        <w:rPr>
          <w:rFonts w:ascii="Arial Narrow" w:hAnsi="Arial Narrow" w:cs="Arial"/>
          <w:i/>
          <w:sz w:val="24"/>
          <w:szCs w:val="24"/>
        </w:rPr>
        <w:t>)</w:t>
      </w:r>
      <w:r w:rsidR="2CDBB080" w:rsidRPr="007E7C5B">
        <w:rPr>
          <w:rFonts w:ascii="Arial Narrow" w:hAnsi="Arial Narrow" w:cs="Arial"/>
          <w:sz w:val="24"/>
          <w:szCs w:val="24"/>
        </w:rPr>
        <w:t xml:space="preserve"> </w:t>
      </w:r>
      <w:r w:rsidR="2CDBB080" w:rsidRPr="007E7C5B">
        <w:rPr>
          <w:rFonts w:ascii="Arial Narrow" w:eastAsia="Times New Roman" w:hAnsi="Arial Narrow" w:cs="Arial"/>
          <w:sz w:val="24"/>
          <w:szCs w:val="24"/>
          <w:lang w:eastAsia="fr-CI"/>
        </w:rPr>
        <w:t>505</w:t>
      </w:r>
      <w:r w:rsidR="2CDBB080" w:rsidRPr="007E7C5B">
        <w:rPr>
          <w:rFonts w:ascii="Arial Narrow" w:hAnsi="Arial Narrow" w:cs="Arial"/>
          <w:b/>
          <w:bCs/>
          <w:sz w:val="24"/>
          <w:szCs w:val="24"/>
        </w:rPr>
        <w:t xml:space="preserve"> </w:t>
      </w:r>
      <w:r w:rsidR="2CDBB080" w:rsidRPr="007E7C5B">
        <w:rPr>
          <w:rFonts w:ascii="Arial Narrow" w:hAnsi="Arial Narrow" w:cs="Arial"/>
          <w:sz w:val="24"/>
          <w:szCs w:val="24"/>
        </w:rPr>
        <w:t xml:space="preserve">prestataires dont 23 médecins généralistes formés en chirurgie essentielle (césarienne, GEU, hernie et appendicite) et 482 infirmiers et </w:t>
      </w:r>
      <w:r w:rsidR="00822DB7" w:rsidRPr="007E7C5B">
        <w:rPr>
          <w:rFonts w:ascii="Arial Narrow" w:hAnsi="Arial Narrow" w:cs="Arial"/>
          <w:sz w:val="24"/>
          <w:szCs w:val="24"/>
        </w:rPr>
        <w:t>sage-femmes</w:t>
      </w:r>
      <w:r w:rsidR="2CDBB080" w:rsidRPr="007E7C5B">
        <w:rPr>
          <w:rFonts w:ascii="Arial Narrow" w:hAnsi="Arial Narrow" w:cs="Arial"/>
          <w:sz w:val="24"/>
          <w:szCs w:val="24"/>
        </w:rPr>
        <w:t xml:space="preserve"> en utilisation de kits UBT pour la prise en charge des urgences obstétricales et </w:t>
      </w:r>
      <w:r w:rsidR="00D67684" w:rsidRPr="00A918AC">
        <w:rPr>
          <w:rFonts w:ascii="Arial Narrow" w:hAnsi="Arial Narrow" w:cs="Arial"/>
          <w:i/>
          <w:sz w:val="24"/>
          <w:szCs w:val="24"/>
        </w:rPr>
        <w:t>(</w:t>
      </w:r>
      <w:r w:rsidR="2CDBB080" w:rsidRPr="00A918AC">
        <w:rPr>
          <w:rFonts w:ascii="Arial Narrow" w:hAnsi="Arial Narrow" w:cs="Arial"/>
          <w:i/>
          <w:sz w:val="24"/>
          <w:szCs w:val="24"/>
        </w:rPr>
        <w:t>vi</w:t>
      </w:r>
      <w:r w:rsidR="21D87B6E" w:rsidRPr="00A918AC">
        <w:rPr>
          <w:rFonts w:ascii="Arial Narrow" w:hAnsi="Arial Narrow" w:cs="Arial"/>
          <w:i/>
          <w:sz w:val="24"/>
          <w:szCs w:val="24"/>
        </w:rPr>
        <w:t>i</w:t>
      </w:r>
      <w:r w:rsidR="2CDBB080" w:rsidRPr="00A918AC">
        <w:rPr>
          <w:rFonts w:ascii="Arial Narrow" w:hAnsi="Arial Narrow" w:cs="Arial"/>
          <w:i/>
          <w:sz w:val="24"/>
          <w:szCs w:val="24"/>
        </w:rPr>
        <w:t>)</w:t>
      </w:r>
      <w:r w:rsidR="2CDBB080" w:rsidRPr="007E7C5B">
        <w:rPr>
          <w:rFonts w:ascii="Arial Narrow" w:hAnsi="Arial Narrow" w:cs="Arial"/>
          <w:sz w:val="24"/>
          <w:szCs w:val="24"/>
        </w:rPr>
        <w:t xml:space="preserve"> la révision du curricula de formation des sage-femmes avec intégration</w:t>
      </w:r>
      <w:r w:rsidR="00E33227">
        <w:rPr>
          <w:rFonts w:ascii="Arial Narrow" w:hAnsi="Arial Narrow" w:cs="Arial"/>
          <w:sz w:val="24"/>
          <w:szCs w:val="24"/>
        </w:rPr>
        <w:t xml:space="preserve"> </w:t>
      </w:r>
      <w:r w:rsidR="2CDBB080" w:rsidRPr="007E7C5B">
        <w:rPr>
          <w:rFonts w:ascii="Arial Narrow" w:hAnsi="Arial Narrow" w:cs="Arial"/>
          <w:sz w:val="24"/>
          <w:szCs w:val="24"/>
        </w:rPr>
        <w:t>des modules sur la fistule obstétricale, les violences basées sur le genre et les soins humanisés.</w:t>
      </w:r>
      <w:r w:rsidR="58F3A292" w:rsidRPr="007E7C5B">
        <w:rPr>
          <w:rFonts w:ascii="Arial Narrow" w:hAnsi="Arial Narrow" w:cs="Arial"/>
          <w:sz w:val="24"/>
          <w:szCs w:val="24"/>
        </w:rPr>
        <w:t xml:space="preserve"> </w:t>
      </w:r>
      <w:r w:rsidR="2CDBB080" w:rsidRPr="007E7C5B">
        <w:rPr>
          <w:rFonts w:ascii="Arial Narrow" w:hAnsi="Arial Narrow" w:cs="Arial"/>
          <w:sz w:val="24"/>
          <w:szCs w:val="24"/>
        </w:rPr>
        <w:t>De</w:t>
      </w:r>
      <w:r w:rsidR="2CDBB080" w:rsidRPr="007E7C5B">
        <w:rPr>
          <w:rFonts w:ascii="Arial Narrow" w:hAnsi="Arial Narrow" w:cs="Arial"/>
          <w:b/>
          <w:bCs/>
          <w:sz w:val="24"/>
          <w:szCs w:val="24"/>
        </w:rPr>
        <w:t xml:space="preserve"> </w:t>
      </w:r>
      <w:r w:rsidR="2CDBB080" w:rsidRPr="007E7C5B">
        <w:rPr>
          <w:rFonts w:ascii="Arial Narrow" w:hAnsi="Arial Narrow" w:cs="Arial"/>
          <w:sz w:val="24"/>
          <w:szCs w:val="24"/>
        </w:rPr>
        <w:t xml:space="preserve">plus, on note la mise en place du mentorat clinique des SFDE et maïeuticien dans 04 centres d’excellence (EPHN de Bouaké, EPHR de Guiglo et Bondoukou et EPHD de </w:t>
      </w:r>
      <w:proofErr w:type="spellStart"/>
      <w:r w:rsidR="2CDBB080" w:rsidRPr="007E7C5B">
        <w:rPr>
          <w:rFonts w:ascii="Arial Narrow" w:hAnsi="Arial Narrow" w:cs="Arial"/>
          <w:sz w:val="24"/>
          <w:szCs w:val="24"/>
        </w:rPr>
        <w:t>Port-Bouet</w:t>
      </w:r>
      <w:proofErr w:type="spellEnd"/>
      <w:r w:rsidR="2CDBB080" w:rsidRPr="007E7C5B">
        <w:rPr>
          <w:rFonts w:ascii="Arial Narrow" w:hAnsi="Arial Narrow" w:cs="Arial"/>
          <w:sz w:val="24"/>
          <w:szCs w:val="24"/>
        </w:rPr>
        <w:t>)</w:t>
      </w:r>
      <w:r w:rsidR="007B6448">
        <w:rPr>
          <w:rFonts w:ascii="Arial Narrow" w:eastAsia="Times New Roman" w:hAnsi="Arial Narrow" w:cs="Arial"/>
          <w:i/>
          <w:sz w:val="24"/>
          <w:szCs w:val="24"/>
          <w:lang w:eastAsia="fr-CI"/>
        </w:rPr>
        <w:t xml:space="preserve"> </w:t>
      </w:r>
      <w:r w:rsidR="007B6448" w:rsidRPr="0044167B">
        <w:rPr>
          <w:rFonts w:ascii="Arial Narrow" w:hAnsi="Arial Narrow" w:cs="Arial"/>
          <w:sz w:val="24"/>
          <w:szCs w:val="24"/>
        </w:rPr>
        <w:t xml:space="preserve">et l’élaboration d’un guide de formation continue pour améliorer la qualité des soins. En outre, 35 formateurs nationaux et 282 </w:t>
      </w:r>
      <w:proofErr w:type="spellStart"/>
      <w:r w:rsidR="007B6448" w:rsidRPr="0044167B">
        <w:rPr>
          <w:rFonts w:ascii="Arial Narrow" w:hAnsi="Arial Narrow" w:cs="Arial"/>
          <w:sz w:val="24"/>
          <w:szCs w:val="24"/>
        </w:rPr>
        <w:t>sages-femmes</w:t>
      </w:r>
      <w:proofErr w:type="spellEnd"/>
      <w:r w:rsidR="007B6448" w:rsidRPr="0044167B">
        <w:rPr>
          <w:rFonts w:ascii="Arial Narrow" w:hAnsi="Arial Narrow" w:cs="Arial"/>
          <w:sz w:val="24"/>
          <w:szCs w:val="24"/>
        </w:rPr>
        <w:t xml:space="preserve"> et IDE ont été formés sur l’amélioration du continuum des soins de santé maternelle et néonatale et</w:t>
      </w:r>
      <w:r w:rsidR="007B6448">
        <w:rPr>
          <w:rFonts w:ascii="Arial Narrow" w:hAnsi="Arial Narrow" w:cs="Arial"/>
          <w:sz w:val="24"/>
          <w:szCs w:val="24"/>
        </w:rPr>
        <w:t xml:space="preserve"> </w:t>
      </w:r>
      <w:r w:rsidR="007B6448" w:rsidRPr="0044167B">
        <w:rPr>
          <w:rFonts w:ascii="Arial Narrow" w:hAnsi="Arial Narrow" w:cs="Arial"/>
          <w:sz w:val="24"/>
          <w:szCs w:val="24"/>
        </w:rPr>
        <w:t xml:space="preserve">32 coordonnatrices santé mère-enfant et majors de maternité de 18 structures sanitaires de la région de </w:t>
      </w:r>
      <w:proofErr w:type="spellStart"/>
      <w:r w:rsidR="007B6448" w:rsidRPr="0044167B">
        <w:rPr>
          <w:rFonts w:ascii="Arial Narrow" w:hAnsi="Arial Narrow" w:cs="Arial"/>
          <w:sz w:val="24"/>
          <w:szCs w:val="24"/>
        </w:rPr>
        <w:t>Gbêkê</w:t>
      </w:r>
      <w:proofErr w:type="spellEnd"/>
      <w:r w:rsidR="007B6448" w:rsidRPr="0044167B">
        <w:rPr>
          <w:rFonts w:ascii="Arial Narrow" w:hAnsi="Arial Narrow" w:cs="Arial"/>
          <w:sz w:val="24"/>
          <w:szCs w:val="24"/>
        </w:rPr>
        <w:t xml:space="preserve"> ont été formées sur l’accueil et les soins humanisés</w:t>
      </w:r>
      <w:r w:rsidR="007B6448">
        <w:rPr>
          <w:rFonts w:ascii="Arial Narrow" w:hAnsi="Arial Narrow" w:cs="Arial"/>
          <w:sz w:val="24"/>
          <w:szCs w:val="24"/>
        </w:rPr>
        <w:t>.</w:t>
      </w:r>
    </w:p>
    <w:p w14:paraId="080FE618" w14:textId="2B804F22" w:rsidR="00A03BA3" w:rsidRPr="0044167B" w:rsidRDefault="00966718" w:rsidP="00CB5A7E">
      <w:pPr>
        <w:jc w:val="both"/>
        <w:rPr>
          <w:rFonts w:ascii="Arial Narrow" w:hAnsi="Arial Narrow" w:cs="Arial"/>
          <w:sz w:val="24"/>
          <w:szCs w:val="24"/>
          <w:lang w:val="fr-CI"/>
        </w:rPr>
      </w:pPr>
      <w:r w:rsidRPr="00966718">
        <w:rPr>
          <w:rFonts w:ascii="Arial Narrow" w:hAnsi="Arial Narrow" w:cs="Arial"/>
          <w:sz w:val="24"/>
          <w:szCs w:val="24"/>
        </w:rPr>
        <w:t xml:space="preserve">Dans le cadre des interventions communautaires, plusieurs initiatives ont été mises en œuvre, notamment : « </w:t>
      </w:r>
      <w:proofErr w:type="spellStart"/>
      <w:r w:rsidRPr="00966718">
        <w:rPr>
          <w:rFonts w:ascii="Arial Narrow" w:hAnsi="Arial Narrow" w:cs="Arial"/>
          <w:sz w:val="24"/>
          <w:szCs w:val="24"/>
        </w:rPr>
        <w:t>Gbêkê</w:t>
      </w:r>
      <w:proofErr w:type="spellEnd"/>
      <w:r w:rsidRPr="00966718">
        <w:rPr>
          <w:rFonts w:ascii="Arial Narrow" w:hAnsi="Arial Narrow" w:cs="Arial"/>
          <w:sz w:val="24"/>
          <w:szCs w:val="24"/>
        </w:rPr>
        <w:t xml:space="preserve"> là-haut-là », le projet MOMENTUM, le projet TAKEDA (2 heures pour la vie), le </w:t>
      </w:r>
      <w:r w:rsidRPr="00966718">
        <w:rPr>
          <w:rFonts w:ascii="Arial Narrow" w:hAnsi="Arial Narrow" w:cs="Arial"/>
          <w:sz w:val="24"/>
          <w:szCs w:val="24"/>
        </w:rPr>
        <w:lastRenderedPageBreak/>
        <w:t xml:space="preserve">projet MUSKOKA et le projet TCI </w:t>
      </w:r>
      <w:proofErr w:type="spellStart"/>
      <w:r w:rsidRPr="00966718">
        <w:rPr>
          <w:rFonts w:ascii="Arial Narrow" w:hAnsi="Arial Narrow" w:cs="Arial"/>
          <w:sz w:val="24"/>
          <w:szCs w:val="24"/>
        </w:rPr>
        <w:t>Amplify</w:t>
      </w:r>
      <w:proofErr w:type="spellEnd"/>
      <w:r w:rsidRPr="00966718">
        <w:rPr>
          <w:rFonts w:ascii="Arial Narrow" w:hAnsi="Arial Narrow" w:cs="Arial"/>
          <w:sz w:val="24"/>
          <w:szCs w:val="24"/>
        </w:rPr>
        <w:t xml:space="preserve">- PF dans la région de </w:t>
      </w:r>
      <w:proofErr w:type="spellStart"/>
      <w:r w:rsidRPr="00966718">
        <w:rPr>
          <w:rFonts w:ascii="Arial Narrow" w:hAnsi="Arial Narrow" w:cs="Arial"/>
          <w:sz w:val="24"/>
          <w:szCs w:val="24"/>
        </w:rPr>
        <w:t>Gbêkê</w:t>
      </w:r>
      <w:proofErr w:type="spellEnd"/>
      <w:r w:rsidRPr="00966718">
        <w:rPr>
          <w:rFonts w:ascii="Arial Narrow" w:hAnsi="Arial Narrow" w:cs="Arial"/>
          <w:sz w:val="24"/>
          <w:szCs w:val="24"/>
        </w:rPr>
        <w:t xml:space="preserve"> ; l'initiative « Loh-</w:t>
      </w:r>
      <w:proofErr w:type="spellStart"/>
      <w:r w:rsidRPr="00966718">
        <w:rPr>
          <w:rFonts w:ascii="Arial Narrow" w:hAnsi="Arial Narrow" w:cs="Arial"/>
          <w:sz w:val="24"/>
          <w:szCs w:val="24"/>
        </w:rPr>
        <w:t>Gnouman</w:t>
      </w:r>
      <w:proofErr w:type="spellEnd"/>
      <w:r w:rsidRPr="00966718">
        <w:rPr>
          <w:rFonts w:ascii="Arial Narrow" w:hAnsi="Arial Narrow" w:cs="Arial"/>
          <w:sz w:val="24"/>
          <w:szCs w:val="24"/>
        </w:rPr>
        <w:t xml:space="preserve"> » dans le </w:t>
      </w:r>
      <w:proofErr w:type="spellStart"/>
      <w:r w:rsidRPr="00966718">
        <w:rPr>
          <w:rFonts w:ascii="Arial Narrow" w:hAnsi="Arial Narrow" w:cs="Arial"/>
          <w:sz w:val="24"/>
          <w:szCs w:val="24"/>
        </w:rPr>
        <w:t>Kabadougou</w:t>
      </w:r>
      <w:proofErr w:type="spellEnd"/>
      <w:r w:rsidRPr="00966718">
        <w:rPr>
          <w:rFonts w:ascii="Arial Narrow" w:hAnsi="Arial Narrow" w:cs="Arial"/>
          <w:sz w:val="24"/>
          <w:szCs w:val="24"/>
        </w:rPr>
        <w:t xml:space="preserve"> ; ainsi que l'initiative « See </w:t>
      </w:r>
      <w:proofErr w:type="spellStart"/>
      <w:r w:rsidRPr="00966718">
        <w:rPr>
          <w:rFonts w:ascii="Arial Narrow" w:hAnsi="Arial Narrow" w:cs="Arial"/>
          <w:sz w:val="24"/>
          <w:szCs w:val="24"/>
        </w:rPr>
        <w:t>Your</w:t>
      </w:r>
      <w:proofErr w:type="spellEnd"/>
      <w:r w:rsidRPr="00966718">
        <w:rPr>
          <w:rFonts w:ascii="Arial Narrow" w:hAnsi="Arial Narrow" w:cs="Arial"/>
          <w:sz w:val="24"/>
          <w:szCs w:val="24"/>
        </w:rPr>
        <w:t xml:space="preserve"> Baby » déployée dans 10 districts sanitaires</w:t>
      </w:r>
      <w:r w:rsidR="007B5412">
        <w:rPr>
          <w:rStyle w:val="Appelnotedebasdep"/>
          <w:rFonts w:ascii="Arial Narrow" w:hAnsi="Arial Narrow" w:cs="Arial"/>
          <w:sz w:val="24"/>
          <w:szCs w:val="24"/>
        </w:rPr>
        <w:footnoteReference w:id="21"/>
      </w:r>
      <w:r w:rsidR="007B5412">
        <w:rPr>
          <w:rFonts w:ascii="Arial Narrow" w:hAnsi="Arial Narrow" w:cs="Arial"/>
          <w:sz w:val="24"/>
          <w:szCs w:val="24"/>
        </w:rPr>
        <w:t xml:space="preserve">. </w:t>
      </w:r>
      <w:r w:rsidRPr="00966718">
        <w:rPr>
          <w:rFonts w:ascii="Arial Narrow" w:hAnsi="Arial Narrow" w:cs="Arial"/>
          <w:sz w:val="24"/>
          <w:szCs w:val="24"/>
        </w:rPr>
        <w:t xml:space="preserve">Par ailleurs, un plan de connexion et de référence des structures communautaires vers les structures SONU a été établi dans la région de </w:t>
      </w:r>
      <w:proofErr w:type="spellStart"/>
      <w:r w:rsidRPr="00966718">
        <w:rPr>
          <w:rFonts w:ascii="Arial Narrow" w:hAnsi="Arial Narrow" w:cs="Arial"/>
          <w:sz w:val="24"/>
          <w:szCs w:val="24"/>
        </w:rPr>
        <w:t>Gbêkê</w:t>
      </w:r>
      <w:proofErr w:type="spellEnd"/>
      <w:r>
        <w:rPr>
          <w:rFonts w:ascii="Arial Narrow" w:hAnsi="Arial Narrow" w:cs="Arial"/>
          <w:sz w:val="24"/>
          <w:szCs w:val="24"/>
        </w:rPr>
        <w:t xml:space="preserve">. </w:t>
      </w:r>
      <w:r w:rsidR="00835A85" w:rsidRPr="0044167B">
        <w:rPr>
          <w:rFonts w:ascii="Arial Narrow" w:hAnsi="Arial Narrow" w:cs="Arial"/>
          <w:sz w:val="24"/>
          <w:szCs w:val="24"/>
        </w:rPr>
        <w:t xml:space="preserve">Il est à noter également </w:t>
      </w:r>
      <w:r w:rsidR="71B45571" w:rsidRPr="0044167B">
        <w:rPr>
          <w:rFonts w:ascii="Arial Narrow" w:hAnsi="Arial Narrow" w:cs="Arial"/>
          <w:sz w:val="24"/>
          <w:szCs w:val="24"/>
        </w:rPr>
        <w:t>l'implication des autorités locales et des médias</w:t>
      </w:r>
      <w:r w:rsidR="00835A85" w:rsidRPr="0044167B">
        <w:rPr>
          <w:rFonts w:ascii="Arial Narrow" w:hAnsi="Arial Narrow" w:cs="Arial"/>
          <w:sz w:val="24"/>
          <w:szCs w:val="24"/>
        </w:rPr>
        <w:t xml:space="preserve"> </w:t>
      </w:r>
      <w:r w:rsidR="00835A85" w:rsidRPr="00835A85">
        <w:rPr>
          <w:rFonts w:ascii="Arial Narrow" w:hAnsi="Arial Narrow" w:cs="Arial"/>
          <w:sz w:val="24"/>
          <w:szCs w:val="24"/>
        </w:rPr>
        <w:t>et le renforcement d</w:t>
      </w:r>
      <w:r w:rsidR="00835A85" w:rsidRPr="007E7C5B">
        <w:rPr>
          <w:rFonts w:ascii="Arial Narrow" w:hAnsi="Arial Narrow" w:cs="Arial"/>
          <w:sz w:val="24"/>
          <w:szCs w:val="24"/>
        </w:rPr>
        <w:t>e la sensibilisation par la production et la diffusion des Prêts à Diffuser (PAD) en langues locales pour améliorer l’utilisation des services</w:t>
      </w:r>
      <w:r w:rsidR="00835A85">
        <w:rPr>
          <w:rFonts w:ascii="Arial Narrow" w:hAnsi="Arial Narrow" w:cs="Arial"/>
          <w:sz w:val="24"/>
          <w:szCs w:val="24"/>
        </w:rPr>
        <w:t xml:space="preserve">. En outre, </w:t>
      </w:r>
      <w:r w:rsidR="71B45571" w:rsidRPr="007E7C5B">
        <w:rPr>
          <w:rFonts w:ascii="Arial Narrow" w:hAnsi="Arial Narrow" w:cs="Arial"/>
          <w:sz w:val="24"/>
          <w:szCs w:val="24"/>
        </w:rPr>
        <w:t>225 A</w:t>
      </w:r>
      <w:r w:rsidR="00BD7D18" w:rsidRPr="007E7C5B">
        <w:rPr>
          <w:rFonts w:ascii="Arial Narrow" w:hAnsi="Arial Narrow" w:cs="Arial"/>
          <w:sz w:val="24"/>
          <w:szCs w:val="24"/>
        </w:rPr>
        <w:t xml:space="preserve">gents de </w:t>
      </w:r>
      <w:r w:rsidR="71B45571" w:rsidRPr="007E7C5B">
        <w:rPr>
          <w:rFonts w:ascii="Arial Narrow" w:hAnsi="Arial Narrow" w:cs="Arial"/>
          <w:sz w:val="24"/>
          <w:szCs w:val="24"/>
        </w:rPr>
        <w:t>S</w:t>
      </w:r>
      <w:r w:rsidR="00BD7D18" w:rsidRPr="007E7C5B">
        <w:rPr>
          <w:rFonts w:ascii="Arial Narrow" w:hAnsi="Arial Narrow" w:cs="Arial"/>
          <w:sz w:val="24"/>
          <w:szCs w:val="24"/>
        </w:rPr>
        <w:t xml:space="preserve">anté </w:t>
      </w:r>
      <w:r w:rsidR="71B45571" w:rsidRPr="007E7C5B">
        <w:rPr>
          <w:rFonts w:ascii="Arial Narrow" w:hAnsi="Arial Narrow" w:cs="Arial"/>
          <w:sz w:val="24"/>
          <w:szCs w:val="24"/>
        </w:rPr>
        <w:t>C</w:t>
      </w:r>
      <w:r w:rsidR="00BD7D18" w:rsidRPr="007E7C5B">
        <w:rPr>
          <w:rFonts w:ascii="Arial Narrow" w:hAnsi="Arial Narrow" w:cs="Arial"/>
          <w:sz w:val="24"/>
          <w:szCs w:val="24"/>
        </w:rPr>
        <w:t>ommunautaires (ASC)</w:t>
      </w:r>
      <w:r w:rsidR="71B45571" w:rsidRPr="007E7C5B">
        <w:rPr>
          <w:rFonts w:ascii="Arial Narrow" w:hAnsi="Arial Narrow" w:cs="Arial"/>
          <w:sz w:val="24"/>
          <w:szCs w:val="24"/>
        </w:rPr>
        <w:t xml:space="preserve"> </w:t>
      </w:r>
      <w:r w:rsidR="00835A85">
        <w:rPr>
          <w:rFonts w:ascii="Arial Narrow" w:hAnsi="Arial Narrow" w:cs="Arial"/>
          <w:sz w:val="24"/>
          <w:szCs w:val="24"/>
        </w:rPr>
        <w:t xml:space="preserve">ont été formés </w:t>
      </w:r>
      <w:r w:rsidR="71B45571" w:rsidRPr="007E7C5B">
        <w:rPr>
          <w:rFonts w:ascii="Arial Narrow" w:hAnsi="Arial Narrow" w:cs="Arial"/>
          <w:sz w:val="24"/>
          <w:szCs w:val="24"/>
        </w:rPr>
        <w:t xml:space="preserve">sur la reconnaissance des signes de danger et orientation des parturientes vers les centres de santé, sur les </w:t>
      </w:r>
      <w:r w:rsidR="00BD7D18" w:rsidRPr="007E7C5B">
        <w:rPr>
          <w:rFonts w:ascii="Arial Narrow" w:hAnsi="Arial Narrow" w:cs="Arial"/>
          <w:sz w:val="24"/>
          <w:szCs w:val="24"/>
        </w:rPr>
        <w:t>Communication pour le Changement de Comportement (</w:t>
      </w:r>
      <w:r w:rsidR="71B45571" w:rsidRPr="007E7C5B">
        <w:rPr>
          <w:rFonts w:ascii="Arial Narrow" w:hAnsi="Arial Narrow" w:cs="Arial"/>
          <w:sz w:val="24"/>
          <w:szCs w:val="24"/>
        </w:rPr>
        <w:t>CCC</w:t>
      </w:r>
      <w:r w:rsidR="00BD7D18" w:rsidRPr="007E7C5B">
        <w:rPr>
          <w:rFonts w:ascii="Arial Narrow" w:hAnsi="Arial Narrow" w:cs="Arial"/>
          <w:sz w:val="24"/>
          <w:szCs w:val="24"/>
        </w:rPr>
        <w:t>)</w:t>
      </w:r>
      <w:r w:rsidR="71B45571" w:rsidRPr="007E7C5B">
        <w:rPr>
          <w:rFonts w:ascii="Arial Narrow" w:hAnsi="Arial Narrow" w:cs="Arial"/>
          <w:sz w:val="24"/>
          <w:szCs w:val="24"/>
        </w:rPr>
        <w:t xml:space="preserve"> en SONU/PF.</w:t>
      </w:r>
      <w:r w:rsidR="009B60E8" w:rsidRPr="007E7C5B">
        <w:rPr>
          <w:rFonts w:ascii="Arial Narrow" w:hAnsi="Arial Narrow" w:cs="Arial"/>
          <w:sz w:val="24"/>
          <w:szCs w:val="24"/>
        </w:rPr>
        <w:t xml:space="preserve"> </w:t>
      </w:r>
    </w:p>
    <w:p w14:paraId="127400C4" w14:textId="79910E74" w:rsidR="00135EE3" w:rsidRPr="007E7C5B" w:rsidRDefault="00135EE3" w:rsidP="00761F55">
      <w:pPr>
        <w:jc w:val="both"/>
        <w:rPr>
          <w:rFonts w:ascii="Arial Narrow" w:hAnsi="Arial Narrow" w:cs="Arial"/>
          <w:sz w:val="24"/>
          <w:szCs w:val="24"/>
        </w:rPr>
      </w:pPr>
      <w:r w:rsidRPr="007E7C5B">
        <w:rPr>
          <w:rFonts w:ascii="Arial Narrow" w:hAnsi="Arial Narrow" w:cs="Arial"/>
          <w:sz w:val="24"/>
          <w:szCs w:val="24"/>
          <w:lang w:val="fr-CI"/>
        </w:rPr>
        <w:t xml:space="preserve">Pour ce qui est de la prise en charge des </w:t>
      </w:r>
      <w:r w:rsidR="00D233C3" w:rsidRPr="007E7C5B">
        <w:rPr>
          <w:rFonts w:ascii="Arial Narrow" w:hAnsi="Arial Narrow" w:cs="Arial"/>
          <w:sz w:val="24"/>
          <w:szCs w:val="24"/>
          <w:lang w:val="fr-CI"/>
        </w:rPr>
        <w:t xml:space="preserve">fistules obstétricales, </w:t>
      </w:r>
      <w:r w:rsidR="00C50037" w:rsidRPr="007E7C5B">
        <w:rPr>
          <w:rFonts w:ascii="Arial Narrow" w:hAnsi="Arial Narrow" w:cs="Arial"/>
          <w:sz w:val="24"/>
          <w:szCs w:val="24"/>
          <w:lang w:val="fr-CI"/>
        </w:rPr>
        <w:t xml:space="preserve">les activités menées ont permis de : </w:t>
      </w:r>
      <w:r w:rsidRPr="007E7C5B">
        <w:rPr>
          <w:rFonts w:ascii="Arial Narrow" w:hAnsi="Arial Narrow" w:cs="Arial"/>
          <w:i/>
          <w:iCs/>
          <w:sz w:val="24"/>
          <w:szCs w:val="24"/>
          <w:lang w:val="fr-CI"/>
        </w:rPr>
        <w:t>(i)</w:t>
      </w:r>
      <w:r w:rsidR="00C50037" w:rsidRPr="007E7C5B">
        <w:rPr>
          <w:rFonts w:ascii="Arial Narrow" w:hAnsi="Arial Narrow" w:cs="Arial"/>
          <w:i/>
          <w:iCs/>
          <w:sz w:val="24"/>
          <w:szCs w:val="24"/>
          <w:lang w:val="fr-CI"/>
        </w:rPr>
        <w:t> </w:t>
      </w:r>
      <w:r w:rsidRPr="007E7C5B">
        <w:rPr>
          <w:rFonts w:ascii="Arial Narrow" w:hAnsi="Arial Narrow" w:cs="Arial"/>
          <w:sz w:val="24"/>
          <w:szCs w:val="24"/>
          <w:lang w:val="fr-CI"/>
        </w:rPr>
        <w:t xml:space="preserve">l’opération gratuite de 463 femmes atteintes de fistule obstétricale ; </w:t>
      </w:r>
      <w:r w:rsidRPr="007E7C5B">
        <w:rPr>
          <w:rFonts w:ascii="Arial Narrow" w:hAnsi="Arial Narrow" w:cs="Arial"/>
          <w:i/>
          <w:iCs/>
          <w:sz w:val="24"/>
          <w:szCs w:val="24"/>
          <w:lang w:val="fr-CI"/>
        </w:rPr>
        <w:t>(ii)</w:t>
      </w:r>
      <w:r w:rsidRPr="007E7C5B">
        <w:rPr>
          <w:rFonts w:ascii="Arial Narrow" w:hAnsi="Arial Narrow" w:cs="Arial"/>
          <w:sz w:val="24"/>
          <w:szCs w:val="24"/>
          <w:lang w:val="fr-CI"/>
        </w:rPr>
        <w:t xml:space="preserve"> réception de kits par 251 femmes opérées et guéries de la fistule obstétricale en vue de développer des activités génératrices de revenus et ; </w:t>
      </w:r>
      <w:r w:rsidRPr="007E7C5B">
        <w:rPr>
          <w:rFonts w:ascii="Arial Narrow" w:hAnsi="Arial Narrow" w:cs="Arial"/>
          <w:i/>
          <w:iCs/>
          <w:sz w:val="24"/>
          <w:szCs w:val="24"/>
          <w:lang w:val="fr-CI"/>
        </w:rPr>
        <w:t>(iii)</w:t>
      </w:r>
      <w:r w:rsidRPr="007E7C5B">
        <w:rPr>
          <w:rFonts w:ascii="Arial Narrow" w:hAnsi="Arial Narrow" w:cs="Arial"/>
          <w:sz w:val="24"/>
          <w:szCs w:val="24"/>
          <w:lang w:val="fr-CI"/>
        </w:rPr>
        <w:t xml:space="preserve"> l’appui psychosocial et religieux à 568 femmes vivant avec la fistule obstétricale. Par ailleurs, 216 agents de santé ont été formés à la prévention et au diagnostic précoce des cas de fistule obstétricale dans le post-partum immédiat.</w:t>
      </w:r>
    </w:p>
    <w:p w14:paraId="2C0AF9DB" w14:textId="499E17E5" w:rsidR="00620F64" w:rsidRPr="007E7C5B" w:rsidRDefault="00C235B1" w:rsidP="007C4FD1">
      <w:pPr>
        <w:jc w:val="both"/>
        <w:rPr>
          <w:rFonts w:ascii="Arial Narrow" w:hAnsi="Arial Narrow" w:cs="Arial"/>
          <w:sz w:val="24"/>
          <w:szCs w:val="24"/>
        </w:rPr>
      </w:pPr>
      <w:r w:rsidRPr="00A918AC">
        <w:rPr>
          <w:rFonts w:ascii="Arial Narrow" w:hAnsi="Arial Narrow" w:cs="Arial"/>
          <w:b/>
          <w:sz w:val="24"/>
          <w:szCs w:val="24"/>
        </w:rPr>
        <w:t>S’agissant de l’offre de planning familial,</w:t>
      </w:r>
      <w:r w:rsidRPr="007E7C5B">
        <w:rPr>
          <w:rFonts w:ascii="Arial Narrow" w:hAnsi="Arial Narrow" w:cs="Arial"/>
          <w:sz w:val="24"/>
          <w:szCs w:val="24"/>
        </w:rPr>
        <w:t xml:space="preserve"> </w:t>
      </w:r>
      <w:r w:rsidR="00534008" w:rsidRPr="007E7C5B">
        <w:rPr>
          <w:rFonts w:ascii="Arial Narrow" w:hAnsi="Arial Narrow" w:cs="Arial"/>
          <w:sz w:val="24"/>
          <w:szCs w:val="24"/>
        </w:rPr>
        <w:t xml:space="preserve">elle </w:t>
      </w:r>
      <w:r w:rsidR="009510B6" w:rsidRPr="007E7C5B">
        <w:rPr>
          <w:rFonts w:ascii="Arial Narrow" w:hAnsi="Arial Narrow" w:cs="Arial"/>
          <w:sz w:val="24"/>
          <w:szCs w:val="24"/>
        </w:rPr>
        <w:t>est intégrée dans tous les services de la mère et de l’enfant des établissements sanitaires (</w:t>
      </w:r>
      <w:r w:rsidR="00534008" w:rsidRPr="007E7C5B">
        <w:rPr>
          <w:rFonts w:ascii="Arial Narrow" w:hAnsi="Arial Narrow" w:cs="Arial"/>
          <w:sz w:val="24"/>
          <w:szCs w:val="24"/>
        </w:rPr>
        <w:t>a</w:t>
      </w:r>
      <w:r w:rsidR="009510B6" w:rsidRPr="007E7C5B">
        <w:rPr>
          <w:rFonts w:ascii="Arial Narrow" w:hAnsi="Arial Narrow" w:cs="Arial"/>
          <w:sz w:val="24"/>
          <w:szCs w:val="24"/>
        </w:rPr>
        <w:t xml:space="preserve">ccouchement, post-natal, PMI, </w:t>
      </w:r>
      <w:r w:rsidR="00534008" w:rsidRPr="007E7C5B">
        <w:rPr>
          <w:rFonts w:ascii="Arial Narrow" w:hAnsi="Arial Narrow" w:cs="Arial"/>
          <w:sz w:val="24"/>
          <w:szCs w:val="24"/>
        </w:rPr>
        <w:t>v</w:t>
      </w:r>
      <w:r w:rsidR="009510B6" w:rsidRPr="007E7C5B">
        <w:rPr>
          <w:rFonts w:ascii="Arial Narrow" w:hAnsi="Arial Narrow" w:cs="Arial"/>
          <w:sz w:val="24"/>
          <w:szCs w:val="24"/>
        </w:rPr>
        <w:t>accination etc.)</w:t>
      </w:r>
      <w:r w:rsidR="002C56C5" w:rsidRPr="007E7C5B">
        <w:rPr>
          <w:rFonts w:ascii="Arial Narrow" w:hAnsi="Arial Narrow" w:cs="Arial"/>
          <w:sz w:val="24"/>
          <w:szCs w:val="24"/>
        </w:rPr>
        <w:t>,</w:t>
      </w:r>
      <w:r w:rsidR="009510B6" w:rsidRPr="007E7C5B">
        <w:rPr>
          <w:rFonts w:ascii="Arial Narrow" w:hAnsi="Arial Narrow" w:cs="Arial"/>
          <w:sz w:val="24"/>
          <w:szCs w:val="24"/>
        </w:rPr>
        <w:t xml:space="preserve"> y compris dans les structures de référence</w:t>
      </w:r>
      <w:r w:rsidR="002C56C5" w:rsidRPr="007E7C5B">
        <w:rPr>
          <w:rFonts w:ascii="Arial Narrow" w:hAnsi="Arial Narrow" w:cs="Arial"/>
          <w:sz w:val="24"/>
          <w:szCs w:val="24"/>
        </w:rPr>
        <w:t xml:space="preserve">. </w:t>
      </w:r>
      <w:r w:rsidR="00216486" w:rsidRPr="007E7C5B">
        <w:rPr>
          <w:rFonts w:ascii="Arial Narrow" w:hAnsi="Arial Narrow" w:cs="Arial"/>
          <w:sz w:val="24"/>
          <w:szCs w:val="24"/>
        </w:rPr>
        <w:t>En outre, l</w:t>
      </w:r>
      <w:r w:rsidR="00620F64" w:rsidRPr="007E7C5B">
        <w:rPr>
          <w:rFonts w:ascii="Arial Narrow" w:hAnsi="Arial Narrow" w:cs="Arial"/>
          <w:sz w:val="24"/>
          <w:szCs w:val="24"/>
        </w:rPr>
        <w:t xml:space="preserve">a communication interpersonnelle dans les services de PF, la communication dans les radios de proximité pour promouvoir la PF a été améliorée. </w:t>
      </w:r>
      <w:r w:rsidR="00B24783" w:rsidRPr="007E7C5B">
        <w:rPr>
          <w:rFonts w:ascii="Arial Narrow" w:hAnsi="Arial Narrow" w:cs="Arial"/>
          <w:sz w:val="24"/>
          <w:szCs w:val="24"/>
        </w:rPr>
        <w:t>Aussi</w:t>
      </w:r>
      <w:r w:rsidR="004C5C46" w:rsidRPr="007E7C5B">
        <w:rPr>
          <w:rFonts w:ascii="Arial Narrow" w:hAnsi="Arial Narrow" w:cs="Arial"/>
          <w:sz w:val="24"/>
          <w:szCs w:val="24"/>
        </w:rPr>
        <w:t>, l</w:t>
      </w:r>
      <w:r w:rsidR="007C4FD1" w:rsidRPr="007E7C5B">
        <w:rPr>
          <w:rFonts w:ascii="Arial Narrow" w:hAnsi="Arial Narrow" w:cs="Arial"/>
          <w:sz w:val="24"/>
          <w:szCs w:val="24"/>
        </w:rPr>
        <w:t xml:space="preserve">a promotion de la PF a été renforcée à travers les activités de </w:t>
      </w:r>
      <w:r w:rsidR="00D41171" w:rsidRPr="007E7C5B">
        <w:rPr>
          <w:rFonts w:ascii="Arial Narrow" w:hAnsi="Arial Narrow" w:cs="Arial"/>
          <w:sz w:val="24"/>
          <w:szCs w:val="24"/>
        </w:rPr>
        <w:t>m</w:t>
      </w:r>
      <w:r w:rsidR="007C4FD1" w:rsidRPr="007E7C5B">
        <w:rPr>
          <w:rFonts w:ascii="Arial Narrow" w:hAnsi="Arial Narrow" w:cs="Arial"/>
          <w:sz w:val="24"/>
          <w:szCs w:val="24"/>
        </w:rPr>
        <w:t>obilisation communautaire</w:t>
      </w:r>
      <w:r w:rsidR="004C5C46" w:rsidRPr="007E7C5B">
        <w:rPr>
          <w:rFonts w:ascii="Arial Narrow" w:hAnsi="Arial Narrow" w:cs="Arial"/>
          <w:sz w:val="24"/>
          <w:szCs w:val="24"/>
        </w:rPr>
        <w:t>.</w:t>
      </w:r>
      <w:r w:rsidR="00B24783" w:rsidRPr="007E7C5B">
        <w:rPr>
          <w:rFonts w:ascii="Arial Narrow" w:hAnsi="Arial Narrow" w:cs="Arial"/>
          <w:sz w:val="24"/>
          <w:szCs w:val="24"/>
        </w:rPr>
        <w:t xml:space="preserve"> Par ailleurs, l</w:t>
      </w:r>
      <w:r w:rsidR="007C4FD1" w:rsidRPr="007E7C5B">
        <w:rPr>
          <w:rFonts w:ascii="Arial Narrow" w:hAnsi="Arial Narrow" w:cs="Arial"/>
          <w:sz w:val="24"/>
          <w:szCs w:val="24"/>
        </w:rPr>
        <w:t>es services de PF</w:t>
      </w:r>
      <w:r w:rsidR="005058FF" w:rsidRPr="007E7C5B">
        <w:rPr>
          <w:rFonts w:ascii="Arial Narrow" w:hAnsi="Arial Narrow" w:cs="Arial"/>
          <w:sz w:val="24"/>
          <w:szCs w:val="24"/>
        </w:rPr>
        <w:t>,</w:t>
      </w:r>
      <w:r w:rsidR="007C4FD1" w:rsidRPr="007E7C5B">
        <w:rPr>
          <w:rFonts w:ascii="Arial Narrow" w:hAnsi="Arial Narrow" w:cs="Arial"/>
          <w:sz w:val="24"/>
          <w:szCs w:val="24"/>
        </w:rPr>
        <w:t xml:space="preserve"> y compris les produits contraceptifs et intrants</w:t>
      </w:r>
      <w:r w:rsidR="005058FF" w:rsidRPr="007E7C5B">
        <w:rPr>
          <w:rFonts w:ascii="Arial Narrow" w:hAnsi="Arial Narrow" w:cs="Arial"/>
          <w:sz w:val="24"/>
          <w:szCs w:val="24"/>
        </w:rPr>
        <w:t>,</w:t>
      </w:r>
      <w:r w:rsidR="007C4FD1" w:rsidRPr="007E7C5B">
        <w:rPr>
          <w:rFonts w:ascii="Arial Narrow" w:hAnsi="Arial Narrow" w:cs="Arial"/>
          <w:sz w:val="24"/>
          <w:szCs w:val="24"/>
        </w:rPr>
        <w:t xml:space="preserve"> sont gratuits si bien que les jeunes, les femmes et les hommes ont désormais accès financièrement aux produits contraceptifs et intrants.</w:t>
      </w:r>
      <w:r w:rsidR="00E80DCE" w:rsidRPr="007E7C5B">
        <w:rPr>
          <w:rFonts w:ascii="Arial Narrow" w:hAnsi="Arial Narrow" w:cs="Arial"/>
          <w:sz w:val="24"/>
          <w:szCs w:val="24"/>
        </w:rPr>
        <w:t xml:space="preserve"> On note également </w:t>
      </w:r>
      <w:r w:rsidR="00E80DCE" w:rsidRPr="007E7C5B">
        <w:rPr>
          <w:rFonts w:ascii="Arial Narrow" w:eastAsia="Bell MT" w:hAnsi="Arial Narrow" w:cs="Bell MT"/>
          <w:sz w:val="24"/>
          <w:szCs w:val="24"/>
          <w:lang w:val="fr"/>
        </w:rPr>
        <w:t>l’institution des semaines nationales d’intensification de la Planification familiale.</w:t>
      </w:r>
    </w:p>
    <w:p w14:paraId="6274680E" w14:textId="152645BF" w:rsidR="001C3B16" w:rsidRPr="007E7C5B" w:rsidRDefault="00EA4718" w:rsidP="00761F55">
      <w:pPr>
        <w:jc w:val="both"/>
        <w:rPr>
          <w:rFonts w:ascii="Arial Narrow" w:hAnsi="Arial Narrow" w:cs="Arial"/>
          <w:sz w:val="24"/>
          <w:szCs w:val="24"/>
        </w:rPr>
      </w:pPr>
      <w:r w:rsidRPr="007E7C5B">
        <w:rPr>
          <w:rFonts w:ascii="Arial Narrow" w:hAnsi="Arial Narrow" w:cs="Arial"/>
          <w:sz w:val="24"/>
          <w:szCs w:val="24"/>
        </w:rPr>
        <w:t xml:space="preserve">Ces actions ont </w:t>
      </w:r>
      <w:r w:rsidR="0002702B" w:rsidRPr="007E7C5B">
        <w:rPr>
          <w:rFonts w:ascii="Arial Narrow" w:hAnsi="Arial Narrow" w:cs="Arial"/>
          <w:sz w:val="24"/>
          <w:szCs w:val="24"/>
        </w:rPr>
        <w:t xml:space="preserve">contribué à réduire le </w:t>
      </w:r>
      <w:r w:rsidR="001C3B16" w:rsidRPr="007E7C5B">
        <w:rPr>
          <w:rFonts w:ascii="Arial Narrow" w:hAnsi="Arial Narrow" w:cs="Arial"/>
          <w:sz w:val="24"/>
          <w:szCs w:val="24"/>
        </w:rPr>
        <w:t>ratio de mortalité maternelle</w:t>
      </w:r>
      <w:r w:rsidR="0002702B" w:rsidRPr="007E7C5B">
        <w:rPr>
          <w:rFonts w:ascii="Arial Narrow" w:hAnsi="Arial Narrow" w:cs="Arial"/>
          <w:sz w:val="24"/>
          <w:szCs w:val="24"/>
        </w:rPr>
        <w:t>, qui est passé</w:t>
      </w:r>
      <w:r w:rsidR="001C3B16" w:rsidRPr="007E7C5B">
        <w:rPr>
          <w:rFonts w:ascii="Arial Narrow" w:hAnsi="Arial Narrow" w:cs="Arial"/>
          <w:sz w:val="24"/>
          <w:szCs w:val="24"/>
        </w:rPr>
        <w:t xml:space="preserve"> de 614 à 385 pour 100</w:t>
      </w:r>
      <w:r w:rsidR="00E017F5" w:rsidRPr="007E7C5B">
        <w:rPr>
          <w:rFonts w:ascii="Arial Narrow" w:hAnsi="Arial Narrow" w:cs="Arial"/>
          <w:sz w:val="24"/>
          <w:szCs w:val="24"/>
        </w:rPr>
        <w:t> </w:t>
      </w:r>
      <w:r w:rsidR="001C3B16" w:rsidRPr="007E7C5B">
        <w:rPr>
          <w:rFonts w:ascii="Arial Narrow" w:hAnsi="Arial Narrow" w:cs="Arial"/>
          <w:sz w:val="24"/>
          <w:szCs w:val="24"/>
        </w:rPr>
        <w:t>000 naissances vivantes de 2012 à 2021</w:t>
      </w:r>
      <w:r w:rsidR="003B27BC" w:rsidRPr="007E7C5B">
        <w:rPr>
          <w:rFonts w:ascii="Arial Narrow" w:hAnsi="Arial Narrow" w:cs="Arial"/>
          <w:sz w:val="24"/>
          <w:szCs w:val="24"/>
        </w:rPr>
        <w:t xml:space="preserve"> (EDS)</w:t>
      </w:r>
      <w:r w:rsidR="00C43361" w:rsidRPr="007E7C5B">
        <w:rPr>
          <w:rFonts w:ascii="Arial Narrow" w:hAnsi="Arial Narrow" w:cs="Arial"/>
          <w:sz w:val="24"/>
          <w:szCs w:val="24"/>
        </w:rPr>
        <w:t xml:space="preserve">, </w:t>
      </w:r>
      <w:r w:rsidR="00942FEE" w:rsidRPr="007E7C5B">
        <w:rPr>
          <w:rFonts w:ascii="Arial Narrow" w:hAnsi="Arial Narrow" w:cs="Arial"/>
          <w:sz w:val="24"/>
          <w:szCs w:val="24"/>
        </w:rPr>
        <w:t>dépassant</w:t>
      </w:r>
      <w:r w:rsidR="00C43361" w:rsidRPr="007E7C5B">
        <w:rPr>
          <w:rFonts w:ascii="Arial Narrow" w:hAnsi="Arial Narrow" w:cs="Arial"/>
          <w:sz w:val="24"/>
          <w:szCs w:val="24"/>
        </w:rPr>
        <w:t xml:space="preserve"> </w:t>
      </w:r>
      <w:r w:rsidR="003A2B90" w:rsidRPr="007E7C5B">
        <w:rPr>
          <w:rFonts w:ascii="Arial Narrow" w:hAnsi="Arial Narrow" w:cs="Arial"/>
          <w:sz w:val="24"/>
          <w:szCs w:val="24"/>
        </w:rPr>
        <w:t xml:space="preserve">la prévision </w:t>
      </w:r>
      <w:r w:rsidR="00942FEE" w:rsidRPr="007E7C5B">
        <w:rPr>
          <w:rFonts w:ascii="Arial Narrow" w:hAnsi="Arial Narrow" w:cs="Arial"/>
          <w:sz w:val="24"/>
          <w:szCs w:val="24"/>
        </w:rPr>
        <w:t>du PNDS en</w:t>
      </w:r>
      <w:r w:rsidR="003A2B90" w:rsidRPr="007E7C5B">
        <w:rPr>
          <w:rFonts w:ascii="Arial Narrow" w:hAnsi="Arial Narrow" w:cs="Arial"/>
          <w:sz w:val="24"/>
          <w:szCs w:val="24"/>
        </w:rPr>
        <w:t xml:space="preserve"> 202</w:t>
      </w:r>
      <w:r w:rsidR="000E5335" w:rsidRPr="007E7C5B">
        <w:rPr>
          <w:rFonts w:ascii="Arial Narrow" w:hAnsi="Arial Narrow" w:cs="Arial"/>
          <w:sz w:val="24"/>
          <w:szCs w:val="24"/>
        </w:rPr>
        <w:t>1</w:t>
      </w:r>
      <w:r w:rsidR="001C3B16" w:rsidRPr="007E7C5B">
        <w:rPr>
          <w:rFonts w:ascii="Arial Narrow" w:hAnsi="Arial Narrow" w:cs="Arial"/>
          <w:sz w:val="24"/>
          <w:szCs w:val="24"/>
        </w:rPr>
        <w:t xml:space="preserve"> (566,6).</w:t>
      </w:r>
    </w:p>
    <w:p w14:paraId="7E5BD386" w14:textId="7468875E" w:rsidR="000E3C73" w:rsidRDefault="00EF0035" w:rsidP="0022040F">
      <w:pPr>
        <w:jc w:val="both"/>
        <w:rPr>
          <w:rFonts w:ascii="Arial Narrow" w:hAnsi="Arial Narrow" w:cs="Arial"/>
          <w:sz w:val="24"/>
          <w:szCs w:val="24"/>
          <w:lang w:val="fr-CI"/>
        </w:rPr>
      </w:pPr>
      <w:r w:rsidRPr="00206C21">
        <w:rPr>
          <w:rFonts w:ascii="Arial Narrow" w:hAnsi="Arial Narrow" w:cs="Arial"/>
          <w:noProof/>
          <w:sz w:val="24"/>
          <w:szCs w:val="24"/>
        </w:rPr>
        <w:drawing>
          <wp:inline distT="0" distB="0" distL="0" distR="0" wp14:anchorId="35214CDE" wp14:editId="598E9E77">
            <wp:extent cx="2832100" cy="2470150"/>
            <wp:effectExtent l="0" t="0" r="6350" b="6350"/>
            <wp:docPr id="1997053915" name="Chart 1">
              <a:extLst xmlns:a="http://schemas.openxmlformats.org/drawingml/2006/main">
                <a:ext uri="{FF2B5EF4-FFF2-40B4-BE49-F238E27FC236}">
                  <a16:creationId xmlns:a16="http://schemas.microsoft.com/office/drawing/2014/main" id="{61D8A2A2-A84A-B4BB-2035-90A0BB6DFA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DC4223" w:rsidRPr="007E7C5B">
        <w:rPr>
          <w:rFonts w:ascii="Arial Narrow" w:hAnsi="Arial Narrow" w:cs="Arial"/>
          <w:sz w:val="24"/>
          <w:szCs w:val="24"/>
        </w:rPr>
        <w:t>Aussi, l</w:t>
      </w:r>
      <w:r w:rsidR="0022040F" w:rsidRPr="007E7C5B">
        <w:rPr>
          <w:rFonts w:ascii="Arial Narrow" w:hAnsi="Arial Narrow" w:cs="Arial"/>
          <w:sz w:val="24"/>
          <w:szCs w:val="24"/>
        </w:rPr>
        <w:t xml:space="preserve">e taux d’accouchement assisté par un personnel de santé qualifié </w:t>
      </w:r>
      <w:r w:rsidR="007F3AD4" w:rsidRPr="007E7C5B">
        <w:rPr>
          <w:rFonts w:ascii="Arial Narrow" w:hAnsi="Arial Narrow" w:cs="Arial"/>
          <w:sz w:val="24"/>
          <w:szCs w:val="24"/>
        </w:rPr>
        <w:t>s’</w:t>
      </w:r>
      <w:r w:rsidR="0022040F" w:rsidRPr="007E7C5B">
        <w:rPr>
          <w:rFonts w:ascii="Arial Narrow" w:hAnsi="Arial Narrow" w:cs="Arial"/>
          <w:sz w:val="24"/>
          <w:szCs w:val="24"/>
        </w:rPr>
        <w:t xml:space="preserve">est </w:t>
      </w:r>
      <w:r w:rsidR="00A3522C" w:rsidRPr="007E7C5B">
        <w:rPr>
          <w:rFonts w:ascii="Arial Narrow" w:hAnsi="Arial Narrow" w:cs="Arial"/>
          <w:sz w:val="24"/>
          <w:szCs w:val="24"/>
        </w:rPr>
        <w:t xml:space="preserve">globalement </w:t>
      </w:r>
      <w:r w:rsidR="007F3AD4" w:rsidRPr="007E7C5B">
        <w:rPr>
          <w:rFonts w:ascii="Arial Narrow" w:hAnsi="Arial Narrow" w:cs="Arial"/>
          <w:sz w:val="24"/>
          <w:szCs w:val="24"/>
        </w:rPr>
        <w:t xml:space="preserve">amélioré, passant </w:t>
      </w:r>
      <w:r w:rsidR="0022040F" w:rsidRPr="007E7C5B">
        <w:rPr>
          <w:rFonts w:ascii="Arial Narrow" w:hAnsi="Arial Narrow" w:cs="Arial"/>
          <w:sz w:val="24"/>
          <w:szCs w:val="24"/>
        </w:rPr>
        <w:t xml:space="preserve">de </w:t>
      </w:r>
      <w:r w:rsidR="0022040F" w:rsidRPr="007E7C5B">
        <w:rPr>
          <w:rFonts w:ascii="Arial Narrow" w:hAnsi="Arial Narrow" w:cs="Arial"/>
          <w:sz w:val="24"/>
          <w:szCs w:val="24"/>
          <w:lang w:val="fr-CI"/>
        </w:rPr>
        <w:t xml:space="preserve">61,2% en 2011 à </w:t>
      </w:r>
      <w:r w:rsidR="0022040F" w:rsidRPr="00A918AC">
        <w:rPr>
          <w:rFonts w:ascii="Arial Narrow" w:hAnsi="Arial Narrow" w:cs="Arial"/>
          <w:sz w:val="24"/>
          <w:szCs w:val="24"/>
          <w:lang w:val="fr-CI"/>
        </w:rPr>
        <w:t>84,1%</w:t>
      </w:r>
      <w:r w:rsidR="0022040F" w:rsidRPr="007E7C5B">
        <w:rPr>
          <w:rFonts w:ascii="Arial Narrow" w:hAnsi="Arial Narrow" w:cs="Arial"/>
          <w:sz w:val="24"/>
          <w:szCs w:val="24"/>
          <w:lang w:val="fr-CI"/>
        </w:rPr>
        <w:t xml:space="preserve"> en 2021</w:t>
      </w:r>
    </w:p>
    <w:p w14:paraId="6C6F2409" w14:textId="691E0DF1" w:rsidR="0031634B" w:rsidRPr="007E7C5B" w:rsidRDefault="0022040F" w:rsidP="0022040F">
      <w:pPr>
        <w:jc w:val="both"/>
        <w:rPr>
          <w:rFonts w:ascii="Arial Narrow" w:hAnsi="Arial Narrow" w:cstheme="minorHAnsi"/>
          <w:sz w:val="24"/>
          <w:szCs w:val="24"/>
        </w:rPr>
      </w:pPr>
      <w:r w:rsidRPr="007E7C5B">
        <w:rPr>
          <w:rFonts w:ascii="Arial Narrow" w:hAnsi="Arial Narrow" w:cs="Arial"/>
          <w:sz w:val="24"/>
          <w:szCs w:val="24"/>
          <w:lang w:val="fr-CI"/>
        </w:rPr>
        <w:lastRenderedPageBreak/>
        <w:t xml:space="preserve">. </w:t>
      </w:r>
      <w:r w:rsidR="00EE775E" w:rsidRPr="007E7C5B">
        <w:rPr>
          <w:rFonts w:ascii="Arial Narrow" w:hAnsi="Arial Narrow" w:cstheme="minorHAnsi"/>
          <w:sz w:val="24"/>
          <w:szCs w:val="24"/>
        </w:rPr>
        <w:t>Dans le même sens, l</w:t>
      </w:r>
      <w:r w:rsidR="004727C1" w:rsidRPr="007E7C5B">
        <w:rPr>
          <w:rFonts w:ascii="Arial Narrow" w:hAnsi="Arial Narrow" w:cstheme="minorHAnsi"/>
          <w:sz w:val="24"/>
          <w:szCs w:val="24"/>
        </w:rPr>
        <w:t>e taux de prévalence contraceptive moderne est passé de 21% en 2020 à 2</w:t>
      </w:r>
      <w:r w:rsidR="00BB12C8" w:rsidRPr="007E7C5B">
        <w:rPr>
          <w:rFonts w:ascii="Arial Narrow" w:hAnsi="Arial Narrow" w:cstheme="minorHAnsi"/>
          <w:sz w:val="24"/>
          <w:szCs w:val="24"/>
        </w:rPr>
        <w:t>5</w:t>
      </w:r>
      <w:r w:rsidR="004727C1" w:rsidRPr="007E7C5B">
        <w:rPr>
          <w:rFonts w:ascii="Arial Narrow" w:hAnsi="Arial Narrow" w:cstheme="minorHAnsi"/>
          <w:sz w:val="24"/>
          <w:szCs w:val="24"/>
        </w:rPr>
        <w:t xml:space="preserve">% </w:t>
      </w:r>
      <w:r w:rsidR="00EC0997" w:rsidRPr="007E7C5B">
        <w:rPr>
          <w:rFonts w:ascii="Arial Narrow" w:hAnsi="Arial Narrow" w:cstheme="minorHAnsi"/>
          <w:sz w:val="24"/>
          <w:szCs w:val="24"/>
        </w:rPr>
        <w:t>au 1</w:t>
      </w:r>
      <w:r w:rsidR="00EC0997" w:rsidRPr="00A918AC">
        <w:rPr>
          <w:rFonts w:ascii="Arial Narrow" w:hAnsi="Arial Narrow" w:cstheme="minorHAnsi"/>
          <w:sz w:val="24"/>
          <w:szCs w:val="24"/>
          <w:vertAlign w:val="superscript"/>
        </w:rPr>
        <w:t>er</w:t>
      </w:r>
      <w:r w:rsidR="00EC0997" w:rsidRPr="007E7C5B">
        <w:rPr>
          <w:rFonts w:ascii="Arial Narrow" w:hAnsi="Arial Narrow" w:cstheme="minorHAnsi"/>
          <w:sz w:val="24"/>
          <w:szCs w:val="24"/>
        </w:rPr>
        <w:t xml:space="preserve"> semestre</w:t>
      </w:r>
      <w:r w:rsidR="004727C1" w:rsidRPr="007E7C5B">
        <w:rPr>
          <w:rFonts w:ascii="Arial Narrow" w:hAnsi="Arial Narrow" w:cstheme="minorHAnsi"/>
          <w:sz w:val="24"/>
          <w:szCs w:val="24"/>
        </w:rPr>
        <w:t xml:space="preserve"> 202</w:t>
      </w:r>
      <w:r w:rsidR="00BB12C8" w:rsidRPr="007E7C5B">
        <w:rPr>
          <w:rFonts w:ascii="Arial Narrow" w:hAnsi="Arial Narrow" w:cstheme="minorHAnsi"/>
          <w:sz w:val="24"/>
          <w:szCs w:val="24"/>
        </w:rPr>
        <w:t>4</w:t>
      </w:r>
      <w:r w:rsidR="004727C1" w:rsidRPr="007E7C5B">
        <w:rPr>
          <w:rFonts w:ascii="Arial Narrow" w:hAnsi="Arial Narrow" w:cstheme="minorHAnsi"/>
          <w:sz w:val="24"/>
          <w:szCs w:val="24"/>
        </w:rPr>
        <w:t>.</w:t>
      </w:r>
      <w:r w:rsidR="00CE12FE" w:rsidRPr="007E7C5B">
        <w:rPr>
          <w:rFonts w:ascii="Arial Narrow" w:hAnsi="Arial Narrow" w:cstheme="minorHAnsi"/>
          <w:sz w:val="24"/>
          <w:szCs w:val="24"/>
        </w:rPr>
        <w:t xml:space="preserve"> La proportion des besoins satisfaits en SONU </w:t>
      </w:r>
      <w:r w:rsidR="00BB12C8" w:rsidRPr="007E7C5B">
        <w:rPr>
          <w:rFonts w:ascii="Arial Narrow" w:hAnsi="Arial Narrow" w:cstheme="minorHAnsi"/>
          <w:sz w:val="24"/>
          <w:szCs w:val="24"/>
        </w:rPr>
        <w:t xml:space="preserve">a également </w:t>
      </w:r>
      <w:r w:rsidR="006C72DB" w:rsidRPr="007E7C5B">
        <w:rPr>
          <w:rFonts w:ascii="Arial Narrow" w:hAnsi="Arial Narrow" w:cstheme="minorHAnsi"/>
          <w:sz w:val="24"/>
          <w:szCs w:val="24"/>
        </w:rPr>
        <w:t>connu une hausse</w:t>
      </w:r>
      <w:r w:rsidR="00B97A7A" w:rsidRPr="007E7C5B">
        <w:rPr>
          <w:rFonts w:ascii="Arial Narrow" w:hAnsi="Arial Narrow" w:cstheme="minorHAnsi"/>
          <w:sz w:val="24"/>
          <w:szCs w:val="24"/>
        </w:rPr>
        <w:t>, de</w:t>
      </w:r>
      <w:r w:rsidR="00BB12C8" w:rsidRPr="007E7C5B">
        <w:rPr>
          <w:rFonts w:ascii="Arial Narrow" w:hAnsi="Arial Narrow" w:cstheme="minorHAnsi"/>
          <w:sz w:val="24"/>
          <w:szCs w:val="24"/>
        </w:rPr>
        <w:t xml:space="preserve"> 11,1% en 2020 à </w:t>
      </w:r>
      <w:r w:rsidR="00A72929" w:rsidRPr="007E7C5B">
        <w:rPr>
          <w:rFonts w:ascii="Arial Narrow" w:hAnsi="Arial Narrow" w:cstheme="minorHAnsi"/>
          <w:sz w:val="24"/>
          <w:szCs w:val="24"/>
        </w:rPr>
        <w:t>35</w:t>
      </w:r>
      <w:r w:rsidR="00BB12C8" w:rsidRPr="007E7C5B">
        <w:rPr>
          <w:rFonts w:ascii="Arial Narrow" w:hAnsi="Arial Narrow" w:cstheme="minorHAnsi"/>
          <w:sz w:val="24"/>
          <w:szCs w:val="24"/>
        </w:rPr>
        <w:t>% en 2023.</w:t>
      </w:r>
    </w:p>
    <w:p w14:paraId="1B86DBF9" w14:textId="58C4F1F7" w:rsidR="00E3332C" w:rsidRPr="007E7C5B" w:rsidRDefault="007956A2" w:rsidP="00E3332C">
      <w:pPr>
        <w:jc w:val="both"/>
        <w:rPr>
          <w:rFonts w:ascii="Arial Narrow" w:hAnsi="Arial Narrow" w:cs="Arial"/>
          <w:sz w:val="24"/>
          <w:szCs w:val="24"/>
        </w:rPr>
      </w:pPr>
      <w:bookmarkStart w:id="64" w:name="_Hlk185246733"/>
      <w:r w:rsidRPr="007E7C5B">
        <w:rPr>
          <w:rFonts w:ascii="Arial Narrow" w:hAnsi="Arial Narrow" w:cs="Arial"/>
          <w:sz w:val="24"/>
          <w:szCs w:val="24"/>
        </w:rPr>
        <w:t>Cependant, l</w:t>
      </w:r>
      <w:r w:rsidR="00E3332C" w:rsidRPr="007E7C5B">
        <w:rPr>
          <w:rFonts w:ascii="Arial Narrow" w:hAnsi="Arial Narrow" w:cs="Arial"/>
          <w:sz w:val="24"/>
          <w:szCs w:val="24"/>
        </w:rPr>
        <w:t xml:space="preserve">e taux de couverture en CPN4 </w:t>
      </w:r>
      <w:r w:rsidRPr="007E7C5B">
        <w:rPr>
          <w:rFonts w:ascii="Arial Narrow" w:hAnsi="Arial Narrow" w:cs="Arial"/>
          <w:sz w:val="24"/>
          <w:szCs w:val="24"/>
        </w:rPr>
        <w:t xml:space="preserve">reste faible, s’établissant à </w:t>
      </w:r>
      <w:r w:rsidR="00E3332C" w:rsidRPr="007E7C5B">
        <w:rPr>
          <w:rFonts w:ascii="Arial Narrow" w:hAnsi="Arial Narrow" w:cs="Arial"/>
          <w:sz w:val="24"/>
          <w:szCs w:val="24"/>
        </w:rPr>
        <w:t>42%</w:t>
      </w:r>
      <w:r w:rsidRPr="007E7C5B">
        <w:rPr>
          <w:rFonts w:ascii="Arial Narrow" w:hAnsi="Arial Narrow" w:cs="Arial"/>
          <w:sz w:val="24"/>
          <w:szCs w:val="24"/>
        </w:rPr>
        <w:t xml:space="preserve"> en 2023</w:t>
      </w:r>
      <w:r w:rsidR="00E3332C" w:rsidRPr="007E7C5B">
        <w:rPr>
          <w:rFonts w:ascii="Arial Narrow" w:hAnsi="Arial Narrow" w:cs="Arial"/>
          <w:sz w:val="24"/>
          <w:szCs w:val="24"/>
        </w:rPr>
        <w:t xml:space="preserve">. </w:t>
      </w:r>
      <w:r w:rsidR="00B2120A" w:rsidRPr="007E7C5B">
        <w:rPr>
          <w:rFonts w:ascii="Arial Narrow" w:hAnsi="Arial Narrow" w:cs="Arial"/>
          <w:sz w:val="24"/>
          <w:szCs w:val="24"/>
        </w:rPr>
        <w:t>Il</w:t>
      </w:r>
      <w:r w:rsidR="00E3332C" w:rsidRPr="007E7C5B">
        <w:rPr>
          <w:rFonts w:ascii="Arial Narrow" w:hAnsi="Arial Narrow" w:cs="Arial"/>
          <w:sz w:val="24"/>
          <w:szCs w:val="24"/>
        </w:rPr>
        <w:t xml:space="preserve"> reste inférieur aux prévisions (56%) du PNDS 2021-2025.</w:t>
      </w:r>
      <w:r w:rsidR="00E33227">
        <w:rPr>
          <w:rFonts w:ascii="Arial Narrow" w:hAnsi="Arial Narrow" w:cs="Arial"/>
          <w:sz w:val="24"/>
          <w:szCs w:val="24"/>
        </w:rPr>
        <w:t xml:space="preserve"> </w:t>
      </w:r>
    </w:p>
    <w:bookmarkEnd w:id="64"/>
    <w:p w14:paraId="78BDFDD1" w14:textId="6E877231" w:rsidR="00D06295" w:rsidRDefault="00D06295" w:rsidP="00761F55">
      <w:pPr>
        <w:jc w:val="both"/>
        <w:rPr>
          <w:rFonts w:ascii="Arial Narrow" w:hAnsi="Arial Narrow" w:cs="Arial"/>
          <w:sz w:val="24"/>
          <w:szCs w:val="24"/>
        </w:rPr>
      </w:pPr>
    </w:p>
    <w:p w14:paraId="6C2FAFD0" w14:textId="3FECC88B" w:rsidR="00EF0035" w:rsidRDefault="00EF0035" w:rsidP="00761F55">
      <w:pPr>
        <w:jc w:val="both"/>
        <w:rPr>
          <w:rFonts w:ascii="Arial Narrow" w:hAnsi="Arial Narrow" w:cs="Arial"/>
          <w:sz w:val="24"/>
          <w:szCs w:val="24"/>
        </w:rPr>
      </w:pPr>
      <w:r w:rsidRPr="00C6248A">
        <w:rPr>
          <w:rFonts w:ascii="Arial Narrow" w:hAnsi="Arial Narrow" w:cs="Arial"/>
          <w:noProof/>
          <w:sz w:val="24"/>
          <w:szCs w:val="24"/>
        </w:rPr>
        <w:drawing>
          <wp:inline distT="0" distB="0" distL="0" distR="0" wp14:anchorId="4EF85981" wp14:editId="288E8E92">
            <wp:extent cx="2819400" cy="2286000"/>
            <wp:effectExtent l="0" t="0" r="0" b="0"/>
            <wp:docPr id="916268406" name="Chart 1">
              <a:extLst xmlns:a="http://schemas.openxmlformats.org/drawingml/2006/main">
                <a:ext uri="{FF2B5EF4-FFF2-40B4-BE49-F238E27FC236}">
                  <a16:creationId xmlns:a16="http://schemas.microsoft.com/office/drawing/2014/main" id="{5B3D0E9E-88FC-383D-B55A-B535BCB550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Pr>
          <w:noProof/>
        </w:rPr>
        <w:t xml:space="preserve">           </w:t>
      </w:r>
      <w:r w:rsidRPr="00EF0035">
        <w:rPr>
          <w:noProof/>
        </w:rPr>
        <w:t xml:space="preserve"> </w:t>
      </w:r>
      <w:r w:rsidRPr="002A386F">
        <w:rPr>
          <w:noProof/>
        </w:rPr>
        <w:drawing>
          <wp:inline distT="0" distB="0" distL="0" distR="0" wp14:anchorId="6BC1957F" wp14:editId="7C910A2A">
            <wp:extent cx="2603500" cy="2279650"/>
            <wp:effectExtent l="0" t="0" r="6350" b="6350"/>
            <wp:docPr id="676248054" name="Chart 1">
              <a:extLst xmlns:a="http://schemas.openxmlformats.org/drawingml/2006/main">
                <a:ext uri="{FF2B5EF4-FFF2-40B4-BE49-F238E27FC236}">
                  <a16:creationId xmlns:a16="http://schemas.microsoft.com/office/drawing/2014/main" id="{442778C4-9233-30A0-DE8B-48E1F7CF23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D4A4F39" w14:textId="77777777" w:rsidR="00EF0035" w:rsidRDefault="00EF0035" w:rsidP="00761F55">
      <w:pPr>
        <w:jc w:val="both"/>
        <w:rPr>
          <w:rFonts w:ascii="Arial Narrow" w:hAnsi="Arial Narrow" w:cs="Arial"/>
          <w:b/>
          <w:bCs/>
          <w:sz w:val="24"/>
          <w:szCs w:val="24"/>
        </w:rPr>
      </w:pPr>
    </w:p>
    <w:p w14:paraId="395393CC" w14:textId="2C0A7D52" w:rsidR="00641972" w:rsidRPr="007E7C5B" w:rsidRDefault="000A5813" w:rsidP="00761F55">
      <w:pPr>
        <w:jc w:val="both"/>
        <w:rPr>
          <w:rFonts w:ascii="Arial Narrow" w:hAnsi="Arial Narrow" w:cs="Arial"/>
          <w:sz w:val="24"/>
          <w:szCs w:val="24"/>
        </w:rPr>
      </w:pPr>
      <w:r w:rsidRPr="007E7C5B">
        <w:rPr>
          <w:rFonts w:ascii="Arial Narrow" w:hAnsi="Arial Narrow" w:cs="Arial"/>
          <w:b/>
          <w:bCs/>
          <w:sz w:val="24"/>
          <w:szCs w:val="24"/>
        </w:rPr>
        <w:t>Concernant le renforcement de l</w:t>
      </w:r>
      <w:r w:rsidRPr="007E7C5B">
        <w:rPr>
          <w:rFonts w:ascii="Arial Narrow" w:eastAsia="Calibri" w:hAnsi="Arial Narrow" w:cs="Calibri"/>
          <w:b/>
          <w:bCs/>
          <w:color w:val="000000" w:themeColor="text1"/>
          <w:sz w:val="24"/>
          <w:szCs w:val="24"/>
        </w:rPr>
        <w:t>'offre de service de santé du nouveau-né et de l'enfant</w:t>
      </w:r>
      <w:r w:rsidRPr="00A918AC">
        <w:rPr>
          <w:rFonts w:ascii="Arial Narrow" w:eastAsia="Calibri" w:hAnsi="Arial Narrow" w:cs="Calibri"/>
          <w:b/>
          <w:color w:val="000000" w:themeColor="text1"/>
          <w:sz w:val="24"/>
          <w:szCs w:val="24"/>
        </w:rPr>
        <w:t>,</w:t>
      </w:r>
      <w:r w:rsidRPr="007E7C5B">
        <w:rPr>
          <w:rFonts w:ascii="Arial Narrow" w:eastAsia="Calibri" w:hAnsi="Arial Narrow" w:cs="Calibri"/>
          <w:color w:val="000000" w:themeColor="text1"/>
          <w:sz w:val="24"/>
          <w:szCs w:val="24"/>
        </w:rPr>
        <w:t xml:space="preserve"> </w:t>
      </w:r>
      <w:r w:rsidR="00550EDB" w:rsidRPr="007E7C5B">
        <w:rPr>
          <w:rFonts w:ascii="Arial Narrow" w:eastAsia="Calibri" w:hAnsi="Arial Narrow" w:cs="Calibri"/>
          <w:color w:val="000000" w:themeColor="text1"/>
          <w:sz w:val="24"/>
          <w:szCs w:val="24"/>
        </w:rPr>
        <w:t xml:space="preserve">l’approche des </w:t>
      </w:r>
      <w:r w:rsidR="00A11C21" w:rsidRPr="007E7C5B">
        <w:rPr>
          <w:rFonts w:ascii="Arial Narrow" w:eastAsia="Calibri" w:hAnsi="Arial Narrow" w:cs="Calibri"/>
          <w:color w:val="000000" w:themeColor="text1"/>
          <w:sz w:val="24"/>
          <w:szCs w:val="24"/>
        </w:rPr>
        <w:t xml:space="preserve">Soins Mère-Kangourou (SMK) a été adoptée avec </w:t>
      </w:r>
      <w:r w:rsidR="001F2665" w:rsidRPr="00A918AC">
        <w:rPr>
          <w:rFonts w:ascii="Arial Narrow" w:eastAsia="Calibri" w:hAnsi="Arial Narrow" w:cs="Calibri"/>
          <w:i/>
          <w:color w:val="000000" w:themeColor="text1"/>
          <w:sz w:val="24"/>
          <w:szCs w:val="24"/>
        </w:rPr>
        <w:t>(i)</w:t>
      </w:r>
      <w:r w:rsidR="001F2665" w:rsidRPr="007E7C5B">
        <w:rPr>
          <w:rFonts w:ascii="Arial Narrow" w:eastAsia="Calibri" w:hAnsi="Arial Narrow" w:cs="Calibri"/>
          <w:color w:val="000000" w:themeColor="text1"/>
          <w:sz w:val="24"/>
          <w:szCs w:val="24"/>
        </w:rPr>
        <w:t xml:space="preserve"> </w:t>
      </w:r>
      <w:r w:rsidR="00A11C21" w:rsidRPr="007E7C5B">
        <w:rPr>
          <w:rFonts w:ascii="Arial Narrow" w:eastAsia="Calibri" w:hAnsi="Arial Narrow" w:cs="Calibri"/>
          <w:color w:val="000000" w:themeColor="text1"/>
          <w:sz w:val="24"/>
          <w:szCs w:val="24"/>
        </w:rPr>
        <w:t xml:space="preserve">l’implantation de </w:t>
      </w:r>
      <w:r w:rsidR="00C6387A" w:rsidRPr="007E7C5B">
        <w:rPr>
          <w:rFonts w:ascii="Arial Narrow" w:hAnsi="Arial Narrow" w:cs="Arial"/>
          <w:sz w:val="24"/>
          <w:szCs w:val="24"/>
        </w:rPr>
        <w:t>1</w:t>
      </w:r>
      <w:r w:rsidR="6923A871" w:rsidRPr="007E7C5B">
        <w:rPr>
          <w:rFonts w:ascii="Arial Narrow" w:eastAsia="Calibri" w:hAnsi="Arial Narrow" w:cs="Calibri"/>
          <w:color w:val="000000" w:themeColor="text1"/>
          <w:sz w:val="24"/>
          <w:szCs w:val="24"/>
        </w:rPr>
        <w:t>5</w:t>
      </w:r>
      <w:r w:rsidR="6923A871" w:rsidRPr="007E7C5B" w:rsidDel="0051184B">
        <w:rPr>
          <w:rFonts w:ascii="Arial Narrow" w:eastAsia="Calibri" w:hAnsi="Arial Narrow" w:cs="Calibri"/>
          <w:sz w:val="24"/>
          <w:szCs w:val="24"/>
        </w:rPr>
        <w:t xml:space="preserve"> </w:t>
      </w:r>
      <w:r w:rsidR="0051184B" w:rsidRPr="00A918AC">
        <w:rPr>
          <w:rFonts w:ascii="Arial Narrow" w:eastAsia="Calibri" w:hAnsi="Arial Narrow" w:cs="Calibri"/>
          <w:sz w:val="24"/>
          <w:szCs w:val="24"/>
        </w:rPr>
        <w:t>u</w:t>
      </w:r>
      <w:r w:rsidR="0051184B" w:rsidRPr="00A918AC">
        <w:rPr>
          <w:rFonts w:ascii="Arial Narrow" w:hAnsi="Arial Narrow" w:cs="Arial"/>
          <w:sz w:val="24"/>
          <w:szCs w:val="24"/>
        </w:rPr>
        <w:t xml:space="preserve">nités de SMK </w:t>
      </w:r>
      <w:r w:rsidR="6923A871" w:rsidRPr="007E7C5B">
        <w:rPr>
          <w:rFonts w:ascii="Arial Narrow" w:hAnsi="Arial Narrow" w:cs="Arial"/>
          <w:sz w:val="24"/>
          <w:szCs w:val="24"/>
        </w:rPr>
        <w:t xml:space="preserve">dans </w:t>
      </w:r>
      <w:r w:rsidR="00A602F5" w:rsidRPr="007E7C5B">
        <w:rPr>
          <w:rFonts w:ascii="Arial Narrow" w:hAnsi="Arial Narrow" w:cs="Arial"/>
          <w:sz w:val="24"/>
          <w:szCs w:val="24"/>
        </w:rPr>
        <w:t xml:space="preserve">des </w:t>
      </w:r>
      <w:r w:rsidR="6923A871" w:rsidRPr="007E7C5B">
        <w:rPr>
          <w:rFonts w:ascii="Arial Narrow" w:hAnsi="Arial Narrow" w:cs="Arial"/>
          <w:sz w:val="24"/>
          <w:szCs w:val="24"/>
        </w:rPr>
        <w:t>établissements de santé</w:t>
      </w:r>
      <w:r w:rsidR="001F2665" w:rsidRPr="007E7C5B">
        <w:rPr>
          <w:rFonts w:ascii="Arial Narrow" w:hAnsi="Arial Narrow" w:cs="Arial"/>
          <w:sz w:val="24"/>
          <w:szCs w:val="24"/>
        </w:rPr>
        <w:t> ;</w:t>
      </w:r>
      <w:r w:rsidR="00595519" w:rsidRPr="007E7C5B">
        <w:rPr>
          <w:rFonts w:ascii="Arial Narrow" w:hAnsi="Arial Narrow" w:cs="Arial"/>
          <w:sz w:val="24"/>
          <w:szCs w:val="24"/>
        </w:rPr>
        <w:t> </w:t>
      </w:r>
      <w:r w:rsidR="001F2665" w:rsidRPr="00A918AC">
        <w:rPr>
          <w:rFonts w:ascii="Arial Narrow" w:hAnsi="Arial Narrow" w:cs="Arial"/>
          <w:i/>
          <w:sz w:val="24"/>
          <w:szCs w:val="24"/>
        </w:rPr>
        <w:t>(ii)</w:t>
      </w:r>
      <w:r w:rsidR="005D7F3F" w:rsidRPr="007E7C5B">
        <w:rPr>
          <w:rFonts w:ascii="Arial Narrow" w:hAnsi="Arial Narrow" w:cs="Arial"/>
          <w:sz w:val="24"/>
          <w:szCs w:val="24"/>
        </w:rPr>
        <w:t> </w:t>
      </w:r>
      <w:r w:rsidR="002B005C" w:rsidRPr="007E7C5B">
        <w:rPr>
          <w:rFonts w:ascii="Arial Narrow" w:hAnsi="Arial Narrow" w:cs="Arial"/>
          <w:sz w:val="24"/>
          <w:szCs w:val="24"/>
        </w:rPr>
        <w:t>la formation de</w:t>
      </w:r>
      <w:r w:rsidR="00595519" w:rsidRPr="007E7C5B">
        <w:rPr>
          <w:rFonts w:ascii="Arial Narrow" w:hAnsi="Arial Narrow" w:cs="Arial"/>
          <w:sz w:val="24"/>
          <w:szCs w:val="24"/>
        </w:rPr>
        <w:t> </w:t>
      </w:r>
      <w:r w:rsidR="6F2A8CD5" w:rsidRPr="007E7C5B">
        <w:rPr>
          <w:rFonts w:ascii="Arial Narrow" w:hAnsi="Arial Narrow" w:cs="Arial"/>
          <w:sz w:val="24"/>
          <w:szCs w:val="24"/>
        </w:rPr>
        <w:t>96 coordonnatrices SME, 1</w:t>
      </w:r>
      <w:r w:rsidR="00D25D42" w:rsidRPr="007E7C5B">
        <w:rPr>
          <w:rFonts w:ascii="Arial Narrow" w:hAnsi="Arial Narrow" w:cs="Arial"/>
          <w:sz w:val="24"/>
          <w:szCs w:val="24"/>
        </w:rPr>
        <w:t xml:space="preserve"> </w:t>
      </w:r>
      <w:r w:rsidR="6F2A8CD5" w:rsidRPr="007E7C5B">
        <w:rPr>
          <w:rFonts w:ascii="Arial Narrow" w:hAnsi="Arial Narrow" w:cs="Arial"/>
          <w:sz w:val="24"/>
          <w:szCs w:val="24"/>
        </w:rPr>
        <w:t>138 prestataires de santé de 48 districts sanitaires et 22</w:t>
      </w:r>
      <w:r w:rsidR="004E0340">
        <w:rPr>
          <w:rFonts w:ascii="Arial Narrow" w:hAnsi="Arial Narrow" w:cs="Arial"/>
          <w:sz w:val="24"/>
          <w:szCs w:val="24"/>
        </w:rPr>
        <w:t> </w:t>
      </w:r>
      <w:r w:rsidR="6F2A8CD5" w:rsidRPr="007E7C5B">
        <w:rPr>
          <w:rFonts w:ascii="Arial Narrow" w:hAnsi="Arial Narrow" w:cs="Arial"/>
          <w:sz w:val="24"/>
          <w:szCs w:val="24"/>
        </w:rPr>
        <w:t>encadreurs de l’INFAS d’Abidjan</w:t>
      </w:r>
      <w:r w:rsidR="00140220" w:rsidRPr="007E7C5B">
        <w:rPr>
          <w:rFonts w:ascii="Arial Narrow" w:hAnsi="Arial Narrow" w:cs="Arial"/>
          <w:sz w:val="24"/>
          <w:szCs w:val="24"/>
        </w:rPr>
        <w:t> ;</w:t>
      </w:r>
      <w:r w:rsidR="6F2A8CD5" w:rsidRPr="007E7C5B">
        <w:rPr>
          <w:rFonts w:ascii="Arial Narrow" w:hAnsi="Arial Narrow" w:cs="Arial"/>
          <w:sz w:val="24"/>
          <w:szCs w:val="24"/>
        </w:rPr>
        <w:t xml:space="preserve"> </w:t>
      </w:r>
      <w:r w:rsidR="00140220" w:rsidRPr="00A918AC">
        <w:rPr>
          <w:rFonts w:ascii="Arial Narrow" w:hAnsi="Arial Narrow" w:cs="Arial"/>
          <w:i/>
          <w:sz w:val="24"/>
          <w:szCs w:val="24"/>
        </w:rPr>
        <w:t>(iii)</w:t>
      </w:r>
      <w:r w:rsidR="00140220" w:rsidRPr="007E7C5B">
        <w:rPr>
          <w:rFonts w:ascii="Arial Narrow" w:hAnsi="Arial Narrow" w:cs="Arial"/>
          <w:sz w:val="24"/>
          <w:szCs w:val="24"/>
        </w:rPr>
        <w:t xml:space="preserve"> la formation de</w:t>
      </w:r>
      <w:r w:rsidR="6F2A8CD5" w:rsidRPr="007E7C5B">
        <w:rPr>
          <w:rFonts w:ascii="Arial Narrow" w:hAnsi="Arial Narrow" w:cs="Arial"/>
          <w:sz w:val="24"/>
          <w:szCs w:val="24"/>
        </w:rPr>
        <w:t xml:space="preserve"> 13 partenaires communautaires pour le suivi des nouveau-nés dans la communauté. </w:t>
      </w:r>
      <w:r w:rsidR="00C930D8" w:rsidRPr="007E7C5B">
        <w:rPr>
          <w:rFonts w:ascii="Arial Narrow" w:hAnsi="Arial Narrow" w:cs="Arial"/>
          <w:sz w:val="24"/>
          <w:szCs w:val="24"/>
        </w:rPr>
        <w:t>D</w:t>
      </w:r>
      <w:r w:rsidR="00B3149F" w:rsidRPr="007E7C5B">
        <w:rPr>
          <w:rFonts w:ascii="Arial Narrow" w:hAnsi="Arial Narrow" w:cs="Arial"/>
          <w:sz w:val="24"/>
          <w:szCs w:val="24"/>
        </w:rPr>
        <w:t xml:space="preserve">ans le cadre des SONU, </w:t>
      </w:r>
      <w:r w:rsidR="00E647A4" w:rsidRPr="007E7C5B">
        <w:rPr>
          <w:rFonts w:ascii="Arial Narrow" w:hAnsi="Arial Narrow" w:cs="Arial"/>
          <w:sz w:val="24"/>
          <w:szCs w:val="24"/>
        </w:rPr>
        <w:t xml:space="preserve">les prestataires </w:t>
      </w:r>
      <w:r w:rsidR="00A219B5" w:rsidRPr="007E7C5B">
        <w:rPr>
          <w:rFonts w:ascii="Arial Narrow" w:hAnsi="Arial Narrow" w:cs="Arial"/>
          <w:sz w:val="24"/>
          <w:szCs w:val="24"/>
        </w:rPr>
        <w:t xml:space="preserve">ont été coachés à </w:t>
      </w:r>
      <w:r w:rsidR="005F0CC8" w:rsidRPr="007E7C5B">
        <w:rPr>
          <w:rFonts w:ascii="Arial Narrow" w:hAnsi="Arial Narrow" w:cs="Arial"/>
          <w:sz w:val="24"/>
          <w:szCs w:val="24"/>
        </w:rPr>
        <w:t xml:space="preserve">l’utilisation de la ventouse, </w:t>
      </w:r>
      <w:r w:rsidR="00A219B5" w:rsidRPr="007E7C5B">
        <w:rPr>
          <w:rFonts w:ascii="Arial Narrow" w:hAnsi="Arial Narrow" w:cs="Arial"/>
          <w:sz w:val="24"/>
          <w:szCs w:val="24"/>
        </w:rPr>
        <w:t>à l’</w:t>
      </w:r>
      <w:r w:rsidR="005F0CC8" w:rsidRPr="007E7C5B">
        <w:rPr>
          <w:rFonts w:ascii="Arial Narrow" w:hAnsi="Arial Narrow" w:cs="Arial"/>
          <w:sz w:val="24"/>
          <w:szCs w:val="24"/>
        </w:rPr>
        <w:t>AMIU</w:t>
      </w:r>
      <w:r w:rsidR="00AF2C52" w:rsidRPr="007E7C5B">
        <w:rPr>
          <w:rFonts w:ascii="Arial Narrow" w:hAnsi="Arial Narrow" w:cs="Arial"/>
          <w:sz w:val="24"/>
          <w:szCs w:val="24"/>
        </w:rPr>
        <w:t xml:space="preserve"> et</w:t>
      </w:r>
      <w:r w:rsidR="005F0CC8" w:rsidRPr="007E7C5B">
        <w:rPr>
          <w:rFonts w:ascii="Arial Narrow" w:hAnsi="Arial Narrow" w:cs="Arial"/>
          <w:sz w:val="24"/>
          <w:szCs w:val="24"/>
        </w:rPr>
        <w:t xml:space="preserve"> </w:t>
      </w:r>
      <w:r w:rsidR="0032216C" w:rsidRPr="007E7C5B">
        <w:rPr>
          <w:rFonts w:ascii="Arial Narrow" w:hAnsi="Arial Narrow" w:cs="Arial"/>
          <w:sz w:val="24"/>
          <w:szCs w:val="24"/>
        </w:rPr>
        <w:t>à l’</w:t>
      </w:r>
      <w:proofErr w:type="spellStart"/>
      <w:r w:rsidR="005F0CC8" w:rsidRPr="007E7C5B">
        <w:rPr>
          <w:rFonts w:ascii="Arial Narrow" w:hAnsi="Arial Narrow" w:cs="Arial"/>
          <w:sz w:val="24"/>
          <w:szCs w:val="24"/>
        </w:rPr>
        <w:t>Ambu</w:t>
      </w:r>
      <w:proofErr w:type="spellEnd"/>
      <w:r w:rsidR="005F0CC8" w:rsidRPr="007E7C5B">
        <w:rPr>
          <w:rFonts w:ascii="Arial Narrow" w:hAnsi="Arial Narrow" w:cs="Arial"/>
          <w:sz w:val="24"/>
          <w:szCs w:val="24"/>
        </w:rPr>
        <w:t xml:space="preserve"> bac</w:t>
      </w:r>
      <w:r w:rsidR="00127573" w:rsidRPr="007E7C5B">
        <w:rPr>
          <w:rFonts w:ascii="Arial Narrow" w:hAnsi="Arial Narrow" w:cs="Arial"/>
          <w:sz w:val="24"/>
          <w:szCs w:val="24"/>
        </w:rPr>
        <w:t>.</w:t>
      </w:r>
      <w:r w:rsidR="00B30C80" w:rsidRPr="007E7C5B">
        <w:rPr>
          <w:rFonts w:ascii="Arial Narrow" w:hAnsi="Arial Narrow" w:cs="Arial"/>
          <w:sz w:val="24"/>
          <w:szCs w:val="24"/>
        </w:rPr>
        <w:t xml:space="preserve"> De plus, 2 EPHN, 8 EPHR et 21 EPHD ont été dotés en matériel et équipement d'oxygénation.</w:t>
      </w:r>
      <w:r w:rsidR="00127573" w:rsidRPr="007E7C5B">
        <w:rPr>
          <w:rFonts w:ascii="Arial Narrow" w:hAnsi="Arial Narrow" w:cs="Arial"/>
          <w:sz w:val="24"/>
          <w:szCs w:val="24"/>
        </w:rPr>
        <w:t xml:space="preserve"> </w:t>
      </w:r>
      <w:r w:rsidR="6F2A8CD5" w:rsidRPr="007E7C5B">
        <w:rPr>
          <w:rFonts w:ascii="Arial Narrow" w:hAnsi="Arial Narrow" w:cs="Arial"/>
          <w:sz w:val="24"/>
          <w:szCs w:val="24"/>
        </w:rPr>
        <w:t>L</w:t>
      </w:r>
      <w:r w:rsidR="00944513" w:rsidRPr="007E7C5B">
        <w:rPr>
          <w:rFonts w:ascii="Arial Narrow" w:hAnsi="Arial Narrow" w:cs="Arial"/>
          <w:sz w:val="24"/>
          <w:szCs w:val="24"/>
        </w:rPr>
        <w:t>a mise en œuvre de ces interventions</w:t>
      </w:r>
      <w:r w:rsidR="6F2A8CD5" w:rsidRPr="007E7C5B">
        <w:rPr>
          <w:rFonts w:ascii="Arial Narrow" w:hAnsi="Arial Narrow" w:cs="Arial"/>
          <w:sz w:val="24"/>
          <w:szCs w:val="24"/>
        </w:rPr>
        <w:t xml:space="preserve"> </w:t>
      </w:r>
      <w:r w:rsidR="00944513" w:rsidRPr="007E7C5B">
        <w:rPr>
          <w:rFonts w:ascii="Arial Narrow" w:hAnsi="Arial Narrow" w:cs="Arial"/>
          <w:sz w:val="24"/>
          <w:szCs w:val="24"/>
        </w:rPr>
        <w:t>a</w:t>
      </w:r>
      <w:r w:rsidR="6F2A8CD5" w:rsidRPr="007E7C5B">
        <w:rPr>
          <w:rFonts w:ascii="Arial Narrow" w:hAnsi="Arial Narrow" w:cs="Arial"/>
          <w:sz w:val="24"/>
          <w:szCs w:val="24"/>
        </w:rPr>
        <w:t xml:space="preserve"> permis de sauver 3</w:t>
      </w:r>
      <w:r w:rsidR="00454438" w:rsidRPr="007E7C5B">
        <w:rPr>
          <w:rFonts w:ascii="Arial Narrow" w:hAnsi="Arial Narrow" w:cs="Arial"/>
          <w:sz w:val="24"/>
          <w:szCs w:val="24"/>
        </w:rPr>
        <w:t xml:space="preserve"> </w:t>
      </w:r>
      <w:r w:rsidR="6F2A8CD5" w:rsidRPr="007E7C5B">
        <w:rPr>
          <w:rFonts w:ascii="Arial Narrow" w:hAnsi="Arial Narrow" w:cs="Arial"/>
          <w:sz w:val="24"/>
          <w:szCs w:val="24"/>
        </w:rPr>
        <w:t>888 bébés sur 4</w:t>
      </w:r>
      <w:r w:rsidR="00454438" w:rsidRPr="007E7C5B">
        <w:rPr>
          <w:rFonts w:ascii="Arial Narrow" w:hAnsi="Arial Narrow" w:cs="Arial"/>
          <w:sz w:val="24"/>
          <w:szCs w:val="24"/>
        </w:rPr>
        <w:t xml:space="preserve"> </w:t>
      </w:r>
      <w:r w:rsidR="6F2A8CD5" w:rsidRPr="007E7C5B">
        <w:rPr>
          <w:rFonts w:ascii="Arial Narrow" w:hAnsi="Arial Narrow" w:cs="Arial"/>
          <w:sz w:val="24"/>
          <w:szCs w:val="24"/>
        </w:rPr>
        <w:t>278 accueillis, soit un taux de succès de 91</w:t>
      </w:r>
      <w:r w:rsidR="76FA9308" w:rsidRPr="007E7C5B">
        <w:rPr>
          <w:rFonts w:ascii="Arial Narrow" w:hAnsi="Arial Narrow" w:cs="Arial"/>
          <w:sz w:val="24"/>
          <w:szCs w:val="24"/>
        </w:rPr>
        <w:t>%</w:t>
      </w:r>
      <w:r w:rsidR="05748203" w:rsidRPr="007E7C5B">
        <w:rPr>
          <w:rFonts w:ascii="Arial Narrow" w:hAnsi="Arial Narrow" w:cs="Arial"/>
          <w:sz w:val="24"/>
          <w:szCs w:val="24"/>
        </w:rPr>
        <w:t>.</w:t>
      </w:r>
    </w:p>
    <w:p w14:paraId="42C44F8C" w14:textId="5C04AD07" w:rsidR="000F0061" w:rsidRDefault="000F0061" w:rsidP="00761F55">
      <w:pPr>
        <w:jc w:val="both"/>
        <w:rPr>
          <w:rFonts w:ascii="Arial Narrow" w:hAnsi="Arial Narrow" w:cs="Times New Roman"/>
          <w:sz w:val="24"/>
          <w:szCs w:val="24"/>
        </w:rPr>
      </w:pPr>
      <w:r w:rsidRPr="007E7C5B">
        <w:rPr>
          <w:rFonts w:ascii="Arial Narrow" w:hAnsi="Arial Narrow" w:cs="Arial"/>
          <w:sz w:val="24"/>
          <w:szCs w:val="24"/>
        </w:rPr>
        <w:t xml:space="preserve">De plus, on compte à l’actif des actions pour le renforcement de la santé infantile : </w:t>
      </w:r>
      <w:r w:rsidR="002504B7" w:rsidRPr="00A918AC">
        <w:rPr>
          <w:rFonts w:ascii="Arial Narrow" w:hAnsi="Arial Narrow" w:cs="Arial"/>
          <w:i/>
          <w:sz w:val="24"/>
          <w:szCs w:val="24"/>
        </w:rPr>
        <w:t>(</w:t>
      </w:r>
      <w:r w:rsidRPr="00A918AC">
        <w:rPr>
          <w:rFonts w:ascii="Arial Narrow" w:hAnsi="Arial Narrow" w:cs="Arial"/>
          <w:i/>
          <w:sz w:val="24"/>
          <w:szCs w:val="24"/>
        </w:rPr>
        <w:t>i)</w:t>
      </w:r>
      <w:r w:rsidRPr="007E7C5B">
        <w:rPr>
          <w:rFonts w:ascii="Arial Narrow" w:hAnsi="Arial Narrow" w:cs="Arial"/>
          <w:sz w:val="24"/>
          <w:szCs w:val="24"/>
        </w:rPr>
        <w:t xml:space="preserve"> la révision de l’algorithme de prise en charge des maladies du nouveau-né et de l’enfant (livret de tableau PCIMNE)</w:t>
      </w:r>
      <w:r w:rsidR="009C4719" w:rsidRPr="007E7C5B">
        <w:rPr>
          <w:rFonts w:ascii="Arial Narrow" w:hAnsi="Arial Narrow" w:cs="Arial"/>
          <w:sz w:val="24"/>
          <w:szCs w:val="24"/>
        </w:rPr>
        <w:t> ;</w:t>
      </w:r>
      <w:r w:rsidR="00AD5510" w:rsidRPr="007E7C5B">
        <w:rPr>
          <w:rFonts w:ascii="Arial Narrow" w:hAnsi="Arial Narrow" w:cs="Arial"/>
          <w:sz w:val="24"/>
          <w:szCs w:val="24"/>
        </w:rPr>
        <w:t xml:space="preserve"> </w:t>
      </w:r>
      <w:r w:rsidR="00AD5510" w:rsidRPr="00A918AC">
        <w:rPr>
          <w:rFonts w:ascii="Arial Narrow" w:hAnsi="Arial Narrow" w:cs="Arial"/>
          <w:i/>
          <w:sz w:val="24"/>
          <w:szCs w:val="24"/>
        </w:rPr>
        <w:t>(</w:t>
      </w:r>
      <w:r w:rsidRPr="00A918AC">
        <w:rPr>
          <w:rFonts w:ascii="Arial Narrow" w:hAnsi="Arial Narrow" w:cs="Arial"/>
          <w:i/>
          <w:sz w:val="24"/>
          <w:szCs w:val="24"/>
        </w:rPr>
        <w:t>ii)</w:t>
      </w:r>
      <w:r w:rsidRPr="007E7C5B">
        <w:rPr>
          <w:rFonts w:ascii="Arial Narrow" w:hAnsi="Arial Narrow" w:cs="Arial"/>
          <w:sz w:val="24"/>
          <w:szCs w:val="24"/>
        </w:rPr>
        <w:t xml:space="preserve"> le renforcement de la capacité des agents de santé à la PCIMNE clinique avec l’outil </w:t>
      </w:r>
      <w:r w:rsidRPr="00A918AC">
        <w:rPr>
          <w:rFonts w:ascii="Arial Narrow" w:hAnsi="Arial Narrow" w:cs="Arial"/>
          <w:sz w:val="24"/>
          <w:szCs w:val="24"/>
        </w:rPr>
        <w:t>ICATT</w:t>
      </w:r>
      <w:r w:rsidR="009C4719" w:rsidRPr="007E7C5B">
        <w:rPr>
          <w:rFonts w:ascii="Arial Narrow" w:hAnsi="Arial Narrow" w:cs="Arial"/>
          <w:b/>
          <w:sz w:val="24"/>
          <w:szCs w:val="24"/>
        </w:rPr>
        <w:t> </w:t>
      </w:r>
      <w:r w:rsidR="009C4719" w:rsidRPr="00A918AC">
        <w:rPr>
          <w:rFonts w:ascii="Arial Narrow" w:hAnsi="Arial Narrow" w:cs="Arial"/>
          <w:bCs/>
          <w:sz w:val="24"/>
          <w:szCs w:val="24"/>
        </w:rPr>
        <w:t>;</w:t>
      </w:r>
      <w:r w:rsidRPr="007E7C5B">
        <w:rPr>
          <w:rFonts w:ascii="Arial Narrow" w:hAnsi="Arial Narrow" w:cs="Arial"/>
          <w:b/>
          <w:sz w:val="24"/>
          <w:szCs w:val="24"/>
        </w:rPr>
        <w:t xml:space="preserve"> </w:t>
      </w:r>
      <w:r w:rsidR="00AD5510" w:rsidRPr="00A918AC">
        <w:rPr>
          <w:rFonts w:ascii="Arial Narrow" w:hAnsi="Arial Narrow" w:cs="Arial"/>
          <w:i/>
          <w:sz w:val="24"/>
          <w:szCs w:val="24"/>
        </w:rPr>
        <w:t>(</w:t>
      </w:r>
      <w:r w:rsidRPr="00A918AC">
        <w:rPr>
          <w:rFonts w:ascii="Arial Narrow" w:hAnsi="Arial Narrow" w:cs="Arial"/>
          <w:i/>
          <w:sz w:val="24"/>
          <w:szCs w:val="24"/>
        </w:rPr>
        <w:t>iii)</w:t>
      </w:r>
      <w:r w:rsidRPr="007E7C5B">
        <w:rPr>
          <w:rFonts w:ascii="Arial Narrow" w:hAnsi="Arial Narrow" w:cs="Arial"/>
          <w:b/>
          <w:sz w:val="24"/>
          <w:szCs w:val="24"/>
        </w:rPr>
        <w:t xml:space="preserve"> </w:t>
      </w:r>
      <w:r w:rsidR="009C4719" w:rsidRPr="00A918AC">
        <w:rPr>
          <w:rFonts w:ascii="Arial Narrow" w:hAnsi="Arial Narrow" w:cs="Arial"/>
          <w:sz w:val="24"/>
          <w:szCs w:val="24"/>
        </w:rPr>
        <w:t>le</w:t>
      </w:r>
      <w:r w:rsidR="009C4719" w:rsidRPr="007E7C5B">
        <w:rPr>
          <w:rFonts w:ascii="Arial Narrow" w:hAnsi="Arial Narrow" w:cs="Arial"/>
          <w:b/>
          <w:sz w:val="24"/>
          <w:szCs w:val="24"/>
        </w:rPr>
        <w:t xml:space="preserve"> </w:t>
      </w:r>
      <w:r w:rsidRPr="007E7C5B">
        <w:rPr>
          <w:rFonts w:ascii="Arial Narrow" w:hAnsi="Arial Narrow" w:cs="Arial"/>
          <w:sz w:val="24"/>
          <w:szCs w:val="24"/>
        </w:rPr>
        <w:t>suivi régulier des interventions de Santé Maternelle Néonatale et Infantile (SMNI) au niveau communautaire</w:t>
      </w:r>
      <w:r w:rsidRPr="007E7C5B">
        <w:rPr>
          <w:rFonts w:ascii="Arial Narrow" w:hAnsi="Arial Narrow" w:cs="Times New Roman"/>
          <w:sz w:val="24"/>
          <w:szCs w:val="24"/>
        </w:rPr>
        <w:t>.</w:t>
      </w:r>
    </w:p>
    <w:p w14:paraId="1AA7BF80" w14:textId="55F49B1D" w:rsidR="005B6A0C" w:rsidRPr="007E7C5B" w:rsidRDefault="00FA7C5C" w:rsidP="005B6A0C">
      <w:pPr>
        <w:jc w:val="both"/>
        <w:rPr>
          <w:rFonts w:ascii="Arial Narrow" w:hAnsi="Arial Narrow" w:cs="Arial"/>
          <w:sz w:val="24"/>
          <w:szCs w:val="24"/>
        </w:rPr>
      </w:pPr>
      <w:r>
        <w:rPr>
          <w:rFonts w:ascii="Arial Narrow" w:eastAsia="Calibri" w:hAnsi="Arial Narrow" w:cs="Calibri"/>
          <w:color w:val="000000" w:themeColor="text1"/>
          <w:sz w:val="24"/>
          <w:szCs w:val="24"/>
        </w:rPr>
        <w:t xml:space="preserve">Ces interventions ont contribué à </w:t>
      </w:r>
      <w:r w:rsidR="00CB5A7E">
        <w:rPr>
          <w:rFonts w:ascii="Arial Narrow" w:eastAsia="Calibri" w:hAnsi="Arial Narrow" w:cs="Calibri"/>
          <w:color w:val="000000" w:themeColor="text1"/>
          <w:sz w:val="24"/>
          <w:szCs w:val="24"/>
        </w:rPr>
        <w:t>réduire</w:t>
      </w:r>
      <w:r w:rsidRPr="007E7C5B">
        <w:rPr>
          <w:rFonts w:ascii="Arial Narrow" w:eastAsia="Calibri" w:hAnsi="Arial Narrow" w:cs="Calibri"/>
          <w:color w:val="000000" w:themeColor="text1"/>
          <w:sz w:val="24"/>
          <w:szCs w:val="24"/>
        </w:rPr>
        <w:t xml:space="preserve"> </w:t>
      </w:r>
      <w:r w:rsidR="00CB5A7E" w:rsidRPr="007E7C5B">
        <w:rPr>
          <w:rFonts w:ascii="Arial Narrow" w:eastAsia="Calibri" w:hAnsi="Arial Narrow" w:cs="Calibri"/>
          <w:color w:val="000000" w:themeColor="text1"/>
          <w:sz w:val="24"/>
          <w:szCs w:val="24"/>
        </w:rPr>
        <w:t xml:space="preserve">de 8 points </w:t>
      </w:r>
      <w:r w:rsidRPr="007E7C5B">
        <w:rPr>
          <w:rFonts w:ascii="Arial Narrow" w:eastAsia="Calibri" w:hAnsi="Arial Narrow" w:cs="Calibri"/>
          <w:color w:val="000000" w:themeColor="text1"/>
          <w:sz w:val="24"/>
          <w:szCs w:val="24"/>
        </w:rPr>
        <w:t>le taux de mortalité néonatale, passant de 38 pour mille naissances vivantes en 2012 à 30‰</w:t>
      </w:r>
      <w:r w:rsidRPr="007E7C5B" w:rsidDel="006030A4">
        <w:rPr>
          <w:rFonts w:ascii="Arial Narrow" w:eastAsia="Calibri" w:hAnsi="Arial Narrow" w:cs="Calibri"/>
          <w:color w:val="000000" w:themeColor="text1"/>
          <w:sz w:val="24"/>
          <w:szCs w:val="24"/>
        </w:rPr>
        <w:t xml:space="preserve"> </w:t>
      </w:r>
      <w:r w:rsidRPr="007E7C5B">
        <w:rPr>
          <w:rFonts w:ascii="Arial Narrow" w:eastAsia="Calibri" w:hAnsi="Arial Narrow" w:cs="Calibri"/>
          <w:color w:val="000000" w:themeColor="text1"/>
          <w:sz w:val="24"/>
          <w:szCs w:val="24"/>
        </w:rPr>
        <w:t>en 2021. Cependant, ce taux demeure au-dessus des cibles du PNDS 2021-2025 (30‰ contre 26,7‰). En termes de mortalité infanto-juvénile, l</w:t>
      </w:r>
      <w:r w:rsidRPr="007E7C5B">
        <w:rPr>
          <w:rFonts w:ascii="Arial Narrow" w:hAnsi="Arial Narrow" w:cs="Arial"/>
          <w:sz w:val="24"/>
          <w:szCs w:val="24"/>
        </w:rPr>
        <w:t>e taux s’établit à 74</w:t>
      </w:r>
      <w:r w:rsidRPr="007E7C5B">
        <w:rPr>
          <w:rFonts w:ascii="Arial Narrow" w:eastAsia="Calibri" w:hAnsi="Arial Narrow" w:cs="Calibri"/>
          <w:color w:val="000000" w:themeColor="text1"/>
          <w:sz w:val="24"/>
          <w:szCs w:val="24"/>
        </w:rPr>
        <w:t xml:space="preserve">‰, enregistrant une baisse </w:t>
      </w:r>
      <w:r w:rsidRPr="007E7C5B">
        <w:rPr>
          <w:rFonts w:ascii="Arial Narrow" w:hAnsi="Arial Narrow" w:cs="Arial"/>
          <w:sz w:val="24"/>
          <w:szCs w:val="24"/>
        </w:rPr>
        <w:t>depuis son niveau de 2011 (108</w:t>
      </w:r>
      <w:r w:rsidRPr="007E7C5B">
        <w:rPr>
          <w:rFonts w:ascii="Arial Narrow" w:eastAsia="Calibri" w:hAnsi="Arial Narrow" w:cs="Calibri"/>
          <w:color w:val="000000" w:themeColor="text1"/>
          <w:sz w:val="24"/>
          <w:szCs w:val="24"/>
        </w:rPr>
        <w:t>‰).</w:t>
      </w:r>
      <w:r>
        <w:rPr>
          <w:rFonts w:ascii="Arial Narrow" w:eastAsia="Calibri" w:hAnsi="Arial Narrow" w:cs="Calibri"/>
          <w:color w:val="000000" w:themeColor="text1"/>
          <w:sz w:val="24"/>
          <w:szCs w:val="24"/>
        </w:rPr>
        <w:t xml:space="preserve"> </w:t>
      </w:r>
      <w:r w:rsidR="005B6A0C" w:rsidRPr="007E7C5B">
        <w:rPr>
          <w:rFonts w:ascii="Arial Narrow" w:hAnsi="Arial Narrow" w:cs="Arial"/>
          <w:sz w:val="24"/>
          <w:szCs w:val="24"/>
        </w:rPr>
        <w:t xml:space="preserve">La </w:t>
      </w:r>
      <w:r w:rsidR="005B6A0C" w:rsidRPr="007E7C5B">
        <w:rPr>
          <w:rFonts w:ascii="Arial Narrow" w:hAnsi="Arial Narrow"/>
          <w:sz w:val="24"/>
          <w:szCs w:val="24"/>
        </w:rPr>
        <w:t xml:space="preserve">proportion d’enfants de 0-4 ans atteint de diarrhée et traités avec du SRO+ Zinc </w:t>
      </w:r>
      <w:r w:rsidR="00CB5A7E">
        <w:rPr>
          <w:rFonts w:ascii="Arial Narrow" w:hAnsi="Arial Narrow"/>
          <w:sz w:val="24"/>
          <w:szCs w:val="24"/>
        </w:rPr>
        <w:t>a baissé,</w:t>
      </w:r>
      <w:r w:rsidR="005B6A0C" w:rsidRPr="007E7C5B">
        <w:rPr>
          <w:rFonts w:ascii="Arial Narrow" w:hAnsi="Arial Narrow"/>
          <w:sz w:val="24"/>
          <w:szCs w:val="24"/>
        </w:rPr>
        <w:t xml:space="preserve"> pass</w:t>
      </w:r>
      <w:r w:rsidR="00CB5A7E">
        <w:rPr>
          <w:rFonts w:ascii="Arial Narrow" w:hAnsi="Arial Narrow"/>
          <w:sz w:val="24"/>
          <w:szCs w:val="24"/>
        </w:rPr>
        <w:t>ant</w:t>
      </w:r>
      <w:r w:rsidR="005B6A0C" w:rsidRPr="007E7C5B">
        <w:rPr>
          <w:rFonts w:ascii="Arial Narrow" w:hAnsi="Arial Narrow"/>
          <w:sz w:val="24"/>
          <w:szCs w:val="24"/>
        </w:rPr>
        <w:t xml:space="preserve"> de 23% en 2011 à 11% en 2021 selon l’EDS. </w:t>
      </w:r>
    </w:p>
    <w:p w14:paraId="06C06E49" w14:textId="785E3D47" w:rsidR="008E7541" w:rsidRDefault="008E7541" w:rsidP="00DC5897">
      <w:pPr>
        <w:pStyle w:val="Lgende"/>
      </w:pPr>
      <w:bookmarkStart w:id="65" w:name="_Toc183688799"/>
      <w:r>
        <w:t xml:space="preserve">Graphique </w:t>
      </w:r>
      <w:r>
        <w:fldChar w:fldCharType="begin"/>
      </w:r>
      <w:r>
        <w:instrText xml:space="preserve"> SEQ Graphique \* ARABIC </w:instrText>
      </w:r>
      <w:r>
        <w:fldChar w:fldCharType="separate"/>
      </w:r>
      <w:r w:rsidR="00F546EB">
        <w:rPr>
          <w:noProof/>
        </w:rPr>
        <w:t>12</w:t>
      </w:r>
      <w:r>
        <w:fldChar w:fldCharType="end"/>
      </w:r>
      <w:r w:rsidR="00C77FCB">
        <w:t xml:space="preserve"> </w:t>
      </w:r>
      <w:r>
        <w:t>:</w:t>
      </w:r>
      <w:r w:rsidR="00C77FCB">
        <w:t xml:space="preserve"> </w:t>
      </w:r>
      <w:r w:rsidRPr="00B54BDB">
        <w:t>Evolution des indicateurs de la santé de la mère, du nouveau-né et de l'enfant</w:t>
      </w:r>
      <w:bookmarkEnd w:id="65"/>
    </w:p>
    <w:tbl>
      <w:tblPr>
        <w:tblW w:w="9489" w:type="dxa"/>
        <w:tblLook w:val="04A0" w:firstRow="1" w:lastRow="0" w:firstColumn="1" w:lastColumn="0" w:noHBand="0" w:noVBand="1"/>
      </w:tblPr>
      <w:tblGrid>
        <w:gridCol w:w="6674"/>
        <w:gridCol w:w="2815"/>
      </w:tblGrid>
      <w:tr w:rsidR="00C6248A" w14:paraId="688D4BEB" w14:textId="77777777" w:rsidTr="0044167B">
        <w:trPr>
          <w:trHeight w:val="906"/>
        </w:trPr>
        <w:tc>
          <w:tcPr>
            <w:tcW w:w="4563" w:type="dxa"/>
          </w:tcPr>
          <w:p w14:paraId="169AB27E" w14:textId="4109CCDD" w:rsidR="00F34FD1" w:rsidRDefault="00FF2546" w:rsidP="00761F55">
            <w:pPr>
              <w:jc w:val="both"/>
              <w:rPr>
                <w:rFonts w:ascii="Arial Narrow" w:hAnsi="Arial Narrow" w:cs="Arial"/>
                <w:sz w:val="24"/>
                <w:szCs w:val="24"/>
              </w:rPr>
            </w:pPr>
            <w:r w:rsidRPr="00FF2546">
              <w:rPr>
                <w:noProof/>
              </w:rPr>
              <w:lastRenderedPageBreak/>
              <w:t xml:space="preserve"> </w:t>
            </w:r>
            <w:r w:rsidRPr="00FF2546">
              <w:rPr>
                <w:rFonts w:ascii="Arial Narrow" w:hAnsi="Arial Narrow" w:cs="Arial"/>
                <w:noProof/>
                <w:sz w:val="24"/>
                <w:szCs w:val="24"/>
              </w:rPr>
              <w:drawing>
                <wp:inline distT="0" distB="0" distL="0" distR="0" wp14:anchorId="42D80551" wp14:editId="2DA62620">
                  <wp:extent cx="4101152" cy="3043091"/>
                  <wp:effectExtent l="0" t="0" r="0" b="5080"/>
                  <wp:docPr id="1734108322" name="Graphique 1">
                    <a:extLst xmlns:a="http://schemas.openxmlformats.org/drawingml/2006/main">
                      <a:ext uri="{FF2B5EF4-FFF2-40B4-BE49-F238E27FC236}">
                        <a16:creationId xmlns:a16="http://schemas.microsoft.com/office/drawing/2014/main" id="{D517B79E-F1B9-4BA9-80FE-47DCA30557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4926" w:type="dxa"/>
          </w:tcPr>
          <w:p w14:paraId="47BE3F40" w14:textId="23EF941C" w:rsidR="00F34FD1" w:rsidRDefault="00F34FD1" w:rsidP="0015162B">
            <w:pPr>
              <w:keepNext/>
              <w:jc w:val="both"/>
              <w:rPr>
                <w:rFonts w:ascii="Arial Narrow" w:hAnsi="Arial Narrow" w:cs="Arial"/>
                <w:sz w:val="24"/>
                <w:szCs w:val="24"/>
              </w:rPr>
            </w:pPr>
          </w:p>
        </w:tc>
      </w:tr>
      <w:tr w:rsidR="00123CA7" w14:paraId="1569A987" w14:textId="77777777" w:rsidTr="0044167B">
        <w:trPr>
          <w:trHeight w:val="906"/>
        </w:trPr>
        <w:tc>
          <w:tcPr>
            <w:tcW w:w="4563" w:type="dxa"/>
          </w:tcPr>
          <w:p w14:paraId="7C156976" w14:textId="25A22B0B" w:rsidR="00123CA7" w:rsidRPr="0044167B" w:rsidRDefault="00EF0035" w:rsidP="0044167B">
            <w:pPr>
              <w:pStyle w:val="Lgende"/>
              <w:rPr>
                <w:sz w:val="24"/>
                <w:szCs w:val="24"/>
              </w:rPr>
            </w:pPr>
            <w:r>
              <w:t xml:space="preserve">Source : </w:t>
            </w:r>
            <w:r w:rsidR="00FF2546">
              <w:t>EDS 2021</w:t>
            </w:r>
          </w:p>
        </w:tc>
        <w:tc>
          <w:tcPr>
            <w:tcW w:w="4926" w:type="dxa"/>
          </w:tcPr>
          <w:p w14:paraId="5C7BD365" w14:textId="76C869E9" w:rsidR="00123CA7" w:rsidRPr="00206C21" w:rsidRDefault="00123CA7" w:rsidP="0015162B">
            <w:pPr>
              <w:keepNext/>
              <w:jc w:val="both"/>
              <w:rPr>
                <w:rFonts w:ascii="Arial Narrow" w:hAnsi="Arial Narrow" w:cs="Arial"/>
                <w:sz w:val="24"/>
                <w:szCs w:val="24"/>
              </w:rPr>
            </w:pPr>
          </w:p>
        </w:tc>
      </w:tr>
    </w:tbl>
    <w:p w14:paraId="2AC90555" w14:textId="77777777" w:rsidR="006A4E93" w:rsidRDefault="006A4E93" w:rsidP="006A4E93">
      <w:pPr>
        <w:jc w:val="both"/>
        <w:rPr>
          <w:rFonts w:ascii="Arial Narrow" w:hAnsi="Arial Narrow" w:cstheme="minorHAnsi"/>
          <w:sz w:val="24"/>
          <w:szCs w:val="24"/>
        </w:rPr>
      </w:pPr>
      <w:r w:rsidRPr="007E7C5B">
        <w:rPr>
          <w:rFonts w:ascii="Arial Narrow" w:hAnsi="Arial Narrow" w:cs="Arial"/>
          <w:sz w:val="24"/>
          <w:szCs w:val="24"/>
        </w:rPr>
        <w:t>En termes de défis sont, il est à souligner l</w:t>
      </w:r>
      <w:r w:rsidRPr="007E7C5B">
        <w:rPr>
          <w:rFonts w:ascii="Arial Narrow" w:hAnsi="Arial Narrow" w:cstheme="minorHAnsi"/>
          <w:sz w:val="24"/>
          <w:szCs w:val="24"/>
        </w:rPr>
        <w:t>es problèmes de disponibilité des médicaments et intrants et la rupture fréquente des médicaments et intrants au niveau communautaire. L’audit et revue des décès néonatals dans tous les districts sanitaires reste un défi majeur pour le suivi communautaire des petits poids de naissance (collaboration avec les ASC, meilleure communication avec les familles).</w:t>
      </w:r>
    </w:p>
    <w:p w14:paraId="2148C9E6" w14:textId="62C70E47" w:rsidR="001570BF" w:rsidRPr="005C0BB2" w:rsidRDefault="001570BF" w:rsidP="001570BF">
      <w:pPr>
        <w:rPr>
          <w:rFonts w:ascii="Arial Narrow" w:hAnsi="Arial Narrow"/>
          <w:b/>
          <w:bCs/>
          <w:sz w:val="24"/>
          <w:szCs w:val="24"/>
        </w:rPr>
      </w:pPr>
      <w:r w:rsidRPr="005C0BB2">
        <w:rPr>
          <w:rFonts w:ascii="Arial Narrow" w:hAnsi="Arial Narrow"/>
          <w:b/>
          <w:bCs/>
          <w:sz w:val="24"/>
          <w:szCs w:val="24"/>
        </w:rPr>
        <w:t>Encadré : Bonnes pratiques relatives à la santé de la mère et de l’enfant</w:t>
      </w:r>
    </w:p>
    <w:tbl>
      <w:tblPr>
        <w:tblW w:w="0" w:type="auto"/>
        <w:shd w:val="clear" w:color="auto" w:fill="F2F2F2" w:themeFill="background1" w:themeFillShade="F2"/>
        <w:tblLook w:val="04A0" w:firstRow="1" w:lastRow="0" w:firstColumn="1" w:lastColumn="0" w:noHBand="0" w:noVBand="1"/>
      </w:tblPr>
      <w:tblGrid>
        <w:gridCol w:w="9016"/>
      </w:tblGrid>
      <w:tr w:rsidR="001113F5" w:rsidRPr="00F034E5" w14:paraId="755ABEBB" w14:textId="77777777" w:rsidTr="001113F5">
        <w:trPr>
          <w:trHeight w:val="1251"/>
        </w:trPr>
        <w:tc>
          <w:tcPr>
            <w:tcW w:w="9016" w:type="dxa"/>
            <w:shd w:val="clear" w:color="auto" w:fill="538135" w:themeFill="accent6" w:themeFillShade="BF"/>
          </w:tcPr>
          <w:p w14:paraId="1C3BA752" w14:textId="77777777" w:rsidR="004E7D42" w:rsidRDefault="004E7D42" w:rsidP="00A918AC">
            <w:pPr>
              <w:jc w:val="both"/>
              <w:rPr>
                <w:rFonts w:ascii="Arial Narrow" w:hAnsi="Arial Narrow" w:cstheme="minorHAnsi"/>
                <w:b/>
                <w:color w:val="FFFFFF" w:themeColor="background1"/>
              </w:rPr>
            </w:pPr>
          </w:p>
          <w:p w14:paraId="0076307C" w14:textId="2EDAD575" w:rsidR="001570BF" w:rsidRPr="001113F5" w:rsidRDefault="001570BF" w:rsidP="00A918AC">
            <w:pPr>
              <w:jc w:val="both"/>
              <w:rPr>
                <w:rFonts w:ascii="Arial Narrow" w:hAnsi="Arial Narrow" w:cstheme="minorHAnsi"/>
                <w:iCs/>
                <w:color w:val="FFFFFF" w:themeColor="background1"/>
              </w:rPr>
            </w:pPr>
            <w:r w:rsidRPr="001113F5">
              <w:rPr>
                <w:rFonts w:ascii="Arial Narrow" w:hAnsi="Arial Narrow" w:cstheme="minorHAnsi"/>
                <w:b/>
                <w:color w:val="FFFFFF" w:themeColor="background1"/>
              </w:rPr>
              <w:t>S’agissant des besoins satisfaits en SONU</w:t>
            </w:r>
            <w:r w:rsidRPr="001113F5">
              <w:rPr>
                <w:rFonts w:ascii="Arial Narrow" w:hAnsi="Arial Narrow" w:cstheme="minorHAnsi"/>
                <w:iCs/>
                <w:color w:val="FFFFFF" w:themeColor="background1"/>
              </w:rPr>
              <w:t xml:space="preserve">, les </w:t>
            </w:r>
            <w:r w:rsidR="00021908" w:rsidRPr="001113F5">
              <w:rPr>
                <w:rFonts w:ascii="Arial Narrow" w:hAnsi="Arial Narrow" w:cstheme="minorHAnsi"/>
                <w:iCs/>
                <w:color w:val="FFFFFF" w:themeColor="background1"/>
              </w:rPr>
              <w:t>réalisations</w:t>
            </w:r>
            <w:r w:rsidRPr="001113F5">
              <w:rPr>
                <w:rFonts w:ascii="Arial Narrow" w:hAnsi="Arial Narrow" w:cstheme="minorHAnsi"/>
                <w:iCs/>
                <w:color w:val="FFFFFF" w:themeColor="background1"/>
              </w:rPr>
              <w:t xml:space="preserve"> tel</w:t>
            </w:r>
            <w:r w:rsidR="00021908" w:rsidRPr="001113F5">
              <w:rPr>
                <w:rFonts w:ascii="Arial Narrow" w:hAnsi="Arial Narrow" w:cstheme="minorHAnsi"/>
                <w:iCs/>
                <w:color w:val="FFFFFF" w:themeColor="background1"/>
              </w:rPr>
              <w:t>les</w:t>
            </w:r>
            <w:r w:rsidRPr="001113F5">
              <w:rPr>
                <w:rFonts w:ascii="Arial Narrow" w:hAnsi="Arial Narrow" w:cstheme="minorHAnsi"/>
                <w:iCs/>
                <w:color w:val="FFFFFF" w:themeColor="background1"/>
              </w:rPr>
              <w:t xml:space="preserve"> que : </w:t>
            </w:r>
            <w:r w:rsidRPr="001113F5">
              <w:rPr>
                <w:rFonts w:ascii="Arial Narrow" w:hAnsi="Arial Narrow" w:cstheme="minorHAnsi"/>
                <w:i/>
                <w:color w:val="FFFFFF" w:themeColor="background1"/>
              </w:rPr>
              <w:t>(i)</w:t>
            </w:r>
            <w:r w:rsidRPr="001113F5">
              <w:rPr>
                <w:rFonts w:ascii="Arial Narrow" w:hAnsi="Arial Narrow" w:cstheme="minorHAnsi"/>
                <w:iCs/>
                <w:color w:val="FFFFFF" w:themeColor="background1"/>
              </w:rPr>
              <w:t xml:space="preserve"> la formation des prestataires en SONU ; </w:t>
            </w:r>
            <w:r w:rsidRPr="001113F5">
              <w:rPr>
                <w:rFonts w:ascii="Arial Narrow" w:hAnsi="Arial Narrow" w:cstheme="minorHAnsi"/>
                <w:i/>
                <w:color w:val="FFFFFF" w:themeColor="background1"/>
              </w:rPr>
              <w:t>(ii)</w:t>
            </w:r>
            <w:r w:rsidR="00021908" w:rsidRPr="001113F5">
              <w:rPr>
                <w:rFonts w:ascii="Arial Narrow" w:hAnsi="Arial Narrow" w:cstheme="minorHAnsi"/>
                <w:color w:val="FFFFFF" w:themeColor="background1"/>
              </w:rPr>
              <w:t> l</w:t>
            </w:r>
            <w:r w:rsidRPr="001113F5">
              <w:rPr>
                <w:rFonts w:ascii="Arial Narrow" w:hAnsi="Arial Narrow" w:cstheme="minorHAnsi"/>
                <w:iCs/>
                <w:color w:val="FFFFFF" w:themeColor="background1"/>
              </w:rPr>
              <w:t xml:space="preserve">a mise en place du chariot d'urgence dans les hôpitaux de références sur l'initiative du DRS Cavally ; (iii) la création d'un réseau d'établissement SONU ; </w:t>
            </w:r>
            <w:r w:rsidRPr="001113F5">
              <w:rPr>
                <w:rFonts w:ascii="Arial Narrow" w:hAnsi="Arial Narrow" w:cstheme="minorHAnsi"/>
                <w:i/>
                <w:color w:val="FFFFFF" w:themeColor="background1"/>
              </w:rPr>
              <w:t>(iv)</w:t>
            </w:r>
            <w:r w:rsidRPr="001113F5">
              <w:rPr>
                <w:rFonts w:ascii="Arial Narrow" w:hAnsi="Arial Narrow" w:cstheme="minorHAnsi"/>
                <w:iCs/>
                <w:color w:val="FFFFFF" w:themeColor="background1"/>
              </w:rPr>
              <w:t xml:space="preserve"> la mise en place des initiatives « </w:t>
            </w:r>
            <w:proofErr w:type="spellStart"/>
            <w:r w:rsidRPr="001113F5">
              <w:rPr>
                <w:rFonts w:ascii="Arial Narrow" w:hAnsi="Arial Narrow" w:cstheme="minorHAnsi"/>
                <w:iCs/>
                <w:color w:val="FFFFFF" w:themeColor="background1"/>
              </w:rPr>
              <w:t>Gbêkê</w:t>
            </w:r>
            <w:proofErr w:type="spellEnd"/>
            <w:r w:rsidRPr="001113F5">
              <w:rPr>
                <w:rFonts w:ascii="Arial Narrow" w:hAnsi="Arial Narrow" w:cstheme="minorHAnsi"/>
                <w:iCs/>
                <w:color w:val="FFFFFF" w:themeColor="background1"/>
              </w:rPr>
              <w:t xml:space="preserve"> LA HAUT LA » et « Deux heures pour la vie » pour l'amélioration de la santé de la mère et de l'enfant.</w:t>
            </w:r>
          </w:p>
          <w:p w14:paraId="512EB3CD" w14:textId="77777777" w:rsidR="001570BF" w:rsidRPr="001113F5" w:rsidRDefault="001570BF" w:rsidP="00E4246D">
            <w:pPr>
              <w:jc w:val="both"/>
              <w:rPr>
                <w:rFonts w:ascii="Arial Narrow" w:hAnsi="Arial Narrow" w:cstheme="minorHAnsi"/>
                <w:iCs/>
                <w:color w:val="FFFFFF" w:themeColor="background1"/>
              </w:rPr>
            </w:pPr>
          </w:p>
          <w:p w14:paraId="07B4A681" w14:textId="77777777" w:rsidR="001570BF" w:rsidRPr="001113F5" w:rsidRDefault="001570BF" w:rsidP="00E4246D">
            <w:pPr>
              <w:jc w:val="both"/>
              <w:rPr>
                <w:rFonts w:ascii="Arial Narrow" w:hAnsi="Arial Narrow" w:cstheme="minorHAnsi"/>
                <w:color w:val="FFFFFF" w:themeColor="background1"/>
              </w:rPr>
            </w:pPr>
            <w:r w:rsidRPr="001113F5">
              <w:rPr>
                <w:rFonts w:ascii="Arial Narrow" w:hAnsi="Arial Narrow" w:cstheme="minorHAnsi"/>
                <w:color w:val="FFFFFF" w:themeColor="background1"/>
              </w:rPr>
              <w:t xml:space="preserve">Toutes ces actions ont contribué à l’augmentation de la proportion de besoins satisfaits en SONU entre 2021 et 2023 dans le Cavally (de 96% à 98%) et dans le </w:t>
            </w:r>
            <w:proofErr w:type="spellStart"/>
            <w:r w:rsidRPr="001113F5">
              <w:rPr>
                <w:rFonts w:ascii="Arial Narrow" w:hAnsi="Arial Narrow" w:cstheme="minorHAnsi"/>
                <w:color w:val="FFFFFF" w:themeColor="background1"/>
              </w:rPr>
              <w:t>Gbêkê</w:t>
            </w:r>
            <w:proofErr w:type="spellEnd"/>
            <w:r w:rsidRPr="001113F5">
              <w:rPr>
                <w:rFonts w:ascii="Arial Narrow" w:hAnsi="Arial Narrow" w:cstheme="minorHAnsi"/>
                <w:color w:val="FFFFFF" w:themeColor="background1"/>
              </w:rPr>
              <w:t xml:space="preserve"> (</w:t>
            </w:r>
            <w:r w:rsidRPr="001113F5">
              <w:rPr>
                <w:rFonts w:ascii="Arial Narrow" w:hAnsi="Arial Narrow" w:cstheme="minorHAnsi"/>
                <w:bCs/>
                <w:iCs/>
                <w:color w:val="FFFFFF" w:themeColor="background1"/>
              </w:rPr>
              <w:t>de 25% à 42%</w:t>
            </w:r>
            <w:r w:rsidRPr="001113F5">
              <w:rPr>
                <w:rFonts w:ascii="Arial Narrow" w:hAnsi="Arial Narrow" w:cstheme="minorHAnsi"/>
                <w:color w:val="FFFFFF" w:themeColor="background1"/>
              </w:rPr>
              <w:t>).</w:t>
            </w:r>
          </w:p>
          <w:p w14:paraId="6DA4A90D" w14:textId="77777777" w:rsidR="001570BF" w:rsidRPr="001113F5" w:rsidRDefault="001570BF" w:rsidP="00E4246D">
            <w:pPr>
              <w:jc w:val="both"/>
              <w:rPr>
                <w:rFonts w:ascii="Arial Narrow" w:hAnsi="Arial Narrow" w:cstheme="minorHAnsi"/>
                <w:b/>
                <w:color w:val="FFFFFF" w:themeColor="background1"/>
              </w:rPr>
            </w:pPr>
          </w:p>
          <w:p w14:paraId="47A7DCC2" w14:textId="77777777" w:rsidR="001570BF" w:rsidRPr="001113F5" w:rsidRDefault="001570BF" w:rsidP="00E4246D">
            <w:pPr>
              <w:jc w:val="both"/>
              <w:rPr>
                <w:rFonts w:ascii="Arial Narrow" w:hAnsi="Arial Narrow" w:cstheme="minorHAnsi"/>
                <w:iCs/>
                <w:color w:val="FFFFFF" w:themeColor="background1"/>
              </w:rPr>
            </w:pPr>
            <w:r w:rsidRPr="001113F5">
              <w:rPr>
                <w:rFonts w:ascii="Arial Narrow" w:hAnsi="Arial Narrow" w:cstheme="minorHAnsi"/>
                <w:b/>
                <w:iCs/>
                <w:color w:val="FFFFFF" w:themeColor="background1"/>
              </w:rPr>
              <w:t>En matière d’accouchement assisté par un personnel qualifié</w:t>
            </w:r>
            <w:r w:rsidRPr="001113F5">
              <w:rPr>
                <w:rFonts w:ascii="Arial Narrow" w:hAnsi="Arial Narrow" w:cstheme="minorHAnsi"/>
                <w:iCs/>
                <w:color w:val="FFFFFF" w:themeColor="background1"/>
              </w:rPr>
              <w:t xml:space="preserve">, les interventions suivantes ont été menées dans différentes régions sanitaires notamment : </w:t>
            </w:r>
          </w:p>
          <w:p w14:paraId="0DCCDE63" w14:textId="5D48DFDD" w:rsidR="001570BF" w:rsidRPr="001113F5" w:rsidRDefault="001570BF" w:rsidP="000A1A7B">
            <w:pPr>
              <w:pStyle w:val="Paragraphedeliste"/>
              <w:numPr>
                <w:ilvl w:val="0"/>
                <w:numId w:val="6"/>
              </w:numPr>
              <w:jc w:val="both"/>
              <w:rPr>
                <w:rFonts w:ascii="Arial Narrow" w:hAnsi="Arial Narrow" w:cstheme="minorHAnsi"/>
                <w:iCs/>
                <w:color w:val="FFFFFF" w:themeColor="background1"/>
              </w:rPr>
            </w:pPr>
            <w:r w:rsidRPr="001113F5">
              <w:rPr>
                <w:rFonts w:ascii="Arial Narrow" w:hAnsi="Arial Narrow" w:cstheme="minorHAnsi"/>
                <w:iCs/>
                <w:color w:val="FFFFFF" w:themeColor="background1"/>
              </w:rPr>
              <w:t>La sensibilisation des femmes avec l</w:t>
            </w:r>
            <w:r w:rsidR="006238E4" w:rsidRPr="001113F5">
              <w:rPr>
                <w:rFonts w:ascii="Arial Narrow" w:hAnsi="Arial Narrow" w:cstheme="minorHAnsi"/>
                <w:iCs/>
                <w:color w:val="FFFFFF" w:themeColor="background1"/>
              </w:rPr>
              <w:t>’</w:t>
            </w:r>
            <w:r w:rsidRPr="001113F5">
              <w:rPr>
                <w:rFonts w:ascii="Arial Narrow" w:hAnsi="Arial Narrow" w:cstheme="minorHAnsi"/>
                <w:iCs/>
                <w:color w:val="FFFFFF" w:themeColor="background1"/>
              </w:rPr>
              <w:t xml:space="preserve">appui du Ministère de la </w:t>
            </w:r>
            <w:r w:rsidR="00C35E10" w:rsidRPr="001113F5">
              <w:rPr>
                <w:rFonts w:ascii="Arial Narrow" w:hAnsi="Arial Narrow" w:cstheme="minorHAnsi"/>
                <w:iCs/>
                <w:color w:val="FFFFFF" w:themeColor="background1"/>
              </w:rPr>
              <w:t>F</w:t>
            </w:r>
            <w:r w:rsidRPr="001113F5">
              <w:rPr>
                <w:rFonts w:ascii="Arial Narrow" w:hAnsi="Arial Narrow" w:cstheme="minorHAnsi"/>
                <w:iCs/>
                <w:color w:val="FFFFFF" w:themeColor="background1"/>
              </w:rPr>
              <w:t xml:space="preserve">emme, de la </w:t>
            </w:r>
            <w:r w:rsidR="00C35E10" w:rsidRPr="001113F5">
              <w:rPr>
                <w:rFonts w:ascii="Arial Narrow" w:hAnsi="Arial Narrow" w:cstheme="minorHAnsi"/>
                <w:iCs/>
                <w:color w:val="FFFFFF" w:themeColor="background1"/>
              </w:rPr>
              <w:t>F</w:t>
            </w:r>
            <w:r w:rsidRPr="001113F5">
              <w:rPr>
                <w:rFonts w:ascii="Arial Narrow" w:hAnsi="Arial Narrow" w:cstheme="minorHAnsi"/>
                <w:iCs/>
                <w:color w:val="FFFFFF" w:themeColor="background1"/>
              </w:rPr>
              <w:t>amille et de l’</w:t>
            </w:r>
            <w:r w:rsidR="00C35E10" w:rsidRPr="001113F5">
              <w:rPr>
                <w:rFonts w:ascii="Arial Narrow" w:hAnsi="Arial Narrow" w:cstheme="minorHAnsi"/>
                <w:iCs/>
                <w:color w:val="FFFFFF" w:themeColor="background1"/>
              </w:rPr>
              <w:t>E</w:t>
            </w:r>
            <w:r w:rsidRPr="001113F5">
              <w:rPr>
                <w:rFonts w:ascii="Arial Narrow" w:hAnsi="Arial Narrow" w:cstheme="minorHAnsi"/>
                <w:iCs/>
                <w:color w:val="FFFFFF" w:themeColor="background1"/>
              </w:rPr>
              <w:t xml:space="preserve">nfant et de Break </w:t>
            </w:r>
            <w:proofErr w:type="spellStart"/>
            <w:r w:rsidRPr="001113F5">
              <w:rPr>
                <w:rFonts w:ascii="Arial Narrow" w:hAnsi="Arial Narrow" w:cstheme="minorHAnsi"/>
                <w:iCs/>
                <w:color w:val="FFFFFF" w:themeColor="background1"/>
              </w:rPr>
              <w:t>Through</w:t>
            </w:r>
            <w:proofErr w:type="spellEnd"/>
            <w:r w:rsidRPr="001113F5">
              <w:rPr>
                <w:rFonts w:ascii="Arial Narrow" w:hAnsi="Arial Narrow" w:cstheme="minorHAnsi"/>
                <w:iCs/>
                <w:color w:val="FFFFFF" w:themeColor="background1"/>
              </w:rPr>
              <w:t xml:space="preserve"> Action ainsi que l’implication des ASC et des groupements féminins sur le bienfondé de l'accouchement dans un centre de santé ;</w:t>
            </w:r>
          </w:p>
          <w:p w14:paraId="077C42A0" w14:textId="77777777" w:rsidR="001570BF" w:rsidRPr="001113F5" w:rsidRDefault="001570BF" w:rsidP="000A1A7B">
            <w:pPr>
              <w:pStyle w:val="Paragraphedeliste"/>
              <w:numPr>
                <w:ilvl w:val="0"/>
                <w:numId w:val="6"/>
              </w:numPr>
              <w:jc w:val="both"/>
              <w:rPr>
                <w:rFonts w:ascii="Arial Narrow" w:hAnsi="Arial Narrow" w:cstheme="minorHAnsi"/>
                <w:iCs/>
                <w:color w:val="FFFFFF" w:themeColor="background1"/>
              </w:rPr>
            </w:pPr>
            <w:r w:rsidRPr="001113F5">
              <w:rPr>
                <w:rFonts w:ascii="Arial Narrow" w:hAnsi="Arial Narrow" w:cstheme="minorHAnsi"/>
                <w:iCs/>
                <w:color w:val="FFFFFF" w:themeColor="background1"/>
              </w:rPr>
              <w:t xml:space="preserve">La remise de présents (serviette, savons, couches, habits) aux femmes ayant accouché dans l'établissement avec l'appui de Break </w:t>
            </w:r>
            <w:proofErr w:type="spellStart"/>
            <w:r w:rsidRPr="001113F5">
              <w:rPr>
                <w:rFonts w:ascii="Arial Narrow" w:hAnsi="Arial Narrow" w:cstheme="minorHAnsi"/>
                <w:iCs/>
                <w:color w:val="FFFFFF" w:themeColor="background1"/>
              </w:rPr>
              <w:t>Through</w:t>
            </w:r>
            <w:proofErr w:type="spellEnd"/>
            <w:r w:rsidRPr="001113F5">
              <w:rPr>
                <w:rFonts w:ascii="Arial Narrow" w:hAnsi="Arial Narrow" w:cstheme="minorHAnsi"/>
                <w:iCs/>
                <w:color w:val="FFFFFF" w:themeColor="background1"/>
              </w:rPr>
              <w:t xml:space="preserve"> Action ;</w:t>
            </w:r>
          </w:p>
          <w:p w14:paraId="4514B29D" w14:textId="77777777" w:rsidR="001570BF" w:rsidRPr="001113F5" w:rsidRDefault="001570BF" w:rsidP="000A1A7B">
            <w:pPr>
              <w:pStyle w:val="Paragraphedeliste"/>
              <w:numPr>
                <w:ilvl w:val="0"/>
                <w:numId w:val="6"/>
              </w:numPr>
              <w:jc w:val="both"/>
              <w:rPr>
                <w:rFonts w:ascii="Arial Narrow" w:hAnsi="Arial Narrow" w:cstheme="minorHAnsi"/>
                <w:iCs/>
                <w:color w:val="FFFFFF" w:themeColor="background1"/>
              </w:rPr>
            </w:pPr>
            <w:r w:rsidRPr="001113F5">
              <w:rPr>
                <w:rFonts w:ascii="Arial Narrow" w:hAnsi="Arial Narrow" w:cstheme="minorHAnsi"/>
                <w:iCs/>
                <w:color w:val="FFFFFF" w:themeColor="background1"/>
              </w:rPr>
              <w:t>La mise sous PBF de 33 régions et 113 districts sanitaires ;</w:t>
            </w:r>
          </w:p>
          <w:p w14:paraId="46151D9B" w14:textId="77777777" w:rsidR="001570BF" w:rsidRPr="001113F5" w:rsidRDefault="001570BF" w:rsidP="000A1A7B">
            <w:pPr>
              <w:pStyle w:val="Paragraphedeliste"/>
              <w:numPr>
                <w:ilvl w:val="0"/>
                <w:numId w:val="6"/>
              </w:numPr>
              <w:jc w:val="both"/>
              <w:rPr>
                <w:rFonts w:ascii="Arial Narrow" w:hAnsi="Arial Narrow" w:cstheme="minorHAnsi"/>
                <w:color w:val="FFFFFF" w:themeColor="background1"/>
              </w:rPr>
            </w:pPr>
            <w:r w:rsidRPr="001113F5">
              <w:rPr>
                <w:rFonts w:ascii="Arial Narrow" w:hAnsi="Arial Narrow" w:cstheme="minorHAnsi"/>
                <w:color w:val="FFFFFF" w:themeColor="background1"/>
              </w:rPr>
              <w:t>L’implication des matrones dans l'accouchement dans les centres de santé ;</w:t>
            </w:r>
          </w:p>
          <w:p w14:paraId="331DA4B7" w14:textId="77777777" w:rsidR="001570BF" w:rsidRPr="001113F5" w:rsidRDefault="001570BF" w:rsidP="000A1A7B">
            <w:pPr>
              <w:pStyle w:val="Paragraphedeliste"/>
              <w:numPr>
                <w:ilvl w:val="0"/>
                <w:numId w:val="6"/>
              </w:numPr>
              <w:jc w:val="both"/>
              <w:rPr>
                <w:rFonts w:ascii="Arial Narrow" w:hAnsi="Arial Narrow"/>
                <w:color w:val="FFFFFF" w:themeColor="background1"/>
              </w:rPr>
            </w:pPr>
            <w:r w:rsidRPr="001113F5">
              <w:rPr>
                <w:rFonts w:ascii="Arial Narrow" w:hAnsi="Arial Narrow"/>
                <w:color w:val="FFFFFF" w:themeColor="background1"/>
              </w:rPr>
              <w:lastRenderedPageBreak/>
              <w:t>La mise en place de plans d'accouchement ;</w:t>
            </w:r>
          </w:p>
          <w:p w14:paraId="1344DF6B" w14:textId="77777777" w:rsidR="001570BF" w:rsidRPr="001113F5" w:rsidRDefault="001570BF" w:rsidP="000A1A7B">
            <w:pPr>
              <w:pStyle w:val="Paragraphedeliste"/>
              <w:numPr>
                <w:ilvl w:val="0"/>
                <w:numId w:val="6"/>
              </w:numPr>
              <w:jc w:val="both"/>
              <w:rPr>
                <w:rFonts w:ascii="Arial Narrow" w:hAnsi="Arial Narrow" w:cstheme="minorHAnsi"/>
                <w:color w:val="FFFFFF" w:themeColor="background1"/>
              </w:rPr>
            </w:pPr>
            <w:r w:rsidRPr="001113F5">
              <w:rPr>
                <w:rFonts w:ascii="Arial Narrow" w:hAnsi="Arial Narrow" w:cstheme="minorHAnsi"/>
                <w:color w:val="FFFFFF" w:themeColor="background1"/>
              </w:rPr>
              <w:t xml:space="preserve">Le coaching trimestriel sur site des nouvelles Sage-Femmes (SF) par des SF mentor ; </w:t>
            </w:r>
          </w:p>
          <w:p w14:paraId="543BC4AA" w14:textId="04C12DEE" w:rsidR="001570BF" w:rsidRPr="001113F5" w:rsidRDefault="00CE3B08" w:rsidP="000A1A7B">
            <w:pPr>
              <w:pStyle w:val="Paragraphedeliste"/>
              <w:numPr>
                <w:ilvl w:val="0"/>
                <w:numId w:val="6"/>
              </w:numPr>
              <w:jc w:val="both"/>
              <w:rPr>
                <w:rFonts w:ascii="Arial Narrow" w:hAnsi="Arial Narrow" w:cstheme="minorHAnsi"/>
                <w:color w:val="FFFFFF" w:themeColor="background1"/>
              </w:rPr>
            </w:pPr>
            <w:r w:rsidRPr="001113F5">
              <w:rPr>
                <w:rFonts w:ascii="Arial Narrow" w:hAnsi="Arial Narrow" w:cstheme="minorHAnsi"/>
                <w:color w:val="FFFFFF" w:themeColor="background1"/>
              </w:rPr>
              <w:t>L’affectation</w:t>
            </w:r>
            <w:r w:rsidR="001570BF" w:rsidRPr="001113F5">
              <w:rPr>
                <w:rFonts w:ascii="Arial Narrow" w:hAnsi="Arial Narrow" w:cstheme="minorHAnsi"/>
                <w:color w:val="FFFFFF" w:themeColor="background1"/>
              </w:rPr>
              <w:t xml:space="preserve"> de nouveaux gynécologues dans les </w:t>
            </w:r>
            <w:r w:rsidR="00912B4F" w:rsidRPr="001113F5">
              <w:rPr>
                <w:rFonts w:ascii="Arial Narrow" w:hAnsi="Arial Narrow" w:cstheme="minorHAnsi"/>
                <w:color w:val="FFFFFF" w:themeColor="background1"/>
              </w:rPr>
              <w:t>régions</w:t>
            </w:r>
            <w:r w:rsidR="001570BF" w:rsidRPr="001113F5">
              <w:rPr>
                <w:rFonts w:ascii="Arial Narrow" w:hAnsi="Arial Narrow" w:cstheme="minorHAnsi"/>
                <w:color w:val="FFFFFF" w:themeColor="background1"/>
              </w:rPr>
              <w:t xml:space="preserve"> de l’</w:t>
            </w:r>
            <w:proofErr w:type="spellStart"/>
            <w:r w:rsidR="001570BF" w:rsidRPr="001113F5">
              <w:rPr>
                <w:rFonts w:ascii="Arial Narrow" w:hAnsi="Arial Narrow" w:cstheme="minorHAnsi"/>
                <w:color w:val="FFFFFF" w:themeColor="background1"/>
              </w:rPr>
              <w:t>Indénié</w:t>
            </w:r>
            <w:proofErr w:type="spellEnd"/>
            <w:r w:rsidR="001570BF" w:rsidRPr="001113F5">
              <w:rPr>
                <w:rFonts w:ascii="Arial Narrow" w:hAnsi="Arial Narrow" w:cstheme="minorHAnsi"/>
                <w:color w:val="FFFFFF" w:themeColor="background1"/>
              </w:rPr>
              <w:t xml:space="preserve"> </w:t>
            </w:r>
            <w:proofErr w:type="spellStart"/>
            <w:r w:rsidR="001570BF" w:rsidRPr="001113F5">
              <w:rPr>
                <w:rFonts w:ascii="Arial Narrow" w:hAnsi="Arial Narrow" w:cstheme="minorHAnsi"/>
                <w:color w:val="FFFFFF" w:themeColor="background1"/>
              </w:rPr>
              <w:t>Djuablin</w:t>
            </w:r>
            <w:proofErr w:type="spellEnd"/>
            <w:r w:rsidR="001570BF" w:rsidRPr="001113F5">
              <w:rPr>
                <w:rFonts w:ascii="Arial Narrow" w:hAnsi="Arial Narrow" w:cstheme="minorHAnsi"/>
                <w:color w:val="FFFFFF" w:themeColor="background1"/>
              </w:rPr>
              <w:t xml:space="preserve"> (de 1 à 3), du Bafing (0 à 2) et du </w:t>
            </w:r>
            <w:proofErr w:type="spellStart"/>
            <w:r w:rsidR="001570BF" w:rsidRPr="001113F5">
              <w:rPr>
                <w:rFonts w:ascii="Arial Narrow" w:hAnsi="Arial Narrow" w:cstheme="minorHAnsi"/>
                <w:color w:val="FFFFFF" w:themeColor="background1"/>
              </w:rPr>
              <w:t>Poro</w:t>
            </w:r>
            <w:proofErr w:type="spellEnd"/>
            <w:r w:rsidR="001570BF" w:rsidRPr="001113F5">
              <w:rPr>
                <w:rFonts w:ascii="Arial Narrow" w:hAnsi="Arial Narrow" w:cstheme="minorHAnsi"/>
                <w:color w:val="FFFFFF" w:themeColor="background1"/>
              </w:rPr>
              <w:t xml:space="preserve"> (2 à 4)</w:t>
            </w:r>
            <w:r w:rsidR="00912B4F" w:rsidRPr="001113F5">
              <w:rPr>
                <w:rFonts w:ascii="Arial Narrow" w:hAnsi="Arial Narrow" w:cstheme="minorHAnsi"/>
                <w:color w:val="FFFFFF" w:themeColor="background1"/>
              </w:rPr>
              <w:t> ;</w:t>
            </w:r>
          </w:p>
          <w:p w14:paraId="13F4A1D3" w14:textId="77777777" w:rsidR="001570BF" w:rsidRPr="001113F5" w:rsidRDefault="001570BF" w:rsidP="000A1A7B">
            <w:pPr>
              <w:pStyle w:val="Paragraphedeliste"/>
              <w:numPr>
                <w:ilvl w:val="0"/>
                <w:numId w:val="6"/>
              </w:numPr>
              <w:jc w:val="both"/>
              <w:rPr>
                <w:rFonts w:ascii="Arial Narrow" w:hAnsi="Arial Narrow" w:cstheme="minorHAnsi"/>
                <w:color w:val="FFFFFF" w:themeColor="background1"/>
              </w:rPr>
            </w:pPr>
            <w:r w:rsidRPr="001113F5">
              <w:rPr>
                <w:rFonts w:ascii="Arial Narrow" w:hAnsi="Arial Narrow" w:cstheme="minorHAnsi"/>
                <w:color w:val="FFFFFF" w:themeColor="background1"/>
              </w:rPr>
              <w:t>L’intensification des revues des décès avec restitution à toutes les parties prenantes.</w:t>
            </w:r>
          </w:p>
          <w:p w14:paraId="1F28896F" w14:textId="77777777" w:rsidR="001570BF" w:rsidRDefault="001570BF" w:rsidP="00E4246D">
            <w:pPr>
              <w:jc w:val="both"/>
              <w:rPr>
                <w:rFonts w:ascii="Arial Narrow" w:hAnsi="Arial Narrow" w:cstheme="minorHAnsi"/>
                <w:color w:val="FFFFFF" w:themeColor="background1"/>
              </w:rPr>
            </w:pPr>
            <w:r w:rsidRPr="001113F5">
              <w:rPr>
                <w:rFonts w:ascii="Arial Narrow" w:hAnsi="Arial Narrow" w:cstheme="minorHAnsi"/>
                <w:color w:val="FFFFFF" w:themeColor="background1"/>
              </w:rPr>
              <w:t xml:space="preserve">Toutes ces actions ont contribué à réduire les accouchements à domicile et augmenter la fréquentation des centres de santé par les femmes enceintes. Ainsi, le taux d’accouchement assisté par un personnel qualifié a augmenté </w:t>
            </w:r>
            <w:r w:rsidR="00912B4F" w:rsidRPr="001113F5">
              <w:rPr>
                <w:rFonts w:ascii="Arial Narrow" w:hAnsi="Arial Narrow" w:cstheme="minorHAnsi"/>
                <w:color w:val="FFFFFF" w:themeColor="background1"/>
              </w:rPr>
              <w:t xml:space="preserve">entre 2021 et 2023 </w:t>
            </w:r>
            <w:r w:rsidRPr="001113F5">
              <w:rPr>
                <w:rFonts w:ascii="Arial Narrow" w:hAnsi="Arial Narrow" w:cstheme="minorHAnsi"/>
                <w:color w:val="FFFFFF" w:themeColor="background1"/>
              </w:rPr>
              <w:t xml:space="preserve">dans les régions du </w:t>
            </w:r>
            <w:proofErr w:type="spellStart"/>
            <w:r w:rsidRPr="001113F5">
              <w:rPr>
                <w:rFonts w:ascii="Arial Narrow" w:hAnsi="Arial Narrow" w:cstheme="minorHAnsi"/>
                <w:color w:val="FFFFFF" w:themeColor="background1"/>
              </w:rPr>
              <w:t>N’zi</w:t>
            </w:r>
            <w:proofErr w:type="spellEnd"/>
            <w:r w:rsidRPr="001113F5">
              <w:rPr>
                <w:rFonts w:ascii="Arial Narrow" w:hAnsi="Arial Narrow" w:cstheme="minorHAnsi"/>
                <w:color w:val="FFFFFF" w:themeColor="background1"/>
              </w:rPr>
              <w:t xml:space="preserve"> (</w:t>
            </w:r>
            <w:r w:rsidR="00912B4F" w:rsidRPr="001113F5">
              <w:rPr>
                <w:rFonts w:ascii="Arial Narrow" w:hAnsi="Arial Narrow" w:cstheme="minorHAnsi"/>
                <w:color w:val="FFFFFF" w:themeColor="background1"/>
              </w:rPr>
              <w:t xml:space="preserve">de </w:t>
            </w:r>
            <w:r w:rsidRPr="001113F5">
              <w:rPr>
                <w:rFonts w:ascii="Arial Narrow" w:hAnsi="Arial Narrow" w:cstheme="minorHAnsi"/>
                <w:color w:val="FFFFFF" w:themeColor="background1"/>
              </w:rPr>
              <w:t>88% à 90%), du Cavally (47% à 91%), de la Mé (88% à 91%), de l’</w:t>
            </w:r>
            <w:proofErr w:type="spellStart"/>
            <w:r w:rsidRPr="001113F5">
              <w:rPr>
                <w:rFonts w:ascii="Arial Narrow" w:hAnsi="Arial Narrow" w:cstheme="minorHAnsi"/>
                <w:color w:val="FFFFFF" w:themeColor="background1"/>
              </w:rPr>
              <w:t>Agneby-Tiassa</w:t>
            </w:r>
            <w:proofErr w:type="spellEnd"/>
            <w:r w:rsidRPr="001113F5">
              <w:rPr>
                <w:rFonts w:ascii="Arial Narrow" w:hAnsi="Arial Narrow" w:cstheme="minorHAnsi"/>
                <w:color w:val="FFFFFF" w:themeColor="background1"/>
              </w:rPr>
              <w:t xml:space="preserve"> (90%) et des Grands-Ponts (92,8%).</w:t>
            </w:r>
          </w:p>
          <w:p w14:paraId="2AF0DCFE" w14:textId="7A8371F4" w:rsidR="00293AA8" w:rsidRPr="00293AA8" w:rsidRDefault="00293AA8" w:rsidP="00E4246D">
            <w:pPr>
              <w:jc w:val="both"/>
              <w:rPr>
                <w:rFonts w:ascii="Arial Narrow" w:hAnsi="Arial Narrow" w:cstheme="minorHAnsi"/>
                <w:color w:val="FFFFFF" w:themeColor="background1"/>
                <w:sz w:val="2"/>
                <w:szCs w:val="2"/>
              </w:rPr>
            </w:pPr>
          </w:p>
        </w:tc>
      </w:tr>
    </w:tbl>
    <w:p w14:paraId="56B0090E" w14:textId="77777777" w:rsidR="001570BF" w:rsidRPr="00950C0E" w:rsidRDefault="001570BF" w:rsidP="00A918AC"/>
    <w:p w14:paraId="3A36A6DE" w14:textId="2E66B836" w:rsidR="00C10C46" w:rsidRPr="007E7C5B" w:rsidRDefault="00075F8F" w:rsidP="00AA7D22">
      <w:pPr>
        <w:pStyle w:val="Titre5"/>
        <w:shd w:val="clear" w:color="auto" w:fill="FBE4D5" w:themeFill="accent2" w:themeFillTint="33"/>
        <w:rPr>
          <w:rFonts w:ascii="Arial Narrow" w:hAnsi="Arial Narrow"/>
          <w:b/>
          <w:color w:val="auto"/>
          <w:sz w:val="24"/>
          <w:szCs w:val="24"/>
        </w:rPr>
      </w:pPr>
      <w:r w:rsidRPr="007E7C5B">
        <w:rPr>
          <w:rFonts w:ascii="Arial Narrow" w:hAnsi="Arial Narrow"/>
          <w:b/>
          <w:color w:val="auto"/>
          <w:sz w:val="24"/>
          <w:szCs w:val="24"/>
        </w:rPr>
        <w:t xml:space="preserve">Santé </w:t>
      </w:r>
      <w:r w:rsidR="00991796">
        <w:rPr>
          <w:rFonts w:ascii="Arial Narrow" w:hAnsi="Arial Narrow"/>
          <w:b/>
          <w:color w:val="auto"/>
          <w:sz w:val="24"/>
          <w:szCs w:val="24"/>
        </w:rPr>
        <w:t xml:space="preserve">des </w:t>
      </w:r>
      <w:r w:rsidRPr="007E7C5B">
        <w:rPr>
          <w:rFonts w:ascii="Arial Narrow" w:hAnsi="Arial Narrow"/>
          <w:b/>
          <w:color w:val="auto"/>
          <w:sz w:val="24"/>
          <w:szCs w:val="24"/>
        </w:rPr>
        <w:t>adolescent</w:t>
      </w:r>
      <w:r w:rsidR="00991796">
        <w:rPr>
          <w:rFonts w:ascii="Arial Narrow" w:hAnsi="Arial Narrow"/>
          <w:b/>
          <w:color w:val="auto"/>
          <w:sz w:val="24"/>
          <w:szCs w:val="24"/>
        </w:rPr>
        <w:t>s</w:t>
      </w:r>
      <w:r w:rsidR="00F0208D" w:rsidRPr="007E7C5B">
        <w:rPr>
          <w:rFonts w:ascii="Arial Narrow" w:hAnsi="Arial Narrow"/>
          <w:b/>
          <w:color w:val="auto"/>
          <w:sz w:val="24"/>
          <w:szCs w:val="24"/>
        </w:rPr>
        <w:t xml:space="preserve"> et jeunes</w:t>
      </w:r>
    </w:p>
    <w:p w14:paraId="6FB0AE6C" w14:textId="1AA346D3" w:rsidR="00EF0035" w:rsidRPr="0044167B" w:rsidRDefault="00FA7C5C" w:rsidP="00966718">
      <w:pPr>
        <w:spacing w:line="257" w:lineRule="auto"/>
        <w:jc w:val="both"/>
        <w:rPr>
          <w:rFonts w:ascii="Arial Narrow" w:eastAsia="Bell MT" w:hAnsi="Arial Narrow" w:cs="Bell MT"/>
          <w:sz w:val="24"/>
          <w:szCs w:val="24"/>
          <w:lang w:val="fr"/>
        </w:rPr>
      </w:pPr>
      <w:r w:rsidRPr="0044167B">
        <w:rPr>
          <w:rFonts w:ascii="Arial Narrow" w:eastAsia="Bell MT" w:hAnsi="Arial Narrow" w:cs="Bell MT"/>
          <w:sz w:val="24"/>
          <w:szCs w:val="24"/>
          <w:lang w:val="fr"/>
        </w:rPr>
        <w:t>En matière de santé des adolescents et jeunes, l</w:t>
      </w:r>
      <w:r w:rsidR="00EF0035" w:rsidRPr="0044167B">
        <w:rPr>
          <w:rFonts w:ascii="Arial Narrow" w:eastAsia="Bell MT" w:hAnsi="Arial Narrow" w:cs="Bell MT"/>
          <w:sz w:val="24"/>
          <w:szCs w:val="24"/>
          <w:lang w:val="fr"/>
        </w:rPr>
        <w:t xml:space="preserve">’objectif était de (i) rendre accessible les services santé adapté aux adolescents et jeunes y compris la visite médicale systématique, et </w:t>
      </w:r>
      <w:proofErr w:type="gramStart"/>
      <w:r w:rsidR="00EF0035" w:rsidRPr="0044167B">
        <w:rPr>
          <w:rFonts w:ascii="Arial Narrow" w:eastAsia="Bell MT" w:hAnsi="Arial Narrow" w:cs="Bell MT"/>
          <w:sz w:val="24"/>
          <w:szCs w:val="24"/>
          <w:lang w:val="fr"/>
        </w:rPr>
        <w:t>la</w:t>
      </w:r>
      <w:proofErr w:type="gramEnd"/>
      <w:r w:rsidR="00EF0035" w:rsidRPr="0044167B">
        <w:rPr>
          <w:rFonts w:ascii="Arial Narrow" w:eastAsia="Bell MT" w:hAnsi="Arial Narrow" w:cs="Bell MT"/>
          <w:sz w:val="24"/>
          <w:szCs w:val="24"/>
          <w:lang w:val="fr"/>
        </w:rPr>
        <w:t xml:space="preserve"> SSR/PF, VIH-IST à tous les niveaux de la pyramide sanitaire et (ii) étendre l'offre de service santé adapté aux adolescents et jeunes y compris la visite médicale systématique et la SSR/PF, VIH-IST à tous les niveaux de la pyramide sanitaire</w:t>
      </w:r>
      <w:r w:rsidRPr="0044167B">
        <w:rPr>
          <w:rFonts w:ascii="Arial Narrow" w:eastAsia="Bell MT" w:hAnsi="Arial Narrow" w:cs="Bell MT"/>
          <w:sz w:val="24"/>
          <w:szCs w:val="24"/>
          <w:lang w:val="fr"/>
        </w:rPr>
        <w:t>. Ces actions devaient permettre de faire</w:t>
      </w:r>
      <w:r w:rsidR="00966718">
        <w:rPr>
          <w:rFonts w:ascii="Arial Narrow" w:eastAsia="Bell MT" w:hAnsi="Arial Narrow" w:cs="Bell MT"/>
          <w:sz w:val="24"/>
          <w:szCs w:val="24"/>
          <w:lang w:val="fr"/>
        </w:rPr>
        <w:t xml:space="preserve"> passer la p</w:t>
      </w:r>
      <w:r w:rsidR="00966718" w:rsidRPr="00966718">
        <w:rPr>
          <w:rFonts w:ascii="Arial Narrow" w:eastAsia="Bell MT" w:hAnsi="Arial Narrow" w:cs="Bell MT"/>
          <w:sz w:val="24"/>
          <w:szCs w:val="24"/>
          <w:lang w:val="fr"/>
        </w:rPr>
        <w:t>roportion d'enfants, d'adolescents et</w:t>
      </w:r>
      <w:r w:rsidR="00966718">
        <w:rPr>
          <w:rFonts w:ascii="Arial Narrow" w:eastAsia="Bell MT" w:hAnsi="Arial Narrow" w:cs="Bell MT"/>
          <w:sz w:val="24"/>
          <w:szCs w:val="24"/>
          <w:lang w:val="fr"/>
        </w:rPr>
        <w:t xml:space="preserve"> </w:t>
      </w:r>
      <w:r w:rsidR="00966718" w:rsidRPr="00966718">
        <w:rPr>
          <w:rFonts w:ascii="Arial Narrow" w:eastAsia="Bell MT" w:hAnsi="Arial Narrow" w:cs="Bell MT"/>
          <w:sz w:val="24"/>
          <w:szCs w:val="24"/>
          <w:lang w:val="fr"/>
        </w:rPr>
        <w:t>jeunes scolarisés ayant bénéficiés de la</w:t>
      </w:r>
      <w:r w:rsidR="00966718">
        <w:rPr>
          <w:rFonts w:ascii="Arial Narrow" w:eastAsia="Bell MT" w:hAnsi="Arial Narrow" w:cs="Bell MT"/>
          <w:sz w:val="24"/>
          <w:szCs w:val="24"/>
          <w:lang w:val="fr"/>
        </w:rPr>
        <w:t xml:space="preserve"> </w:t>
      </w:r>
      <w:r w:rsidR="00966718" w:rsidRPr="00966718">
        <w:rPr>
          <w:rFonts w:ascii="Arial Narrow" w:eastAsia="Bell MT" w:hAnsi="Arial Narrow" w:cs="Bell MT"/>
          <w:sz w:val="24"/>
          <w:szCs w:val="24"/>
          <w:lang w:val="fr"/>
        </w:rPr>
        <w:t>Visite Médicale Systématique (VMS)</w:t>
      </w:r>
      <w:r w:rsidR="00966718">
        <w:rPr>
          <w:rFonts w:ascii="Arial Narrow" w:eastAsia="Bell MT" w:hAnsi="Arial Narrow" w:cs="Bell MT"/>
          <w:sz w:val="24"/>
          <w:szCs w:val="24"/>
          <w:lang w:val="fr"/>
        </w:rPr>
        <w:t xml:space="preserve"> de 30,23% en 2020 à 70% en 2025.</w:t>
      </w:r>
    </w:p>
    <w:p w14:paraId="1860E40E" w14:textId="0D0D1189" w:rsidR="00F25927" w:rsidRDefault="00F25927" w:rsidP="00F25927">
      <w:pPr>
        <w:spacing w:line="257" w:lineRule="auto"/>
        <w:jc w:val="both"/>
        <w:rPr>
          <w:rFonts w:ascii="Arial Narrow" w:hAnsi="Arial Narrow" w:cs="Arial"/>
          <w:sz w:val="24"/>
          <w:szCs w:val="24"/>
        </w:rPr>
      </w:pPr>
      <w:r w:rsidRPr="007E7C5B">
        <w:rPr>
          <w:rFonts w:ascii="Arial Narrow" w:eastAsia="Bell MT" w:hAnsi="Arial Narrow" w:cs="Bell MT"/>
          <w:b/>
          <w:bCs/>
          <w:sz w:val="24"/>
          <w:szCs w:val="24"/>
          <w:lang w:val="fr"/>
        </w:rPr>
        <w:t xml:space="preserve">Concernant l’accessibilité des services de santé adaptés aux adolescents et jeunes, </w:t>
      </w:r>
      <w:r w:rsidRPr="007E7C5B">
        <w:rPr>
          <w:rFonts w:ascii="Arial Narrow" w:eastAsia="Bell MT" w:hAnsi="Arial Narrow" w:cs="Bell MT"/>
          <w:sz w:val="24"/>
          <w:szCs w:val="24"/>
          <w:lang w:val="fr"/>
        </w:rPr>
        <w:t>le MSHPCMU a entrepris plusieurs actions. Au nombre de ces actions, on note</w:t>
      </w:r>
      <w:r>
        <w:rPr>
          <w:rFonts w:ascii="Arial Narrow" w:eastAsia="Bell MT" w:hAnsi="Arial Narrow" w:cs="Bell MT"/>
          <w:sz w:val="24"/>
          <w:szCs w:val="24"/>
          <w:lang w:val="fr"/>
        </w:rPr>
        <w:t> la c</w:t>
      </w:r>
      <w:r w:rsidRPr="007E7C5B">
        <w:rPr>
          <w:rFonts w:ascii="Arial Narrow" w:eastAsia="Bell MT" w:hAnsi="Arial Narrow" w:cs="Bell MT"/>
          <w:sz w:val="24"/>
          <w:szCs w:val="24"/>
          <w:lang w:val="fr"/>
        </w:rPr>
        <w:t>onstruction de trois</w:t>
      </w:r>
      <w:r>
        <w:rPr>
          <w:rFonts w:ascii="Arial Narrow" w:eastAsia="Bell MT" w:hAnsi="Arial Narrow" w:cs="Bell MT"/>
          <w:sz w:val="24"/>
          <w:szCs w:val="24"/>
          <w:lang w:val="fr"/>
        </w:rPr>
        <w:t xml:space="preserve"> (03)</w:t>
      </w:r>
      <w:r w:rsidRPr="007E7C5B">
        <w:rPr>
          <w:rFonts w:ascii="Arial Narrow" w:eastAsia="Bell MT" w:hAnsi="Arial Narrow" w:cs="Bell MT"/>
          <w:sz w:val="24"/>
          <w:szCs w:val="24"/>
          <w:lang w:val="fr"/>
        </w:rPr>
        <w:t xml:space="preserve"> nouveaux </w:t>
      </w:r>
      <w:bookmarkStart w:id="66" w:name="_Hlk185321562"/>
      <w:r w:rsidRPr="007E7C5B">
        <w:rPr>
          <w:rFonts w:ascii="Arial Narrow" w:eastAsia="Bell MT" w:hAnsi="Arial Narrow" w:cs="Bell MT"/>
          <w:sz w:val="24"/>
          <w:szCs w:val="24"/>
          <w:lang w:val="fr"/>
        </w:rPr>
        <w:t xml:space="preserve">Services de Santé Scolaire et Universitaire – Santé Adolescents et Jeunes </w:t>
      </w:r>
      <w:bookmarkEnd w:id="66"/>
      <w:r w:rsidRPr="007E7C5B">
        <w:rPr>
          <w:rFonts w:ascii="Arial Narrow" w:eastAsia="Bell MT" w:hAnsi="Arial Narrow" w:cs="Bell MT"/>
          <w:sz w:val="24"/>
          <w:szCs w:val="24"/>
          <w:lang w:val="fr"/>
        </w:rPr>
        <w:t xml:space="preserve">(SSSU-SAJ) à </w:t>
      </w:r>
      <w:proofErr w:type="spellStart"/>
      <w:r>
        <w:rPr>
          <w:rFonts w:ascii="Arial Narrow" w:eastAsia="Bell MT" w:hAnsi="Arial Narrow" w:cs="Bell MT"/>
          <w:sz w:val="24"/>
          <w:szCs w:val="24"/>
          <w:lang w:val="fr"/>
        </w:rPr>
        <w:t>Doropo</w:t>
      </w:r>
      <w:proofErr w:type="spellEnd"/>
      <w:r>
        <w:rPr>
          <w:rFonts w:ascii="Arial Narrow" w:eastAsia="Bell MT" w:hAnsi="Arial Narrow" w:cs="Bell MT"/>
          <w:sz w:val="24"/>
          <w:szCs w:val="24"/>
          <w:lang w:val="fr"/>
        </w:rPr>
        <w:t xml:space="preserve">, </w:t>
      </w:r>
      <w:proofErr w:type="spellStart"/>
      <w:r>
        <w:rPr>
          <w:rFonts w:ascii="Arial Narrow" w:eastAsia="Bell MT" w:hAnsi="Arial Narrow" w:cs="Bell MT"/>
          <w:sz w:val="24"/>
          <w:szCs w:val="24"/>
          <w:lang w:val="fr"/>
        </w:rPr>
        <w:t>K</w:t>
      </w:r>
      <w:r w:rsidRPr="007E7C5B">
        <w:rPr>
          <w:rFonts w:ascii="Arial Narrow" w:eastAsia="Bell MT" w:hAnsi="Arial Narrow" w:cs="Bell MT"/>
          <w:sz w:val="24"/>
          <w:szCs w:val="24"/>
          <w:lang w:val="fr"/>
        </w:rPr>
        <w:t>oun-fao</w:t>
      </w:r>
      <w:proofErr w:type="spellEnd"/>
      <w:r w:rsidRPr="007E7C5B">
        <w:rPr>
          <w:rFonts w:ascii="Arial Narrow" w:eastAsia="Bell MT" w:hAnsi="Arial Narrow" w:cs="Bell MT"/>
          <w:sz w:val="24"/>
          <w:szCs w:val="24"/>
          <w:lang w:val="fr"/>
        </w:rPr>
        <w:t>, M’</w:t>
      </w:r>
      <w:proofErr w:type="spellStart"/>
      <w:r w:rsidRPr="007E7C5B">
        <w:rPr>
          <w:rFonts w:ascii="Arial Narrow" w:eastAsia="Bell MT" w:hAnsi="Arial Narrow" w:cs="Bell MT"/>
          <w:sz w:val="24"/>
          <w:szCs w:val="24"/>
          <w:lang w:val="fr"/>
        </w:rPr>
        <w:t>Batto</w:t>
      </w:r>
      <w:proofErr w:type="spellEnd"/>
      <w:r w:rsidRPr="007E7C5B">
        <w:rPr>
          <w:rFonts w:ascii="Arial Narrow" w:eastAsia="Bell MT" w:hAnsi="Arial Narrow" w:cs="Bell MT"/>
          <w:sz w:val="24"/>
          <w:szCs w:val="24"/>
          <w:lang w:val="fr"/>
        </w:rPr>
        <w:t xml:space="preserve"> et Kani</w:t>
      </w:r>
      <w:r>
        <w:rPr>
          <w:rFonts w:ascii="Arial Narrow" w:eastAsia="Bell MT" w:hAnsi="Arial Narrow" w:cs="Bell MT"/>
          <w:sz w:val="24"/>
          <w:szCs w:val="24"/>
          <w:lang w:val="fr"/>
        </w:rPr>
        <w:t> ; portant la couverture nationale des DDS en SSSU-SAJ à 79,64%.</w:t>
      </w:r>
      <w:r w:rsidRPr="007E7C5B">
        <w:rPr>
          <w:rFonts w:ascii="Arial Narrow" w:eastAsia="Bell MT" w:hAnsi="Arial Narrow" w:cs="Bell MT"/>
          <w:sz w:val="24"/>
          <w:szCs w:val="24"/>
          <w:lang w:val="fr"/>
        </w:rPr>
        <w:t xml:space="preserve"> </w:t>
      </w:r>
      <w:r w:rsidRPr="00A918AC">
        <w:rPr>
          <w:rFonts w:ascii="Arial Narrow" w:eastAsia="Bell MT" w:hAnsi="Arial Narrow" w:cs="Bell MT"/>
          <w:sz w:val="24"/>
          <w:szCs w:val="24"/>
          <w:lang w:val="fr"/>
        </w:rPr>
        <w:t>65</w:t>
      </w:r>
      <w:r w:rsidRPr="007E7C5B">
        <w:rPr>
          <w:rFonts w:ascii="Arial Narrow" w:eastAsia="Bell MT" w:hAnsi="Arial Narrow" w:cs="Bell MT"/>
          <w:sz w:val="24"/>
          <w:szCs w:val="24"/>
          <w:lang w:val="fr"/>
        </w:rPr>
        <w:t xml:space="preserve"> espaces surs communautaires des adolescents et jeunes ont été cré</w:t>
      </w:r>
      <w:r>
        <w:rPr>
          <w:rFonts w:ascii="Arial Narrow" w:eastAsia="Bell MT" w:hAnsi="Arial Narrow" w:cs="Bell MT"/>
          <w:sz w:val="24"/>
          <w:szCs w:val="24"/>
          <w:lang w:val="fr"/>
        </w:rPr>
        <w:t>és pour rapprocher l’offre de service de communautés.</w:t>
      </w:r>
      <w:r w:rsidRPr="007E7C5B">
        <w:rPr>
          <w:rFonts w:ascii="Arial Narrow" w:eastAsia="Bell MT" w:hAnsi="Arial Narrow" w:cs="Bell MT"/>
          <w:sz w:val="24"/>
          <w:szCs w:val="24"/>
          <w:lang w:val="fr"/>
        </w:rPr>
        <w:t xml:space="preserve"> </w:t>
      </w:r>
      <w:r>
        <w:rPr>
          <w:rFonts w:ascii="Arial Narrow" w:eastAsia="Bell MT" w:hAnsi="Arial Narrow" w:cs="Bell MT"/>
          <w:sz w:val="24"/>
          <w:szCs w:val="24"/>
          <w:lang w:val="fr"/>
        </w:rPr>
        <w:t xml:space="preserve">Afin d’améliorer la </w:t>
      </w:r>
      <w:r w:rsidRPr="007E7C5B">
        <w:rPr>
          <w:rFonts w:ascii="Arial Narrow" w:eastAsia="Bell MT" w:hAnsi="Arial Narrow" w:cs="Bell MT"/>
          <w:sz w:val="24"/>
          <w:szCs w:val="24"/>
        </w:rPr>
        <w:t xml:space="preserve">qualité </w:t>
      </w:r>
      <w:r>
        <w:rPr>
          <w:rFonts w:ascii="Arial Narrow" w:eastAsia="Bell MT" w:hAnsi="Arial Narrow" w:cs="Bell MT"/>
          <w:sz w:val="24"/>
          <w:szCs w:val="24"/>
        </w:rPr>
        <w:t xml:space="preserve">de l’offre de service aux adolescents et jeunes </w:t>
      </w:r>
      <w:r w:rsidRPr="007E7C5B">
        <w:rPr>
          <w:rFonts w:ascii="Arial Narrow" w:eastAsia="Bell MT" w:hAnsi="Arial Narrow" w:cs="Bell MT"/>
          <w:sz w:val="24"/>
          <w:szCs w:val="24"/>
        </w:rPr>
        <w:t>dans les établissements sanitaires</w:t>
      </w:r>
      <w:r w:rsidRPr="007E7C5B" w:rsidDel="00124BC0">
        <w:rPr>
          <w:rFonts w:ascii="Arial Narrow" w:eastAsia="Bell MT" w:hAnsi="Arial Narrow" w:cs="Bell MT"/>
          <w:sz w:val="24"/>
          <w:szCs w:val="24"/>
          <w:lang w:val="fr"/>
        </w:rPr>
        <w:t xml:space="preserve"> </w:t>
      </w:r>
      <w:r>
        <w:rPr>
          <w:rFonts w:ascii="Arial Narrow" w:eastAsia="Bell MT" w:hAnsi="Arial Narrow" w:cs="Bell MT"/>
          <w:sz w:val="24"/>
          <w:szCs w:val="24"/>
        </w:rPr>
        <w:t>un</w:t>
      </w:r>
      <w:r w:rsidRPr="007E7C5B">
        <w:rPr>
          <w:rFonts w:ascii="Arial Narrow" w:eastAsia="Bell MT" w:hAnsi="Arial Narrow" w:cs="Bell MT"/>
          <w:sz w:val="24"/>
          <w:szCs w:val="24"/>
        </w:rPr>
        <w:t xml:space="preserve"> label qualité SAJ</w:t>
      </w:r>
      <w:r>
        <w:rPr>
          <w:rFonts w:ascii="Arial Narrow" w:eastAsia="Bell MT" w:hAnsi="Arial Narrow" w:cs="Bell MT"/>
          <w:sz w:val="24"/>
          <w:szCs w:val="24"/>
        </w:rPr>
        <w:t xml:space="preserve"> a été créé et les </w:t>
      </w:r>
      <w:r>
        <w:rPr>
          <w:rFonts w:ascii="Arial Narrow" w:hAnsi="Arial Narrow" w:cs="Arial"/>
          <w:sz w:val="24"/>
          <w:szCs w:val="24"/>
        </w:rPr>
        <w:t>c</w:t>
      </w:r>
      <w:r w:rsidRPr="007E7C5B">
        <w:rPr>
          <w:rFonts w:ascii="Arial Narrow" w:hAnsi="Arial Narrow" w:cs="Arial"/>
          <w:sz w:val="24"/>
          <w:szCs w:val="24"/>
        </w:rPr>
        <w:t xml:space="preserve">apacités des SSSU-SAJ ont été renforcées pour </w:t>
      </w:r>
      <w:r>
        <w:rPr>
          <w:rFonts w:ascii="Arial Narrow" w:hAnsi="Arial Narrow" w:cs="Arial"/>
          <w:sz w:val="24"/>
          <w:szCs w:val="24"/>
        </w:rPr>
        <w:t>la</w:t>
      </w:r>
      <w:r w:rsidRPr="007E7C5B">
        <w:rPr>
          <w:rFonts w:ascii="Arial Narrow" w:hAnsi="Arial Narrow" w:cs="Arial"/>
          <w:sz w:val="24"/>
          <w:szCs w:val="24"/>
        </w:rPr>
        <w:t xml:space="preserve"> fourniture de services conviviaux adaptés aux besoins des jeunes et adolescents. </w:t>
      </w:r>
    </w:p>
    <w:p w14:paraId="4DA63E08" w14:textId="5907CE09" w:rsidR="00F25927" w:rsidRPr="0044167B" w:rsidRDefault="00F25927" w:rsidP="0044167B">
      <w:pPr>
        <w:spacing w:line="257" w:lineRule="auto"/>
        <w:jc w:val="both"/>
        <w:rPr>
          <w:rFonts w:ascii="Arial Narrow" w:eastAsia="Bell MT" w:hAnsi="Arial Narrow" w:cs="Bell MT"/>
          <w:sz w:val="24"/>
          <w:szCs w:val="24"/>
          <w:lang w:val="fr"/>
        </w:rPr>
      </w:pPr>
      <w:r w:rsidRPr="0044167B">
        <w:rPr>
          <w:rFonts w:ascii="Arial Narrow" w:hAnsi="Arial Narrow" w:cs="Arial"/>
          <w:sz w:val="24"/>
          <w:szCs w:val="24"/>
        </w:rPr>
        <w:t>Concernant les documents normatifs</w:t>
      </w:r>
      <w:r w:rsidR="00117A93">
        <w:rPr>
          <w:rFonts w:ascii="Arial Narrow" w:hAnsi="Arial Narrow" w:cs="Arial"/>
          <w:sz w:val="24"/>
          <w:szCs w:val="24"/>
        </w:rPr>
        <w:t>,</w:t>
      </w:r>
      <w:r w:rsidR="00117A93" w:rsidRPr="00117A93">
        <w:rPr>
          <w:rFonts w:ascii="Arial Narrow" w:hAnsi="Arial Narrow" w:cs="Arial"/>
          <w:sz w:val="24"/>
          <w:szCs w:val="24"/>
        </w:rPr>
        <w:t xml:space="preserve"> </w:t>
      </w:r>
      <w:r w:rsidR="00117A93">
        <w:rPr>
          <w:rFonts w:ascii="Arial Narrow" w:hAnsi="Arial Narrow" w:cs="Arial"/>
          <w:sz w:val="24"/>
          <w:szCs w:val="24"/>
        </w:rPr>
        <w:t xml:space="preserve">le plan </w:t>
      </w:r>
      <w:r w:rsidR="00117A93" w:rsidRPr="00D15AE6">
        <w:rPr>
          <w:rFonts w:ascii="Arial Narrow" w:hAnsi="Arial Narrow" w:cs="Arial"/>
          <w:sz w:val="24"/>
          <w:szCs w:val="24"/>
        </w:rPr>
        <w:t xml:space="preserve">stratégique de la santé des adolescents et jeunes 2024-2028 </w:t>
      </w:r>
      <w:r w:rsidR="00117A93">
        <w:rPr>
          <w:rFonts w:ascii="Arial Narrow" w:hAnsi="Arial Narrow" w:cs="Arial"/>
          <w:sz w:val="24"/>
          <w:szCs w:val="24"/>
        </w:rPr>
        <w:t xml:space="preserve">a été élaboré et </w:t>
      </w:r>
      <w:r w:rsidRPr="0044167B">
        <w:rPr>
          <w:rFonts w:ascii="Arial Narrow" w:hAnsi="Arial Narrow" w:cs="Arial"/>
          <w:sz w:val="24"/>
          <w:szCs w:val="24"/>
        </w:rPr>
        <w:t xml:space="preserve">plusieurs </w:t>
      </w:r>
      <w:r w:rsidR="00117A93">
        <w:rPr>
          <w:rFonts w:ascii="Arial Narrow" w:hAnsi="Arial Narrow" w:cs="Arial"/>
          <w:sz w:val="24"/>
          <w:szCs w:val="24"/>
        </w:rPr>
        <w:t xml:space="preserve">guides </w:t>
      </w:r>
      <w:r w:rsidRPr="0044167B">
        <w:rPr>
          <w:rFonts w:ascii="Arial Narrow" w:hAnsi="Arial Narrow" w:cs="Arial"/>
          <w:sz w:val="24"/>
          <w:szCs w:val="24"/>
        </w:rPr>
        <w:t>ont été élaborés</w:t>
      </w:r>
      <w:r w:rsidR="00117A93" w:rsidRPr="0044167B">
        <w:rPr>
          <w:rFonts w:ascii="Arial Narrow" w:hAnsi="Arial Narrow" w:cs="Arial"/>
          <w:sz w:val="24"/>
          <w:szCs w:val="24"/>
        </w:rPr>
        <w:t xml:space="preserve"> notamm</w:t>
      </w:r>
      <w:r w:rsidR="00117A93">
        <w:rPr>
          <w:rFonts w:ascii="Arial Narrow" w:hAnsi="Arial Narrow" w:cs="Arial"/>
          <w:sz w:val="24"/>
          <w:szCs w:val="24"/>
        </w:rPr>
        <w:t>e</w:t>
      </w:r>
      <w:r w:rsidR="00117A93" w:rsidRPr="0044167B">
        <w:rPr>
          <w:rFonts w:ascii="Arial Narrow" w:hAnsi="Arial Narrow" w:cs="Arial"/>
          <w:sz w:val="24"/>
          <w:szCs w:val="24"/>
        </w:rPr>
        <w:t xml:space="preserve">nt </w:t>
      </w:r>
      <w:r w:rsidR="00117A93" w:rsidRPr="0044167B">
        <w:rPr>
          <w:rFonts w:ascii="Arial Narrow" w:hAnsi="Arial Narrow" w:cs="Arial"/>
          <w:i/>
          <w:iCs/>
          <w:sz w:val="24"/>
          <w:szCs w:val="24"/>
        </w:rPr>
        <w:t>(i)</w:t>
      </w:r>
      <w:r w:rsidR="00117A93">
        <w:rPr>
          <w:rFonts w:ascii="Arial Narrow" w:hAnsi="Arial Narrow" w:cs="Arial"/>
          <w:sz w:val="24"/>
          <w:szCs w:val="24"/>
        </w:rPr>
        <w:t xml:space="preserve"> </w:t>
      </w:r>
      <w:r w:rsidR="00117A93" w:rsidRPr="0044167B">
        <w:rPr>
          <w:rFonts w:ascii="Arial Narrow" w:hAnsi="Arial Narrow" w:cs="Arial"/>
          <w:sz w:val="24"/>
          <w:szCs w:val="24"/>
        </w:rPr>
        <w:t>le g</w:t>
      </w:r>
      <w:proofErr w:type="spellStart"/>
      <w:r w:rsidRPr="0044167B">
        <w:rPr>
          <w:rFonts w:ascii="Arial Narrow" w:eastAsia="Bell MT" w:hAnsi="Arial Narrow" w:cs="Bell MT"/>
          <w:sz w:val="24"/>
          <w:szCs w:val="24"/>
          <w:lang w:val="fr"/>
        </w:rPr>
        <w:t>uide</w:t>
      </w:r>
      <w:proofErr w:type="spellEnd"/>
      <w:r w:rsidRPr="0044167B">
        <w:rPr>
          <w:rFonts w:ascii="Arial Narrow" w:eastAsia="Bell MT" w:hAnsi="Arial Narrow" w:cs="Bell MT"/>
          <w:sz w:val="24"/>
          <w:szCs w:val="24"/>
          <w:lang w:val="fr"/>
        </w:rPr>
        <w:t xml:space="preserve"> d’animation des espaces sûrs adolescents et jeunes</w:t>
      </w:r>
      <w:r w:rsidR="00117A93">
        <w:rPr>
          <w:rFonts w:ascii="Arial Narrow" w:eastAsia="Bell MT" w:hAnsi="Arial Narrow" w:cs="Bell MT"/>
          <w:sz w:val="24"/>
          <w:szCs w:val="24"/>
          <w:lang w:val="fr"/>
        </w:rPr>
        <w:t xml:space="preserve">, </w:t>
      </w:r>
      <w:r w:rsidR="00117A93" w:rsidRPr="0044167B">
        <w:rPr>
          <w:rFonts w:ascii="Arial Narrow" w:eastAsia="Bell MT" w:hAnsi="Arial Narrow" w:cs="Bell MT"/>
          <w:i/>
          <w:iCs/>
          <w:sz w:val="24"/>
          <w:szCs w:val="24"/>
          <w:lang w:val="fr"/>
        </w:rPr>
        <w:t>(ii)</w:t>
      </w:r>
      <w:r w:rsidR="00117A93">
        <w:rPr>
          <w:rFonts w:ascii="Arial Narrow" w:eastAsia="Bell MT" w:hAnsi="Arial Narrow" w:cs="Bell MT"/>
          <w:sz w:val="24"/>
          <w:szCs w:val="24"/>
          <w:lang w:val="fr"/>
        </w:rPr>
        <w:t xml:space="preserve"> </w:t>
      </w:r>
      <w:r w:rsidR="00117A93" w:rsidRPr="0044167B">
        <w:rPr>
          <w:rFonts w:ascii="Arial Narrow" w:eastAsia="Bell MT" w:hAnsi="Arial Narrow" w:cs="Bell MT"/>
          <w:sz w:val="24"/>
          <w:szCs w:val="24"/>
          <w:lang w:val="fr"/>
        </w:rPr>
        <w:t>le g</w:t>
      </w:r>
      <w:r w:rsidRPr="0044167B">
        <w:rPr>
          <w:rFonts w:ascii="Arial Narrow" w:eastAsia="Bell MT" w:hAnsi="Arial Narrow" w:cs="Bell MT"/>
          <w:sz w:val="24"/>
          <w:szCs w:val="24"/>
          <w:lang w:val="fr"/>
        </w:rPr>
        <w:t xml:space="preserve">uide de formation des prestataires de santé à l’éducation à la santé et à la vie saine (ESVS) </w:t>
      </w:r>
      <w:r w:rsidR="00117A93" w:rsidRPr="0044167B">
        <w:rPr>
          <w:rFonts w:ascii="Arial Narrow" w:eastAsia="Bell MT" w:hAnsi="Arial Narrow" w:cs="Bell MT"/>
          <w:sz w:val="24"/>
          <w:szCs w:val="24"/>
          <w:lang w:val="fr"/>
        </w:rPr>
        <w:t>et</w:t>
      </w:r>
      <w:r w:rsidR="00117A93">
        <w:rPr>
          <w:rFonts w:ascii="Arial Narrow" w:eastAsia="Bell MT" w:hAnsi="Arial Narrow" w:cs="Bell MT"/>
          <w:sz w:val="24"/>
          <w:szCs w:val="24"/>
          <w:lang w:val="fr"/>
        </w:rPr>
        <w:t xml:space="preserve"> </w:t>
      </w:r>
      <w:r w:rsidR="00117A93" w:rsidRPr="0044167B">
        <w:rPr>
          <w:rFonts w:ascii="Arial Narrow" w:eastAsia="Bell MT" w:hAnsi="Arial Narrow" w:cs="Bell MT"/>
          <w:i/>
          <w:iCs/>
          <w:sz w:val="24"/>
          <w:szCs w:val="24"/>
          <w:lang w:val="fr"/>
        </w:rPr>
        <w:t>(iii)</w:t>
      </w:r>
      <w:r w:rsidR="00117A93">
        <w:rPr>
          <w:rFonts w:ascii="Arial Narrow" w:eastAsia="Bell MT" w:hAnsi="Arial Narrow" w:cs="Bell MT"/>
          <w:sz w:val="24"/>
          <w:szCs w:val="24"/>
          <w:lang w:val="fr"/>
        </w:rPr>
        <w:t xml:space="preserve"> le</w:t>
      </w:r>
      <w:r w:rsidR="00117A93" w:rsidRPr="0044167B">
        <w:rPr>
          <w:rFonts w:ascii="Arial Narrow" w:eastAsia="Bell MT" w:hAnsi="Arial Narrow" w:cs="Bell MT"/>
          <w:sz w:val="24"/>
          <w:szCs w:val="24"/>
          <w:lang w:val="fr"/>
        </w:rPr>
        <w:t xml:space="preserve"> g</w:t>
      </w:r>
      <w:proofErr w:type="spellStart"/>
      <w:r w:rsidRPr="0044167B">
        <w:rPr>
          <w:rFonts w:ascii="Arial Narrow" w:hAnsi="Arial Narrow" w:cs="Arial"/>
          <w:sz w:val="24"/>
          <w:szCs w:val="24"/>
        </w:rPr>
        <w:t>uide</w:t>
      </w:r>
      <w:proofErr w:type="spellEnd"/>
      <w:r w:rsidRPr="0044167B">
        <w:rPr>
          <w:rFonts w:ascii="Arial Narrow" w:hAnsi="Arial Narrow" w:cs="Arial"/>
          <w:sz w:val="24"/>
          <w:szCs w:val="24"/>
        </w:rPr>
        <w:t xml:space="preserve"> de </w:t>
      </w:r>
      <w:r w:rsidRPr="0044167B">
        <w:rPr>
          <w:rFonts w:ascii="Arial Narrow" w:eastAsia="Bell MT" w:hAnsi="Arial Narrow" w:cs="Bell MT"/>
          <w:sz w:val="24"/>
          <w:szCs w:val="24"/>
          <w:lang w:val="fr"/>
        </w:rPr>
        <w:t xml:space="preserve">Visite Médicale Systématique (VMS). </w:t>
      </w:r>
    </w:p>
    <w:p w14:paraId="7D49992C" w14:textId="5D5B12DB" w:rsidR="00F25927" w:rsidRPr="0044167B" w:rsidRDefault="00F25927" w:rsidP="00F25927">
      <w:pPr>
        <w:spacing w:line="257" w:lineRule="auto"/>
        <w:jc w:val="both"/>
        <w:rPr>
          <w:rFonts w:ascii="Arial Narrow" w:eastAsia="Bell MT" w:hAnsi="Arial Narrow" w:cs="Bell MT"/>
          <w:sz w:val="24"/>
          <w:szCs w:val="24"/>
          <w:lang w:val="fr"/>
        </w:rPr>
      </w:pPr>
      <w:r>
        <w:rPr>
          <w:rFonts w:ascii="Arial Narrow" w:eastAsia="Bell MT" w:hAnsi="Arial Narrow" w:cs="Bell MT"/>
          <w:sz w:val="24"/>
          <w:szCs w:val="24"/>
          <w:lang w:val="fr"/>
        </w:rPr>
        <w:t>Pour renforcer l’adoption de comportement responsables, l’Education à la Santé et à la Vie Saine a été adoptée. ; il s’agit d’une stratégie d’éducation à la santé permettant de donner aux adolescents et jeunes d’acquérir des compétences de vie et de renforcer le dialogue parents-enfants a été adoptée. Ainsi, 111 prestataires de santé et 28 Agents de Santé Communautaire (ASC) ; et autres encadreurs scolaires, leaders communautaires</w:t>
      </w:r>
      <w:r w:rsidRPr="00E7694D">
        <w:rPr>
          <w:rFonts w:ascii="Arial Narrow" w:hAnsi="Arial Narrow" w:cs="Arial"/>
          <w:sz w:val="24"/>
          <w:szCs w:val="24"/>
        </w:rPr>
        <w:t xml:space="preserve"> </w:t>
      </w:r>
      <w:r>
        <w:rPr>
          <w:rFonts w:ascii="Arial Narrow" w:eastAsia="Bell MT" w:hAnsi="Arial Narrow" w:cs="Bell MT"/>
          <w:sz w:val="24"/>
          <w:szCs w:val="24"/>
          <w:lang w:val="fr"/>
        </w:rPr>
        <w:t>ont vus leurs capacités renforcées en ESVS.</w:t>
      </w:r>
    </w:p>
    <w:p w14:paraId="1C2F0791" w14:textId="3F3F7C68" w:rsidR="007C4E4C" w:rsidRDefault="00F25927" w:rsidP="007C4E4C">
      <w:pPr>
        <w:spacing w:after="0"/>
        <w:jc w:val="both"/>
        <w:rPr>
          <w:rFonts w:ascii="Arial Narrow" w:eastAsia="Bell MT" w:hAnsi="Arial Narrow" w:cs="Bell MT"/>
          <w:sz w:val="24"/>
          <w:szCs w:val="24"/>
        </w:rPr>
      </w:pPr>
      <w:r w:rsidRPr="007E7C5B">
        <w:rPr>
          <w:rFonts w:ascii="Arial Narrow" w:eastAsia="Bell MT" w:hAnsi="Arial Narrow" w:cs="Bell MT"/>
          <w:b/>
          <w:bCs/>
          <w:sz w:val="24"/>
          <w:szCs w:val="24"/>
        </w:rPr>
        <w:t>S’agissant de l’extension de l’offre de service de santé adapté aux adolescents et jeunes,</w:t>
      </w:r>
      <w:r w:rsidRPr="007E7C5B">
        <w:rPr>
          <w:rFonts w:ascii="Arial Narrow" w:eastAsia="Bell MT" w:hAnsi="Arial Narrow" w:cs="Bell MT"/>
          <w:sz w:val="24"/>
          <w:szCs w:val="24"/>
        </w:rPr>
        <w:t xml:space="preserve"> </w:t>
      </w:r>
      <w:r w:rsidR="007C4E4C" w:rsidRPr="00A918AC">
        <w:rPr>
          <w:rFonts w:ascii="Arial Narrow" w:eastAsia="Bell MT" w:hAnsi="Arial Narrow" w:cs="Bell MT"/>
          <w:i/>
          <w:sz w:val="24"/>
          <w:szCs w:val="24"/>
        </w:rPr>
        <w:t>l’intégration des services de santé adaptés aux adolescents et jeunes dans les structures de santé à tous les niveaux de la pyramide sanitaire</w:t>
      </w:r>
      <w:r w:rsidR="007C4E4C">
        <w:rPr>
          <w:rFonts w:ascii="Arial Narrow" w:eastAsia="Bell MT" w:hAnsi="Arial Narrow" w:cs="Bell MT"/>
          <w:i/>
          <w:iCs/>
          <w:sz w:val="24"/>
          <w:szCs w:val="24"/>
        </w:rPr>
        <w:t xml:space="preserve"> a été </w:t>
      </w:r>
      <w:r w:rsidR="007C4E4C" w:rsidRPr="007E7C5B">
        <w:rPr>
          <w:rFonts w:ascii="Arial Narrow" w:eastAsia="Bell MT" w:hAnsi="Arial Narrow" w:cs="Bell MT"/>
          <w:sz w:val="24"/>
          <w:szCs w:val="24"/>
        </w:rPr>
        <w:t>rendu effective</w:t>
      </w:r>
      <w:r>
        <w:rPr>
          <w:rFonts w:ascii="Arial Narrow" w:hAnsi="Arial Narrow" w:cs="Arial"/>
          <w:sz w:val="24"/>
          <w:szCs w:val="24"/>
        </w:rPr>
        <w:t>.</w:t>
      </w:r>
      <w:r w:rsidR="00117A93">
        <w:rPr>
          <w:rFonts w:ascii="Arial Narrow" w:eastAsia="Bell MT" w:hAnsi="Arial Narrow" w:cs="Bell MT"/>
          <w:sz w:val="24"/>
          <w:szCs w:val="24"/>
        </w:rPr>
        <w:t xml:space="preserve"> </w:t>
      </w:r>
      <w:r w:rsidR="007C4E4C" w:rsidRPr="00C83C8F">
        <w:rPr>
          <w:rFonts w:ascii="Arial Narrow" w:eastAsia="Bell MT" w:hAnsi="Arial Narrow" w:cs="Bell MT"/>
          <w:sz w:val="24"/>
          <w:szCs w:val="24"/>
        </w:rPr>
        <w:t>A cet effet</w:t>
      </w:r>
      <w:r w:rsidR="007C4E4C" w:rsidRPr="00C83C8F" w:rsidDel="005A31DF">
        <w:rPr>
          <w:rFonts w:ascii="Arial Narrow" w:eastAsia="Bell MT" w:hAnsi="Arial Narrow" w:cs="Bell MT"/>
          <w:sz w:val="24"/>
          <w:szCs w:val="24"/>
        </w:rPr>
        <w:t xml:space="preserve">, </w:t>
      </w:r>
      <w:r w:rsidR="007C4E4C" w:rsidRPr="00C83C8F">
        <w:rPr>
          <w:rFonts w:ascii="Arial Narrow" w:eastAsia="Bell MT" w:hAnsi="Arial Narrow" w:cs="Bell MT"/>
          <w:sz w:val="24"/>
          <w:szCs w:val="24"/>
        </w:rPr>
        <w:t xml:space="preserve">12 travailleurs sociaux et prestataires de santé ont vu leur capacités renforcées sur les techniques et les modules d'animation de groupes de discussion au sein des espaces sûrs, </w:t>
      </w:r>
      <w:r w:rsidR="007C4E4C" w:rsidRPr="00D15AE6">
        <w:rPr>
          <w:rFonts w:ascii="Arial Narrow" w:hAnsi="Arial Narrow" w:cs="Arial"/>
          <w:sz w:val="24"/>
          <w:szCs w:val="24"/>
        </w:rPr>
        <w:t xml:space="preserve">300 prestataires </w:t>
      </w:r>
      <w:r w:rsidR="007C4E4C" w:rsidRPr="00C83C8F">
        <w:rPr>
          <w:rFonts w:ascii="Arial Narrow" w:hAnsi="Arial Narrow" w:cs="Arial"/>
          <w:sz w:val="24"/>
          <w:szCs w:val="24"/>
        </w:rPr>
        <w:t xml:space="preserve">de santé pour la prise en charge holistique des adolescents et jeunes ; </w:t>
      </w:r>
      <w:r w:rsidR="007C4E4C" w:rsidRPr="00C83C8F">
        <w:rPr>
          <w:rFonts w:ascii="Arial Narrow" w:eastAsia="Bell MT" w:hAnsi="Arial Narrow" w:cs="Bell MT"/>
          <w:sz w:val="24"/>
          <w:szCs w:val="24"/>
        </w:rPr>
        <w:t xml:space="preserve">24 prestataires de santé sur la santé sexuelle reproductive des adolescents et jeunes ainsi que 270 ASC à la prise en charge holistique des adolescents et jeunes dans les régions sanitaires du </w:t>
      </w:r>
      <w:proofErr w:type="spellStart"/>
      <w:r w:rsidR="007C4E4C" w:rsidRPr="00C83C8F">
        <w:rPr>
          <w:rFonts w:ascii="Arial Narrow" w:eastAsia="Bell MT" w:hAnsi="Arial Narrow" w:cs="Bell MT"/>
          <w:sz w:val="24"/>
          <w:szCs w:val="24"/>
        </w:rPr>
        <w:t>Kabadougou</w:t>
      </w:r>
      <w:proofErr w:type="spellEnd"/>
      <w:r w:rsidR="007C4E4C" w:rsidRPr="00C83C8F">
        <w:rPr>
          <w:rFonts w:ascii="Arial Narrow" w:eastAsia="Bell MT" w:hAnsi="Arial Narrow" w:cs="Bell MT"/>
          <w:sz w:val="24"/>
          <w:szCs w:val="24"/>
        </w:rPr>
        <w:t xml:space="preserve">, du Bafing et du Folon pour une prise en communautaires des </w:t>
      </w:r>
      <w:r w:rsidR="007C4E4C" w:rsidRPr="00C83C8F">
        <w:rPr>
          <w:rFonts w:ascii="Arial Narrow" w:eastAsia="Bell MT" w:hAnsi="Arial Narrow" w:cs="Bell MT"/>
          <w:sz w:val="24"/>
          <w:szCs w:val="24"/>
        </w:rPr>
        <w:lastRenderedPageBreak/>
        <w:t>adolescents et jeunes.</w:t>
      </w:r>
      <w:r w:rsidR="007C4E4C">
        <w:rPr>
          <w:rFonts w:ascii="Arial Narrow" w:eastAsia="Bell MT" w:hAnsi="Arial Narrow" w:cs="Bell MT"/>
          <w:sz w:val="24"/>
          <w:szCs w:val="24"/>
        </w:rPr>
        <w:t xml:space="preserve"> En outre, u</w:t>
      </w:r>
      <w:r w:rsidR="007C4E4C">
        <w:rPr>
          <w:rFonts w:ascii="Arial Narrow" w:hAnsi="Arial Narrow" w:cs="Arial"/>
          <w:sz w:val="24"/>
          <w:szCs w:val="24"/>
        </w:rPr>
        <w:t xml:space="preserve">n pool national de </w:t>
      </w:r>
      <w:r w:rsidR="007C4E4C" w:rsidRPr="001A4D9F">
        <w:rPr>
          <w:rFonts w:ascii="Arial Narrow" w:hAnsi="Arial Narrow" w:cs="Arial"/>
          <w:sz w:val="24"/>
          <w:szCs w:val="24"/>
        </w:rPr>
        <w:t xml:space="preserve">25 formateurs nationaux en Prévention Combinée des IST et du VIH des adolescents et jeunes </w:t>
      </w:r>
      <w:r w:rsidR="007C4E4C">
        <w:rPr>
          <w:rFonts w:ascii="Arial Narrow" w:hAnsi="Arial Narrow" w:cs="Arial"/>
          <w:sz w:val="24"/>
          <w:szCs w:val="24"/>
        </w:rPr>
        <w:t>a été mis en place</w:t>
      </w:r>
      <w:r w:rsidR="007C4E4C">
        <w:rPr>
          <w:rFonts w:ascii="Arial Narrow" w:eastAsia="Bell MT" w:hAnsi="Arial Narrow" w:cs="Bell MT"/>
          <w:sz w:val="24"/>
          <w:szCs w:val="24"/>
        </w:rPr>
        <w:t xml:space="preserve">. </w:t>
      </w:r>
      <w:r w:rsidR="007C4E4C" w:rsidRPr="00C83C8F">
        <w:rPr>
          <w:rFonts w:ascii="Arial Narrow" w:eastAsia="Bell MT" w:hAnsi="Arial Narrow" w:cs="Bell MT"/>
          <w:sz w:val="24"/>
          <w:szCs w:val="24"/>
        </w:rPr>
        <w:t xml:space="preserve">Afin d’assurer le suivi de l’intégration de ces services au niveau intermédiaire, </w:t>
      </w:r>
      <w:r w:rsidR="007C4E4C" w:rsidRPr="00C83C8F">
        <w:rPr>
          <w:rFonts w:ascii="Arial Narrow" w:eastAsia="Bell MT" w:hAnsi="Arial Narrow" w:cs="Bell MT"/>
          <w:sz w:val="24"/>
          <w:szCs w:val="24"/>
          <w:lang w:val="fr"/>
        </w:rPr>
        <w:t xml:space="preserve">260 responsables (DR/DD/CSE/CSR) de 20 districts sanitaires ont vu leurs capacités renforcées. </w:t>
      </w:r>
      <w:r w:rsidR="007C4E4C" w:rsidRPr="00C83C8F">
        <w:rPr>
          <w:rFonts w:ascii="Arial Narrow" w:eastAsia="Bell MT" w:hAnsi="Arial Narrow" w:cs="Bell MT"/>
          <w:sz w:val="24"/>
          <w:szCs w:val="24"/>
        </w:rPr>
        <w:t xml:space="preserve">Ces actions ont permis la prise en charge sanitaire de 854 jeunes filles mères ayant abandonnés l’école et la prise en charge sociale de 1 463 jeunes filles mères. </w:t>
      </w:r>
    </w:p>
    <w:p w14:paraId="08CD4407" w14:textId="77777777" w:rsidR="007C4E4C" w:rsidRDefault="007C4E4C" w:rsidP="0044167B">
      <w:pPr>
        <w:spacing w:after="0"/>
        <w:jc w:val="both"/>
        <w:rPr>
          <w:rFonts w:ascii="Arial Narrow" w:eastAsia="Bell MT" w:hAnsi="Arial Narrow" w:cs="Bell MT"/>
          <w:sz w:val="24"/>
          <w:szCs w:val="24"/>
        </w:rPr>
      </w:pPr>
    </w:p>
    <w:p w14:paraId="34168592" w14:textId="057E4082" w:rsidR="00F25927" w:rsidRDefault="00F25927" w:rsidP="00F25927">
      <w:pPr>
        <w:spacing w:line="257" w:lineRule="auto"/>
        <w:jc w:val="both"/>
        <w:rPr>
          <w:rFonts w:ascii="Arial Narrow" w:eastAsia="Bell MT" w:hAnsi="Arial Narrow" w:cs="Bell MT"/>
          <w:sz w:val="24"/>
          <w:szCs w:val="24"/>
        </w:rPr>
      </w:pPr>
      <w:r>
        <w:rPr>
          <w:rFonts w:ascii="Arial Narrow" w:hAnsi="Arial Narrow" w:cs="Arial"/>
          <w:sz w:val="24"/>
          <w:szCs w:val="24"/>
        </w:rPr>
        <w:t xml:space="preserve">Concernant l’accès aux informations, 6 783 279 adolescents et jeunes ont été touchés par les messages de sensibilisation dont </w:t>
      </w:r>
      <w:r w:rsidRPr="001A4D9F">
        <w:rPr>
          <w:rFonts w:ascii="Arial Narrow" w:hAnsi="Arial Narrow" w:cs="Arial"/>
          <w:sz w:val="24"/>
          <w:szCs w:val="24"/>
        </w:rPr>
        <w:t xml:space="preserve">3 millions </w:t>
      </w:r>
      <w:r>
        <w:rPr>
          <w:rFonts w:ascii="Arial Narrow" w:hAnsi="Arial Narrow" w:cs="Arial"/>
          <w:sz w:val="24"/>
          <w:szCs w:val="24"/>
        </w:rPr>
        <w:t>par l</w:t>
      </w:r>
      <w:r w:rsidRPr="001A4D9F">
        <w:rPr>
          <w:rFonts w:ascii="Arial Narrow" w:hAnsi="Arial Narrow" w:cs="Arial"/>
          <w:sz w:val="24"/>
          <w:szCs w:val="24"/>
        </w:rPr>
        <w:t>’initiative U-Test</w:t>
      </w:r>
      <w:r w:rsidR="00117A93">
        <w:rPr>
          <w:rFonts w:ascii="Arial Narrow" w:hAnsi="Arial Narrow" w:cs="Arial"/>
          <w:sz w:val="24"/>
          <w:szCs w:val="24"/>
        </w:rPr>
        <w:t>,</w:t>
      </w:r>
      <w:r>
        <w:rPr>
          <w:rFonts w:ascii="Arial Narrow" w:hAnsi="Arial Narrow" w:cs="Arial"/>
          <w:sz w:val="24"/>
          <w:szCs w:val="24"/>
        </w:rPr>
        <w:t xml:space="preserve"> ce qui </w:t>
      </w:r>
      <w:r w:rsidR="00117A93">
        <w:rPr>
          <w:rFonts w:ascii="Arial Narrow" w:hAnsi="Arial Narrow" w:cs="Arial"/>
          <w:sz w:val="24"/>
          <w:szCs w:val="24"/>
        </w:rPr>
        <w:t xml:space="preserve">a </w:t>
      </w:r>
      <w:r>
        <w:rPr>
          <w:rFonts w:ascii="Arial Narrow" w:hAnsi="Arial Narrow" w:cs="Arial"/>
          <w:sz w:val="24"/>
          <w:szCs w:val="24"/>
        </w:rPr>
        <w:t xml:space="preserve">permis d’améliorer </w:t>
      </w:r>
      <w:r w:rsidRPr="001A4D9F">
        <w:rPr>
          <w:rFonts w:ascii="Arial Narrow" w:hAnsi="Arial Narrow" w:cs="Arial"/>
          <w:sz w:val="24"/>
          <w:szCs w:val="24"/>
        </w:rPr>
        <w:t>l’accès à des informations des services de prévention de qualité contribuant ainsi à la prévention combiné</w:t>
      </w:r>
      <w:r>
        <w:rPr>
          <w:rFonts w:ascii="Arial Narrow" w:hAnsi="Arial Narrow" w:cs="Arial"/>
          <w:sz w:val="24"/>
          <w:szCs w:val="24"/>
        </w:rPr>
        <w:t>e</w:t>
      </w:r>
      <w:r w:rsidRPr="001A4D9F">
        <w:rPr>
          <w:rFonts w:ascii="Arial Narrow" w:hAnsi="Arial Narrow" w:cs="Arial"/>
          <w:sz w:val="24"/>
          <w:szCs w:val="24"/>
        </w:rPr>
        <w:t xml:space="preserve"> du VIH pour les adolescents et jeunes</w:t>
      </w:r>
      <w:r w:rsidR="00117A93">
        <w:rPr>
          <w:rFonts w:ascii="Arial Narrow" w:hAnsi="Arial Narrow" w:cs="Arial"/>
          <w:sz w:val="24"/>
          <w:szCs w:val="24"/>
        </w:rPr>
        <w:t>. De plus, u</w:t>
      </w:r>
      <w:r w:rsidRPr="001A4D9F">
        <w:rPr>
          <w:rFonts w:ascii="Arial Narrow" w:hAnsi="Arial Narrow" w:cs="Arial"/>
          <w:sz w:val="24"/>
          <w:szCs w:val="24"/>
        </w:rPr>
        <w:t xml:space="preserve">ne plateforme digitale </w:t>
      </w:r>
      <w:r w:rsidRPr="001A4D9F">
        <w:rPr>
          <w:rFonts w:ascii="Arial Narrow" w:hAnsi="Arial Narrow" w:cs="Arial"/>
          <w:i/>
          <w:iCs/>
          <w:sz w:val="24"/>
          <w:szCs w:val="24"/>
        </w:rPr>
        <w:t xml:space="preserve">« E-santé Jeunes » </w:t>
      </w:r>
      <w:r>
        <w:rPr>
          <w:rFonts w:ascii="Arial Narrow" w:hAnsi="Arial Narrow" w:cs="Arial"/>
          <w:i/>
          <w:iCs/>
          <w:sz w:val="24"/>
          <w:szCs w:val="24"/>
        </w:rPr>
        <w:t xml:space="preserve">de sensibilisation des adolescents et jeunes via le numérique a été élaborée et </w:t>
      </w:r>
      <w:r w:rsidR="007C4E4C">
        <w:rPr>
          <w:rFonts w:ascii="Arial Narrow" w:hAnsi="Arial Narrow" w:cs="Arial"/>
          <w:i/>
          <w:iCs/>
          <w:sz w:val="24"/>
          <w:szCs w:val="24"/>
        </w:rPr>
        <w:t xml:space="preserve">a </w:t>
      </w:r>
      <w:r>
        <w:rPr>
          <w:rFonts w:ascii="Arial Narrow" w:hAnsi="Arial Narrow" w:cs="Arial"/>
          <w:i/>
          <w:iCs/>
          <w:sz w:val="24"/>
          <w:szCs w:val="24"/>
        </w:rPr>
        <w:t xml:space="preserve">permis de toucher </w:t>
      </w:r>
      <w:r w:rsidRPr="001A4D9F">
        <w:rPr>
          <w:rFonts w:ascii="Arial Narrow" w:hAnsi="Arial Narrow" w:cs="Arial"/>
          <w:sz w:val="24"/>
          <w:szCs w:val="24"/>
        </w:rPr>
        <w:t>12 953 adolescents et jeunes</w:t>
      </w:r>
      <w:r>
        <w:rPr>
          <w:rFonts w:ascii="Arial Narrow" w:hAnsi="Arial Narrow" w:cs="Arial"/>
          <w:sz w:val="24"/>
          <w:szCs w:val="24"/>
        </w:rPr>
        <w:t xml:space="preserve">. </w:t>
      </w:r>
      <w:r w:rsidRPr="001A4D9F">
        <w:rPr>
          <w:rFonts w:ascii="Arial Narrow" w:hAnsi="Arial Narrow" w:cs="Arial"/>
          <w:sz w:val="24"/>
          <w:szCs w:val="24"/>
        </w:rPr>
        <w:t xml:space="preserve"> </w:t>
      </w:r>
    </w:p>
    <w:p w14:paraId="021268A7" w14:textId="77777777" w:rsidR="00F25927" w:rsidRPr="00C83C8F" w:rsidRDefault="00F25927" w:rsidP="00F25927">
      <w:pPr>
        <w:spacing w:after="0"/>
        <w:jc w:val="both"/>
        <w:rPr>
          <w:rFonts w:ascii="Arial Narrow" w:eastAsia="Bell MT" w:hAnsi="Arial Narrow" w:cs="Bell MT"/>
          <w:sz w:val="24"/>
          <w:szCs w:val="24"/>
        </w:rPr>
      </w:pPr>
      <w:r w:rsidRPr="00D15AE6">
        <w:rPr>
          <w:rFonts w:ascii="Arial Narrow" w:hAnsi="Arial Narrow" w:cs="Arial"/>
          <w:sz w:val="24"/>
          <w:szCs w:val="24"/>
        </w:rPr>
        <w:t xml:space="preserve">Les services de santé sexuelle et reproductive sont offerts gratuitement aux adolescents et jeunes dans les SSSU-SAJ. </w:t>
      </w:r>
      <w:r>
        <w:rPr>
          <w:rFonts w:ascii="Arial Narrow" w:hAnsi="Arial Narrow" w:cs="Arial"/>
          <w:sz w:val="24"/>
          <w:szCs w:val="24"/>
        </w:rPr>
        <w:t>Ainsi, l</w:t>
      </w:r>
      <w:r w:rsidRPr="00D15AE6">
        <w:rPr>
          <w:rFonts w:ascii="Arial Narrow" w:hAnsi="Arial Narrow" w:cs="Arial"/>
          <w:sz w:val="24"/>
          <w:szCs w:val="24"/>
        </w:rPr>
        <w:t xml:space="preserve">e </w:t>
      </w:r>
      <w:proofErr w:type="spellStart"/>
      <w:r w:rsidRPr="00D15AE6">
        <w:rPr>
          <w:rFonts w:ascii="Arial Narrow" w:hAnsi="Arial Narrow" w:cs="Arial"/>
          <w:sz w:val="24"/>
          <w:szCs w:val="24"/>
        </w:rPr>
        <w:t>n</w:t>
      </w:r>
      <w:r w:rsidRPr="00C83C8F">
        <w:rPr>
          <w:rFonts w:ascii="Arial Narrow" w:eastAsia="Bell MT" w:hAnsi="Arial Narrow" w:cs="Bell MT"/>
          <w:sz w:val="24"/>
          <w:szCs w:val="24"/>
          <w:lang w:val="fr"/>
        </w:rPr>
        <w:t>ombre</w:t>
      </w:r>
      <w:proofErr w:type="spellEnd"/>
      <w:r w:rsidRPr="00C83C8F">
        <w:rPr>
          <w:rFonts w:ascii="Arial Narrow" w:eastAsia="Bell MT" w:hAnsi="Arial Narrow" w:cs="Bell MT"/>
          <w:sz w:val="24"/>
          <w:szCs w:val="24"/>
          <w:lang w:val="fr"/>
        </w:rPr>
        <w:t xml:space="preserve"> de nouvelles utilisatrices de méthodes contraceptives modernes a évolué de 62,96% de 2021 à 2023 avec respectivement 26 346 et 42 934 adolescentes mises sous méthodes contraceptives ; 756125 préservatifs ont été distribués.</w:t>
      </w:r>
    </w:p>
    <w:p w14:paraId="6233E4E1" w14:textId="36A82770" w:rsidR="00F25927" w:rsidRPr="0044167B" w:rsidRDefault="00F25927" w:rsidP="00F25927">
      <w:pPr>
        <w:spacing w:after="0"/>
        <w:jc w:val="both"/>
        <w:rPr>
          <w:rFonts w:ascii="Arial Narrow" w:hAnsi="Arial Narrow" w:cs="Arial"/>
          <w:sz w:val="24"/>
          <w:szCs w:val="24"/>
        </w:rPr>
      </w:pPr>
      <w:r w:rsidRPr="00C83C8F">
        <w:rPr>
          <w:rFonts w:ascii="Arial Narrow" w:hAnsi="Arial Narrow" w:cs="Arial"/>
          <w:bCs/>
          <w:sz w:val="24"/>
          <w:szCs w:val="24"/>
        </w:rPr>
        <w:t xml:space="preserve">Ces interventions ont contribué à faire baisser le nombre de grossesses diagnostiquées chez les adolescentes et jeunes ; passant de </w:t>
      </w:r>
      <w:r w:rsidRPr="00C83C8F">
        <w:rPr>
          <w:rFonts w:ascii="Arial Narrow" w:hAnsi="Arial Narrow" w:cs="Arial"/>
          <w:sz w:val="24"/>
          <w:szCs w:val="24"/>
        </w:rPr>
        <w:t xml:space="preserve">6 034 en 2021 à 4 520 en 2023. </w:t>
      </w:r>
      <w:r w:rsidRPr="00C83C8F">
        <w:rPr>
          <w:rFonts w:ascii="Arial Narrow" w:eastAsia="Bell MT" w:hAnsi="Arial Narrow" w:cs="Bell MT"/>
          <w:sz w:val="24"/>
          <w:szCs w:val="24"/>
          <w:lang w:val="fr"/>
        </w:rPr>
        <w:t xml:space="preserve">Cependant, le taux de réalisation de la VMS connait une baisse de 2020 à 2023 passant de 30,23% à 21,65%. </w:t>
      </w:r>
    </w:p>
    <w:p w14:paraId="22E7D79C" w14:textId="77777777" w:rsidR="00E66D0D" w:rsidRDefault="00E66D0D" w:rsidP="006076E6">
      <w:pPr>
        <w:spacing w:after="0"/>
        <w:jc w:val="both"/>
        <w:rPr>
          <w:rFonts w:ascii="Arial Narrow" w:eastAsia="Bell MT" w:hAnsi="Arial Narrow" w:cs="Bell MT"/>
          <w:sz w:val="24"/>
          <w:szCs w:val="24"/>
          <w:lang w:val="fr"/>
        </w:rPr>
      </w:pPr>
    </w:p>
    <w:p w14:paraId="3B5ECDEA" w14:textId="77777777" w:rsidR="00E66D0D" w:rsidRPr="00F034E5" w:rsidRDefault="00E66D0D" w:rsidP="006076E6">
      <w:pPr>
        <w:spacing w:after="0"/>
        <w:jc w:val="both"/>
        <w:rPr>
          <w:rFonts w:ascii="Arial Narrow" w:eastAsia="Bell MT" w:hAnsi="Arial Narrow" w:cs="Bell MT"/>
          <w:sz w:val="24"/>
          <w:szCs w:val="24"/>
          <w:lang w:val="fr"/>
        </w:rPr>
      </w:pPr>
    </w:p>
    <w:p w14:paraId="318B5961" w14:textId="14BCB0CA" w:rsidR="00391154" w:rsidRDefault="00391154" w:rsidP="00DC5897">
      <w:pPr>
        <w:pStyle w:val="Lgende"/>
      </w:pPr>
      <w:bookmarkStart w:id="67" w:name="_Toc183688800"/>
      <w:r>
        <w:t xml:space="preserve">Graphique </w:t>
      </w:r>
      <w:r>
        <w:fldChar w:fldCharType="begin"/>
      </w:r>
      <w:r>
        <w:instrText xml:space="preserve"> SEQ Graphique \* ARABIC </w:instrText>
      </w:r>
      <w:r>
        <w:fldChar w:fldCharType="separate"/>
      </w:r>
      <w:r w:rsidR="00F546EB">
        <w:rPr>
          <w:noProof/>
        </w:rPr>
        <w:t>13</w:t>
      </w:r>
      <w:r>
        <w:fldChar w:fldCharType="end"/>
      </w:r>
      <w:r w:rsidR="00C77FCB">
        <w:t xml:space="preserve"> </w:t>
      </w:r>
      <w:r>
        <w:t xml:space="preserve">: </w:t>
      </w:r>
      <w:r w:rsidRPr="00827FF5">
        <w:t>Evolution des indicateurs de la santé des adolescents et des jeunes</w:t>
      </w:r>
      <w:bookmarkEnd w:id="67"/>
    </w:p>
    <w:tbl>
      <w:tblPr>
        <w:tblW w:w="0" w:type="auto"/>
        <w:tblLook w:val="04A0" w:firstRow="1" w:lastRow="0" w:firstColumn="1" w:lastColumn="0" w:noHBand="0" w:noVBand="1"/>
      </w:tblPr>
      <w:tblGrid>
        <w:gridCol w:w="4498"/>
        <w:gridCol w:w="4528"/>
      </w:tblGrid>
      <w:tr w:rsidR="0031644A" w14:paraId="2F802BCE" w14:textId="77777777" w:rsidTr="005536AD">
        <w:tc>
          <w:tcPr>
            <w:tcW w:w="4536" w:type="dxa"/>
          </w:tcPr>
          <w:p w14:paraId="18F8AA0F" w14:textId="6202EBD2" w:rsidR="00B34F23" w:rsidRDefault="00B34F23" w:rsidP="006076E6">
            <w:pPr>
              <w:jc w:val="both"/>
              <w:rPr>
                <w:rFonts w:ascii="Arial Narrow" w:eastAsia="Bell MT" w:hAnsi="Arial Narrow" w:cs="Bell MT"/>
                <w:sz w:val="24"/>
                <w:szCs w:val="24"/>
                <w:lang w:val="fr"/>
              </w:rPr>
            </w:pPr>
            <w:r>
              <w:rPr>
                <w:noProof/>
              </w:rPr>
              <w:drawing>
                <wp:inline distT="0" distB="0" distL="0" distR="0" wp14:anchorId="251DAFA2" wp14:editId="488FD7A5">
                  <wp:extent cx="2736000" cy="2376000"/>
                  <wp:effectExtent l="0" t="0" r="7620" b="5715"/>
                  <wp:docPr id="1737052069" name="Chart 1">
                    <a:extLst xmlns:a="http://schemas.openxmlformats.org/drawingml/2006/main">
                      <a:ext uri="{FF2B5EF4-FFF2-40B4-BE49-F238E27FC236}">
                        <a16:creationId xmlns:a16="http://schemas.microsoft.com/office/drawing/2014/main" id="{26C7149D-559A-E3C4-04D3-9B5A51C297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c>
          <w:tcPr>
            <w:tcW w:w="4490" w:type="dxa"/>
          </w:tcPr>
          <w:p w14:paraId="16A0BD05" w14:textId="3DF5EE5E" w:rsidR="00B34F23" w:rsidRDefault="0031644A" w:rsidP="00391154">
            <w:pPr>
              <w:keepNext/>
              <w:jc w:val="both"/>
              <w:rPr>
                <w:rFonts w:ascii="Arial Narrow" w:eastAsia="Bell MT" w:hAnsi="Arial Narrow" w:cs="Bell MT"/>
                <w:sz w:val="24"/>
                <w:szCs w:val="24"/>
                <w:lang w:val="fr"/>
              </w:rPr>
            </w:pPr>
            <w:r w:rsidRPr="0031644A">
              <w:rPr>
                <w:rFonts w:ascii="Arial Narrow" w:eastAsia="Bell MT" w:hAnsi="Arial Narrow" w:cs="Bell MT"/>
                <w:noProof/>
                <w:sz w:val="24"/>
                <w:szCs w:val="24"/>
              </w:rPr>
              <w:drawing>
                <wp:inline distT="0" distB="0" distL="0" distR="0" wp14:anchorId="1EC66384" wp14:editId="3DDB78FC">
                  <wp:extent cx="2762250" cy="2375535"/>
                  <wp:effectExtent l="0" t="0" r="0" b="5715"/>
                  <wp:docPr id="1120807785" name="Chart 1">
                    <a:extLst xmlns:a="http://schemas.openxmlformats.org/drawingml/2006/main">
                      <a:ext uri="{FF2B5EF4-FFF2-40B4-BE49-F238E27FC236}">
                        <a16:creationId xmlns:a16="http://schemas.microsoft.com/office/drawing/2014/main" id="{784F672B-4533-BE77-B993-73971C0D5A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bl>
    <w:p w14:paraId="35B998BE" w14:textId="30050CDC" w:rsidR="006635E5" w:rsidRPr="007E7C5B" w:rsidRDefault="00391154" w:rsidP="00DC5897">
      <w:pPr>
        <w:pStyle w:val="Lgende"/>
        <w:rPr>
          <w:rFonts w:eastAsia="Bell MT" w:cs="Bell MT"/>
          <w:sz w:val="24"/>
          <w:szCs w:val="24"/>
          <w:lang w:val="fr"/>
        </w:rPr>
      </w:pPr>
      <w:r>
        <w:t>Source</w:t>
      </w:r>
      <w:r w:rsidR="001248DB">
        <w:t xml:space="preserve"> </w:t>
      </w:r>
      <w:r>
        <w:t xml:space="preserve">: </w:t>
      </w:r>
      <w:r w:rsidRPr="004F47D9">
        <w:t xml:space="preserve">Données collectées auprès des structures dans le cadre de la </w:t>
      </w:r>
      <w:r w:rsidR="00B635D8">
        <w:t>revue</w:t>
      </w:r>
      <w:r w:rsidRPr="004F47D9">
        <w:t xml:space="preserve"> du PNDS 2021-2025</w:t>
      </w:r>
    </w:p>
    <w:p w14:paraId="6C55F2C0" w14:textId="7CC308A0" w:rsidR="006743DD" w:rsidRDefault="001552D7" w:rsidP="006743DD">
      <w:pPr>
        <w:jc w:val="both"/>
        <w:rPr>
          <w:rFonts w:ascii="Arial Narrow" w:eastAsia="Times New Roman" w:hAnsi="Arial Narrow" w:cs="Times New Roman"/>
          <w:sz w:val="24"/>
          <w:szCs w:val="24"/>
          <w:lang w:eastAsia="fr-CI"/>
        </w:rPr>
      </w:pPr>
      <w:r w:rsidRPr="00A918AC">
        <w:rPr>
          <w:rFonts w:ascii="Arial Narrow" w:hAnsi="Arial Narrow" w:cs="Arial"/>
          <w:sz w:val="24"/>
          <w:szCs w:val="24"/>
        </w:rPr>
        <w:t>Des</w:t>
      </w:r>
      <w:r w:rsidRPr="00A918AC" w:rsidDel="00593800">
        <w:rPr>
          <w:rFonts w:ascii="Arial Narrow" w:hAnsi="Arial Narrow" w:cs="Arial"/>
          <w:sz w:val="24"/>
          <w:szCs w:val="24"/>
        </w:rPr>
        <w:t xml:space="preserve"> </w:t>
      </w:r>
      <w:r w:rsidR="00593800" w:rsidRPr="007E7C5B">
        <w:rPr>
          <w:rFonts w:ascii="Arial Narrow" w:hAnsi="Arial Narrow" w:cs="Arial"/>
          <w:bCs/>
          <w:sz w:val="24"/>
          <w:szCs w:val="24"/>
        </w:rPr>
        <w:t>difficultés</w:t>
      </w:r>
      <w:r w:rsidR="00593800" w:rsidRPr="00A918AC">
        <w:rPr>
          <w:rFonts w:ascii="Arial Narrow" w:hAnsi="Arial Narrow" w:cs="Arial"/>
          <w:sz w:val="24"/>
          <w:szCs w:val="24"/>
        </w:rPr>
        <w:t xml:space="preserve"> </w:t>
      </w:r>
      <w:r w:rsidRPr="00A918AC">
        <w:rPr>
          <w:rFonts w:ascii="Arial Narrow" w:hAnsi="Arial Narrow" w:cs="Arial"/>
          <w:sz w:val="24"/>
          <w:szCs w:val="24"/>
        </w:rPr>
        <w:t>persistent, notamment</w:t>
      </w:r>
      <w:r w:rsidRPr="007E7C5B">
        <w:rPr>
          <w:rFonts w:ascii="Arial Narrow" w:hAnsi="Arial Narrow" w:cs="Arial"/>
          <w:bCs/>
          <w:sz w:val="24"/>
          <w:szCs w:val="24"/>
        </w:rPr>
        <w:t> :</w:t>
      </w:r>
      <w:r w:rsidRPr="007E7C5B">
        <w:rPr>
          <w:rFonts w:ascii="Arial Narrow" w:hAnsi="Arial Narrow" w:cs="Arial"/>
          <w:sz w:val="24"/>
          <w:szCs w:val="24"/>
        </w:rPr>
        <w:t xml:space="preserve"> </w:t>
      </w:r>
      <w:r w:rsidR="00122D9C" w:rsidRPr="00A918AC">
        <w:rPr>
          <w:rFonts w:ascii="Arial Narrow" w:hAnsi="Arial Narrow" w:cs="Arial"/>
          <w:i/>
          <w:sz w:val="24"/>
          <w:szCs w:val="24"/>
        </w:rPr>
        <w:t>(</w:t>
      </w:r>
      <w:r w:rsidRPr="00A918AC">
        <w:rPr>
          <w:rFonts w:ascii="Arial Narrow" w:hAnsi="Arial Narrow" w:cs="Arial"/>
          <w:i/>
          <w:sz w:val="24"/>
          <w:szCs w:val="24"/>
        </w:rPr>
        <w:t>i)</w:t>
      </w:r>
      <w:r w:rsidRPr="007E7C5B">
        <w:rPr>
          <w:rFonts w:ascii="Arial Narrow" w:hAnsi="Arial Narrow" w:cs="Arial"/>
          <w:sz w:val="24"/>
          <w:szCs w:val="24"/>
        </w:rPr>
        <w:t xml:space="preserve"> </w:t>
      </w:r>
      <w:r w:rsidR="006743DD">
        <w:rPr>
          <w:rFonts w:ascii="Arial Narrow" w:hAnsi="Arial Narrow" w:cs="Arial"/>
          <w:sz w:val="24"/>
          <w:szCs w:val="24"/>
        </w:rPr>
        <w:t>u</w:t>
      </w:r>
      <w:r w:rsidRPr="007E7C5B">
        <w:rPr>
          <w:rFonts w:ascii="Arial Narrow" w:hAnsi="Arial Narrow" w:cs="Arial"/>
          <w:sz w:val="24"/>
          <w:szCs w:val="24"/>
        </w:rPr>
        <w:t xml:space="preserve">n cadre juridique insuffisamment favorable à la promotion de la santé sexuelle et reproductive, </w:t>
      </w:r>
      <w:r w:rsidR="00122D9C" w:rsidRPr="00A918AC">
        <w:rPr>
          <w:rFonts w:ascii="Arial Narrow" w:hAnsi="Arial Narrow" w:cs="Arial"/>
          <w:i/>
          <w:sz w:val="24"/>
          <w:szCs w:val="24"/>
        </w:rPr>
        <w:t>(</w:t>
      </w:r>
      <w:r w:rsidRPr="00A918AC">
        <w:rPr>
          <w:rFonts w:ascii="Arial Narrow" w:hAnsi="Arial Narrow" w:cs="Arial"/>
          <w:i/>
          <w:sz w:val="24"/>
          <w:szCs w:val="24"/>
        </w:rPr>
        <w:t>ii)</w:t>
      </w:r>
      <w:r w:rsidRPr="007E7C5B">
        <w:rPr>
          <w:rFonts w:ascii="Arial Narrow" w:hAnsi="Arial Narrow" w:cs="Arial"/>
          <w:sz w:val="24"/>
          <w:szCs w:val="24"/>
        </w:rPr>
        <w:t xml:space="preserve"> </w:t>
      </w:r>
      <w:r w:rsidR="006743DD">
        <w:rPr>
          <w:rFonts w:ascii="Arial Narrow" w:hAnsi="Arial Narrow" w:cs="Arial"/>
          <w:sz w:val="24"/>
          <w:szCs w:val="24"/>
        </w:rPr>
        <w:t>l</w:t>
      </w:r>
      <w:r w:rsidRPr="007E7C5B">
        <w:rPr>
          <w:rFonts w:ascii="Arial Narrow" w:hAnsi="Arial Narrow" w:cs="Arial"/>
          <w:sz w:val="24"/>
          <w:szCs w:val="24"/>
        </w:rPr>
        <w:t xml:space="preserve">a faible utilisation des préservatifs par les jeunes, </w:t>
      </w:r>
      <w:r w:rsidR="005153D9" w:rsidRPr="00A918AC">
        <w:rPr>
          <w:rFonts w:ascii="Arial Narrow" w:hAnsi="Arial Narrow" w:cs="Arial"/>
          <w:i/>
          <w:sz w:val="24"/>
          <w:szCs w:val="24"/>
        </w:rPr>
        <w:t>(</w:t>
      </w:r>
      <w:r w:rsidRPr="00A918AC">
        <w:rPr>
          <w:rFonts w:ascii="Arial Narrow" w:hAnsi="Arial Narrow" w:cs="Arial"/>
          <w:i/>
          <w:sz w:val="24"/>
          <w:szCs w:val="24"/>
        </w:rPr>
        <w:t>iii)</w:t>
      </w:r>
      <w:r w:rsidRPr="007E7C5B">
        <w:rPr>
          <w:rFonts w:ascii="Arial Narrow" w:hAnsi="Arial Narrow" w:cs="Arial"/>
          <w:sz w:val="24"/>
          <w:szCs w:val="24"/>
        </w:rPr>
        <w:t xml:space="preserve"> l’opposition des parents à l’utilisation des méthodes contraceptive</w:t>
      </w:r>
      <w:r w:rsidR="006743DD">
        <w:rPr>
          <w:rFonts w:ascii="Arial Narrow" w:hAnsi="Arial Narrow" w:cs="Arial"/>
          <w:sz w:val="24"/>
          <w:szCs w:val="24"/>
        </w:rPr>
        <w:t>s</w:t>
      </w:r>
      <w:r w:rsidRPr="007E7C5B">
        <w:rPr>
          <w:rFonts w:ascii="Arial Narrow" w:hAnsi="Arial Narrow" w:cs="Arial"/>
          <w:sz w:val="24"/>
          <w:szCs w:val="24"/>
        </w:rPr>
        <w:t xml:space="preserve"> par les jeunes adolescentes</w:t>
      </w:r>
      <w:r w:rsidR="00B864A4" w:rsidRPr="007E7C5B">
        <w:rPr>
          <w:rFonts w:ascii="Arial Narrow" w:hAnsi="Arial Narrow" w:cs="Arial"/>
          <w:sz w:val="24"/>
          <w:szCs w:val="24"/>
        </w:rPr>
        <w:t xml:space="preserve"> </w:t>
      </w:r>
      <w:r w:rsidR="00B864A4" w:rsidRPr="007E7C5B">
        <w:rPr>
          <w:rFonts w:ascii="Arial Narrow" w:hAnsi="Arial Narrow"/>
          <w:sz w:val="24"/>
          <w:szCs w:val="24"/>
        </w:rPr>
        <w:t>;</w:t>
      </w:r>
      <w:r w:rsidR="00110E9B" w:rsidRPr="007E7C5B">
        <w:rPr>
          <w:rFonts w:ascii="Arial Narrow" w:hAnsi="Arial Narrow"/>
          <w:sz w:val="24"/>
          <w:szCs w:val="24"/>
        </w:rPr>
        <w:t xml:space="preserve"> </w:t>
      </w:r>
      <w:r w:rsidR="006743DD" w:rsidRPr="00A918AC">
        <w:rPr>
          <w:rFonts w:ascii="Arial Narrow" w:eastAsia="Bell MT" w:hAnsi="Arial Narrow" w:cs="Bell MT"/>
          <w:i/>
          <w:iCs/>
          <w:sz w:val="24"/>
          <w:szCs w:val="24"/>
          <w:lang w:val="fr"/>
        </w:rPr>
        <w:t>(</w:t>
      </w:r>
      <w:r w:rsidR="006743DD" w:rsidRPr="00A918AC">
        <w:rPr>
          <w:rFonts w:ascii="Arial Narrow" w:eastAsia="Bell MT" w:hAnsi="Arial Narrow" w:cs="Bell MT"/>
          <w:i/>
          <w:sz w:val="24"/>
          <w:szCs w:val="24"/>
          <w:lang w:val="fr"/>
        </w:rPr>
        <w:t>iv)</w:t>
      </w:r>
      <w:r w:rsidR="006743DD" w:rsidRPr="007E7C5B">
        <w:rPr>
          <w:rFonts w:ascii="Arial Narrow" w:eastAsia="Bell MT" w:hAnsi="Arial Narrow" w:cs="Bell MT"/>
          <w:sz w:val="24"/>
          <w:szCs w:val="24"/>
          <w:lang w:val="fr"/>
        </w:rPr>
        <w:t xml:space="preserve"> </w:t>
      </w:r>
      <w:r w:rsidR="006743DD">
        <w:rPr>
          <w:rFonts w:ascii="Arial Narrow" w:eastAsia="Times New Roman" w:hAnsi="Arial Narrow" w:cs="Times New Roman"/>
          <w:sz w:val="24"/>
          <w:szCs w:val="24"/>
          <w:lang w:eastAsia="fr-CI"/>
        </w:rPr>
        <w:t>) l’insuffisance de coordination intersectorielle notamment dans le cadre de l’offre de la visite médicale systématique</w:t>
      </w:r>
      <w:r w:rsidR="006743DD">
        <w:rPr>
          <w:rFonts w:ascii="Arial Narrow" w:eastAsia="Bell MT" w:hAnsi="Arial Narrow" w:cs="Bell MT"/>
          <w:sz w:val="24"/>
          <w:szCs w:val="24"/>
          <w:lang w:val="fr"/>
        </w:rPr>
        <w:t xml:space="preserve"> ; </w:t>
      </w:r>
      <w:r w:rsidR="006743DD" w:rsidRPr="00A918AC">
        <w:rPr>
          <w:rFonts w:ascii="Arial Narrow" w:eastAsia="Bell MT" w:hAnsi="Arial Narrow" w:cs="Bell MT"/>
          <w:i/>
          <w:sz w:val="24"/>
          <w:szCs w:val="24"/>
          <w:lang w:val="fr"/>
        </w:rPr>
        <w:t>(v)</w:t>
      </w:r>
      <w:r w:rsidR="006743DD" w:rsidRPr="007E7C5B">
        <w:rPr>
          <w:rFonts w:ascii="Arial Narrow" w:eastAsia="Bell MT" w:hAnsi="Arial Narrow" w:cs="Bell MT"/>
          <w:sz w:val="24"/>
          <w:szCs w:val="24"/>
          <w:lang w:val="fr"/>
        </w:rPr>
        <w:t xml:space="preserve"> des </w:t>
      </w:r>
      <w:r w:rsidR="006743DD" w:rsidRPr="007E7C5B">
        <w:rPr>
          <w:rFonts w:ascii="Arial Narrow" w:eastAsia="Times New Roman" w:hAnsi="Arial Narrow" w:cs="Times New Roman"/>
          <w:sz w:val="24"/>
          <w:szCs w:val="24"/>
          <w:lang w:eastAsia="fr-CI"/>
        </w:rPr>
        <w:t>ruptures récurrentes de stocks des produits contraceptifs</w:t>
      </w:r>
      <w:r w:rsidR="006743DD">
        <w:rPr>
          <w:rFonts w:ascii="Arial Narrow" w:eastAsia="Times New Roman" w:hAnsi="Arial Narrow" w:cs="Times New Roman"/>
          <w:sz w:val="24"/>
          <w:szCs w:val="24"/>
          <w:lang w:eastAsia="fr-CI"/>
        </w:rPr>
        <w:t> et (vi) l’insuffisance de couverture des districts sanitaires en service de santé adaptés aux adolescents et jeunes.</w:t>
      </w:r>
    </w:p>
    <w:p w14:paraId="5AC5FB10" w14:textId="77777777" w:rsidR="006743DD" w:rsidRPr="00100D38" w:rsidRDefault="006743DD" w:rsidP="006743DD">
      <w:pPr>
        <w:jc w:val="both"/>
        <w:rPr>
          <w:rFonts w:ascii="Arial Narrow" w:eastAsia="Bell MT" w:hAnsi="Arial Narrow" w:cs="Bell MT"/>
          <w:sz w:val="24"/>
          <w:szCs w:val="24"/>
          <w:lang w:val="fr"/>
        </w:rPr>
      </w:pPr>
    </w:p>
    <w:p w14:paraId="0260B29D" w14:textId="1AF37838" w:rsidR="00AA7978" w:rsidRPr="007E7C5B" w:rsidRDefault="00A00C48" w:rsidP="006743DD">
      <w:pPr>
        <w:jc w:val="both"/>
        <w:rPr>
          <w:rFonts w:ascii="Arial Narrow" w:hAnsi="Arial Narrow"/>
          <w:b/>
          <w:sz w:val="24"/>
          <w:szCs w:val="24"/>
        </w:rPr>
      </w:pPr>
      <w:r w:rsidRPr="007E7C5B">
        <w:rPr>
          <w:rFonts w:ascii="Arial Narrow" w:hAnsi="Arial Narrow"/>
          <w:b/>
          <w:sz w:val="24"/>
          <w:szCs w:val="24"/>
        </w:rPr>
        <w:t>Vaccination</w:t>
      </w:r>
    </w:p>
    <w:p w14:paraId="3A388844" w14:textId="18575BDD" w:rsidR="00E11A54" w:rsidRPr="007E7C5B" w:rsidRDefault="00784883" w:rsidP="00761F55">
      <w:pPr>
        <w:spacing w:before="100" w:beforeAutospacing="1" w:after="100" w:afterAutospacing="1"/>
        <w:jc w:val="both"/>
        <w:rPr>
          <w:rFonts w:ascii="Arial Narrow" w:eastAsia="Times New Roman" w:hAnsi="Arial Narrow" w:cs="Arial"/>
          <w:sz w:val="24"/>
          <w:szCs w:val="24"/>
          <w:lang w:eastAsia="fr-FR"/>
        </w:rPr>
      </w:pPr>
      <w:r w:rsidRPr="007E7C5B">
        <w:rPr>
          <w:rFonts w:ascii="Arial Narrow" w:eastAsia="Times New Roman" w:hAnsi="Arial Narrow" w:cs="Arial"/>
          <w:sz w:val="24"/>
          <w:szCs w:val="24"/>
          <w:lang w:eastAsia="fr-FR"/>
        </w:rPr>
        <w:lastRenderedPageBreak/>
        <w:t xml:space="preserve">Au titre de la vaccination, </w:t>
      </w:r>
      <w:r w:rsidR="00807FAD" w:rsidRPr="007E7C5B">
        <w:rPr>
          <w:rFonts w:ascii="Arial Narrow" w:eastAsia="Times New Roman" w:hAnsi="Arial Narrow" w:cs="Arial"/>
          <w:sz w:val="24"/>
          <w:szCs w:val="24"/>
          <w:lang w:eastAsia="fr-FR"/>
        </w:rPr>
        <w:t>un cadre de planification</w:t>
      </w:r>
      <w:r w:rsidR="008F6E81" w:rsidRPr="007E7C5B">
        <w:rPr>
          <w:rFonts w:ascii="Arial Narrow" w:eastAsia="Times New Roman" w:hAnsi="Arial Narrow" w:cs="Arial"/>
          <w:sz w:val="24"/>
          <w:szCs w:val="24"/>
          <w:lang w:eastAsia="fr-FR"/>
        </w:rPr>
        <w:t xml:space="preserve"> a été</w:t>
      </w:r>
      <w:r w:rsidR="00807FAD" w:rsidRPr="007E7C5B">
        <w:rPr>
          <w:rFonts w:ascii="Arial Narrow" w:eastAsia="Times New Roman" w:hAnsi="Arial Narrow" w:cs="Arial"/>
          <w:sz w:val="24"/>
          <w:szCs w:val="24"/>
          <w:lang w:eastAsia="fr-FR"/>
        </w:rPr>
        <w:t xml:space="preserve"> </w:t>
      </w:r>
      <w:r w:rsidR="008F6E81" w:rsidRPr="007E7C5B">
        <w:rPr>
          <w:rFonts w:ascii="Arial Narrow" w:eastAsia="Times New Roman" w:hAnsi="Arial Narrow" w:cs="Arial"/>
          <w:sz w:val="24"/>
          <w:szCs w:val="24"/>
          <w:lang w:eastAsia="fr-FR"/>
        </w:rPr>
        <w:t xml:space="preserve">développé </w:t>
      </w:r>
      <w:r w:rsidR="00807FAD" w:rsidRPr="007E7C5B">
        <w:rPr>
          <w:rFonts w:ascii="Arial Narrow" w:eastAsia="Times New Roman" w:hAnsi="Arial Narrow" w:cs="Arial"/>
          <w:sz w:val="24"/>
          <w:szCs w:val="24"/>
          <w:lang w:eastAsia="fr-FR"/>
        </w:rPr>
        <w:t xml:space="preserve">pour guider </w:t>
      </w:r>
      <w:r w:rsidR="008B16D1" w:rsidRPr="007E7C5B">
        <w:rPr>
          <w:rFonts w:ascii="Arial Narrow" w:eastAsia="Times New Roman" w:hAnsi="Arial Narrow" w:cs="Arial"/>
          <w:sz w:val="24"/>
          <w:szCs w:val="24"/>
          <w:lang w:eastAsia="fr-FR"/>
        </w:rPr>
        <w:t>l</w:t>
      </w:r>
      <w:r w:rsidR="00807FAD" w:rsidRPr="007E7C5B">
        <w:rPr>
          <w:rFonts w:ascii="Arial Narrow" w:eastAsia="Times New Roman" w:hAnsi="Arial Narrow" w:cs="Arial"/>
          <w:sz w:val="24"/>
          <w:szCs w:val="24"/>
          <w:lang w:eastAsia="fr-FR"/>
        </w:rPr>
        <w:t xml:space="preserve">es efforts de vaccination jusqu'en 2025. Le </w:t>
      </w:r>
      <w:r w:rsidR="00807FAD" w:rsidRPr="007E7C5B">
        <w:rPr>
          <w:rFonts w:ascii="Arial Narrow" w:eastAsia="Times New Roman" w:hAnsi="Arial Narrow" w:cs="Arial"/>
          <w:b/>
          <w:bCs/>
          <w:sz w:val="24"/>
          <w:szCs w:val="24"/>
          <w:lang w:eastAsia="fr-FR"/>
        </w:rPr>
        <w:t xml:space="preserve">plan stratégique national de vaccination 2022-2025 </w:t>
      </w:r>
      <w:r w:rsidR="00807FAD" w:rsidRPr="007E7C5B">
        <w:rPr>
          <w:rFonts w:ascii="Arial Narrow" w:eastAsia="Times New Roman" w:hAnsi="Arial Narrow" w:cs="Arial"/>
          <w:sz w:val="24"/>
          <w:szCs w:val="24"/>
          <w:lang w:eastAsia="fr-FR"/>
        </w:rPr>
        <w:t>fixe les priorités et les actions nécessaires pour améliorer la couverture vaccinale dans le pays.</w:t>
      </w:r>
      <w:r w:rsidRPr="007E7C5B">
        <w:rPr>
          <w:rFonts w:ascii="Arial Narrow" w:eastAsia="Times New Roman" w:hAnsi="Arial Narrow" w:cs="Arial"/>
          <w:sz w:val="24"/>
          <w:szCs w:val="24"/>
          <w:lang w:eastAsia="fr-FR"/>
        </w:rPr>
        <w:t xml:space="preserve"> </w:t>
      </w:r>
      <w:r w:rsidR="00A651CF" w:rsidRPr="00A918AC">
        <w:rPr>
          <w:rFonts w:ascii="Arial Narrow" w:eastAsia="Times New Roman" w:hAnsi="Arial Narrow" w:cs="Arial"/>
          <w:sz w:val="24"/>
          <w:szCs w:val="24"/>
          <w:lang w:eastAsia="fr-FR"/>
        </w:rPr>
        <w:t xml:space="preserve">De </w:t>
      </w:r>
      <w:r w:rsidRPr="00A918AC">
        <w:rPr>
          <w:rFonts w:ascii="Arial Narrow" w:eastAsia="Times New Roman" w:hAnsi="Arial Narrow" w:cs="Arial"/>
          <w:sz w:val="24"/>
          <w:szCs w:val="24"/>
          <w:lang w:eastAsia="fr-FR"/>
        </w:rPr>
        <w:t>202</w:t>
      </w:r>
      <w:r w:rsidR="005E1970" w:rsidRPr="00A918AC">
        <w:rPr>
          <w:rFonts w:ascii="Arial Narrow" w:eastAsia="Times New Roman" w:hAnsi="Arial Narrow" w:cs="Arial"/>
          <w:sz w:val="24"/>
          <w:szCs w:val="24"/>
          <w:lang w:eastAsia="fr-FR"/>
        </w:rPr>
        <w:t>0</w:t>
      </w:r>
      <w:r w:rsidRPr="00A918AC" w:rsidDel="00A651CF">
        <w:rPr>
          <w:rFonts w:ascii="Arial Narrow" w:eastAsia="Times New Roman" w:hAnsi="Arial Narrow" w:cs="Arial"/>
          <w:sz w:val="24"/>
          <w:szCs w:val="24"/>
          <w:lang w:eastAsia="fr-FR"/>
        </w:rPr>
        <w:t xml:space="preserve"> </w:t>
      </w:r>
      <w:r w:rsidR="00A651CF" w:rsidRPr="007E7C5B">
        <w:rPr>
          <w:rFonts w:ascii="Arial Narrow" w:eastAsia="Times New Roman" w:hAnsi="Arial Narrow" w:cs="Arial"/>
          <w:sz w:val="24"/>
          <w:szCs w:val="24"/>
          <w:lang w:eastAsia="fr-FR"/>
        </w:rPr>
        <w:t>à</w:t>
      </w:r>
      <w:r w:rsidR="00A651CF" w:rsidRPr="00A918AC">
        <w:rPr>
          <w:rFonts w:ascii="Arial Narrow" w:eastAsia="Times New Roman" w:hAnsi="Arial Narrow" w:cs="Arial"/>
          <w:sz w:val="24"/>
          <w:szCs w:val="24"/>
          <w:lang w:eastAsia="fr-FR"/>
        </w:rPr>
        <w:t xml:space="preserve"> </w:t>
      </w:r>
      <w:r w:rsidRPr="00A918AC">
        <w:rPr>
          <w:rFonts w:ascii="Arial Narrow" w:eastAsia="Times New Roman" w:hAnsi="Arial Narrow" w:cs="Arial"/>
          <w:sz w:val="24"/>
          <w:szCs w:val="24"/>
          <w:lang w:eastAsia="fr-FR"/>
        </w:rPr>
        <w:t>2023</w:t>
      </w:r>
      <w:r w:rsidRPr="007E7C5B">
        <w:rPr>
          <w:rFonts w:ascii="Arial Narrow" w:eastAsia="Times New Roman" w:hAnsi="Arial Narrow" w:cs="Arial"/>
          <w:b/>
          <w:bCs/>
          <w:sz w:val="24"/>
          <w:szCs w:val="24"/>
          <w:lang w:eastAsia="fr-FR"/>
        </w:rPr>
        <w:t xml:space="preserve">, </w:t>
      </w:r>
      <w:r w:rsidR="008C066C" w:rsidRPr="007E7C5B">
        <w:rPr>
          <w:rFonts w:ascii="Arial Narrow" w:eastAsia="Times New Roman" w:hAnsi="Arial Narrow" w:cs="Arial"/>
          <w:b/>
          <w:bCs/>
          <w:sz w:val="24"/>
          <w:szCs w:val="24"/>
          <w:lang w:eastAsia="fr-FR"/>
        </w:rPr>
        <w:t>pour un objectif de 9</w:t>
      </w:r>
      <w:r w:rsidR="00A10DD1">
        <w:rPr>
          <w:rFonts w:ascii="Arial Narrow" w:eastAsia="Times New Roman" w:hAnsi="Arial Narrow" w:cs="Arial"/>
          <w:b/>
          <w:bCs/>
          <w:sz w:val="24"/>
          <w:szCs w:val="24"/>
          <w:lang w:eastAsia="fr-FR"/>
        </w:rPr>
        <w:t>5</w:t>
      </w:r>
      <w:r w:rsidR="008C066C" w:rsidRPr="007E7C5B">
        <w:rPr>
          <w:rFonts w:ascii="Arial Narrow" w:eastAsia="Times New Roman" w:hAnsi="Arial Narrow" w:cs="Arial"/>
          <w:b/>
          <w:bCs/>
          <w:sz w:val="24"/>
          <w:szCs w:val="24"/>
          <w:lang w:eastAsia="fr-FR"/>
        </w:rPr>
        <w:t>%, </w:t>
      </w:r>
      <w:r w:rsidR="00D1173D" w:rsidRPr="007E7C5B">
        <w:rPr>
          <w:rFonts w:ascii="Arial Narrow" w:eastAsia="Times New Roman" w:hAnsi="Arial Narrow" w:cs="Arial"/>
          <w:b/>
          <w:bCs/>
          <w:sz w:val="24"/>
          <w:szCs w:val="24"/>
          <w:lang w:eastAsia="fr-FR"/>
        </w:rPr>
        <w:t xml:space="preserve">les taux de couverture </w:t>
      </w:r>
      <w:r w:rsidRPr="007E7C5B">
        <w:rPr>
          <w:rFonts w:ascii="Arial Narrow" w:eastAsia="Times New Roman" w:hAnsi="Arial Narrow" w:cs="Arial"/>
          <w:b/>
          <w:bCs/>
          <w:sz w:val="24"/>
          <w:szCs w:val="24"/>
          <w:lang w:eastAsia="fr-FR"/>
        </w:rPr>
        <w:t xml:space="preserve">vaccinale </w:t>
      </w:r>
      <w:r w:rsidR="00D1173D" w:rsidRPr="007E7C5B">
        <w:rPr>
          <w:rFonts w:ascii="Arial Narrow" w:eastAsia="Times New Roman" w:hAnsi="Arial Narrow" w:cs="Arial"/>
          <w:b/>
          <w:bCs/>
          <w:sz w:val="24"/>
          <w:szCs w:val="24"/>
          <w:lang w:eastAsia="fr-FR"/>
        </w:rPr>
        <w:t>sont</w:t>
      </w:r>
      <w:r w:rsidR="005F6518" w:rsidRPr="007E7C5B">
        <w:rPr>
          <w:rFonts w:ascii="Arial Narrow" w:eastAsia="Times New Roman" w:hAnsi="Arial Narrow" w:cs="Arial"/>
          <w:b/>
          <w:bCs/>
          <w:sz w:val="24"/>
          <w:szCs w:val="24"/>
          <w:lang w:eastAsia="fr-FR"/>
        </w:rPr>
        <w:t xml:space="preserve"> passés </w:t>
      </w:r>
      <w:r w:rsidRPr="007E7C5B">
        <w:rPr>
          <w:rFonts w:ascii="Arial Narrow" w:eastAsia="Times New Roman" w:hAnsi="Arial Narrow" w:cs="Arial"/>
          <w:b/>
          <w:bCs/>
          <w:sz w:val="24"/>
          <w:szCs w:val="24"/>
          <w:lang w:eastAsia="fr-FR"/>
        </w:rPr>
        <w:t>de 9</w:t>
      </w:r>
      <w:r w:rsidR="00326598" w:rsidRPr="007E7C5B">
        <w:rPr>
          <w:rFonts w:ascii="Arial Narrow" w:eastAsia="Times New Roman" w:hAnsi="Arial Narrow" w:cs="Arial"/>
          <w:b/>
          <w:bCs/>
          <w:sz w:val="24"/>
          <w:szCs w:val="24"/>
          <w:lang w:eastAsia="fr-FR"/>
        </w:rPr>
        <w:t>0</w:t>
      </w:r>
      <w:r w:rsidRPr="007E7C5B">
        <w:rPr>
          <w:rFonts w:ascii="Arial Narrow" w:eastAsia="Times New Roman" w:hAnsi="Arial Narrow" w:cs="Arial"/>
          <w:b/>
          <w:bCs/>
          <w:sz w:val="24"/>
          <w:szCs w:val="24"/>
          <w:lang w:eastAsia="fr-FR"/>
        </w:rPr>
        <w:t>% à 97% en Penta 3</w:t>
      </w:r>
      <w:r w:rsidR="006105A7" w:rsidRPr="007E7C5B">
        <w:rPr>
          <w:rFonts w:ascii="Arial Narrow" w:eastAsia="Times New Roman" w:hAnsi="Arial Narrow" w:cs="Arial"/>
          <w:b/>
          <w:bCs/>
          <w:sz w:val="24"/>
          <w:szCs w:val="24"/>
          <w:lang w:eastAsia="fr-FR"/>
        </w:rPr>
        <w:t xml:space="preserve"> </w:t>
      </w:r>
      <w:r w:rsidRPr="007E7C5B">
        <w:rPr>
          <w:rFonts w:ascii="Arial Narrow" w:eastAsia="Times New Roman" w:hAnsi="Arial Narrow" w:cs="Arial"/>
          <w:b/>
          <w:bCs/>
          <w:sz w:val="24"/>
          <w:szCs w:val="24"/>
          <w:lang w:eastAsia="fr-FR"/>
        </w:rPr>
        <w:t>et de 8</w:t>
      </w:r>
      <w:r w:rsidR="00326598" w:rsidRPr="007E7C5B">
        <w:rPr>
          <w:rFonts w:ascii="Arial Narrow" w:eastAsia="Times New Roman" w:hAnsi="Arial Narrow" w:cs="Arial"/>
          <w:b/>
          <w:bCs/>
          <w:sz w:val="24"/>
          <w:szCs w:val="24"/>
          <w:lang w:eastAsia="fr-FR"/>
        </w:rPr>
        <w:t>6</w:t>
      </w:r>
      <w:r w:rsidRPr="007E7C5B">
        <w:rPr>
          <w:rFonts w:ascii="Arial Narrow" w:eastAsia="Times New Roman" w:hAnsi="Arial Narrow" w:cs="Arial"/>
          <w:b/>
          <w:bCs/>
          <w:sz w:val="24"/>
          <w:szCs w:val="24"/>
          <w:lang w:eastAsia="fr-FR"/>
        </w:rPr>
        <w:t>% à 93% en Rougeole Rubéole 1</w:t>
      </w:r>
      <w:r w:rsidRPr="007E7C5B">
        <w:rPr>
          <w:rFonts w:ascii="Arial Narrow" w:eastAsia="Times New Roman" w:hAnsi="Arial Narrow" w:cs="Arial"/>
          <w:sz w:val="24"/>
          <w:szCs w:val="24"/>
          <w:lang w:eastAsia="fr-FR"/>
        </w:rPr>
        <w:t xml:space="preserve">. </w:t>
      </w:r>
      <w:r w:rsidR="008E1156" w:rsidRPr="007E7C5B">
        <w:rPr>
          <w:rFonts w:ascii="Arial Narrow" w:eastAsia="Times New Roman" w:hAnsi="Arial Narrow" w:cs="Arial"/>
          <w:sz w:val="24"/>
          <w:szCs w:val="24"/>
          <w:lang w:eastAsia="fr-FR"/>
        </w:rPr>
        <w:t>La</w:t>
      </w:r>
      <w:r w:rsidRPr="007E7C5B">
        <w:rPr>
          <w:rFonts w:ascii="Arial Narrow" w:eastAsia="Times New Roman" w:hAnsi="Arial Narrow" w:cs="Arial"/>
          <w:sz w:val="24"/>
          <w:szCs w:val="24"/>
          <w:lang w:eastAsia="fr-FR"/>
        </w:rPr>
        <w:t xml:space="preserve"> couverture vaccinale pour la deuxième dose de tétanos chez les femmes enceintes est passée de 70% à 72%. </w:t>
      </w:r>
    </w:p>
    <w:p w14:paraId="5D9F6C85" w14:textId="77777777" w:rsidR="001E3278" w:rsidRDefault="001E3278" w:rsidP="002641C1">
      <w:pPr>
        <w:spacing w:before="100" w:beforeAutospacing="1" w:after="100" w:afterAutospacing="1"/>
        <w:jc w:val="both"/>
        <w:rPr>
          <w:rFonts w:ascii="Arial Narrow" w:eastAsia="Times New Roman" w:hAnsi="Arial Narrow" w:cs="Arial"/>
          <w:sz w:val="24"/>
          <w:szCs w:val="24"/>
          <w:lang w:eastAsia="fr-FR"/>
        </w:rPr>
      </w:pPr>
    </w:p>
    <w:p w14:paraId="7966AB40" w14:textId="6A6BFF1B" w:rsidR="001F4279" w:rsidRDefault="00CE55B8" w:rsidP="002641C1">
      <w:pPr>
        <w:spacing w:before="100" w:beforeAutospacing="1" w:after="100" w:afterAutospacing="1"/>
        <w:jc w:val="both"/>
        <w:rPr>
          <w:rFonts w:ascii="Arial Narrow" w:eastAsia="Times New Roman" w:hAnsi="Arial Narrow" w:cs="Arial"/>
          <w:sz w:val="24"/>
          <w:szCs w:val="24"/>
          <w:lang w:eastAsia="fr-FR"/>
        </w:rPr>
      </w:pPr>
      <w:r>
        <w:rPr>
          <w:noProof/>
        </w:rPr>
        <mc:AlternateContent>
          <mc:Choice Requires="wps">
            <w:drawing>
              <wp:anchor distT="0" distB="0" distL="114300" distR="114300" simplePos="0" relativeHeight="251658273" behindDoc="1" locked="0" layoutInCell="1" allowOverlap="1" wp14:anchorId="39DDAE44" wp14:editId="2BC08D60">
                <wp:simplePos x="0" y="0"/>
                <wp:positionH relativeFrom="column">
                  <wp:posOffset>0</wp:posOffset>
                </wp:positionH>
                <wp:positionV relativeFrom="paragraph">
                  <wp:posOffset>2907030</wp:posOffset>
                </wp:positionV>
                <wp:extent cx="2698750" cy="635"/>
                <wp:effectExtent l="0" t="0" r="0" b="0"/>
                <wp:wrapTight wrapText="bothSides">
                  <wp:wrapPolygon edited="0">
                    <wp:start x="0" y="0"/>
                    <wp:lineTo x="0" y="21600"/>
                    <wp:lineTo x="21600" y="21600"/>
                    <wp:lineTo x="21600" y="0"/>
                  </wp:wrapPolygon>
                </wp:wrapTight>
                <wp:docPr id="869570739" name="Text Box 1"/>
                <wp:cNvGraphicFramePr/>
                <a:graphic xmlns:a="http://schemas.openxmlformats.org/drawingml/2006/main">
                  <a:graphicData uri="http://schemas.microsoft.com/office/word/2010/wordprocessingShape">
                    <wps:wsp>
                      <wps:cNvSpPr txBox="1"/>
                      <wps:spPr>
                        <a:xfrm>
                          <a:off x="0" y="0"/>
                          <a:ext cx="2698750" cy="635"/>
                        </a:xfrm>
                        <a:prstGeom prst="rect">
                          <a:avLst/>
                        </a:prstGeom>
                        <a:solidFill>
                          <a:prstClr val="white"/>
                        </a:solidFill>
                        <a:ln>
                          <a:noFill/>
                        </a:ln>
                      </wps:spPr>
                      <wps:txbx>
                        <w:txbxContent>
                          <w:p w14:paraId="1AB6539E" w14:textId="027CA565" w:rsidR="00CE55B8" w:rsidRPr="00670989" w:rsidRDefault="00CE55B8" w:rsidP="00CE55B8">
                            <w:pPr>
                              <w:pStyle w:val="Lgende"/>
                              <w:rPr>
                                <w:noProof/>
                                <w:sz w:val="22"/>
                                <w:szCs w:val="22"/>
                              </w:rPr>
                            </w:pPr>
                            <w:r>
                              <w:t>Source : Programme Elargi de Vaccination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 w14:anchorId="39DDAE44" id="_x0000_s1040" type="#_x0000_t202" style="position:absolute;left:0;text-align:left;margin-left:0;margin-top:228.9pt;width:212.5pt;height:.05pt;z-index:-2516582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" stroked="f">
                <v:textbox style="mso-fit-shape-to-text:t" inset="0,0,0,0">
                  <w:txbxContent>
                    <w:p w14:paraId="1AB6539E" w14:textId="027CA565" w:rsidR="00CE55B8" w:rsidRPr="00670989" w:rsidRDefault="00CE55B8" w:rsidP="00CE55B8">
                      <w:pPr>
                        <w:pStyle w:val="Lgende"/>
                        <w:rPr>
                          <w:noProof/>
                          <w:sz w:val="22"/>
                          <w:szCs w:val="22"/>
                        </w:rPr>
                      </w:pPr>
                      <w:r>
                        <w:t>Source : Programme Elargi de Vaccination</w:t>
                      </w:r>
                    </w:p>
                  </w:txbxContent>
                </v:textbox>
                <w10:wrap type="tight"/>
              </v:shape>
            </w:pict>
          </mc:Fallback>
        </mc:AlternateContent>
      </w:r>
      <w:r>
        <w:rPr>
          <w:noProof/>
        </w:rPr>
        <w:drawing>
          <wp:anchor distT="0" distB="0" distL="114300" distR="114300" simplePos="0" relativeHeight="251658270" behindDoc="1" locked="0" layoutInCell="1" allowOverlap="1" wp14:anchorId="62D7D19A" wp14:editId="00E640AB">
            <wp:simplePos x="0" y="0"/>
            <wp:positionH relativeFrom="margin">
              <wp:posOffset>0</wp:posOffset>
            </wp:positionH>
            <wp:positionV relativeFrom="paragraph">
              <wp:posOffset>519430</wp:posOffset>
            </wp:positionV>
            <wp:extent cx="2698750" cy="2330450"/>
            <wp:effectExtent l="0" t="0" r="6350" b="12700"/>
            <wp:wrapTight wrapText="bothSides">
              <wp:wrapPolygon edited="0">
                <wp:start x="0" y="0"/>
                <wp:lineTo x="0" y="21541"/>
                <wp:lineTo x="21498" y="21541"/>
                <wp:lineTo x="21498" y="0"/>
                <wp:lineTo x="0" y="0"/>
              </wp:wrapPolygon>
            </wp:wrapTight>
            <wp:docPr id="838395091" name="Chart 1">
              <a:extLst xmlns:a="http://schemas.openxmlformats.org/drawingml/2006/main">
                <a:ext uri="{FF2B5EF4-FFF2-40B4-BE49-F238E27FC236}">
                  <a16:creationId xmlns:a16="http://schemas.microsoft.com/office/drawing/2014/main" id="{9CEFFB6C-114F-034B-B24D-8FA1C9C651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anchor>
        </w:drawing>
      </w:r>
      <w:r w:rsidR="001F4279">
        <w:rPr>
          <w:noProof/>
        </w:rPr>
        <mc:AlternateContent>
          <mc:Choice Requires="wps">
            <w:drawing>
              <wp:anchor distT="0" distB="0" distL="114300" distR="114300" simplePos="0" relativeHeight="251658272" behindDoc="1" locked="0" layoutInCell="1" allowOverlap="1" wp14:anchorId="434730DA" wp14:editId="6B9E0C72">
                <wp:simplePos x="0" y="0"/>
                <wp:positionH relativeFrom="column">
                  <wp:posOffset>6350</wp:posOffset>
                </wp:positionH>
                <wp:positionV relativeFrom="paragraph">
                  <wp:posOffset>212090</wp:posOffset>
                </wp:positionV>
                <wp:extent cx="4127500" cy="298450"/>
                <wp:effectExtent l="0" t="0" r="6350" b="6350"/>
                <wp:wrapTight wrapText="bothSides">
                  <wp:wrapPolygon edited="0">
                    <wp:start x="0" y="0"/>
                    <wp:lineTo x="0" y="20681"/>
                    <wp:lineTo x="21534" y="20681"/>
                    <wp:lineTo x="21534" y="0"/>
                    <wp:lineTo x="0" y="0"/>
                  </wp:wrapPolygon>
                </wp:wrapTight>
                <wp:docPr id="242940380" name="Text Box 1"/>
                <wp:cNvGraphicFramePr/>
                <a:graphic xmlns:a="http://schemas.openxmlformats.org/drawingml/2006/main">
                  <a:graphicData uri="http://schemas.microsoft.com/office/word/2010/wordprocessingShape">
                    <wps:wsp>
                      <wps:cNvSpPr txBox="1"/>
                      <wps:spPr>
                        <a:xfrm>
                          <a:off x="0" y="0"/>
                          <a:ext cx="4127500" cy="298450"/>
                        </a:xfrm>
                        <a:prstGeom prst="rect">
                          <a:avLst/>
                        </a:prstGeom>
                        <a:solidFill>
                          <a:prstClr val="white"/>
                        </a:solidFill>
                        <a:ln>
                          <a:noFill/>
                        </a:ln>
                      </wps:spPr>
                      <wps:txbx>
                        <w:txbxContent>
                          <w:p w14:paraId="4AF63A00" w14:textId="1644BDC8" w:rsidR="005F2019" w:rsidRPr="00EE0271" w:rsidRDefault="005F2019" w:rsidP="005F2019">
                            <w:pPr>
                              <w:pStyle w:val="Lgende"/>
                              <w:rPr>
                                <w:noProof/>
                                <w:sz w:val="22"/>
                                <w:szCs w:val="22"/>
                              </w:rPr>
                            </w:pPr>
                            <w:bookmarkStart w:id="68" w:name="_Toc183688801"/>
                            <w:r>
                              <w:t xml:space="preserve">Graphique </w:t>
                            </w:r>
                            <w:r>
                              <w:fldChar w:fldCharType="begin"/>
                            </w:r>
                            <w:r>
                              <w:instrText xml:space="preserve"> SEQ Graphique \* ARABIC </w:instrText>
                            </w:r>
                            <w:r>
                              <w:fldChar w:fldCharType="separate"/>
                            </w:r>
                            <w:r w:rsidR="00F546EB">
                              <w:rPr>
                                <w:noProof/>
                              </w:rPr>
                              <w:t>14</w:t>
                            </w:r>
                            <w:r>
                              <w:fldChar w:fldCharType="end"/>
                            </w:r>
                            <w:r>
                              <w:t xml:space="preserve"> : </w:t>
                            </w:r>
                            <w:r w:rsidRPr="004E3BBB">
                              <w:t>Evolution des indicateurs de couverture vaccinale</w:t>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34730DA" id="_x0000_s1041" type="#_x0000_t202" style="position:absolute;left:0;text-align:left;margin-left:.5pt;margin-top:16.7pt;width:325pt;height:23.5pt;z-index:-2516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" stroked="f">
                <v:textbox inset="0,0,0,0">
                  <w:txbxContent>
                    <w:p w14:paraId="4AF63A00" w14:textId="1644BDC8" w:rsidR="005F2019" w:rsidRPr="00EE0271" w:rsidRDefault="005F2019" w:rsidP="005F2019">
                      <w:pPr>
                        <w:pStyle w:val="Lgende"/>
                        <w:rPr>
                          <w:noProof/>
                          <w:sz w:val="22"/>
                          <w:szCs w:val="22"/>
                        </w:rPr>
                      </w:pPr>
                      <w:bookmarkStart w:id="81" w:name="_Toc183688801"/>
                      <w:r>
                        <w:t xml:space="preserve">Graphique </w:t>
                      </w:r>
                      <w:r>
                        <w:fldChar w:fldCharType="begin"/>
                      </w:r>
                      <w:r>
                        <w:instrText xml:space="preserve"> SEQ Graphique \* ARABIC </w:instrText>
                      </w:r>
                      <w:r>
                        <w:fldChar w:fldCharType="separate"/>
                      </w:r>
                      <w:r w:rsidR="00F546EB">
                        <w:rPr>
                          <w:noProof/>
                        </w:rPr>
                        <w:t>14</w:t>
                      </w:r>
                      <w:r>
                        <w:fldChar w:fldCharType="end"/>
                      </w:r>
                      <w:r>
                        <w:t xml:space="preserve"> : </w:t>
                      </w:r>
                      <w:r w:rsidRPr="004E3BBB">
                        <w:t>Evolution des indicateurs de couverture vaccinale</w:t>
                      </w:r>
                      <w:bookmarkEnd w:id="81"/>
                    </w:p>
                  </w:txbxContent>
                </v:textbox>
                <w10:wrap type="tight"/>
              </v:shape>
            </w:pict>
          </mc:Fallback>
        </mc:AlternateContent>
      </w:r>
    </w:p>
    <w:p w14:paraId="226E4EDD" w14:textId="1E17A4FD" w:rsidR="001F4279" w:rsidRDefault="001F4279" w:rsidP="002641C1">
      <w:pPr>
        <w:spacing w:before="100" w:beforeAutospacing="1" w:after="100" w:afterAutospacing="1"/>
        <w:jc w:val="both"/>
        <w:rPr>
          <w:rFonts w:ascii="Arial Narrow" w:eastAsia="Times New Roman" w:hAnsi="Arial Narrow" w:cs="Arial"/>
          <w:sz w:val="24"/>
          <w:szCs w:val="24"/>
          <w:lang w:eastAsia="fr-FR"/>
        </w:rPr>
      </w:pPr>
    </w:p>
    <w:p w14:paraId="65AB3653" w14:textId="77777777" w:rsidR="00A10DD1" w:rsidRDefault="00A10DD1" w:rsidP="002641C1">
      <w:pPr>
        <w:spacing w:before="100" w:beforeAutospacing="1" w:after="100" w:afterAutospacing="1"/>
        <w:jc w:val="both"/>
        <w:rPr>
          <w:rFonts w:ascii="Arial Narrow" w:eastAsia="Times New Roman" w:hAnsi="Arial Narrow" w:cs="Arial"/>
          <w:sz w:val="24"/>
          <w:szCs w:val="24"/>
          <w:lang w:eastAsia="fr-FR"/>
        </w:rPr>
      </w:pPr>
    </w:p>
    <w:p w14:paraId="6D788434" w14:textId="77777777" w:rsidR="00A10DD1" w:rsidRDefault="00A10DD1" w:rsidP="002641C1">
      <w:pPr>
        <w:spacing w:before="100" w:beforeAutospacing="1" w:after="100" w:afterAutospacing="1"/>
        <w:jc w:val="both"/>
        <w:rPr>
          <w:rFonts w:ascii="Arial Narrow" w:eastAsia="Times New Roman" w:hAnsi="Arial Narrow" w:cs="Arial"/>
          <w:sz w:val="24"/>
          <w:szCs w:val="24"/>
          <w:lang w:eastAsia="fr-FR"/>
        </w:rPr>
      </w:pPr>
    </w:p>
    <w:p w14:paraId="097EFF3A" w14:textId="77777777" w:rsidR="00A10DD1" w:rsidRDefault="00A10DD1" w:rsidP="002641C1">
      <w:pPr>
        <w:spacing w:before="100" w:beforeAutospacing="1" w:after="100" w:afterAutospacing="1"/>
        <w:jc w:val="both"/>
        <w:rPr>
          <w:rFonts w:ascii="Arial Narrow" w:eastAsia="Times New Roman" w:hAnsi="Arial Narrow" w:cs="Arial"/>
          <w:sz w:val="24"/>
          <w:szCs w:val="24"/>
          <w:lang w:eastAsia="fr-FR"/>
        </w:rPr>
      </w:pPr>
    </w:p>
    <w:p w14:paraId="67E43A69" w14:textId="77777777" w:rsidR="00A10DD1" w:rsidRDefault="00A10DD1" w:rsidP="002641C1">
      <w:pPr>
        <w:spacing w:before="100" w:beforeAutospacing="1" w:after="100" w:afterAutospacing="1"/>
        <w:jc w:val="both"/>
        <w:rPr>
          <w:rFonts w:ascii="Arial Narrow" w:eastAsia="Times New Roman" w:hAnsi="Arial Narrow" w:cs="Arial"/>
          <w:sz w:val="24"/>
          <w:szCs w:val="24"/>
          <w:lang w:eastAsia="fr-FR"/>
        </w:rPr>
      </w:pPr>
    </w:p>
    <w:p w14:paraId="4B6620FC" w14:textId="77777777" w:rsidR="00A10DD1" w:rsidRDefault="00A10DD1" w:rsidP="002641C1">
      <w:pPr>
        <w:spacing w:before="100" w:beforeAutospacing="1" w:after="100" w:afterAutospacing="1"/>
        <w:jc w:val="both"/>
        <w:rPr>
          <w:rFonts w:ascii="Arial Narrow" w:eastAsia="Times New Roman" w:hAnsi="Arial Narrow" w:cs="Arial"/>
          <w:sz w:val="24"/>
          <w:szCs w:val="24"/>
          <w:lang w:eastAsia="fr-FR"/>
        </w:rPr>
      </w:pPr>
    </w:p>
    <w:p w14:paraId="2862E96C" w14:textId="77777777" w:rsidR="00A10DD1" w:rsidRDefault="00A10DD1" w:rsidP="002641C1">
      <w:pPr>
        <w:spacing w:before="100" w:beforeAutospacing="1" w:after="100" w:afterAutospacing="1"/>
        <w:jc w:val="both"/>
        <w:rPr>
          <w:rFonts w:ascii="Arial Narrow" w:eastAsia="Times New Roman" w:hAnsi="Arial Narrow" w:cs="Arial"/>
          <w:sz w:val="24"/>
          <w:szCs w:val="24"/>
          <w:lang w:eastAsia="fr-FR"/>
        </w:rPr>
      </w:pPr>
    </w:p>
    <w:p w14:paraId="699CEA59" w14:textId="77777777" w:rsidR="00A10DD1" w:rsidRDefault="00A10DD1" w:rsidP="002641C1">
      <w:pPr>
        <w:spacing w:before="100" w:beforeAutospacing="1" w:after="100" w:afterAutospacing="1"/>
        <w:jc w:val="both"/>
        <w:rPr>
          <w:rFonts w:ascii="Arial Narrow" w:eastAsia="Times New Roman" w:hAnsi="Arial Narrow" w:cs="Arial"/>
          <w:sz w:val="24"/>
          <w:szCs w:val="24"/>
          <w:lang w:eastAsia="fr-FR"/>
        </w:rPr>
      </w:pPr>
    </w:p>
    <w:p w14:paraId="60AD61CA" w14:textId="4F82D7C8" w:rsidR="0088295D" w:rsidRPr="007E7C5B" w:rsidRDefault="00EF0727" w:rsidP="002641C1">
      <w:pPr>
        <w:spacing w:before="100" w:beforeAutospacing="1" w:after="100" w:afterAutospacing="1"/>
        <w:jc w:val="both"/>
        <w:rPr>
          <w:rFonts w:ascii="Arial Narrow" w:eastAsia="Times New Roman" w:hAnsi="Arial Narrow" w:cs="Arial"/>
          <w:sz w:val="24"/>
          <w:szCs w:val="24"/>
          <w:lang w:eastAsia="fr-FR"/>
        </w:rPr>
      </w:pPr>
      <w:r w:rsidRPr="007E7C5B">
        <w:rPr>
          <w:rFonts w:ascii="Arial Narrow" w:eastAsia="Times New Roman" w:hAnsi="Arial Narrow" w:cs="Arial"/>
          <w:sz w:val="24"/>
          <w:szCs w:val="24"/>
          <w:lang w:eastAsia="fr-FR"/>
        </w:rPr>
        <w:t xml:space="preserve">Ces résultats sont rendus possible grâce au </w:t>
      </w:r>
      <w:r w:rsidR="00807FAD" w:rsidRPr="007E7C5B">
        <w:rPr>
          <w:rFonts w:ascii="Arial Narrow" w:eastAsia="Times New Roman" w:hAnsi="Arial Narrow" w:cs="Arial"/>
          <w:sz w:val="24"/>
          <w:szCs w:val="24"/>
          <w:lang w:eastAsia="fr-FR"/>
        </w:rPr>
        <w:t>renforce</w:t>
      </w:r>
      <w:r w:rsidRPr="007E7C5B">
        <w:rPr>
          <w:rFonts w:ascii="Arial Narrow" w:eastAsia="Times New Roman" w:hAnsi="Arial Narrow" w:cs="Arial"/>
          <w:sz w:val="24"/>
          <w:szCs w:val="24"/>
          <w:lang w:eastAsia="fr-FR"/>
        </w:rPr>
        <w:t>ment</w:t>
      </w:r>
      <w:r w:rsidR="00807FAD" w:rsidRPr="007E7C5B" w:rsidDel="00EF0727">
        <w:rPr>
          <w:rFonts w:ascii="Arial Narrow" w:eastAsia="Times New Roman" w:hAnsi="Arial Narrow" w:cs="Arial"/>
          <w:sz w:val="24"/>
          <w:szCs w:val="24"/>
          <w:lang w:eastAsia="fr-FR"/>
        </w:rPr>
        <w:t xml:space="preserve"> des</w:t>
      </w:r>
      <w:r w:rsidR="00807FAD" w:rsidRPr="007E7C5B">
        <w:rPr>
          <w:rFonts w:ascii="Arial Narrow" w:eastAsia="Times New Roman" w:hAnsi="Arial Narrow" w:cs="Arial"/>
          <w:sz w:val="24"/>
          <w:szCs w:val="24"/>
          <w:lang w:eastAsia="fr-FR"/>
        </w:rPr>
        <w:t xml:space="preserve"> équipements de chaîne de froid </w:t>
      </w:r>
      <w:r w:rsidR="00807FAD" w:rsidRPr="007E7C5B" w:rsidDel="00EF0727">
        <w:rPr>
          <w:rFonts w:ascii="Arial Narrow" w:eastAsia="Times New Roman" w:hAnsi="Arial Narrow" w:cs="Arial"/>
          <w:sz w:val="24"/>
          <w:szCs w:val="24"/>
          <w:lang w:eastAsia="fr-FR"/>
        </w:rPr>
        <w:t>(</w:t>
      </w:r>
      <w:r w:rsidR="00807FAD" w:rsidRPr="007E7C5B">
        <w:rPr>
          <w:rFonts w:ascii="Arial Narrow" w:eastAsia="Times New Roman" w:hAnsi="Arial Narrow" w:cs="Arial"/>
          <w:sz w:val="24"/>
          <w:szCs w:val="24"/>
          <w:lang w:eastAsia="fr-FR"/>
        </w:rPr>
        <w:t>3</w:t>
      </w:r>
      <w:r w:rsidR="008C2B64" w:rsidRPr="007E7C5B">
        <w:rPr>
          <w:rFonts w:ascii="Arial Narrow" w:eastAsia="Times New Roman" w:hAnsi="Arial Narrow" w:cs="Arial"/>
          <w:sz w:val="24"/>
          <w:szCs w:val="24"/>
          <w:lang w:eastAsia="fr-FR"/>
        </w:rPr>
        <w:t xml:space="preserve"> </w:t>
      </w:r>
      <w:r w:rsidR="00807FAD" w:rsidRPr="007E7C5B">
        <w:rPr>
          <w:rFonts w:ascii="Arial Narrow" w:eastAsia="Times New Roman" w:hAnsi="Arial Narrow" w:cs="Arial"/>
          <w:sz w:val="24"/>
          <w:szCs w:val="24"/>
          <w:lang w:eastAsia="fr-FR"/>
        </w:rPr>
        <w:t>800 glacières</w:t>
      </w:r>
      <w:r w:rsidR="00373D3D" w:rsidRPr="007E7C5B">
        <w:rPr>
          <w:rFonts w:ascii="Arial Narrow" w:eastAsia="Times New Roman" w:hAnsi="Arial Narrow" w:cs="Arial"/>
          <w:sz w:val="24"/>
          <w:szCs w:val="24"/>
          <w:lang w:eastAsia="fr-FR"/>
        </w:rPr>
        <w:t>,</w:t>
      </w:r>
      <w:r w:rsidR="00807FAD" w:rsidRPr="007E7C5B" w:rsidDel="00373D3D">
        <w:rPr>
          <w:rFonts w:ascii="Arial Narrow" w:eastAsia="Times New Roman" w:hAnsi="Arial Narrow" w:cs="Arial"/>
          <w:sz w:val="24"/>
          <w:szCs w:val="24"/>
          <w:lang w:eastAsia="fr-FR"/>
        </w:rPr>
        <w:t xml:space="preserve"> </w:t>
      </w:r>
      <w:r w:rsidR="00807FAD" w:rsidRPr="007E7C5B">
        <w:rPr>
          <w:rFonts w:ascii="Arial Narrow" w:eastAsia="Times New Roman" w:hAnsi="Arial Narrow" w:cs="Arial"/>
          <w:sz w:val="24"/>
          <w:szCs w:val="24"/>
          <w:lang w:eastAsia="fr-FR"/>
        </w:rPr>
        <w:t>6400 porte-vaccins, 237 congélateurs, 2</w:t>
      </w:r>
      <w:r w:rsidR="008C2B64" w:rsidRPr="007E7C5B">
        <w:rPr>
          <w:rFonts w:ascii="Arial Narrow" w:eastAsia="Times New Roman" w:hAnsi="Arial Narrow" w:cs="Arial"/>
          <w:sz w:val="24"/>
          <w:szCs w:val="24"/>
          <w:lang w:eastAsia="fr-FR"/>
        </w:rPr>
        <w:t xml:space="preserve"> </w:t>
      </w:r>
      <w:r w:rsidR="00807FAD" w:rsidRPr="007E7C5B">
        <w:rPr>
          <w:rFonts w:ascii="Arial Narrow" w:eastAsia="Times New Roman" w:hAnsi="Arial Narrow" w:cs="Arial"/>
          <w:sz w:val="24"/>
          <w:szCs w:val="24"/>
          <w:lang w:eastAsia="fr-FR"/>
        </w:rPr>
        <w:t>082 réfrigérateurs électriques</w:t>
      </w:r>
      <w:r w:rsidR="00373D3D" w:rsidRPr="007E7C5B">
        <w:rPr>
          <w:rFonts w:ascii="Arial Narrow" w:eastAsia="Times New Roman" w:hAnsi="Arial Narrow" w:cs="Arial"/>
          <w:sz w:val="24"/>
          <w:szCs w:val="24"/>
          <w:lang w:eastAsia="fr-FR"/>
        </w:rPr>
        <w:t>,</w:t>
      </w:r>
      <w:r w:rsidR="00807FAD" w:rsidRPr="007E7C5B">
        <w:rPr>
          <w:rFonts w:ascii="Arial Narrow" w:eastAsia="Times New Roman" w:hAnsi="Arial Narrow" w:cs="Arial"/>
          <w:sz w:val="24"/>
          <w:szCs w:val="24"/>
          <w:lang w:eastAsia="fr-FR"/>
        </w:rPr>
        <w:t xml:space="preserve"> 213 réfrigérateurs solaires, 4 chambres froides</w:t>
      </w:r>
      <w:r w:rsidR="00807FAD" w:rsidRPr="007E7C5B" w:rsidDel="00373D3D">
        <w:rPr>
          <w:rFonts w:ascii="Arial Narrow" w:eastAsia="Times New Roman" w:hAnsi="Arial Narrow" w:cs="Arial"/>
          <w:sz w:val="24"/>
          <w:szCs w:val="24"/>
          <w:lang w:eastAsia="fr-FR"/>
        </w:rPr>
        <w:t xml:space="preserve"> </w:t>
      </w:r>
      <w:r w:rsidR="00373D3D" w:rsidRPr="007E7C5B">
        <w:rPr>
          <w:rFonts w:ascii="Arial Narrow" w:eastAsia="Times New Roman" w:hAnsi="Arial Narrow" w:cs="Arial"/>
          <w:sz w:val="24"/>
          <w:szCs w:val="24"/>
          <w:lang w:eastAsia="fr-FR"/>
        </w:rPr>
        <w:t>et</w:t>
      </w:r>
      <w:r w:rsidR="00807FAD" w:rsidRPr="007E7C5B">
        <w:rPr>
          <w:rFonts w:ascii="Arial Narrow" w:eastAsia="Times New Roman" w:hAnsi="Arial Narrow" w:cs="Arial"/>
          <w:sz w:val="24"/>
          <w:szCs w:val="24"/>
          <w:lang w:eastAsia="fr-FR"/>
        </w:rPr>
        <w:t xml:space="preserve"> 14 congélateurs ultra froids</w:t>
      </w:r>
      <w:r w:rsidR="00373D3D" w:rsidRPr="007E7C5B">
        <w:rPr>
          <w:rFonts w:ascii="Arial Narrow" w:eastAsia="Times New Roman" w:hAnsi="Arial Narrow" w:cs="Arial"/>
          <w:sz w:val="24"/>
          <w:szCs w:val="24"/>
          <w:lang w:eastAsia="fr-FR"/>
        </w:rPr>
        <w:t xml:space="preserve">). Aussi, </w:t>
      </w:r>
      <w:r w:rsidR="00AB1BFB" w:rsidRPr="007E7C5B">
        <w:rPr>
          <w:rFonts w:ascii="Arial Narrow" w:eastAsia="Times New Roman" w:hAnsi="Arial Narrow" w:cs="Arial"/>
          <w:sz w:val="24"/>
          <w:szCs w:val="24"/>
          <w:lang w:eastAsia="fr-FR"/>
        </w:rPr>
        <w:t>15 véhicules frigorifiques</w:t>
      </w:r>
      <w:r w:rsidR="00807FAD" w:rsidRPr="007E7C5B">
        <w:rPr>
          <w:rFonts w:ascii="Arial Narrow" w:eastAsia="Times New Roman" w:hAnsi="Arial Narrow" w:cs="Arial"/>
          <w:sz w:val="24"/>
          <w:szCs w:val="24"/>
          <w:lang w:eastAsia="fr-FR"/>
        </w:rPr>
        <w:t xml:space="preserve"> de type 4x4</w:t>
      </w:r>
      <w:r w:rsidR="00373D3D" w:rsidRPr="007E7C5B">
        <w:rPr>
          <w:rFonts w:ascii="Arial Narrow" w:eastAsia="Times New Roman" w:hAnsi="Arial Narrow" w:cs="Arial"/>
          <w:sz w:val="24"/>
          <w:szCs w:val="24"/>
          <w:lang w:eastAsia="fr-FR"/>
        </w:rPr>
        <w:t xml:space="preserve"> et</w:t>
      </w:r>
      <w:r w:rsidR="00807FAD" w:rsidRPr="007E7C5B">
        <w:rPr>
          <w:rFonts w:ascii="Arial Narrow" w:eastAsia="Times New Roman" w:hAnsi="Arial Narrow" w:cs="Arial"/>
          <w:sz w:val="24"/>
          <w:szCs w:val="24"/>
          <w:lang w:eastAsia="fr-FR"/>
        </w:rPr>
        <w:t xml:space="preserve"> 1</w:t>
      </w:r>
      <w:r w:rsidR="008C2B64" w:rsidRPr="007E7C5B">
        <w:rPr>
          <w:rFonts w:ascii="Arial Narrow" w:eastAsia="Times New Roman" w:hAnsi="Arial Narrow" w:cs="Arial"/>
          <w:sz w:val="24"/>
          <w:szCs w:val="24"/>
          <w:lang w:eastAsia="fr-FR"/>
        </w:rPr>
        <w:t xml:space="preserve"> </w:t>
      </w:r>
      <w:r w:rsidR="00807FAD" w:rsidRPr="007E7C5B">
        <w:rPr>
          <w:rFonts w:ascii="Arial Narrow" w:eastAsia="Times New Roman" w:hAnsi="Arial Narrow" w:cs="Arial"/>
          <w:sz w:val="24"/>
          <w:szCs w:val="24"/>
          <w:lang w:eastAsia="fr-FR"/>
        </w:rPr>
        <w:t xml:space="preserve">305 motos ont été mis à la disposition des districts et établissements de santé. </w:t>
      </w:r>
      <w:r w:rsidR="00B84B18" w:rsidRPr="007E7C5B">
        <w:rPr>
          <w:rFonts w:ascii="Arial Narrow" w:eastAsia="Times New Roman" w:hAnsi="Arial Narrow" w:cs="Arial"/>
          <w:sz w:val="24"/>
          <w:szCs w:val="24"/>
          <w:lang w:eastAsia="fr-FR"/>
        </w:rPr>
        <w:t>En outre, 1</w:t>
      </w:r>
      <w:r w:rsidR="008C2B64" w:rsidRPr="007E7C5B">
        <w:rPr>
          <w:rFonts w:ascii="Arial Narrow" w:eastAsia="Times New Roman" w:hAnsi="Arial Narrow" w:cs="Arial"/>
          <w:sz w:val="24"/>
          <w:szCs w:val="24"/>
          <w:lang w:eastAsia="fr-FR"/>
        </w:rPr>
        <w:t xml:space="preserve"> </w:t>
      </w:r>
      <w:r w:rsidR="00B84B18" w:rsidRPr="007E7C5B">
        <w:rPr>
          <w:rFonts w:ascii="Arial Narrow" w:eastAsia="Times New Roman" w:hAnsi="Arial Narrow" w:cs="Arial"/>
          <w:sz w:val="24"/>
          <w:szCs w:val="24"/>
          <w:lang w:eastAsia="fr-FR"/>
        </w:rPr>
        <w:t>500 moniteurs de température continus et à distance pour les équipements de chaîne de froid ont été installés au niveau central, régional et district.</w:t>
      </w:r>
      <w:r w:rsidR="0088295D" w:rsidRPr="007E7C5B">
        <w:rPr>
          <w:rFonts w:ascii="Arial Narrow" w:eastAsia="Times New Roman" w:hAnsi="Arial Narrow" w:cs="Arial"/>
          <w:sz w:val="24"/>
          <w:szCs w:val="24"/>
          <w:lang w:eastAsia="fr-FR"/>
        </w:rPr>
        <w:t xml:space="preserve"> </w:t>
      </w:r>
      <w:r w:rsidR="008F695E" w:rsidRPr="007E7C5B">
        <w:rPr>
          <w:rFonts w:ascii="Arial Narrow" w:eastAsia="Times New Roman" w:hAnsi="Arial Narrow" w:cs="Arial"/>
          <w:sz w:val="24"/>
          <w:szCs w:val="24"/>
          <w:lang w:eastAsia="fr-FR"/>
        </w:rPr>
        <w:t xml:space="preserve">Au titre des infrastructures, </w:t>
      </w:r>
      <w:r w:rsidR="00807FAD" w:rsidRPr="007E7C5B">
        <w:rPr>
          <w:rFonts w:ascii="Arial Narrow" w:eastAsia="Times New Roman" w:hAnsi="Arial Narrow" w:cs="Arial"/>
          <w:sz w:val="24"/>
          <w:szCs w:val="24"/>
          <w:lang w:eastAsia="fr-FR"/>
        </w:rPr>
        <w:t>de 2021 à 2023, 11 dépôts de vaccins ont été construits.</w:t>
      </w:r>
      <w:r w:rsidR="00807FAD" w:rsidRPr="007E7C5B" w:rsidDel="008216CA">
        <w:rPr>
          <w:rFonts w:ascii="Arial Narrow" w:eastAsia="Times New Roman" w:hAnsi="Arial Narrow" w:cs="Arial"/>
          <w:sz w:val="24"/>
          <w:szCs w:val="24"/>
          <w:lang w:eastAsia="fr-FR"/>
        </w:rPr>
        <w:t xml:space="preserve"> </w:t>
      </w:r>
    </w:p>
    <w:p w14:paraId="66405DF7" w14:textId="7A89BBAC" w:rsidR="00807FAD" w:rsidRPr="007E7C5B" w:rsidRDefault="00807FAD" w:rsidP="002641C1">
      <w:pPr>
        <w:spacing w:before="100" w:beforeAutospacing="1" w:after="100" w:afterAutospacing="1"/>
        <w:jc w:val="both"/>
        <w:rPr>
          <w:rFonts w:ascii="Arial Narrow" w:eastAsia="Times New Roman" w:hAnsi="Arial Narrow" w:cs="Times New Roman"/>
          <w:color w:val="000000"/>
          <w:sz w:val="24"/>
          <w:szCs w:val="24"/>
        </w:rPr>
      </w:pPr>
      <w:r w:rsidRPr="007E7C5B">
        <w:rPr>
          <w:rFonts w:ascii="Arial Narrow" w:eastAsia="Times New Roman" w:hAnsi="Arial Narrow" w:cs="Arial"/>
          <w:sz w:val="24"/>
          <w:szCs w:val="24"/>
          <w:lang w:eastAsia="fr-FR"/>
        </w:rPr>
        <w:t xml:space="preserve">Ces infrastructures et équipements </w:t>
      </w:r>
      <w:r w:rsidRPr="007E7C5B" w:rsidDel="0005562B">
        <w:rPr>
          <w:rFonts w:ascii="Arial Narrow" w:eastAsia="Times New Roman" w:hAnsi="Arial Narrow" w:cs="Arial"/>
          <w:sz w:val="24"/>
          <w:szCs w:val="24"/>
          <w:lang w:eastAsia="fr-FR"/>
        </w:rPr>
        <w:t xml:space="preserve">ont permis </w:t>
      </w:r>
      <w:r w:rsidRPr="007E7C5B">
        <w:rPr>
          <w:rFonts w:ascii="Arial Narrow" w:eastAsia="Times New Roman" w:hAnsi="Arial Narrow" w:cs="Arial"/>
          <w:sz w:val="24"/>
          <w:szCs w:val="24"/>
          <w:lang w:eastAsia="fr-FR"/>
        </w:rPr>
        <w:t>d’assurer la conservation des vaccins dans des conditions optimales et faciliter leur transport vers les zones rurales et isolées.</w:t>
      </w:r>
    </w:p>
    <w:p w14:paraId="3B0ADAB3" w14:textId="5C1A5958" w:rsidR="00B91239" w:rsidRPr="00A10DD1" w:rsidRDefault="00807FAD" w:rsidP="00761F55">
      <w:pPr>
        <w:spacing w:before="100" w:beforeAutospacing="1" w:after="100" w:afterAutospacing="1"/>
        <w:jc w:val="both"/>
        <w:rPr>
          <w:rFonts w:ascii="Arial Narrow" w:eastAsia="Times New Roman" w:hAnsi="Arial Narrow" w:cs="Arial"/>
          <w:sz w:val="24"/>
          <w:szCs w:val="24"/>
          <w:lang w:eastAsia="fr-FR"/>
        </w:rPr>
      </w:pPr>
      <w:r w:rsidRPr="007E7C5B">
        <w:rPr>
          <w:rFonts w:ascii="Arial Narrow" w:eastAsia="Times New Roman" w:hAnsi="Arial Narrow" w:cs="Arial"/>
          <w:sz w:val="24"/>
          <w:szCs w:val="24"/>
          <w:lang w:eastAsia="fr-FR"/>
        </w:rPr>
        <w:t xml:space="preserve">En outre, des </w:t>
      </w:r>
      <w:r w:rsidRPr="0044167B">
        <w:rPr>
          <w:rFonts w:ascii="Arial Narrow" w:eastAsia="Times New Roman" w:hAnsi="Arial Narrow" w:cs="Arial"/>
          <w:sz w:val="24"/>
          <w:szCs w:val="24"/>
          <w:lang w:eastAsia="fr-FR"/>
        </w:rPr>
        <w:t>dialogues communautaires</w:t>
      </w:r>
      <w:r w:rsidRPr="007B5412">
        <w:rPr>
          <w:rFonts w:ascii="Arial Narrow" w:eastAsia="Times New Roman" w:hAnsi="Arial Narrow" w:cs="Arial"/>
          <w:sz w:val="24"/>
          <w:szCs w:val="24"/>
          <w:lang w:eastAsia="fr-FR"/>
        </w:rPr>
        <w:t xml:space="preserve"> ont</w:t>
      </w:r>
      <w:r w:rsidRPr="007E7C5B">
        <w:rPr>
          <w:rFonts w:ascii="Arial Narrow" w:eastAsia="Times New Roman" w:hAnsi="Arial Narrow" w:cs="Arial"/>
          <w:sz w:val="24"/>
          <w:szCs w:val="24"/>
          <w:lang w:eastAsia="fr-FR"/>
        </w:rPr>
        <w:t xml:space="preserve"> été organisés afin de sensibiliser les populations locales sur l'importance de la vaccination, d’écouter leurs préoccupations et de promouvoir l'adhésion aux programmes de vaccination. La communication autour de la vaccination a été intensifiée à travers la production et la diffusion de supports audio, de communiqués, ainsi que des </w:t>
      </w:r>
      <w:r w:rsidR="00C577AA" w:rsidRPr="00A918AC">
        <w:rPr>
          <w:rFonts w:ascii="Arial Narrow" w:eastAsia="Times New Roman" w:hAnsi="Arial Narrow" w:cs="Arial"/>
          <w:sz w:val="24"/>
          <w:szCs w:val="24"/>
          <w:lang w:eastAsia="fr-FR"/>
        </w:rPr>
        <w:t>P</w:t>
      </w:r>
      <w:r w:rsidRPr="00A918AC">
        <w:rPr>
          <w:rFonts w:ascii="Arial Narrow" w:eastAsia="Times New Roman" w:hAnsi="Arial Narrow" w:cs="Arial"/>
          <w:sz w:val="24"/>
          <w:szCs w:val="24"/>
          <w:lang w:eastAsia="fr-FR"/>
        </w:rPr>
        <w:t>AD</w:t>
      </w:r>
      <w:r w:rsidRPr="007E7C5B">
        <w:rPr>
          <w:rFonts w:ascii="Arial Narrow" w:eastAsia="Times New Roman" w:hAnsi="Arial Narrow" w:cs="Arial"/>
          <w:sz w:val="24"/>
          <w:szCs w:val="24"/>
          <w:lang w:eastAsia="fr-FR"/>
        </w:rPr>
        <w:t xml:space="preserve"> en français et en </w:t>
      </w:r>
      <w:r w:rsidRPr="00A918AC">
        <w:rPr>
          <w:rFonts w:ascii="Arial Narrow" w:eastAsia="Times New Roman" w:hAnsi="Arial Narrow" w:cs="Arial"/>
          <w:sz w:val="24"/>
          <w:szCs w:val="24"/>
          <w:lang w:eastAsia="fr-FR"/>
        </w:rPr>
        <w:t>langues locales</w:t>
      </w:r>
      <w:r w:rsidRPr="007E7C5B">
        <w:rPr>
          <w:rFonts w:ascii="Arial Narrow" w:eastAsia="Times New Roman" w:hAnsi="Arial Narrow" w:cs="Arial"/>
          <w:sz w:val="24"/>
          <w:szCs w:val="24"/>
          <w:lang w:eastAsia="fr-FR"/>
        </w:rPr>
        <w:t>, pour atteindre les communautés les plus éloignées et les sensibiliser à l'importance de la vaccination</w:t>
      </w:r>
      <w:r w:rsidR="00C4651E" w:rsidRPr="007E7C5B">
        <w:rPr>
          <w:rFonts w:ascii="Arial Narrow" w:eastAsia="Times New Roman" w:hAnsi="Arial Narrow" w:cs="Arial"/>
          <w:sz w:val="24"/>
          <w:szCs w:val="24"/>
          <w:lang w:eastAsia="fr-FR"/>
        </w:rPr>
        <w:t xml:space="preserve">. </w:t>
      </w:r>
    </w:p>
    <w:p w14:paraId="301120A2" w14:textId="4CCB0DD7" w:rsidR="00262F1C" w:rsidRDefault="00807FAD" w:rsidP="00761F55">
      <w:pPr>
        <w:spacing w:before="100" w:beforeAutospacing="1" w:after="100" w:afterAutospacing="1"/>
        <w:jc w:val="both"/>
        <w:rPr>
          <w:rFonts w:ascii="Arial Narrow" w:eastAsia="Times New Roman" w:hAnsi="Arial Narrow" w:cs="Arial"/>
          <w:sz w:val="24"/>
          <w:szCs w:val="24"/>
          <w:lang w:eastAsia="fr-FR"/>
        </w:rPr>
      </w:pPr>
      <w:r w:rsidRPr="00A10DD1">
        <w:rPr>
          <w:rFonts w:ascii="Arial Narrow" w:eastAsia="Times New Roman" w:hAnsi="Arial Narrow" w:cs="Arial"/>
          <w:sz w:val="24"/>
          <w:szCs w:val="24"/>
          <w:lang w:eastAsia="fr-FR"/>
        </w:rPr>
        <w:t xml:space="preserve">Une attention particulière a été portée à la </w:t>
      </w:r>
      <w:r w:rsidRPr="0044167B">
        <w:rPr>
          <w:rFonts w:ascii="Arial Narrow" w:eastAsia="Times New Roman" w:hAnsi="Arial Narrow" w:cs="Arial"/>
          <w:sz w:val="24"/>
          <w:szCs w:val="24"/>
          <w:lang w:eastAsia="fr-FR"/>
        </w:rPr>
        <w:t>recherche active</w:t>
      </w:r>
      <w:r w:rsidRPr="00A10DD1">
        <w:rPr>
          <w:rFonts w:ascii="Arial Narrow" w:eastAsia="Times New Roman" w:hAnsi="Arial Narrow" w:cs="Arial"/>
          <w:sz w:val="24"/>
          <w:szCs w:val="24"/>
          <w:lang w:eastAsia="fr-FR"/>
        </w:rPr>
        <w:t xml:space="preserve"> des </w:t>
      </w:r>
      <w:r w:rsidRPr="0044167B">
        <w:rPr>
          <w:rFonts w:ascii="Arial Narrow" w:eastAsia="Times New Roman" w:hAnsi="Arial Narrow" w:cs="Arial"/>
          <w:sz w:val="24"/>
          <w:szCs w:val="24"/>
          <w:lang w:eastAsia="fr-FR"/>
        </w:rPr>
        <w:t>enfants "zéro dose"</w:t>
      </w:r>
      <w:r w:rsidRPr="00A10DD1">
        <w:rPr>
          <w:rFonts w:ascii="Arial Narrow" w:eastAsia="Times New Roman" w:hAnsi="Arial Narrow" w:cs="Arial"/>
          <w:sz w:val="24"/>
          <w:szCs w:val="24"/>
          <w:lang w:eastAsia="fr-FR"/>
        </w:rPr>
        <w:t xml:space="preserve">, c'est-à-dire ceux qui n'ont reçu aucun vaccin, ainsi que des enfants dont le calendrier vaccinal est incomplet, afin de rattraper leur vaccination et prévenir les maladies évitables. </w:t>
      </w:r>
      <w:r w:rsidR="00A10DD1">
        <w:rPr>
          <w:rFonts w:ascii="Arial Narrow" w:eastAsia="Times New Roman" w:hAnsi="Arial Narrow" w:cs="Arial"/>
          <w:sz w:val="24"/>
          <w:szCs w:val="24"/>
          <w:lang w:eastAsia="fr-FR"/>
        </w:rPr>
        <w:t>A cet effet, d</w:t>
      </w:r>
      <w:r w:rsidRPr="00A10DD1">
        <w:rPr>
          <w:rFonts w:ascii="Arial Narrow" w:eastAsia="Times New Roman" w:hAnsi="Arial Narrow" w:cs="Arial"/>
          <w:sz w:val="24"/>
          <w:szCs w:val="24"/>
          <w:lang w:eastAsia="fr-FR"/>
        </w:rPr>
        <w:t xml:space="preserve">es </w:t>
      </w:r>
      <w:r w:rsidRPr="0044167B">
        <w:rPr>
          <w:rFonts w:ascii="Arial Narrow" w:eastAsia="Times New Roman" w:hAnsi="Arial Narrow" w:cs="Arial"/>
          <w:sz w:val="24"/>
          <w:szCs w:val="24"/>
          <w:lang w:eastAsia="fr-FR"/>
        </w:rPr>
        <w:t xml:space="preserve">stratégies avancées et </w:t>
      </w:r>
      <w:r w:rsidRPr="0044167B">
        <w:rPr>
          <w:rFonts w:ascii="Arial Narrow" w:eastAsia="Times New Roman" w:hAnsi="Arial Narrow" w:cs="Arial"/>
          <w:sz w:val="24"/>
          <w:szCs w:val="24"/>
          <w:lang w:eastAsia="fr-FR"/>
        </w:rPr>
        <w:lastRenderedPageBreak/>
        <w:t>mobiles</w:t>
      </w:r>
      <w:r w:rsidRPr="00A10DD1">
        <w:rPr>
          <w:rFonts w:ascii="Arial Narrow" w:eastAsia="Times New Roman" w:hAnsi="Arial Narrow" w:cs="Arial"/>
          <w:sz w:val="24"/>
          <w:szCs w:val="24"/>
          <w:lang w:eastAsia="fr-FR"/>
        </w:rPr>
        <w:t xml:space="preserve"> ont été mises en place, y compris l’installation de </w:t>
      </w:r>
      <w:r w:rsidRPr="0044167B">
        <w:rPr>
          <w:rFonts w:ascii="Arial Narrow" w:eastAsia="Times New Roman" w:hAnsi="Arial Narrow" w:cs="Arial"/>
          <w:sz w:val="24"/>
          <w:szCs w:val="24"/>
          <w:lang w:eastAsia="fr-FR"/>
        </w:rPr>
        <w:t>postes avancés</w:t>
      </w:r>
      <w:r w:rsidRPr="00A10DD1">
        <w:rPr>
          <w:rFonts w:ascii="Arial Narrow" w:eastAsia="Times New Roman" w:hAnsi="Arial Narrow" w:cs="Arial"/>
          <w:sz w:val="24"/>
          <w:szCs w:val="24"/>
          <w:lang w:eastAsia="fr-FR"/>
        </w:rPr>
        <w:t xml:space="preserve"> dans les districts sanitaires</w:t>
      </w:r>
      <w:r w:rsidR="00262F1C">
        <w:rPr>
          <w:rFonts w:ascii="Arial Narrow" w:eastAsia="Times New Roman" w:hAnsi="Arial Narrow" w:cs="Arial"/>
          <w:sz w:val="24"/>
          <w:szCs w:val="24"/>
          <w:lang w:eastAsia="fr-FR"/>
        </w:rPr>
        <w:t xml:space="preserve"> </w:t>
      </w:r>
      <w:r w:rsidR="00262F1C" w:rsidRPr="007E7C5B">
        <w:rPr>
          <w:rFonts w:ascii="Arial Narrow" w:eastAsia="Times New Roman" w:hAnsi="Arial Narrow" w:cs="Arial"/>
          <w:sz w:val="24"/>
          <w:szCs w:val="24"/>
          <w:lang w:eastAsia="fr-FR"/>
        </w:rPr>
        <w:t>pour étendre l'accès à la vaccination dans les zones les plus reculées et difficiles d'accès</w:t>
      </w:r>
      <w:r w:rsidR="00262F1C">
        <w:rPr>
          <w:rFonts w:ascii="Arial Narrow" w:eastAsia="Times New Roman" w:hAnsi="Arial Narrow" w:cs="Arial"/>
          <w:sz w:val="24"/>
          <w:szCs w:val="24"/>
          <w:lang w:eastAsia="fr-FR"/>
        </w:rPr>
        <w:t>.</w:t>
      </w:r>
      <w:r w:rsidR="00A10DD1">
        <w:rPr>
          <w:rFonts w:ascii="Arial Narrow" w:eastAsia="Times New Roman" w:hAnsi="Arial Narrow" w:cs="Arial"/>
          <w:sz w:val="24"/>
          <w:szCs w:val="24"/>
          <w:lang w:eastAsia="fr-FR"/>
        </w:rPr>
        <w:t xml:space="preserve"> De même, une</w:t>
      </w:r>
      <w:r w:rsidR="00A10DD1" w:rsidRPr="00A10DD1">
        <w:rPr>
          <w:rFonts w:ascii="Arial Narrow" w:eastAsia="Times New Roman" w:hAnsi="Arial Narrow" w:cs="Arial"/>
          <w:sz w:val="24"/>
          <w:szCs w:val="24"/>
          <w:lang w:eastAsia="fr-FR"/>
        </w:rPr>
        <w:t xml:space="preserve"> stratégie dénommée « le grand rattrapage » </w:t>
      </w:r>
      <w:r w:rsidR="00262F1C">
        <w:rPr>
          <w:rFonts w:ascii="Arial Narrow" w:eastAsia="Times New Roman" w:hAnsi="Arial Narrow" w:cs="Arial"/>
          <w:sz w:val="24"/>
          <w:szCs w:val="24"/>
          <w:lang w:eastAsia="fr-FR"/>
        </w:rPr>
        <w:t>a</w:t>
      </w:r>
      <w:r w:rsidR="00A10DD1" w:rsidRPr="00A10DD1">
        <w:rPr>
          <w:rFonts w:ascii="Arial Narrow" w:eastAsia="Times New Roman" w:hAnsi="Arial Narrow" w:cs="Arial"/>
          <w:sz w:val="24"/>
          <w:szCs w:val="24"/>
          <w:lang w:eastAsia="fr-FR"/>
        </w:rPr>
        <w:t xml:space="preserve"> été instaurée</w:t>
      </w:r>
      <w:r w:rsidR="00262F1C">
        <w:rPr>
          <w:rFonts w:ascii="Arial Narrow" w:eastAsia="Times New Roman" w:hAnsi="Arial Narrow" w:cs="Arial"/>
          <w:sz w:val="24"/>
          <w:szCs w:val="24"/>
          <w:lang w:eastAsia="fr-FR"/>
        </w:rPr>
        <w:t>.</w:t>
      </w:r>
      <w:r w:rsidR="00A10DD1">
        <w:rPr>
          <w:rFonts w:ascii="Arial Narrow" w:eastAsia="Times New Roman" w:hAnsi="Arial Narrow" w:cs="Arial"/>
          <w:sz w:val="24"/>
          <w:szCs w:val="24"/>
          <w:lang w:eastAsia="fr-FR"/>
        </w:rPr>
        <w:t xml:space="preserve"> </w:t>
      </w:r>
    </w:p>
    <w:p w14:paraId="093BE656" w14:textId="44A073A9" w:rsidR="004B1453" w:rsidRPr="007E7C5B" w:rsidRDefault="004B1453" w:rsidP="00761F55">
      <w:pPr>
        <w:spacing w:before="100" w:beforeAutospacing="1" w:after="100" w:afterAutospacing="1"/>
        <w:jc w:val="both"/>
        <w:rPr>
          <w:rFonts w:ascii="Arial Narrow" w:eastAsia="Times New Roman" w:hAnsi="Arial Narrow" w:cs="Arial"/>
          <w:sz w:val="24"/>
          <w:szCs w:val="24"/>
          <w:lang w:eastAsia="fr-FR"/>
        </w:rPr>
      </w:pPr>
      <w:r w:rsidRPr="004B1453">
        <w:rPr>
          <w:rFonts w:ascii="Arial Narrow" w:eastAsia="Times New Roman" w:hAnsi="Arial Narrow" w:cs="Arial"/>
          <w:sz w:val="24"/>
          <w:szCs w:val="24"/>
          <w:lang w:eastAsia="fr-FR"/>
        </w:rPr>
        <w:t>En ce qui concerne la vaccination contre le HPV, des efforts significatifs de sensibilisation ont été déployés pour informer la population sur l'importance de cette vaccination, essentielle à la prévention du cancer du col de l'utérus. Ces actions ont contribué à réduire progressivement les appréhensions des populations et à susciter un intérêt croissant pour la vaccination.</w:t>
      </w:r>
      <w:r w:rsidR="00B31D11">
        <w:rPr>
          <w:rFonts w:ascii="Arial Narrow" w:eastAsia="Times New Roman" w:hAnsi="Arial Narrow" w:cs="Arial"/>
          <w:sz w:val="24"/>
          <w:szCs w:val="24"/>
          <w:lang w:eastAsia="fr-FR"/>
        </w:rPr>
        <w:t xml:space="preserve"> </w:t>
      </w:r>
      <w:r w:rsidR="00577FFE">
        <w:rPr>
          <w:rFonts w:ascii="Arial Narrow" w:eastAsia="Times New Roman" w:hAnsi="Arial Narrow" w:cs="Arial"/>
          <w:sz w:val="24"/>
          <w:szCs w:val="24"/>
          <w:lang w:eastAsia="fr-FR"/>
        </w:rPr>
        <w:t>L</w:t>
      </w:r>
      <w:r w:rsidR="00577FFE" w:rsidRPr="007E7C5B">
        <w:rPr>
          <w:rFonts w:ascii="Arial Narrow" w:eastAsia="Times New Roman" w:hAnsi="Arial Narrow" w:cs="Arial"/>
          <w:sz w:val="24"/>
          <w:szCs w:val="24"/>
          <w:lang w:eastAsia="fr-FR"/>
        </w:rPr>
        <w:t xml:space="preserve">a couverture </w:t>
      </w:r>
      <w:r w:rsidR="00577FFE">
        <w:rPr>
          <w:rFonts w:ascii="Arial Narrow" w:eastAsia="Times New Roman" w:hAnsi="Arial Narrow" w:cs="Arial"/>
          <w:sz w:val="24"/>
          <w:szCs w:val="24"/>
          <w:lang w:eastAsia="fr-FR"/>
        </w:rPr>
        <w:t xml:space="preserve">vaccinale </w:t>
      </w:r>
      <w:r w:rsidR="00577FFE" w:rsidRPr="007E7C5B">
        <w:rPr>
          <w:rFonts w:ascii="Arial Narrow" w:eastAsia="Times New Roman" w:hAnsi="Arial Narrow" w:cs="Arial"/>
          <w:sz w:val="24"/>
          <w:szCs w:val="24"/>
          <w:lang w:eastAsia="fr-FR"/>
        </w:rPr>
        <w:t xml:space="preserve">contre le HPV pour les filles à partir de 9 ans est passée de 64% </w:t>
      </w:r>
      <w:r w:rsidR="00577FFE">
        <w:rPr>
          <w:rFonts w:ascii="Arial Narrow" w:eastAsia="Times New Roman" w:hAnsi="Arial Narrow" w:cs="Arial"/>
          <w:sz w:val="24"/>
          <w:szCs w:val="24"/>
          <w:lang w:eastAsia="fr-FR"/>
        </w:rPr>
        <w:t xml:space="preserve">en 2022, </w:t>
      </w:r>
      <w:r w:rsidR="00577FFE" w:rsidRPr="00B31D11">
        <w:rPr>
          <w:rFonts w:ascii="Arial Narrow" w:eastAsia="Times New Roman" w:hAnsi="Arial Narrow" w:cs="Arial"/>
          <w:sz w:val="24"/>
          <w:szCs w:val="24"/>
          <w:lang w:eastAsia="fr-FR"/>
        </w:rPr>
        <w:t xml:space="preserve">à 73% </w:t>
      </w:r>
      <w:r w:rsidR="00577FFE">
        <w:rPr>
          <w:rFonts w:ascii="Arial Narrow" w:eastAsia="Times New Roman" w:hAnsi="Arial Narrow" w:cs="Arial"/>
          <w:sz w:val="24"/>
          <w:szCs w:val="24"/>
          <w:lang w:eastAsia="fr-FR"/>
        </w:rPr>
        <w:t>en</w:t>
      </w:r>
      <w:r w:rsidR="00577FFE" w:rsidRPr="007E7C5B">
        <w:rPr>
          <w:rFonts w:ascii="Arial Narrow" w:eastAsia="Times New Roman" w:hAnsi="Arial Narrow" w:cs="Arial"/>
          <w:sz w:val="24"/>
          <w:szCs w:val="24"/>
          <w:lang w:eastAsia="fr-FR"/>
        </w:rPr>
        <w:t xml:space="preserve"> 2023</w:t>
      </w:r>
      <w:r w:rsidR="00B31D11">
        <w:rPr>
          <w:rFonts w:ascii="Arial Narrow" w:eastAsia="Times New Roman" w:hAnsi="Arial Narrow" w:cs="Arial"/>
          <w:sz w:val="24"/>
          <w:szCs w:val="24"/>
          <w:lang w:eastAsia="fr-FR"/>
        </w:rPr>
        <w:t>.</w:t>
      </w:r>
      <w:r w:rsidR="00577FFE">
        <w:rPr>
          <w:rFonts w:ascii="Arial Narrow" w:eastAsia="Times New Roman" w:hAnsi="Arial Narrow" w:cs="Arial"/>
          <w:sz w:val="24"/>
          <w:szCs w:val="24"/>
          <w:lang w:eastAsia="fr-FR"/>
        </w:rPr>
        <w:t xml:space="preserve"> </w:t>
      </w:r>
      <w:r w:rsidR="00B31D11" w:rsidRPr="004B1453">
        <w:rPr>
          <w:rFonts w:ascii="Arial Narrow" w:eastAsia="Times New Roman" w:hAnsi="Arial Narrow" w:cs="Arial"/>
          <w:sz w:val="24"/>
          <w:szCs w:val="24"/>
          <w:lang w:eastAsia="fr-FR"/>
        </w:rPr>
        <w:t>Cependant, des ruptures fréquentes de stock de vaccins contre le HPV au niveau international ont freiné l'atteinte des objectifs fixés</w:t>
      </w:r>
      <w:r w:rsidR="00B31D11">
        <w:rPr>
          <w:rFonts w:ascii="Arial Narrow" w:eastAsia="Times New Roman" w:hAnsi="Arial Narrow" w:cs="Arial"/>
          <w:sz w:val="24"/>
          <w:szCs w:val="24"/>
          <w:lang w:eastAsia="fr-FR"/>
        </w:rPr>
        <w:t xml:space="preserve">. A </w:t>
      </w:r>
      <w:r w:rsidR="00577FFE">
        <w:rPr>
          <w:rFonts w:ascii="Arial Narrow" w:eastAsia="Times New Roman" w:hAnsi="Arial Narrow" w:cs="Arial"/>
          <w:sz w:val="24"/>
          <w:szCs w:val="24"/>
          <w:lang w:eastAsia="fr-FR"/>
        </w:rPr>
        <w:t>fin octobre 2024</w:t>
      </w:r>
      <w:r w:rsidR="00B31D11">
        <w:rPr>
          <w:rFonts w:ascii="Arial Narrow" w:eastAsia="Times New Roman" w:hAnsi="Arial Narrow" w:cs="Arial"/>
          <w:sz w:val="24"/>
          <w:szCs w:val="24"/>
          <w:lang w:eastAsia="fr-FR"/>
        </w:rPr>
        <w:t>, la couverture est de 43% p</w:t>
      </w:r>
      <w:r w:rsidR="00577FFE">
        <w:rPr>
          <w:rFonts w:ascii="Arial Narrow" w:eastAsia="Times New Roman" w:hAnsi="Arial Narrow" w:cs="Arial"/>
          <w:sz w:val="24"/>
          <w:szCs w:val="24"/>
          <w:lang w:eastAsia="fr-FR"/>
        </w:rPr>
        <w:t>our un objectif fixé à 70%</w:t>
      </w:r>
      <w:r w:rsidR="00577FFE" w:rsidRPr="007E7C5B">
        <w:rPr>
          <w:rFonts w:ascii="Arial Narrow" w:eastAsia="Times New Roman" w:hAnsi="Arial Narrow" w:cs="Arial"/>
          <w:sz w:val="24"/>
          <w:szCs w:val="24"/>
          <w:lang w:eastAsia="fr-FR"/>
        </w:rPr>
        <w:t>.</w:t>
      </w:r>
      <w:r w:rsidR="00577FFE">
        <w:rPr>
          <w:rFonts w:ascii="Arial Narrow" w:eastAsia="Times New Roman" w:hAnsi="Arial Narrow" w:cs="Arial"/>
          <w:sz w:val="24"/>
          <w:szCs w:val="24"/>
          <w:lang w:eastAsia="fr-FR"/>
        </w:rPr>
        <w:t xml:space="preserve"> </w:t>
      </w:r>
      <w:r w:rsidRPr="004B1453">
        <w:rPr>
          <w:rFonts w:ascii="Arial Narrow" w:eastAsia="Times New Roman" w:hAnsi="Arial Narrow" w:cs="Arial"/>
          <w:sz w:val="24"/>
          <w:szCs w:val="24"/>
          <w:lang w:eastAsia="fr-FR"/>
        </w:rPr>
        <w:t>Par ailleurs, la disponibilité des données de vaccination, en particulier chez les adolescent</w:t>
      </w:r>
      <w:r w:rsidR="00B31D11">
        <w:rPr>
          <w:rFonts w:ascii="Arial Narrow" w:eastAsia="Times New Roman" w:hAnsi="Arial Narrow" w:cs="Arial"/>
          <w:sz w:val="24"/>
          <w:szCs w:val="24"/>
          <w:lang w:eastAsia="fr-FR"/>
        </w:rPr>
        <w:t>e</w:t>
      </w:r>
      <w:r w:rsidRPr="004B1453">
        <w:rPr>
          <w:rFonts w:ascii="Arial Narrow" w:eastAsia="Times New Roman" w:hAnsi="Arial Narrow" w:cs="Arial"/>
          <w:sz w:val="24"/>
          <w:szCs w:val="24"/>
          <w:lang w:eastAsia="fr-FR"/>
        </w:rPr>
        <w:t>s en milieu extra-scolaire, demeure un défi majeur</w:t>
      </w:r>
      <w:r>
        <w:rPr>
          <w:rFonts w:ascii="Arial Narrow" w:eastAsia="Times New Roman" w:hAnsi="Arial Narrow" w:cs="Arial"/>
          <w:sz w:val="24"/>
          <w:szCs w:val="24"/>
          <w:lang w:eastAsia="fr-FR"/>
        </w:rPr>
        <w:t>.</w:t>
      </w:r>
    </w:p>
    <w:p w14:paraId="447C6F13" w14:textId="79E27DD3" w:rsidR="00807FAD" w:rsidRPr="007E7C5B" w:rsidRDefault="00807FAD" w:rsidP="00761F55">
      <w:pPr>
        <w:spacing w:before="100" w:beforeAutospacing="1" w:after="100" w:afterAutospacing="1"/>
        <w:jc w:val="both"/>
        <w:rPr>
          <w:rFonts w:ascii="Arial Narrow" w:hAnsi="Arial Narrow"/>
          <w:sz w:val="24"/>
          <w:szCs w:val="24"/>
        </w:rPr>
      </w:pPr>
      <w:r w:rsidRPr="007E7C5B">
        <w:rPr>
          <w:rFonts w:ascii="Arial Narrow" w:eastAsia="Times New Roman" w:hAnsi="Arial Narrow" w:cs="Arial"/>
          <w:sz w:val="24"/>
          <w:szCs w:val="24"/>
          <w:lang w:eastAsia="fr-FR"/>
        </w:rPr>
        <w:t xml:space="preserve">Ces réalisations témoignent des efforts continus pour renforcer le système de vaccination et augmenter la couverture vaccinale à travers des actions de </w:t>
      </w:r>
      <w:r w:rsidRPr="009F797B">
        <w:rPr>
          <w:rFonts w:ascii="Arial Narrow" w:eastAsia="Times New Roman" w:hAnsi="Arial Narrow" w:cs="Arial"/>
          <w:sz w:val="24"/>
          <w:szCs w:val="24"/>
          <w:lang w:eastAsia="fr-FR"/>
        </w:rPr>
        <w:t>proximité, un soutien logistique accru et une mobilisation communautaire active.</w:t>
      </w:r>
      <w:r w:rsidR="00537B68" w:rsidRPr="009F797B">
        <w:rPr>
          <w:rFonts w:ascii="Arial Narrow" w:eastAsia="Times New Roman" w:hAnsi="Arial Narrow" w:cs="Arial"/>
          <w:sz w:val="24"/>
          <w:szCs w:val="24"/>
          <w:lang w:eastAsia="fr-FR"/>
        </w:rPr>
        <w:t xml:space="preserve"> </w:t>
      </w:r>
      <w:r w:rsidRPr="009F797B">
        <w:rPr>
          <w:rFonts w:ascii="Arial Narrow" w:eastAsia="Times New Roman" w:hAnsi="Arial Narrow" w:cs="Arial"/>
          <w:sz w:val="24"/>
          <w:szCs w:val="24"/>
          <w:lang w:eastAsia="fr-FR"/>
        </w:rPr>
        <w:t xml:space="preserve">Cependant, le maintien des </w:t>
      </w:r>
      <w:r w:rsidRPr="0044167B">
        <w:rPr>
          <w:rFonts w:ascii="Arial Narrow" w:eastAsia="Times New Roman" w:hAnsi="Arial Narrow" w:cs="Arial"/>
          <w:sz w:val="24"/>
          <w:szCs w:val="24"/>
          <w:lang w:eastAsia="fr-FR"/>
        </w:rPr>
        <w:t>couvertures vaccinales</w:t>
      </w:r>
      <w:r w:rsidRPr="009F797B">
        <w:rPr>
          <w:rFonts w:ascii="Arial Narrow" w:eastAsia="Times New Roman" w:hAnsi="Arial Narrow" w:cs="Arial"/>
          <w:sz w:val="24"/>
          <w:szCs w:val="24"/>
          <w:lang w:eastAsia="fr-FR"/>
        </w:rPr>
        <w:t xml:space="preserve"> face au retrait progressif du financement de partenaires comme </w:t>
      </w:r>
      <w:r w:rsidRPr="0044167B">
        <w:rPr>
          <w:rFonts w:ascii="Arial Narrow" w:eastAsia="Times New Roman" w:hAnsi="Arial Narrow" w:cs="Arial"/>
          <w:sz w:val="24"/>
          <w:szCs w:val="24"/>
          <w:lang w:eastAsia="fr-FR"/>
        </w:rPr>
        <w:t>GAVI</w:t>
      </w:r>
      <w:r w:rsidRPr="009F797B">
        <w:rPr>
          <w:rFonts w:ascii="Arial Narrow" w:eastAsia="Times New Roman" w:hAnsi="Arial Narrow" w:cs="Arial"/>
          <w:sz w:val="24"/>
          <w:szCs w:val="24"/>
          <w:lang w:eastAsia="fr-FR"/>
        </w:rPr>
        <w:t xml:space="preserve"> (Alliance mondiale</w:t>
      </w:r>
      <w:r w:rsidRPr="007E7C5B">
        <w:rPr>
          <w:rFonts w:ascii="Arial Narrow" w:eastAsia="Times New Roman" w:hAnsi="Arial Narrow" w:cs="Arial"/>
          <w:sz w:val="24"/>
          <w:szCs w:val="24"/>
          <w:lang w:eastAsia="fr-FR"/>
        </w:rPr>
        <w:t xml:space="preserve"> pour les vaccins et la vaccination) constitue un défi majeur. Ce retrait met en lumière plusieurs enjeux pour garantir la pérennité des programmes de vaccination.</w:t>
      </w:r>
      <w:r w:rsidRPr="007E7C5B">
        <w:rPr>
          <w:rFonts w:ascii="Arial Narrow" w:hAnsi="Arial Narrow"/>
          <w:sz w:val="24"/>
          <w:szCs w:val="24"/>
        </w:rPr>
        <w:t xml:space="preserve"> </w:t>
      </w:r>
    </w:p>
    <w:p w14:paraId="2BA417FA" w14:textId="3FB18197" w:rsidR="00807FAD" w:rsidRPr="007E7C5B" w:rsidRDefault="00807FAD" w:rsidP="00761F55">
      <w:pPr>
        <w:spacing w:before="100" w:beforeAutospacing="1" w:after="100" w:afterAutospacing="1"/>
        <w:jc w:val="both"/>
        <w:rPr>
          <w:rFonts w:ascii="Arial Narrow" w:eastAsia="Times New Roman" w:hAnsi="Arial Narrow" w:cs="Arial"/>
          <w:sz w:val="24"/>
          <w:szCs w:val="24"/>
          <w:lang w:eastAsia="fr-FR"/>
        </w:rPr>
      </w:pPr>
      <w:r w:rsidRPr="007E7C5B">
        <w:rPr>
          <w:rFonts w:ascii="Arial Narrow" w:eastAsia="Times New Roman" w:hAnsi="Arial Narrow" w:cs="Arial"/>
          <w:sz w:val="24"/>
          <w:szCs w:val="24"/>
          <w:lang w:eastAsia="fr-FR"/>
        </w:rPr>
        <w:t xml:space="preserve">Dans ce contexte de la sortie de l’éligibilité </w:t>
      </w:r>
      <w:r w:rsidR="00ED3259" w:rsidRPr="007E7C5B">
        <w:rPr>
          <w:rFonts w:ascii="Arial Narrow" w:eastAsia="Times New Roman" w:hAnsi="Arial Narrow" w:cs="Arial"/>
          <w:sz w:val="24"/>
          <w:szCs w:val="24"/>
          <w:lang w:eastAsia="fr-FR"/>
        </w:rPr>
        <w:t xml:space="preserve">GAVI </w:t>
      </w:r>
      <w:r w:rsidRPr="007E7C5B">
        <w:rPr>
          <w:rFonts w:ascii="Arial Narrow" w:eastAsia="Times New Roman" w:hAnsi="Arial Narrow" w:cs="Arial"/>
          <w:sz w:val="24"/>
          <w:szCs w:val="24"/>
          <w:lang w:eastAsia="fr-FR"/>
        </w:rPr>
        <w:t>du pays, plusieurs actions ont été développées, pour assurer la pérennité du programme :</w:t>
      </w:r>
      <w:r w:rsidR="00EB3CF6" w:rsidRPr="007E7C5B">
        <w:rPr>
          <w:rFonts w:ascii="Arial Narrow" w:eastAsia="Times New Roman" w:hAnsi="Arial Narrow" w:cs="Arial"/>
          <w:sz w:val="24"/>
          <w:szCs w:val="24"/>
          <w:lang w:eastAsia="fr-FR"/>
        </w:rPr>
        <w:t xml:space="preserve"> </w:t>
      </w:r>
      <w:r w:rsidRPr="00A918AC">
        <w:rPr>
          <w:rFonts w:ascii="Arial Narrow" w:eastAsia="Times New Roman" w:hAnsi="Arial Narrow" w:cs="Arial"/>
          <w:i/>
          <w:sz w:val="24"/>
          <w:szCs w:val="24"/>
          <w:lang w:eastAsia="fr-FR"/>
        </w:rPr>
        <w:t>(i)</w:t>
      </w:r>
      <w:r w:rsidR="00537B68" w:rsidRPr="007E7C5B">
        <w:rPr>
          <w:rFonts w:ascii="Arial Narrow" w:eastAsia="Times New Roman" w:hAnsi="Arial Narrow" w:cs="Arial"/>
          <w:sz w:val="24"/>
          <w:szCs w:val="24"/>
          <w:lang w:eastAsia="fr-FR"/>
        </w:rPr>
        <w:t xml:space="preserve"> </w:t>
      </w:r>
      <w:r w:rsidR="001044FE" w:rsidRPr="007E7C5B">
        <w:rPr>
          <w:rFonts w:ascii="Arial Narrow" w:eastAsia="Times New Roman" w:hAnsi="Arial Narrow" w:cs="Arial"/>
          <w:sz w:val="24"/>
          <w:szCs w:val="24"/>
          <w:lang w:eastAsia="fr-FR"/>
        </w:rPr>
        <w:t>l’</w:t>
      </w:r>
      <w:r w:rsidR="00537B68" w:rsidRPr="007E7C5B">
        <w:rPr>
          <w:rFonts w:ascii="Arial Narrow" w:eastAsia="Times New Roman" w:hAnsi="Arial Narrow" w:cs="Arial"/>
          <w:sz w:val="24"/>
          <w:szCs w:val="24"/>
          <w:lang w:eastAsia="fr-FR"/>
        </w:rPr>
        <w:t>a</w:t>
      </w:r>
      <w:r w:rsidRPr="007E7C5B">
        <w:rPr>
          <w:rFonts w:ascii="Arial Narrow" w:eastAsia="Times New Roman" w:hAnsi="Arial Narrow" w:cs="Arial"/>
          <w:sz w:val="24"/>
          <w:szCs w:val="24"/>
          <w:lang w:eastAsia="fr-FR"/>
        </w:rPr>
        <w:t>dhésion du pays à l’initiative d’indépendance vaccinale qui se traduit par la disponibilité d’une attestation du gouvernement pour le paiement anticipé des vaccins et consommables et coût opérationnel pour les périodes</w:t>
      </w:r>
      <w:r w:rsidR="001E5771" w:rsidRPr="007E7C5B">
        <w:rPr>
          <w:rFonts w:ascii="Arial Narrow" w:eastAsia="Times New Roman" w:hAnsi="Arial Narrow" w:cs="Arial"/>
          <w:sz w:val="24"/>
          <w:szCs w:val="24"/>
          <w:lang w:eastAsia="fr-FR"/>
        </w:rPr>
        <w:t xml:space="preserve"> de</w:t>
      </w:r>
      <w:r w:rsidRPr="007E7C5B">
        <w:rPr>
          <w:rFonts w:ascii="Arial Narrow" w:eastAsia="Times New Roman" w:hAnsi="Arial Narrow" w:cs="Arial"/>
          <w:sz w:val="24"/>
          <w:szCs w:val="24"/>
          <w:lang w:eastAsia="fr-FR"/>
        </w:rPr>
        <w:t xml:space="preserve"> 2016-2020 et 2021-2025 ;</w:t>
      </w:r>
      <w:r w:rsidR="001E5771" w:rsidRPr="007E7C5B">
        <w:rPr>
          <w:rFonts w:ascii="Arial Narrow" w:eastAsia="Times New Roman" w:hAnsi="Arial Narrow" w:cs="Arial"/>
          <w:sz w:val="24"/>
          <w:szCs w:val="24"/>
          <w:lang w:eastAsia="fr-FR"/>
        </w:rPr>
        <w:t xml:space="preserve"> </w:t>
      </w:r>
      <w:r w:rsidR="001E5771" w:rsidRPr="00A918AC">
        <w:rPr>
          <w:rFonts w:ascii="Arial Narrow" w:eastAsia="Times New Roman" w:hAnsi="Arial Narrow" w:cs="Arial"/>
          <w:i/>
          <w:sz w:val="24"/>
          <w:szCs w:val="24"/>
          <w:lang w:eastAsia="fr-FR"/>
        </w:rPr>
        <w:t>(ii)</w:t>
      </w:r>
      <w:r w:rsidR="00537B68" w:rsidRPr="007E7C5B">
        <w:rPr>
          <w:rFonts w:ascii="Arial Narrow" w:eastAsia="Times New Roman" w:hAnsi="Arial Narrow" w:cs="Arial"/>
          <w:sz w:val="24"/>
          <w:szCs w:val="24"/>
          <w:lang w:eastAsia="fr-FR"/>
        </w:rPr>
        <w:t xml:space="preserve"> le développement en cours d’un plan</w:t>
      </w:r>
      <w:r w:rsidRPr="007E7C5B">
        <w:rPr>
          <w:rFonts w:ascii="Arial Narrow" w:eastAsia="Times New Roman" w:hAnsi="Arial Narrow" w:cs="Arial"/>
          <w:sz w:val="24"/>
          <w:szCs w:val="24"/>
          <w:lang w:eastAsia="fr-FR"/>
        </w:rPr>
        <w:t xml:space="preserve"> de viabilité financière de la santé </w:t>
      </w:r>
      <w:r w:rsidR="00537B68" w:rsidRPr="007E7C5B">
        <w:rPr>
          <w:rFonts w:ascii="Arial Narrow" w:eastAsia="Times New Roman" w:hAnsi="Arial Narrow" w:cs="Arial"/>
          <w:sz w:val="24"/>
          <w:szCs w:val="24"/>
          <w:lang w:eastAsia="fr-FR"/>
        </w:rPr>
        <w:t>par le</w:t>
      </w:r>
      <w:r w:rsidR="00AF27E8" w:rsidRPr="007E7C5B">
        <w:rPr>
          <w:rFonts w:ascii="Arial Narrow" w:eastAsia="Times New Roman" w:hAnsi="Arial Narrow" w:cs="Arial"/>
          <w:sz w:val="24"/>
          <w:szCs w:val="24"/>
          <w:lang w:eastAsia="fr-FR"/>
        </w:rPr>
        <w:t xml:space="preserve"> Groupe </w:t>
      </w:r>
      <w:r w:rsidR="00F81B1A" w:rsidRPr="007E7C5B">
        <w:rPr>
          <w:rFonts w:ascii="Arial Narrow" w:eastAsia="Times New Roman" w:hAnsi="Arial Narrow" w:cs="Arial"/>
          <w:sz w:val="24"/>
          <w:szCs w:val="24"/>
          <w:lang w:eastAsia="fr-FR"/>
        </w:rPr>
        <w:t>T</w:t>
      </w:r>
      <w:r w:rsidR="00AF27E8" w:rsidRPr="007E7C5B">
        <w:rPr>
          <w:rFonts w:ascii="Arial Narrow" w:eastAsia="Times New Roman" w:hAnsi="Arial Narrow" w:cs="Arial"/>
          <w:sz w:val="24"/>
          <w:szCs w:val="24"/>
          <w:lang w:eastAsia="fr-FR"/>
        </w:rPr>
        <w:t>echnique de Travail</w:t>
      </w:r>
      <w:r w:rsidRPr="007E7C5B">
        <w:rPr>
          <w:rFonts w:ascii="Arial Narrow" w:eastAsia="Times New Roman" w:hAnsi="Arial Narrow" w:cs="Arial"/>
          <w:sz w:val="24"/>
          <w:szCs w:val="24"/>
          <w:lang w:eastAsia="fr-FR"/>
        </w:rPr>
        <w:t xml:space="preserve"> </w:t>
      </w:r>
      <w:r w:rsidR="00F81B1A" w:rsidRPr="007E7C5B">
        <w:rPr>
          <w:rFonts w:ascii="Arial Narrow" w:eastAsia="Times New Roman" w:hAnsi="Arial Narrow" w:cs="Arial"/>
          <w:sz w:val="24"/>
          <w:szCs w:val="24"/>
          <w:lang w:eastAsia="fr-FR"/>
        </w:rPr>
        <w:t>(</w:t>
      </w:r>
      <w:r w:rsidRPr="007E7C5B">
        <w:rPr>
          <w:rFonts w:ascii="Arial Narrow" w:eastAsia="Times New Roman" w:hAnsi="Arial Narrow" w:cs="Arial"/>
          <w:sz w:val="24"/>
          <w:szCs w:val="24"/>
          <w:lang w:eastAsia="fr-FR"/>
        </w:rPr>
        <w:t>GTT</w:t>
      </w:r>
      <w:r w:rsidR="00F81B1A" w:rsidRPr="007E7C5B">
        <w:rPr>
          <w:rFonts w:ascii="Arial Narrow" w:eastAsia="Times New Roman" w:hAnsi="Arial Narrow" w:cs="Arial"/>
          <w:sz w:val="24"/>
          <w:szCs w:val="24"/>
          <w:lang w:eastAsia="fr-FR"/>
        </w:rPr>
        <w:t>)</w:t>
      </w:r>
      <w:r w:rsidRPr="007E7C5B">
        <w:rPr>
          <w:rFonts w:ascii="Arial Narrow" w:eastAsia="Times New Roman" w:hAnsi="Arial Narrow" w:cs="Arial"/>
          <w:sz w:val="24"/>
          <w:szCs w:val="24"/>
          <w:lang w:eastAsia="fr-FR"/>
        </w:rPr>
        <w:t xml:space="preserve"> 3 en charge de la pérennité du financement de la santé et devrait prendre en compte le financement de la vaccination ;</w:t>
      </w:r>
      <w:r w:rsidR="00F81B1A" w:rsidRPr="007E7C5B">
        <w:rPr>
          <w:rFonts w:ascii="Arial Narrow" w:eastAsia="Times New Roman" w:hAnsi="Arial Narrow" w:cs="Arial"/>
          <w:sz w:val="24"/>
          <w:szCs w:val="24"/>
          <w:lang w:eastAsia="fr-FR"/>
        </w:rPr>
        <w:t xml:space="preserve"> </w:t>
      </w:r>
      <w:r w:rsidR="00537B68" w:rsidRPr="00A918AC">
        <w:rPr>
          <w:rFonts w:ascii="Arial Narrow" w:eastAsia="Times New Roman" w:hAnsi="Arial Narrow" w:cs="Arial"/>
          <w:i/>
          <w:sz w:val="24"/>
          <w:szCs w:val="24"/>
          <w:lang w:eastAsia="fr-FR"/>
        </w:rPr>
        <w:t>(</w:t>
      </w:r>
      <w:r w:rsidRPr="00A918AC">
        <w:rPr>
          <w:rFonts w:ascii="Arial Narrow" w:eastAsia="Times New Roman" w:hAnsi="Arial Narrow" w:cs="Arial"/>
          <w:i/>
          <w:sz w:val="24"/>
          <w:szCs w:val="24"/>
          <w:lang w:eastAsia="fr-FR"/>
        </w:rPr>
        <w:t>iii)</w:t>
      </w:r>
      <w:r w:rsidR="001E5771" w:rsidRPr="007E7C5B">
        <w:rPr>
          <w:rFonts w:ascii="Arial Narrow" w:eastAsia="Times New Roman" w:hAnsi="Arial Narrow" w:cs="Arial"/>
          <w:sz w:val="24"/>
          <w:szCs w:val="24"/>
          <w:lang w:eastAsia="fr-FR"/>
        </w:rPr>
        <w:t xml:space="preserve"> </w:t>
      </w:r>
      <w:r w:rsidR="00537B68" w:rsidRPr="007E7C5B">
        <w:rPr>
          <w:rFonts w:ascii="Arial Narrow" w:eastAsia="Times New Roman" w:hAnsi="Arial Narrow" w:cs="Arial"/>
          <w:sz w:val="24"/>
          <w:szCs w:val="24"/>
          <w:lang w:eastAsia="fr-FR"/>
        </w:rPr>
        <w:t>l’existence</w:t>
      </w:r>
      <w:r w:rsidRPr="007E7C5B">
        <w:rPr>
          <w:rFonts w:ascii="Arial Narrow" w:eastAsia="Times New Roman" w:hAnsi="Arial Narrow" w:cs="Arial"/>
          <w:sz w:val="24"/>
          <w:szCs w:val="24"/>
          <w:lang w:eastAsia="fr-FR"/>
        </w:rPr>
        <w:t xml:space="preserve"> d’un compte séquestre dans les comptes de l’Etat pour l’acquisition des vaccins </w:t>
      </w:r>
      <w:r w:rsidR="00EB3CF6" w:rsidRPr="007E7C5B">
        <w:rPr>
          <w:rFonts w:ascii="Arial Narrow" w:eastAsia="Times New Roman" w:hAnsi="Arial Narrow" w:cs="Arial"/>
          <w:sz w:val="24"/>
          <w:szCs w:val="24"/>
          <w:lang w:eastAsia="fr-FR"/>
        </w:rPr>
        <w:t xml:space="preserve">et </w:t>
      </w:r>
      <w:r w:rsidRPr="00A918AC">
        <w:rPr>
          <w:rFonts w:ascii="Arial Narrow" w:eastAsia="Times New Roman" w:hAnsi="Arial Narrow" w:cs="Arial"/>
          <w:i/>
          <w:sz w:val="24"/>
          <w:szCs w:val="24"/>
          <w:lang w:eastAsia="fr-FR"/>
        </w:rPr>
        <w:t>(iv)</w:t>
      </w:r>
      <w:r w:rsidR="00537B68" w:rsidRPr="007E7C5B">
        <w:rPr>
          <w:rFonts w:ascii="Arial Narrow" w:eastAsia="Times New Roman" w:hAnsi="Arial Narrow" w:cs="Arial"/>
          <w:sz w:val="24"/>
          <w:szCs w:val="24"/>
          <w:lang w:eastAsia="fr-FR"/>
        </w:rPr>
        <w:t xml:space="preserve"> l’e</w:t>
      </w:r>
      <w:r w:rsidRPr="007E7C5B">
        <w:rPr>
          <w:rFonts w:ascii="Arial Narrow" w:eastAsia="Times New Roman" w:hAnsi="Arial Narrow" w:cs="Arial"/>
          <w:sz w:val="24"/>
          <w:szCs w:val="24"/>
          <w:lang w:eastAsia="fr-FR"/>
        </w:rPr>
        <w:t>xistence d’une Plateforme Nationale de Coordination du Financement de la Santé (PNCFS) dont l’une des missions est la mobilisation des ressources domestiques et de recueillir les contributions du secteur public ou privé, et de la société civile qui concourent au financement du secteur de la santé, y compris le financement de la vaccination</w:t>
      </w:r>
      <w:r w:rsidR="00293D4E" w:rsidRPr="007E7C5B">
        <w:rPr>
          <w:rFonts w:ascii="Arial Narrow" w:eastAsia="Times New Roman" w:hAnsi="Arial Narrow" w:cs="Arial"/>
          <w:sz w:val="24"/>
          <w:szCs w:val="24"/>
          <w:lang w:eastAsia="fr-FR"/>
        </w:rPr>
        <w:t>.</w:t>
      </w:r>
    </w:p>
    <w:p w14:paraId="5138A883" w14:textId="5572523F" w:rsidR="00807FAD" w:rsidRDefault="00807FAD" w:rsidP="00761F55">
      <w:pPr>
        <w:spacing w:before="100" w:beforeAutospacing="1" w:after="100" w:afterAutospacing="1"/>
        <w:jc w:val="both"/>
        <w:rPr>
          <w:rFonts w:ascii="Arial Narrow" w:eastAsia="Times New Roman" w:hAnsi="Arial Narrow" w:cs="Arial"/>
          <w:sz w:val="24"/>
          <w:szCs w:val="24"/>
          <w:lang w:eastAsia="fr-FR"/>
        </w:rPr>
      </w:pPr>
      <w:r w:rsidRPr="007E7C5B">
        <w:rPr>
          <w:rFonts w:ascii="Arial Narrow" w:eastAsia="Times New Roman" w:hAnsi="Arial Narrow" w:cs="Arial"/>
          <w:sz w:val="24"/>
          <w:szCs w:val="24"/>
          <w:lang w:eastAsia="fr-FR"/>
        </w:rPr>
        <w:t xml:space="preserve">De plus, </w:t>
      </w:r>
      <w:r w:rsidR="006C2F37" w:rsidRPr="007E7C5B">
        <w:rPr>
          <w:rFonts w:ascii="Arial Narrow" w:eastAsia="Times New Roman" w:hAnsi="Arial Narrow" w:cs="Arial"/>
          <w:sz w:val="24"/>
          <w:szCs w:val="24"/>
          <w:lang w:eastAsia="fr-FR"/>
        </w:rPr>
        <w:t xml:space="preserve">le Gouvernement devra </w:t>
      </w:r>
      <w:r w:rsidRPr="007E7C5B">
        <w:rPr>
          <w:rFonts w:ascii="Arial Narrow" w:eastAsia="Times New Roman" w:hAnsi="Arial Narrow" w:cs="Arial"/>
          <w:sz w:val="24"/>
          <w:szCs w:val="24"/>
          <w:lang w:eastAsia="fr-FR"/>
        </w:rPr>
        <w:t xml:space="preserve">encourager la </w:t>
      </w:r>
      <w:r w:rsidRPr="0044167B">
        <w:rPr>
          <w:rFonts w:ascii="Arial Narrow" w:eastAsia="Times New Roman" w:hAnsi="Arial Narrow" w:cs="Arial"/>
          <w:sz w:val="24"/>
          <w:szCs w:val="24"/>
          <w:lang w:eastAsia="fr-FR"/>
        </w:rPr>
        <w:t>production locale de vaccins et d'intrants</w:t>
      </w:r>
      <w:r w:rsidRPr="007E7C5B">
        <w:rPr>
          <w:rFonts w:ascii="Arial Narrow" w:eastAsia="Times New Roman" w:hAnsi="Arial Narrow" w:cs="Arial"/>
          <w:sz w:val="24"/>
          <w:szCs w:val="24"/>
          <w:lang w:eastAsia="fr-FR"/>
        </w:rPr>
        <w:t>. Cela réduirait la dépendance aux fournisseurs étrangers, assurerait une autonomie sanitaire, et potentiellement permettrait au pays d’exporter des vaccins vers d’autres pays de la sous-région. Des partenariats public-privé ainsi que des investissements dans l’industrie pharmaceutique locale pourraient soutenir cette transition vers la production locale.</w:t>
      </w:r>
    </w:p>
    <w:p w14:paraId="5AB48CC1" w14:textId="3E79CAC3" w:rsidR="00413D1C" w:rsidRPr="007E7C5B" w:rsidRDefault="00413D1C" w:rsidP="00AA7D22">
      <w:pPr>
        <w:pStyle w:val="Titre5"/>
        <w:shd w:val="clear" w:color="auto" w:fill="FBE4D5" w:themeFill="accent2" w:themeFillTint="33"/>
        <w:rPr>
          <w:rFonts w:ascii="Arial Narrow" w:hAnsi="Arial Narrow"/>
          <w:b/>
          <w:color w:val="auto"/>
          <w:sz w:val="24"/>
          <w:szCs w:val="24"/>
        </w:rPr>
      </w:pPr>
      <w:r w:rsidRPr="007E7C5B">
        <w:rPr>
          <w:rFonts w:ascii="Arial Narrow" w:hAnsi="Arial Narrow"/>
          <w:b/>
          <w:color w:val="auto"/>
          <w:sz w:val="24"/>
          <w:szCs w:val="24"/>
        </w:rPr>
        <w:t>Maladies transmissibles</w:t>
      </w:r>
    </w:p>
    <w:p w14:paraId="1EF62A1D" w14:textId="61956ED6" w:rsidR="003E7F09" w:rsidRPr="007E7C5B" w:rsidRDefault="003E7F09" w:rsidP="00AF6D14">
      <w:pPr>
        <w:jc w:val="both"/>
        <w:rPr>
          <w:rFonts w:ascii="Arial Narrow" w:hAnsi="Arial Narrow" w:cs="Times New Roman"/>
          <w:sz w:val="24"/>
          <w:szCs w:val="24"/>
        </w:rPr>
      </w:pPr>
      <w:r w:rsidRPr="007E7C5B">
        <w:rPr>
          <w:rFonts w:ascii="Arial Narrow" w:hAnsi="Arial Narrow" w:cs="Times New Roman"/>
          <w:b/>
          <w:sz w:val="24"/>
          <w:szCs w:val="24"/>
        </w:rPr>
        <w:t xml:space="preserve">Au titre de la lutte contre les maladies transmissibles, </w:t>
      </w:r>
      <w:r w:rsidRPr="007E7C5B">
        <w:rPr>
          <w:rFonts w:ascii="Arial Narrow" w:hAnsi="Arial Narrow" w:cs="Times New Roman"/>
          <w:sz w:val="24"/>
          <w:szCs w:val="24"/>
        </w:rPr>
        <w:t xml:space="preserve">les jalons majeurs prévus dans le PNDS 2021-2025 étaient de réduire l’incidence du paludisme de 173 pour mille en 2020 à </w:t>
      </w:r>
      <w:r w:rsidR="009F7CEB" w:rsidRPr="007E7C5B">
        <w:rPr>
          <w:rFonts w:ascii="Arial Narrow" w:hAnsi="Arial Narrow" w:cs="Times New Roman"/>
          <w:sz w:val="24"/>
          <w:szCs w:val="24"/>
        </w:rPr>
        <w:t xml:space="preserve">157 pour mille en 2023 puis </w:t>
      </w:r>
      <w:r w:rsidR="00D544C0" w:rsidRPr="007E7C5B">
        <w:rPr>
          <w:rFonts w:ascii="Arial Narrow" w:hAnsi="Arial Narrow" w:cs="Times New Roman"/>
          <w:sz w:val="24"/>
          <w:szCs w:val="24"/>
        </w:rPr>
        <w:t xml:space="preserve">à </w:t>
      </w:r>
      <w:r w:rsidRPr="007E7C5B">
        <w:rPr>
          <w:rFonts w:ascii="Arial Narrow" w:hAnsi="Arial Narrow" w:cs="Times New Roman"/>
          <w:sz w:val="24"/>
          <w:szCs w:val="24"/>
        </w:rPr>
        <w:t xml:space="preserve">141 pour mille en 2025 ; de réduire la prévalence du VIH/sida </w:t>
      </w:r>
      <w:r w:rsidR="00003511" w:rsidRPr="00A918AC">
        <w:rPr>
          <w:rFonts w:ascii="Arial Narrow" w:hAnsi="Arial Narrow" w:cs="Times New Roman"/>
          <w:sz w:val="24"/>
          <w:szCs w:val="24"/>
        </w:rPr>
        <w:t xml:space="preserve">et </w:t>
      </w:r>
      <w:r w:rsidR="00FD7CEE" w:rsidRPr="00A918AC">
        <w:rPr>
          <w:rFonts w:ascii="Arial Narrow" w:hAnsi="Arial Narrow" w:cs="Times New Roman"/>
          <w:sz w:val="24"/>
          <w:szCs w:val="24"/>
        </w:rPr>
        <w:t xml:space="preserve">de </w:t>
      </w:r>
      <w:r w:rsidR="00003511" w:rsidRPr="00A918AC">
        <w:rPr>
          <w:rFonts w:ascii="Arial Narrow" w:hAnsi="Arial Narrow" w:cs="Times New Roman"/>
          <w:sz w:val="24"/>
          <w:szCs w:val="24"/>
        </w:rPr>
        <w:t xml:space="preserve">faire passer </w:t>
      </w:r>
      <w:r w:rsidRPr="007E7C5B">
        <w:rPr>
          <w:rFonts w:ascii="Arial Narrow" w:hAnsi="Arial Narrow" w:cs="Times New Roman"/>
          <w:sz w:val="24"/>
          <w:szCs w:val="24"/>
        </w:rPr>
        <w:t xml:space="preserve">les niveaux d'atteinte des trois 95 respectivement de 84%, 78% et 82% en 2020 à 95%, 95%, 95% en 2025 ; </w:t>
      </w:r>
      <w:r w:rsidR="00AF6D14">
        <w:rPr>
          <w:rFonts w:ascii="Arial Narrow" w:hAnsi="Arial Narrow" w:cs="Times New Roman"/>
          <w:sz w:val="24"/>
          <w:szCs w:val="24"/>
        </w:rPr>
        <w:t>de f</w:t>
      </w:r>
      <w:r w:rsidR="00AF6D14" w:rsidRPr="00AF6D14">
        <w:rPr>
          <w:rFonts w:ascii="Arial Narrow" w:hAnsi="Arial Narrow" w:cs="Times New Roman"/>
          <w:sz w:val="24"/>
          <w:szCs w:val="24"/>
        </w:rPr>
        <w:t>aire baisser le taux de transmission du VIH de la mère à l’enfant y compris la période de</w:t>
      </w:r>
      <w:r w:rsidR="00AF6D14">
        <w:rPr>
          <w:rFonts w:ascii="Arial Narrow" w:hAnsi="Arial Narrow" w:cs="Times New Roman"/>
          <w:sz w:val="24"/>
          <w:szCs w:val="24"/>
        </w:rPr>
        <w:t xml:space="preserve"> </w:t>
      </w:r>
      <w:r w:rsidR="00AF6D14" w:rsidRPr="00AF6D14">
        <w:rPr>
          <w:rFonts w:ascii="Arial Narrow" w:hAnsi="Arial Narrow" w:cs="Times New Roman"/>
          <w:sz w:val="24"/>
          <w:szCs w:val="24"/>
        </w:rPr>
        <w:t>l’allaitement de 7,06% en 2020 à 2% en 2025 ;</w:t>
      </w:r>
      <w:r w:rsidRPr="007E7C5B">
        <w:rPr>
          <w:rFonts w:ascii="Arial Narrow" w:hAnsi="Arial Narrow" w:cs="Times New Roman"/>
          <w:sz w:val="24"/>
          <w:szCs w:val="24"/>
        </w:rPr>
        <w:t>de réduire l’incidence de la tuberculose de 137 pour 100 000 habitants en 2020 à</w:t>
      </w:r>
      <w:r w:rsidR="009A6A9E" w:rsidRPr="007E7C5B">
        <w:rPr>
          <w:rFonts w:ascii="Arial Narrow" w:hAnsi="Arial Narrow" w:cs="Times New Roman"/>
          <w:sz w:val="24"/>
          <w:szCs w:val="24"/>
        </w:rPr>
        <w:t xml:space="preserve"> 113</w:t>
      </w:r>
      <w:r w:rsidR="00115B61" w:rsidRPr="007E7C5B">
        <w:rPr>
          <w:rFonts w:ascii="Arial Narrow" w:hAnsi="Arial Narrow" w:cs="Times New Roman"/>
          <w:sz w:val="24"/>
          <w:szCs w:val="24"/>
        </w:rPr>
        <w:t xml:space="preserve"> pour 100 000 habitants</w:t>
      </w:r>
      <w:r w:rsidR="009A6A9E" w:rsidRPr="007E7C5B">
        <w:rPr>
          <w:rFonts w:ascii="Arial Narrow" w:hAnsi="Arial Narrow" w:cs="Times New Roman"/>
          <w:sz w:val="24"/>
          <w:szCs w:val="24"/>
        </w:rPr>
        <w:t xml:space="preserve"> en 2023 et à</w:t>
      </w:r>
      <w:r w:rsidRPr="007E7C5B">
        <w:rPr>
          <w:rFonts w:ascii="Arial Narrow" w:hAnsi="Arial Narrow" w:cs="Times New Roman"/>
          <w:sz w:val="24"/>
          <w:szCs w:val="24"/>
        </w:rPr>
        <w:t xml:space="preserve"> 96 pour 100 000 habitants d’ici 2025 en faisant </w:t>
      </w:r>
      <w:r w:rsidRPr="007E7C5B">
        <w:rPr>
          <w:rFonts w:ascii="Arial Narrow" w:hAnsi="Arial Narrow" w:cs="Times New Roman"/>
          <w:sz w:val="24"/>
          <w:szCs w:val="24"/>
        </w:rPr>
        <w:lastRenderedPageBreak/>
        <w:t>progresser le taux de succès thérapeutique des nouveau</w:t>
      </w:r>
      <w:r w:rsidR="00093F7D" w:rsidRPr="007E7C5B">
        <w:rPr>
          <w:rFonts w:ascii="Arial Narrow" w:hAnsi="Arial Narrow" w:cs="Times New Roman"/>
          <w:sz w:val="24"/>
          <w:szCs w:val="24"/>
        </w:rPr>
        <w:t>x</w:t>
      </w:r>
      <w:r w:rsidRPr="007E7C5B">
        <w:rPr>
          <w:rFonts w:ascii="Arial Narrow" w:hAnsi="Arial Narrow" w:cs="Times New Roman"/>
          <w:sz w:val="24"/>
          <w:szCs w:val="24"/>
        </w:rPr>
        <w:t xml:space="preserve"> cas et rechute</w:t>
      </w:r>
      <w:r w:rsidR="00115B61" w:rsidRPr="007E7C5B">
        <w:rPr>
          <w:rFonts w:ascii="Arial Narrow" w:hAnsi="Arial Narrow" w:cs="Times New Roman"/>
          <w:sz w:val="24"/>
          <w:szCs w:val="24"/>
        </w:rPr>
        <w:t>s</w:t>
      </w:r>
      <w:r w:rsidRPr="007E7C5B">
        <w:rPr>
          <w:rFonts w:ascii="Arial Narrow" w:hAnsi="Arial Narrow" w:cs="Times New Roman"/>
          <w:sz w:val="24"/>
          <w:szCs w:val="24"/>
        </w:rPr>
        <w:t xml:space="preserve"> de tuberculose toute</w:t>
      </w:r>
      <w:r w:rsidR="00093F7D" w:rsidRPr="007E7C5B">
        <w:rPr>
          <w:rFonts w:ascii="Arial Narrow" w:hAnsi="Arial Narrow" w:cs="Times New Roman"/>
          <w:sz w:val="24"/>
          <w:szCs w:val="24"/>
        </w:rPr>
        <w:t>s</w:t>
      </w:r>
      <w:r w:rsidRPr="007E7C5B">
        <w:rPr>
          <w:rFonts w:ascii="Arial Narrow" w:hAnsi="Arial Narrow" w:cs="Times New Roman"/>
          <w:sz w:val="24"/>
          <w:szCs w:val="24"/>
        </w:rPr>
        <w:t xml:space="preserve"> forme</w:t>
      </w:r>
      <w:r w:rsidR="00093F7D" w:rsidRPr="007E7C5B">
        <w:rPr>
          <w:rFonts w:ascii="Arial Narrow" w:hAnsi="Arial Narrow" w:cs="Times New Roman"/>
          <w:sz w:val="24"/>
          <w:szCs w:val="24"/>
        </w:rPr>
        <w:t>s</w:t>
      </w:r>
      <w:r w:rsidRPr="007E7C5B">
        <w:rPr>
          <w:rFonts w:ascii="Arial Narrow" w:hAnsi="Arial Narrow" w:cs="Times New Roman"/>
          <w:sz w:val="24"/>
          <w:szCs w:val="24"/>
        </w:rPr>
        <w:t xml:space="preserve"> confirmé</w:t>
      </w:r>
      <w:r w:rsidR="00093F7D" w:rsidRPr="007E7C5B">
        <w:rPr>
          <w:rFonts w:ascii="Arial Narrow" w:hAnsi="Arial Narrow" w:cs="Times New Roman"/>
          <w:sz w:val="24"/>
          <w:szCs w:val="24"/>
        </w:rPr>
        <w:t>es</w:t>
      </w:r>
      <w:r w:rsidRPr="007E7C5B">
        <w:rPr>
          <w:rFonts w:ascii="Arial Narrow" w:hAnsi="Arial Narrow" w:cs="Times New Roman"/>
          <w:sz w:val="24"/>
          <w:szCs w:val="24"/>
        </w:rPr>
        <w:t xml:space="preserve"> bactériologiquement et diagnostiqué</w:t>
      </w:r>
      <w:r w:rsidR="00134E43" w:rsidRPr="007E7C5B">
        <w:rPr>
          <w:rFonts w:ascii="Arial Narrow" w:hAnsi="Arial Narrow" w:cs="Times New Roman"/>
          <w:sz w:val="24"/>
          <w:szCs w:val="24"/>
        </w:rPr>
        <w:t>e</w:t>
      </w:r>
      <w:r w:rsidR="00093F7D" w:rsidRPr="007E7C5B">
        <w:rPr>
          <w:rFonts w:ascii="Arial Narrow" w:hAnsi="Arial Narrow" w:cs="Times New Roman"/>
          <w:sz w:val="24"/>
          <w:szCs w:val="24"/>
        </w:rPr>
        <w:t>s</w:t>
      </w:r>
      <w:r w:rsidRPr="007E7C5B">
        <w:rPr>
          <w:rFonts w:ascii="Arial Narrow" w:hAnsi="Arial Narrow" w:cs="Times New Roman"/>
          <w:sz w:val="24"/>
          <w:szCs w:val="24"/>
        </w:rPr>
        <w:t xml:space="preserve"> cliniquement de 84% en 2020 à 90% en 2025 et les cas de résistance à la rifampicine (RR-TB) et/ou multirésistante (MDR-TB) confirmé</w:t>
      </w:r>
      <w:r w:rsidR="00B60410" w:rsidRPr="007E7C5B">
        <w:rPr>
          <w:rFonts w:ascii="Arial Narrow" w:hAnsi="Arial Narrow" w:cs="Times New Roman"/>
          <w:sz w:val="24"/>
          <w:szCs w:val="24"/>
        </w:rPr>
        <w:t>s</w:t>
      </w:r>
      <w:r w:rsidRPr="007E7C5B">
        <w:rPr>
          <w:rFonts w:ascii="Arial Narrow" w:hAnsi="Arial Narrow" w:cs="Times New Roman"/>
          <w:sz w:val="24"/>
          <w:szCs w:val="24"/>
        </w:rPr>
        <w:t xml:space="preserve"> en laboratoire de 74% en 2019 à</w:t>
      </w:r>
      <w:r w:rsidR="00B60410" w:rsidRPr="007E7C5B">
        <w:rPr>
          <w:rFonts w:ascii="Arial Narrow" w:hAnsi="Arial Narrow" w:cs="Times New Roman"/>
          <w:sz w:val="24"/>
          <w:szCs w:val="24"/>
        </w:rPr>
        <w:t xml:space="preserve"> 84% en 2023</w:t>
      </w:r>
      <w:r w:rsidR="00AD1982" w:rsidRPr="007E7C5B">
        <w:rPr>
          <w:rFonts w:ascii="Arial Narrow" w:hAnsi="Arial Narrow" w:cs="Times New Roman"/>
          <w:sz w:val="24"/>
          <w:szCs w:val="24"/>
        </w:rPr>
        <w:t xml:space="preserve"> puis à</w:t>
      </w:r>
      <w:r w:rsidRPr="007E7C5B">
        <w:rPr>
          <w:rFonts w:ascii="Arial Narrow" w:hAnsi="Arial Narrow" w:cs="Times New Roman"/>
          <w:sz w:val="24"/>
          <w:szCs w:val="24"/>
        </w:rPr>
        <w:t xml:space="preserve"> 85% en 2025</w:t>
      </w:r>
      <w:r w:rsidR="005E6127" w:rsidRPr="007E7C5B">
        <w:rPr>
          <w:rFonts w:ascii="Arial Narrow" w:hAnsi="Arial Narrow" w:cs="Times New Roman"/>
          <w:sz w:val="24"/>
          <w:szCs w:val="24"/>
        </w:rPr>
        <w:t xml:space="preserve">. </w:t>
      </w:r>
    </w:p>
    <w:p w14:paraId="64BA6F34" w14:textId="77777777" w:rsidR="003E7F09" w:rsidRPr="007E7C5B" w:rsidRDefault="003E7F09" w:rsidP="003E7F09">
      <w:pPr>
        <w:jc w:val="both"/>
        <w:rPr>
          <w:rFonts w:ascii="Arial Narrow" w:hAnsi="Arial Narrow" w:cs="Times New Roman"/>
          <w:sz w:val="24"/>
          <w:szCs w:val="24"/>
        </w:rPr>
      </w:pPr>
      <w:r w:rsidRPr="007E7C5B">
        <w:rPr>
          <w:rFonts w:ascii="Arial Narrow" w:eastAsiaTheme="majorEastAsia" w:hAnsi="Arial Narrow" w:cstheme="majorBidi"/>
          <w:b/>
          <w:bCs/>
          <w:color w:val="0070C0"/>
          <w:sz w:val="24"/>
          <w:szCs w:val="24"/>
        </w:rPr>
        <w:t>Paludisme</w:t>
      </w:r>
    </w:p>
    <w:p w14:paraId="06D1745A" w14:textId="64435FFE" w:rsidR="0071638D" w:rsidRPr="007E7C5B" w:rsidRDefault="003E7F09" w:rsidP="003E7F09">
      <w:pPr>
        <w:spacing w:line="257" w:lineRule="auto"/>
        <w:jc w:val="both"/>
        <w:rPr>
          <w:rFonts w:ascii="Arial Narrow" w:eastAsia="Calibri" w:hAnsi="Arial Narrow" w:cs="Arial"/>
          <w:sz w:val="24"/>
          <w:szCs w:val="24"/>
        </w:rPr>
      </w:pPr>
      <w:r w:rsidRPr="007E7C5B">
        <w:rPr>
          <w:rFonts w:ascii="Arial Narrow" w:eastAsia="Calibri" w:hAnsi="Arial Narrow" w:cs="Arial"/>
          <w:b/>
          <w:bCs/>
          <w:sz w:val="24"/>
          <w:szCs w:val="24"/>
        </w:rPr>
        <w:t>Dans le cadre de la lutte contre le paludisme</w:t>
      </w:r>
      <w:r w:rsidRPr="007E7C5B">
        <w:rPr>
          <w:rFonts w:ascii="Arial Narrow" w:eastAsia="Calibri" w:hAnsi="Arial Narrow" w:cs="Arial"/>
          <w:sz w:val="24"/>
          <w:szCs w:val="24"/>
        </w:rPr>
        <w:t xml:space="preserve">, le MSHPCMU </w:t>
      </w:r>
      <w:r w:rsidR="00106BF7" w:rsidRPr="007E7C5B">
        <w:rPr>
          <w:rFonts w:ascii="Arial Narrow" w:eastAsia="Calibri" w:hAnsi="Arial Narrow" w:cs="Arial"/>
          <w:sz w:val="24"/>
          <w:szCs w:val="24"/>
        </w:rPr>
        <w:t>s’est doté</w:t>
      </w:r>
      <w:r w:rsidRPr="007E7C5B">
        <w:rPr>
          <w:rFonts w:ascii="Arial Narrow" w:eastAsia="Calibri" w:hAnsi="Arial Narrow" w:cs="Arial"/>
          <w:sz w:val="24"/>
          <w:szCs w:val="24"/>
        </w:rPr>
        <w:t xml:space="preserve"> d</w:t>
      </w:r>
      <w:r w:rsidR="005A2E3A" w:rsidRPr="007E7C5B">
        <w:rPr>
          <w:rFonts w:ascii="Arial Narrow" w:eastAsia="Calibri" w:hAnsi="Arial Narrow" w:cs="Arial"/>
          <w:sz w:val="24"/>
          <w:szCs w:val="24"/>
        </w:rPr>
        <w:t>’un</w:t>
      </w:r>
      <w:r w:rsidRPr="007E7C5B">
        <w:rPr>
          <w:rFonts w:ascii="Arial Narrow" w:eastAsia="Calibri" w:hAnsi="Arial Narrow" w:cs="Arial"/>
          <w:sz w:val="24"/>
          <w:szCs w:val="24"/>
        </w:rPr>
        <w:t xml:space="preserve"> plan stratégique national de lutte contre le paludisme </w:t>
      </w:r>
      <w:r w:rsidR="00686689" w:rsidRPr="007E7C5B">
        <w:rPr>
          <w:rFonts w:ascii="Arial Narrow" w:eastAsia="Calibri" w:hAnsi="Arial Narrow" w:cs="Arial"/>
          <w:sz w:val="24"/>
          <w:szCs w:val="24"/>
        </w:rPr>
        <w:t xml:space="preserve">2021-2025 </w:t>
      </w:r>
      <w:r w:rsidRPr="007E7C5B">
        <w:rPr>
          <w:rFonts w:ascii="Arial Narrow" w:eastAsia="Calibri" w:hAnsi="Arial Narrow" w:cs="Arial"/>
          <w:sz w:val="24"/>
          <w:szCs w:val="24"/>
        </w:rPr>
        <w:t xml:space="preserve">qui donne les grandes orientations. </w:t>
      </w:r>
    </w:p>
    <w:p w14:paraId="5D6FFE6C" w14:textId="2C6A9922" w:rsidR="006E76BD" w:rsidRPr="007E7C5B" w:rsidRDefault="00BD4F3C" w:rsidP="003E7F09">
      <w:pPr>
        <w:spacing w:line="257" w:lineRule="auto"/>
        <w:jc w:val="both"/>
        <w:rPr>
          <w:rFonts w:ascii="Arial Narrow" w:eastAsia="Calibri" w:hAnsi="Arial Narrow" w:cs="Arial"/>
          <w:sz w:val="24"/>
          <w:szCs w:val="24"/>
        </w:rPr>
      </w:pPr>
      <w:r w:rsidRPr="007E7C5B">
        <w:rPr>
          <w:rFonts w:ascii="Arial Narrow" w:eastAsia="Calibri" w:hAnsi="Arial Narrow" w:cs="Arial"/>
          <w:sz w:val="24"/>
          <w:szCs w:val="24"/>
        </w:rPr>
        <w:t xml:space="preserve">En ce qui concerne </w:t>
      </w:r>
      <w:r w:rsidR="005E0AB0" w:rsidRPr="007E7C5B">
        <w:rPr>
          <w:rFonts w:ascii="Arial Narrow" w:eastAsia="Calibri" w:hAnsi="Arial Narrow" w:cs="Arial"/>
          <w:sz w:val="24"/>
          <w:szCs w:val="24"/>
        </w:rPr>
        <w:t xml:space="preserve">le dépistage et </w:t>
      </w:r>
      <w:r w:rsidRPr="007E7C5B">
        <w:rPr>
          <w:rFonts w:ascii="Arial Narrow" w:eastAsia="Calibri" w:hAnsi="Arial Narrow" w:cs="Arial"/>
          <w:sz w:val="24"/>
          <w:szCs w:val="24"/>
        </w:rPr>
        <w:t>la prise en charge,</w:t>
      </w:r>
      <w:r w:rsidR="00F1742C" w:rsidRPr="007E7C5B">
        <w:rPr>
          <w:rFonts w:ascii="Arial Narrow" w:eastAsia="Calibri" w:hAnsi="Arial Narrow" w:cs="Arial"/>
          <w:sz w:val="24"/>
          <w:szCs w:val="24"/>
        </w:rPr>
        <w:t xml:space="preserve"> </w:t>
      </w:r>
      <w:r w:rsidR="006E76BD" w:rsidRPr="007E7C5B">
        <w:rPr>
          <w:rFonts w:ascii="Arial Narrow" w:eastAsia="Calibri" w:hAnsi="Arial Narrow" w:cs="Arial"/>
          <w:sz w:val="24"/>
          <w:szCs w:val="24"/>
        </w:rPr>
        <w:t xml:space="preserve">un projet d’appui à la chaine d’approvisionnement au dernier kilomètre </w:t>
      </w:r>
      <w:r w:rsidR="0076119B" w:rsidRPr="007E7C5B">
        <w:rPr>
          <w:rFonts w:ascii="Arial Narrow" w:eastAsia="Calibri" w:hAnsi="Arial Narrow" w:cs="Arial"/>
          <w:sz w:val="24"/>
          <w:szCs w:val="24"/>
        </w:rPr>
        <w:t>a été mis en œuvre avec</w:t>
      </w:r>
      <w:r w:rsidR="006E76BD" w:rsidRPr="007E7C5B" w:rsidDel="0076119B">
        <w:rPr>
          <w:rFonts w:ascii="Arial Narrow" w:eastAsia="Calibri" w:hAnsi="Arial Narrow" w:cs="Arial"/>
          <w:sz w:val="24"/>
          <w:szCs w:val="24"/>
        </w:rPr>
        <w:t xml:space="preserve"> </w:t>
      </w:r>
      <w:r w:rsidR="006E76BD" w:rsidRPr="007E7C5B">
        <w:rPr>
          <w:rFonts w:ascii="Arial Narrow" w:eastAsia="Calibri" w:hAnsi="Arial Narrow" w:cs="Arial"/>
          <w:sz w:val="24"/>
          <w:szCs w:val="24"/>
        </w:rPr>
        <w:t xml:space="preserve">la dotation </w:t>
      </w:r>
      <w:r w:rsidR="00E65DBC" w:rsidRPr="007E7C5B">
        <w:rPr>
          <w:rFonts w:ascii="Arial Narrow" w:eastAsia="Calibri" w:hAnsi="Arial Narrow" w:cs="Arial"/>
          <w:sz w:val="24"/>
          <w:szCs w:val="24"/>
        </w:rPr>
        <w:t>des</w:t>
      </w:r>
      <w:r w:rsidR="006E76BD" w:rsidRPr="007E7C5B">
        <w:rPr>
          <w:rFonts w:ascii="Arial Narrow" w:eastAsia="Calibri" w:hAnsi="Arial Narrow" w:cs="Arial"/>
          <w:sz w:val="24"/>
          <w:szCs w:val="24"/>
        </w:rPr>
        <w:t xml:space="preserve"> districts en matériels roulants (12 motos, 85 fourgonnettes) et la mise en place d’une cellule de gestion des commandes au niveau de la NPSP</w:t>
      </w:r>
      <w:r w:rsidR="00352147" w:rsidRPr="007E7C5B">
        <w:rPr>
          <w:rFonts w:ascii="Arial Narrow" w:eastAsia="Calibri" w:hAnsi="Arial Narrow" w:cs="Arial"/>
          <w:sz w:val="24"/>
          <w:szCs w:val="24"/>
        </w:rPr>
        <w:t xml:space="preserve">. </w:t>
      </w:r>
      <w:r w:rsidR="00A51523" w:rsidRPr="007E7C5B">
        <w:rPr>
          <w:rFonts w:ascii="Arial Narrow" w:eastAsia="Calibri" w:hAnsi="Arial Narrow" w:cs="Arial"/>
          <w:sz w:val="24"/>
          <w:szCs w:val="24"/>
        </w:rPr>
        <w:t xml:space="preserve">De plus, </w:t>
      </w:r>
      <w:r w:rsidR="00317DD2" w:rsidRPr="007E7C5B">
        <w:rPr>
          <w:rFonts w:ascii="Arial Narrow" w:eastAsia="Calibri" w:hAnsi="Arial Narrow" w:cs="Arial"/>
          <w:sz w:val="24"/>
          <w:szCs w:val="24"/>
        </w:rPr>
        <w:t xml:space="preserve">on note la formation de </w:t>
      </w:r>
      <w:r w:rsidR="00EF0EDF" w:rsidRPr="007E7C5B">
        <w:rPr>
          <w:rFonts w:ascii="Arial Narrow" w:eastAsia="Calibri" w:hAnsi="Arial Narrow" w:cs="Arial"/>
          <w:sz w:val="24"/>
          <w:szCs w:val="24"/>
        </w:rPr>
        <w:t>150 cadres supérieurs de la santé</w:t>
      </w:r>
      <w:r w:rsidR="00D55128" w:rsidRPr="007E7C5B">
        <w:rPr>
          <w:rFonts w:ascii="Arial Narrow" w:eastAsia="Calibri" w:hAnsi="Arial Narrow" w:cs="Arial"/>
          <w:sz w:val="24"/>
          <w:szCs w:val="24"/>
        </w:rPr>
        <w:t xml:space="preserve"> en paludologie</w:t>
      </w:r>
      <w:r w:rsidR="00EF0EDF" w:rsidRPr="007E7C5B">
        <w:rPr>
          <w:rFonts w:ascii="Arial Narrow" w:eastAsia="Calibri" w:hAnsi="Arial Narrow" w:cs="Arial"/>
          <w:sz w:val="24"/>
          <w:szCs w:val="24"/>
        </w:rPr>
        <w:t>, 150 agents de santé en surveillance suivi-évaluation et tous les 113 ECD sur les nouvelles directives de prise en charge du paludisme</w:t>
      </w:r>
      <w:r w:rsidR="00317DD2" w:rsidRPr="007E7C5B">
        <w:rPr>
          <w:rFonts w:ascii="Arial Narrow" w:eastAsia="Calibri" w:hAnsi="Arial Narrow" w:cs="Arial"/>
          <w:sz w:val="24"/>
          <w:szCs w:val="24"/>
        </w:rPr>
        <w:t xml:space="preserve">. En outre, </w:t>
      </w:r>
      <w:r w:rsidR="00EF0EDF" w:rsidRPr="007E7C5B">
        <w:rPr>
          <w:rFonts w:ascii="Arial Narrow" w:eastAsia="Calibri" w:hAnsi="Arial Narrow" w:cs="Arial"/>
          <w:sz w:val="24"/>
          <w:szCs w:val="24"/>
        </w:rPr>
        <w:t xml:space="preserve">20 Conseillers Techniques Régionaux (CTR) </w:t>
      </w:r>
      <w:r w:rsidR="00670D69" w:rsidRPr="007E7C5B">
        <w:rPr>
          <w:rFonts w:ascii="Arial Narrow" w:eastAsia="Calibri" w:hAnsi="Arial Narrow" w:cs="Arial"/>
          <w:sz w:val="24"/>
          <w:szCs w:val="24"/>
        </w:rPr>
        <w:t>ont été recrutés</w:t>
      </w:r>
      <w:r w:rsidR="00EF0EDF" w:rsidRPr="007E7C5B">
        <w:rPr>
          <w:rFonts w:ascii="Arial Narrow" w:eastAsia="Calibri" w:hAnsi="Arial Narrow" w:cs="Arial"/>
          <w:sz w:val="24"/>
          <w:szCs w:val="24"/>
        </w:rPr>
        <w:t xml:space="preserve"> pour apporter un appui aux régions </w:t>
      </w:r>
      <w:r w:rsidR="00E834E4" w:rsidRPr="007E7C5B">
        <w:rPr>
          <w:rFonts w:ascii="Arial Narrow" w:eastAsia="Calibri" w:hAnsi="Arial Narrow" w:cs="Arial"/>
          <w:sz w:val="24"/>
          <w:szCs w:val="24"/>
        </w:rPr>
        <w:t>ainsi qu</w:t>
      </w:r>
      <w:r w:rsidR="00415F0F" w:rsidRPr="007E7C5B">
        <w:rPr>
          <w:rFonts w:ascii="Arial Narrow" w:eastAsia="Calibri" w:hAnsi="Arial Narrow" w:cs="Arial"/>
          <w:sz w:val="24"/>
          <w:szCs w:val="24"/>
        </w:rPr>
        <w:t>’à</w:t>
      </w:r>
      <w:r w:rsidR="00E834E4" w:rsidRPr="007E7C5B">
        <w:rPr>
          <w:rFonts w:ascii="Arial Narrow" w:eastAsia="Calibri" w:hAnsi="Arial Narrow" w:cs="Arial"/>
          <w:sz w:val="24"/>
          <w:szCs w:val="24"/>
        </w:rPr>
        <w:t xml:space="preserve"> </w:t>
      </w:r>
      <w:r w:rsidR="00EF0EDF" w:rsidRPr="007E7C5B">
        <w:rPr>
          <w:rFonts w:ascii="Arial Narrow" w:eastAsia="Calibri" w:hAnsi="Arial Narrow" w:cs="Arial"/>
          <w:sz w:val="24"/>
          <w:szCs w:val="24"/>
        </w:rPr>
        <w:t>250 cliniques privées pour la réalisation des activités de lutte contre le paludisme avec rapportage des données au district sanitaire concerné</w:t>
      </w:r>
      <w:r w:rsidR="00A74ACB" w:rsidRPr="007E7C5B">
        <w:rPr>
          <w:rFonts w:ascii="Arial Narrow" w:eastAsia="Calibri" w:hAnsi="Arial Narrow" w:cs="Arial"/>
          <w:sz w:val="24"/>
          <w:szCs w:val="24"/>
        </w:rPr>
        <w:t>.</w:t>
      </w:r>
    </w:p>
    <w:p w14:paraId="67A7BEF8" w14:textId="41E820B6" w:rsidR="003B1475" w:rsidRPr="007E7C5B" w:rsidRDefault="00BD4F3C" w:rsidP="005721E9">
      <w:pPr>
        <w:spacing w:line="257" w:lineRule="auto"/>
        <w:jc w:val="both"/>
        <w:rPr>
          <w:rFonts w:ascii="Arial Narrow" w:eastAsia="Calibri" w:hAnsi="Arial Narrow" w:cs="Arial"/>
          <w:sz w:val="24"/>
          <w:szCs w:val="24"/>
        </w:rPr>
      </w:pPr>
      <w:r w:rsidRPr="007E7C5B">
        <w:rPr>
          <w:rFonts w:ascii="Arial Narrow" w:eastAsia="Calibri" w:hAnsi="Arial Narrow" w:cs="Arial"/>
          <w:sz w:val="24"/>
          <w:szCs w:val="24"/>
        </w:rPr>
        <w:t>Relativement à la prévention,</w:t>
      </w:r>
      <w:r w:rsidR="00421193" w:rsidRPr="007E7C5B">
        <w:rPr>
          <w:rFonts w:ascii="Arial Narrow" w:eastAsia="Calibri" w:hAnsi="Arial Narrow" w:cs="Arial"/>
          <w:sz w:val="24"/>
          <w:szCs w:val="24"/>
        </w:rPr>
        <w:t xml:space="preserve"> </w:t>
      </w:r>
      <w:r w:rsidR="003E7F09" w:rsidRPr="007E7C5B">
        <w:rPr>
          <w:rFonts w:ascii="Arial Narrow" w:eastAsia="Calibri" w:hAnsi="Arial Narrow" w:cs="Arial"/>
          <w:sz w:val="24"/>
          <w:szCs w:val="24"/>
        </w:rPr>
        <w:t>des actions ont été menées entre 2021 et 2023</w:t>
      </w:r>
      <w:r w:rsidR="003E7F09" w:rsidRPr="00A918AC">
        <w:rPr>
          <w:rFonts w:ascii="Arial Narrow" w:eastAsia="Calibri" w:hAnsi="Arial Narrow" w:cs="Arial"/>
          <w:sz w:val="24"/>
          <w:szCs w:val="24"/>
        </w:rPr>
        <w:t xml:space="preserve"> </w:t>
      </w:r>
      <w:r w:rsidR="00BC2938" w:rsidRPr="007E7C5B">
        <w:rPr>
          <w:rFonts w:ascii="Arial Narrow" w:eastAsia="Calibri" w:hAnsi="Arial Narrow" w:cs="Arial"/>
          <w:sz w:val="24"/>
          <w:szCs w:val="24"/>
        </w:rPr>
        <w:t xml:space="preserve">afin de réduire l’incidence du paludisme. </w:t>
      </w:r>
      <w:r w:rsidR="00861E8B" w:rsidRPr="007E7C5B">
        <w:rPr>
          <w:rFonts w:ascii="Arial Narrow" w:eastAsia="Calibri" w:hAnsi="Arial Narrow" w:cs="Arial"/>
          <w:sz w:val="24"/>
          <w:szCs w:val="24"/>
        </w:rPr>
        <w:t xml:space="preserve">4 946 047 de Moustiquaires </w:t>
      </w:r>
      <w:r w:rsidR="006934E5" w:rsidRPr="007E7C5B">
        <w:rPr>
          <w:rFonts w:ascii="Arial Narrow" w:eastAsia="Calibri" w:hAnsi="Arial Narrow" w:cs="Arial"/>
          <w:sz w:val="24"/>
          <w:szCs w:val="24"/>
        </w:rPr>
        <w:t>Imprégnées</w:t>
      </w:r>
      <w:r w:rsidR="00861E8B" w:rsidRPr="007E7C5B">
        <w:rPr>
          <w:rFonts w:ascii="Arial Narrow" w:eastAsia="Calibri" w:hAnsi="Arial Narrow" w:cs="Arial"/>
          <w:sz w:val="24"/>
          <w:szCs w:val="24"/>
        </w:rPr>
        <w:t xml:space="preserve"> à </w:t>
      </w:r>
      <w:r w:rsidR="000737EC" w:rsidRPr="007E7C5B">
        <w:rPr>
          <w:rFonts w:ascii="Arial Narrow" w:eastAsia="Calibri" w:hAnsi="Arial Narrow" w:cs="Arial"/>
          <w:sz w:val="24"/>
          <w:szCs w:val="24"/>
        </w:rPr>
        <w:t>L</w:t>
      </w:r>
      <w:r w:rsidR="00861E8B" w:rsidRPr="007E7C5B">
        <w:rPr>
          <w:rFonts w:ascii="Arial Narrow" w:eastAsia="Calibri" w:hAnsi="Arial Narrow" w:cs="Arial"/>
          <w:sz w:val="24"/>
          <w:szCs w:val="24"/>
        </w:rPr>
        <w:t xml:space="preserve">ongue Durée </w:t>
      </w:r>
      <w:r w:rsidR="000737EC" w:rsidRPr="007E7C5B">
        <w:rPr>
          <w:rFonts w:ascii="Arial Narrow" w:eastAsia="Calibri" w:hAnsi="Arial Narrow" w:cs="Arial"/>
          <w:sz w:val="24"/>
          <w:szCs w:val="24"/>
        </w:rPr>
        <w:t>d’Action (</w:t>
      </w:r>
      <w:r w:rsidR="003E7F09" w:rsidRPr="007E7C5B">
        <w:rPr>
          <w:rFonts w:ascii="Arial Narrow" w:eastAsia="Calibri" w:hAnsi="Arial Narrow" w:cs="Arial"/>
          <w:sz w:val="24"/>
          <w:szCs w:val="24"/>
        </w:rPr>
        <w:t>MILDA</w:t>
      </w:r>
      <w:r w:rsidR="000737EC" w:rsidRPr="007E7C5B">
        <w:rPr>
          <w:rFonts w:ascii="Arial Narrow" w:eastAsia="Calibri" w:hAnsi="Arial Narrow" w:cs="Arial"/>
          <w:sz w:val="24"/>
          <w:szCs w:val="24"/>
        </w:rPr>
        <w:t>)</w:t>
      </w:r>
      <w:r w:rsidR="00C84122" w:rsidRPr="007E7C5B">
        <w:rPr>
          <w:rFonts w:ascii="Arial Narrow" w:eastAsia="Calibri" w:hAnsi="Arial Narrow" w:cs="Arial"/>
          <w:sz w:val="24"/>
          <w:szCs w:val="24"/>
        </w:rPr>
        <w:t xml:space="preserve"> ont été distribuée</w:t>
      </w:r>
      <w:r w:rsidR="0065750E" w:rsidRPr="007E7C5B">
        <w:rPr>
          <w:rFonts w:ascii="Arial Narrow" w:eastAsia="Calibri" w:hAnsi="Arial Narrow" w:cs="Arial"/>
          <w:sz w:val="24"/>
          <w:szCs w:val="24"/>
        </w:rPr>
        <w:t>s</w:t>
      </w:r>
      <w:r w:rsidR="003E7F09" w:rsidRPr="00A918AC">
        <w:rPr>
          <w:rFonts w:ascii="Arial Narrow" w:eastAsia="Calibri" w:hAnsi="Arial Narrow" w:cs="Arial"/>
          <w:sz w:val="24"/>
          <w:szCs w:val="24"/>
        </w:rPr>
        <w:t xml:space="preserve"> </w:t>
      </w:r>
      <w:r w:rsidR="003E7F09" w:rsidRPr="007E7C5B">
        <w:rPr>
          <w:rFonts w:ascii="Arial Narrow" w:eastAsia="Calibri" w:hAnsi="Arial Narrow" w:cs="Arial"/>
          <w:sz w:val="24"/>
          <w:szCs w:val="24"/>
        </w:rPr>
        <w:t>en routine</w:t>
      </w:r>
      <w:r w:rsidR="003E7F09" w:rsidRPr="007E7C5B" w:rsidDel="00861E8B">
        <w:rPr>
          <w:rFonts w:ascii="Arial Narrow" w:eastAsia="Calibri" w:hAnsi="Arial Narrow" w:cs="Arial"/>
          <w:sz w:val="24"/>
          <w:szCs w:val="24"/>
        </w:rPr>
        <w:t xml:space="preserve"> </w:t>
      </w:r>
      <w:r w:rsidR="003E7F09" w:rsidRPr="007E7C5B">
        <w:rPr>
          <w:rFonts w:ascii="Arial Narrow" w:eastAsia="Calibri" w:hAnsi="Arial Narrow" w:cs="Arial"/>
          <w:sz w:val="24"/>
          <w:szCs w:val="24"/>
        </w:rPr>
        <w:t xml:space="preserve">et </w:t>
      </w:r>
      <w:r w:rsidR="0065750E" w:rsidRPr="007E7C5B">
        <w:rPr>
          <w:rFonts w:ascii="Arial Narrow" w:eastAsia="Calibri" w:hAnsi="Arial Narrow" w:cs="Arial"/>
          <w:sz w:val="24"/>
          <w:szCs w:val="24"/>
        </w:rPr>
        <w:t xml:space="preserve">32 725 934 </w:t>
      </w:r>
      <w:r w:rsidR="003E7F09" w:rsidRPr="007E7C5B">
        <w:rPr>
          <w:rFonts w:ascii="Arial Narrow" w:eastAsia="Calibri" w:hAnsi="Arial Narrow" w:cs="Arial"/>
          <w:sz w:val="24"/>
          <w:szCs w:val="24"/>
        </w:rPr>
        <w:t>au cours des campagnes de masse</w:t>
      </w:r>
      <w:r w:rsidR="007B7FB9" w:rsidRPr="007E7C5B">
        <w:rPr>
          <w:rFonts w:ascii="Arial Narrow" w:eastAsia="Calibri" w:hAnsi="Arial Narrow" w:cs="Arial"/>
          <w:sz w:val="24"/>
          <w:szCs w:val="24"/>
        </w:rPr>
        <w:t xml:space="preserve"> avec le </w:t>
      </w:r>
      <w:r w:rsidR="00523968" w:rsidRPr="007E7C5B">
        <w:rPr>
          <w:rFonts w:ascii="Arial Narrow" w:eastAsia="Calibri" w:hAnsi="Arial Narrow" w:cs="Arial"/>
          <w:sz w:val="24"/>
          <w:szCs w:val="24"/>
        </w:rPr>
        <w:t xml:space="preserve">renforcement de la distribution des MILDA dans les établissements </w:t>
      </w:r>
      <w:r w:rsidR="006934E5" w:rsidRPr="007E7C5B">
        <w:rPr>
          <w:rFonts w:ascii="Arial Narrow" w:eastAsia="Calibri" w:hAnsi="Arial Narrow" w:cs="Arial"/>
          <w:sz w:val="24"/>
          <w:szCs w:val="24"/>
        </w:rPr>
        <w:t>préscolaires</w:t>
      </w:r>
      <w:r w:rsidR="00523968" w:rsidRPr="007E7C5B">
        <w:rPr>
          <w:rFonts w:ascii="Arial Narrow" w:eastAsia="Calibri" w:hAnsi="Arial Narrow" w:cs="Arial"/>
          <w:sz w:val="24"/>
          <w:szCs w:val="24"/>
        </w:rPr>
        <w:t xml:space="preserve"> </w:t>
      </w:r>
      <w:r w:rsidR="008212BA" w:rsidRPr="007E7C5B">
        <w:rPr>
          <w:rFonts w:ascii="Arial Narrow" w:eastAsia="Calibri" w:hAnsi="Arial Narrow" w:cs="Arial"/>
          <w:sz w:val="24"/>
          <w:szCs w:val="24"/>
        </w:rPr>
        <w:t>pour</w:t>
      </w:r>
      <w:r w:rsidR="00523968" w:rsidRPr="007E7C5B">
        <w:rPr>
          <w:rFonts w:ascii="Arial Narrow" w:eastAsia="Calibri" w:hAnsi="Arial Narrow" w:cs="Arial"/>
          <w:sz w:val="24"/>
          <w:szCs w:val="24"/>
        </w:rPr>
        <w:t xml:space="preserve"> les enfants de moins de 5 ans</w:t>
      </w:r>
      <w:r w:rsidR="0065750E" w:rsidRPr="007E7C5B">
        <w:rPr>
          <w:rFonts w:ascii="Arial Narrow" w:eastAsia="Calibri" w:hAnsi="Arial Narrow" w:cs="Arial"/>
          <w:sz w:val="24"/>
          <w:szCs w:val="24"/>
        </w:rPr>
        <w:t xml:space="preserve">. </w:t>
      </w:r>
      <w:r w:rsidR="00B1094E" w:rsidRPr="007E7C5B">
        <w:rPr>
          <w:rFonts w:ascii="Arial Narrow" w:eastAsia="Calibri" w:hAnsi="Arial Narrow" w:cs="Arial"/>
          <w:sz w:val="24"/>
          <w:szCs w:val="24"/>
        </w:rPr>
        <w:t xml:space="preserve">En plus de la distribution, </w:t>
      </w:r>
      <w:r w:rsidR="001A2C23" w:rsidRPr="007E7C5B">
        <w:rPr>
          <w:rFonts w:ascii="Arial Narrow" w:eastAsia="Calibri" w:hAnsi="Arial Narrow" w:cs="Arial"/>
          <w:sz w:val="24"/>
          <w:szCs w:val="24"/>
        </w:rPr>
        <w:t xml:space="preserve">la </w:t>
      </w:r>
      <w:r w:rsidR="00FD6BC5" w:rsidRPr="007E7C5B">
        <w:rPr>
          <w:rFonts w:ascii="Arial Narrow" w:eastAsia="Calibri" w:hAnsi="Arial Narrow" w:cs="Arial"/>
          <w:sz w:val="24"/>
          <w:szCs w:val="24"/>
        </w:rPr>
        <w:t xml:space="preserve">sensibilisation </w:t>
      </w:r>
      <w:r w:rsidR="007C7106" w:rsidRPr="007E7C5B">
        <w:rPr>
          <w:rFonts w:ascii="Arial Narrow" w:eastAsia="Calibri" w:hAnsi="Arial Narrow" w:cs="Arial"/>
          <w:sz w:val="24"/>
          <w:szCs w:val="24"/>
        </w:rPr>
        <w:t xml:space="preserve">à l’utilisation correcte des MILDA </w:t>
      </w:r>
      <w:r w:rsidR="00FD6BC5" w:rsidRPr="007E7C5B">
        <w:rPr>
          <w:rFonts w:ascii="Arial Narrow" w:eastAsia="Calibri" w:hAnsi="Arial Narrow" w:cs="Arial"/>
          <w:sz w:val="24"/>
          <w:szCs w:val="24"/>
        </w:rPr>
        <w:t>des communautés et des prestataires a été renforcée</w:t>
      </w:r>
      <w:r w:rsidR="003E7F09" w:rsidRPr="00A918AC">
        <w:rPr>
          <w:rFonts w:ascii="Arial Narrow" w:eastAsia="Calibri" w:hAnsi="Arial Narrow" w:cs="Arial"/>
          <w:sz w:val="24"/>
          <w:szCs w:val="24"/>
        </w:rPr>
        <w:t xml:space="preserve">. </w:t>
      </w:r>
      <w:r w:rsidR="001970BD" w:rsidRPr="007E7C5B">
        <w:rPr>
          <w:rFonts w:ascii="Arial Narrow" w:eastAsia="Calibri" w:hAnsi="Arial Narrow" w:cs="Arial"/>
          <w:sz w:val="24"/>
          <w:szCs w:val="24"/>
        </w:rPr>
        <w:t>On note également l</w:t>
      </w:r>
      <w:r w:rsidR="007D3FCC" w:rsidRPr="007E7C5B">
        <w:rPr>
          <w:rFonts w:ascii="Arial Narrow" w:eastAsia="Calibri" w:hAnsi="Arial Narrow" w:cs="Arial"/>
          <w:sz w:val="24"/>
          <w:szCs w:val="24"/>
        </w:rPr>
        <w:t xml:space="preserve">a sensibilisation par la participation aux émissions télévisées en milieu scolaire (ex. émission petit à petit) </w:t>
      </w:r>
      <w:r w:rsidR="001970BD" w:rsidRPr="007E7C5B">
        <w:rPr>
          <w:rFonts w:ascii="Arial Narrow" w:eastAsia="Calibri" w:hAnsi="Arial Narrow" w:cs="Arial"/>
          <w:sz w:val="24"/>
          <w:szCs w:val="24"/>
        </w:rPr>
        <w:t>ainsi qu’aux</w:t>
      </w:r>
      <w:r w:rsidR="007D3FCC" w:rsidRPr="007E7C5B">
        <w:rPr>
          <w:rFonts w:ascii="Arial Narrow" w:eastAsia="Calibri" w:hAnsi="Arial Narrow" w:cs="Arial"/>
          <w:sz w:val="24"/>
          <w:szCs w:val="24"/>
        </w:rPr>
        <w:t xml:space="preserve"> concours de théâtre (festival national </w:t>
      </w:r>
      <w:r w:rsidR="001724E5" w:rsidRPr="00B82295">
        <w:rPr>
          <w:rFonts w:cstheme="minorHAnsi"/>
          <w:noProof/>
          <w:sz w:val="24"/>
          <w:szCs w:val="24"/>
        </w:rPr>
        <mc:AlternateContent>
          <mc:Choice Requires="wps">
            <w:drawing>
              <wp:anchor distT="0" distB="0" distL="114300" distR="114300" simplePos="0" relativeHeight="251658261" behindDoc="1" locked="0" layoutInCell="1" allowOverlap="1" wp14:anchorId="074BD65E" wp14:editId="65CE5D67">
                <wp:simplePos x="0" y="0"/>
                <wp:positionH relativeFrom="column">
                  <wp:posOffset>2454275</wp:posOffset>
                </wp:positionH>
                <wp:positionV relativeFrom="paragraph">
                  <wp:posOffset>539750</wp:posOffset>
                </wp:positionV>
                <wp:extent cx="3302000" cy="2616200"/>
                <wp:effectExtent l="0" t="0" r="12700" b="12700"/>
                <wp:wrapTight wrapText="bothSides">
                  <wp:wrapPolygon edited="0">
                    <wp:start x="0" y="0"/>
                    <wp:lineTo x="0" y="21548"/>
                    <wp:lineTo x="21558" y="21548"/>
                    <wp:lineTo x="21558" y="0"/>
                    <wp:lineTo x="0" y="0"/>
                  </wp:wrapPolygon>
                </wp:wrapTight>
                <wp:docPr id="429134998" name="Text Box 7"/>
                <wp:cNvGraphicFramePr/>
                <a:graphic xmlns:a="http://schemas.openxmlformats.org/drawingml/2006/main">
                  <a:graphicData uri="http://schemas.microsoft.com/office/word/2010/wordprocessingShape">
                    <wps:wsp>
                      <wps:cNvSpPr txBox="1"/>
                      <wps:spPr>
                        <a:xfrm>
                          <a:off x="0" y="0"/>
                          <a:ext cx="3302000" cy="2616200"/>
                        </a:xfrm>
                        <a:prstGeom prst="rect">
                          <a:avLst/>
                        </a:prstGeom>
                        <a:solidFill>
                          <a:schemeClr val="lt1"/>
                        </a:solidFill>
                        <a:ln w="6350">
                          <a:solidFill>
                            <a:schemeClr val="bg1">
                              <a:lumMod val="75000"/>
                            </a:schemeClr>
                          </a:solidFill>
                        </a:ln>
                      </wps:spPr>
                      <wps:txbx>
                        <w:txbxContent>
                          <w:p w14:paraId="7666C661" w14:textId="7133C238" w:rsidR="009217C1" w:rsidRPr="009F2C0C" w:rsidRDefault="009217C1" w:rsidP="00DC5897">
                            <w:pPr>
                              <w:pStyle w:val="Lgende"/>
                            </w:pPr>
                            <w:bookmarkStart w:id="69" w:name="_Toc178328913"/>
                            <w:bookmarkStart w:id="70" w:name="_Toc183688802"/>
                            <w:r w:rsidRPr="009F2C0C">
                              <w:t xml:space="preserve">Graphique </w:t>
                            </w:r>
                            <w:r>
                              <w:fldChar w:fldCharType="begin"/>
                            </w:r>
                            <w:r w:rsidRPr="00117554">
                              <w:instrText xml:space="preserve"> SEQ Graphique \* ARABIC </w:instrText>
                            </w:r>
                            <w:r>
                              <w:fldChar w:fldCharType="separate"/>
                            </w:r>
                            <w:r w:rsidR="00F546EB">
                              <w:rPr>
                                <w:noProof/>
                              </w:rPr>
                              <w:t>15</w:t>
                            </w:r>
                            <w:r>
                              <w:fldChar w:fldCharType="end"/>
                            </w:r>
                            <w:r w:rsidRPr="009F2C0C">
                              <w:t xml:space="preserve"> : Couverture en MILDA de routine</w:t>
                            </w:r>
                            <w:bookmarkEnd w:id="69"/>
                            <w:bookmarkEnd w:id="70"/>
                          </w:p>
                          <w:p w14:paraId="5FD56E26" w14:textId="0B347C57" w:rsidR="009217C1" w:rsidRPr="00B82295" w:rsidRDefault="001724E5" w:rsidP="009217C1">
                            <w:pPr>
                              <w:keepNext/>
                            </w:pPr>
                            <w:r>
                              <w:rPr>
                                <w:noProof/>
                              </w:rPr>
                              <w:drawing>
                                <wp:inline distT="0" distB="0" distL="0" distR="0" wp14:anchorId="7792D165" wp14:editId="2C97327E">
                                  <wp:extent cx="3003257" cy="1927225"/>
                                  <wp:effectExtent l="0" t="0" r="6985" b="15875"/>
                                  <wp:docPr id="758193045" name="Chart 1">
                                    <a:extLst xmlns:a="http://schemas.openxmlformats.org/drawingml/2006/main">
                                      <a:ext uri="{FF2B5EF4-FFF2-40B4-BE49-F238E27FC236}">
                                        <a16:creationId xmlns:a16="http://schemas.microsoft.com/office/drawing/2014/main" id="{92A21EAC-CEA1-C15B-062D-CC3B45CC3D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9EF8BD6" w14:textId="77777777" w:rsidR="009217C1" w:rsidRPr="00B82295" w:rsidRDefault="009217C1" w:rsidP="00DC5897">
                            <w:pPr>
                              <w:pStyle w:val="Lgende"/>
                            </w:pPr>
                            <w:r w:rsidRPr="00B82295">
                              <w:t>Sources : Rapports d'activités PNLP</w:t>
                            </w:r>
                          </w:p>
                          <w:p w14:paraId="15D45707" w14:textId="77777777" w:rsidR="009217C1" w:rsidRPr="00B82295" w:rsidRDefault="009217C1" w:rsidP="009217C1">
                            <w:pPr>
                              <w:keepNext/>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74BD65E" id="_x0000_s1042" type="#_x0000_t202" style="position:absolute;left:0;text-align:left;margin-left:193.25pt;margin-top:42.5pt;width:260pt;height:206pt;z-index:-251658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" fillcolor="white [3201]" strokecolor="#bfbfbf [2412]" strokeweight=".5pt">
                <v:textbox>
                  <w:txbxContent>
                    <w:p w14:paraId="7666C661" w14:textId="7133C238" w:rsidR="009217C1" w:rsidRPr="009F2C0C" w:rsidRDefault="009217C1" w:rsidP="00DC5897">
                      <w:pPr>
                        <w:pStyle w:val="Lgende"/>
                      </w:pPr>
                      <w:bookmarkStart w:id="84" w:name="_Toc178328913"/>
                      <w:bookmarkStart w:id="85" w:name="_Toc183688802"/>
                      <w:r w:rsidRPr="009F2C0C">
                        <w:t xml:space="preserve">Graphique </w:t>
                      </w:r>
                      <w:r>
                        <w:fldChar w:fldCharType="begin"/>
                      </w:r>
                      <w:r w:rsidRPr="00117554">
                        <w:instrText xml:space="preserve"> SEQ Graphique \* ARABIC </w:instrText>
                      </w:r>
                      <w:r>
                        <w:fldChar w:fldCharType="separate"/>
                      </w:r>
                      <w:r w:rsidR="00F546EB">
                        <w:rPr>
                          <w:noProof/>
                        </w:rPr>
                        <w:t>15</w:t>
                      </w:r>
                      <w:r>
                        <w:fldChar w:fldCharType="end"/>
                      </w:r>
                      <w:r w:rsidRPr="009F2C0C">
                        <w:t xml:space="preserve"> : Couverture en MILDA de routine</w:t>
                      </w:r>
                      <w:bookmarkEnd w:id="84"/>
                      <w:bookmarkEnd w:id="85"/>
                    </w:p>
                    <w:p w14:paraId="5FD56E26" w14:textId="0B347C57" w:rsidR="009217C1" w:rsidRPr="00B82295" w:rsidRDefault="001724E5" w:rsidP="009217C1">
                      <w:pPr>
                        <w:keepNext/>
                      </w:pPr>
                      <w:r>
                        <w:rPr>
                          <w:noProof/>
                        </w:rPr>
                        <w:drawing>
                          <wp:inline distT="0" distB="0" distL="0" distR="0" wp14:anchorId="7792D165" wp14:editId="2C97327E">
                            <wp:extent cx="3003257" cy="1927225"/>
                            <wp:effectExtent l="0" t="0" r="6985" b="15875"/>
                            <wp:docPr id="758193045" name="Chart 1">
                              <a:extLst xmlns:a="http://schemas.openxmlformats.org/drawingml/2006/main">
                                <a:ext uri="{FF2B5EF4-FFF2-40B4-BE49-F238E27FC236}">
                                  <a16:creationId xmlns:a16="http://schemas.microsoft.com/office/drawing/2014/main" id="{92A21EAC-CEA1-C15B-062D-CC3B45CC3D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9EF8BD6" w14:textId="77777777" w:rsidR="009217C1" w:rsidRPr="00B82295" w:rsidRDefault="009217C1" w:rsidP="00DC5897">
                      <w:pPr>
                        <w:pStyle w:val="Lgende"/>
                      </w:pPr>
                      <w:r w:rsidRPr="00B82295">
                        <w:t>Sources : Rapports d'activités PNLP</w:t>
                      </w:r>
                    </w:p>
                    <w:p w14:paraId="15D45707" w14:textId="77777777" w:rsidR="009217C1" w:rsidRPr="00B82295" w:rsidRDefault="009217C1" w:rsidP="009217C1">
                      <w:pPr>
                        <w:keepNext/>
                        <w:rPr>
                          <w:sz w:val="14"/>
                          <w:szCs w:val="14"/>
                        </w:rPr>
                      </w:pPr>
                    </w:p>
                  </w:txbxContent>
                </v:textbox>
                <w10:wrap type="tight"/>
              </v:shape>
            </w:pict>
          </mc:Fallback>
        </mc:AlternateContent>
      </w:r>
      <w:r w:rsidR="007D3FCC" w:rsidRPr="007E7C5B">
        <w:rPr>
          <w:rFonts w:ascii="Arial Narrow" w:eastAsia="Calibri" w:hAnsi="Arial Narrow" w:cs="Arial"/>
          <w:sz w:val="24"/>
          <w:szCs w:val="24"/>
        </w:rPr>
        <w:t>de théâtre scolaire)</w:t>
      </w:r>
      <w:r w:rsidR="00710BDC" w:rsidRPr="007E7C5B">
        <w:rPr>
          <w:rFonts w:ascii="Arial Narrow" w:eastAsia="Calibri" w:hAnsi="Arial Narrow" w:cs="Arial"/>
          <w:sz w:val="24"/>
          <w:szCs w:val="24"/>
        </w:rPr>
        <w:t>.</w:t>
      </w:r>
      <w:r w:rsidR="007D3FCC" w:rsidRPr="007E7C5B">
        <w:rPr>
          <w:rFonts w:ascii="Arial Narrow" w:eastAsia="Calibri" w:hAnsi="Arial Narrow" w:cs="Arial"/>
          <w:sz w:val="24"/>
          <w:szCs w:val="24"/>
        </w:rPr>
        <w:t xml:space="preserve"> </w:t>
      </w:r>
      <w:r w:rsidR="008A2A40" w:rsidRPr="007E7C5B">
        <w:rPr>
          <w:rFonts w:ascii="Arial Narrow" w:eastAsia="Calibri" w:hAnsi="Arial Narrow" w:cs="Arial"/>
          <w:sz w:val="24"/>
          <w:szCs w:val="24"/>
        </w:rPr>
        <w:t>Ainsi</w:t>
      </w:r>
      <w:r w:rsidR="00B02F5B" w:rsidRPr="007E7C5B">
        <w:rPr>
          <w:rFonts w:ascii="Arial Narrow" w:eastAsia="Calibri" w:hAnsi="Arial Narrow" w:cs="Arial"/>
          <w:sz w:val="24"/>
          <w:szCs w:val="24"/>
        </w:rPr>
        <w:t>,</w:t>
      </w:r>
      <w:r w:rsidR="008A2A40" w:rsidRPr="007E7C5B">
        <w:rPr>
          <w:rFonts w:ascii="Arial Narrow" w:eastAsia="Calibri" w:hAnsi="Arial Narrow" w:cs="Arial"/>
          <w:sz w:val="24"/>
          <w:szCs w:val="24"/>
        </w:rPr>
        <w:t xml:space="preserve"> le taux d’utilisation des MILDA est </w:t>
      </w:r>
      <w:r w:rsidR="006934E5" w:rsidRPr="007E7C5B">
        <w:rPr>
          <w:rFonts w:ascii="Arial Narrow" w:eastAsia="Calibri" w:hAnsi="Arial Narrow" w:cs="Arial"/>
          <w:sz w:val="24"/>
          <w:szCs w:val="24"/>
        </w:rPr>
        <w:t>passé</w:t>
      </w:r>
      <w:r w:rsidR="008A2A40" w:rsidRPr="007E7C5B">
        <w:rPr>
          <w:rFonts w:ascii="Arial Narrow" w:eastAsia="Calibri" w:hAnsi="Arial Narrow" w:cs="Arial"/>
          <w:sz w:val="24"/>
          <w:szCs w:val="24"/>
        </w:rPr>
        <w:t xml:space="preserve"> de 63,2% en 2019 (</w:t>
      </w:r>
      <w:r w:rsidR="006934E5" w:rsidRPr="007E7C5B">
        <w:rPr>
          <w:rFonts w:ascii="Arial Narrow" w:eastAsia="Calibri" w:hAnsi="Arial Narrow" w:cs="Arial"/>
          <w:sz w:val="24"/>
          <w:szCs w:val="24"/>
        </w:rPr>
        <w:t>Enquête</w:t>
      </w:r>
      <w:r w:rsidR="008A2A40" w:rsidRPr="007E7C5B">
        <w:rPr>
          <w:rFonts w:ascii="Arial Narrow" w:eastAsia="Calibri" w:hAnsi="Arial Narrow" w:cs="Arial"/>
          <w:sz w:val="24"/>
          <w:szCs w:val="24"/>
        </w:rPr>
        <w:t xml:space="preserve"> post-campagne 2019) à 68% en 2021 (EDS). </w:t>
      </w:r>
      <w:r w:rsidR="003E7F09" w:rsidRPr="00A918AC">
        <w:rPr>
          <w:rFonts w:ascii="Arial Narrow" w:eastAsia="Calibri" w:hAnsi="Arial Narrow" w:cs="Arial"/>
          <w:sz w:val="24"/>
          <w:szCs w:val="24"/>
        </w:rPr>
        <w:t xml:space="preserve">Malgré </w:t>
      </w:r>
      <w:r w:rsidR="008A2A40" w:rsidRPr="007E7C5B">
        <w:rPr>
          <w:rFonts w:ascii="Arial Narrow" w:eastAsia="Calibri" w:hAnsi="Arial Narrow" w:cs="Arial"/>
          <w:sz w:val="24"/>
          <w:szCs w:val="24"/>
        </w:rPr>
        <w:t>ces efforts, la couverture en MILDA de routine</w:t>
      </w:r>
      <w:r w:rsidR="003A1128" w:rsidRPr="007E7C5B">
        <w:rPr>
          <w:rFonts w:ascii="Arial Narrow" w:eastAsia="Calibri" w:hAnsi="Arial Narrow" w:cs="Arial"/>
          <w:sz w:val="24"/>
          <w:szCs w:val="24"/>
        </w:rPr>
        <w:t xml:space="preserve"> reste insuffisante</w:t>
      </w:r>
      <w:r w:rsidR="00174E46" w:rsidRPr="007E7C5B">
        <w:rPr>
          <w:rFonts w:ascii="Arial Narrow" w:eastAsia="Calibri" w:hAnsi="Arial Narrow" w:cs="Arial"/>
          <w:sz w:val="24"/>
          <w:szCs w:val="24"/>
        </w:rPr>
        <w:t xml:space="preserve">. </w:t>
      </w:r>
      <w:r w:rsidR="003075EF" w:rsidRPr="007E7C5B">
        <w:rPr>
          <w:rFonts w:ascii="Arial Narrow" w:eastAsia="Calibri" w:hAnsi="Arial Narrow" w:cs="Arial"/>
          <w:sz w:val="24"/>
          <w:szCs w:val="24"/>
        </w:rPr>
        <w:t>Elle est pass</w:t>
      </w:r>
      <w:r w:rsidR="0088122D" w:rsidRPr="007E7C5B">
        <w:rPr>
          <w:rFonts w:ascii="Arial Narrow" w:eastAsia="Calibri" w:hAnsi="Arial Narrow" w:cs="Arial"/>
          <w:sz w:val="24"/>
          <w:szCs w:val="24"/>
        </w:rPr>
        <w:t>é</w:t>
      </w:r>
      <w:r w:rsidR="003075EF" w:rsidRPr="007E7C5B">
        <w:rPr>
          <w:rFonts w:ascii="Arial Narrow" w:eastAsia="Calibri" w:hAnsi="Arial Narrow" w:cs="Arial"/>
          <w:sz w:val="24"/>
          <w:szCs w:val="24"/>
        </w:rPr>
        <w:t>e de 71% en 2020</w:t>
      </w:r>
      <w:r w:rsidR="00E672CE" w:rsidRPr="007E7C5B">
        <w:rPr>
          <w:rFonts w:ascii="Arial Narrow" w:eastAsia="Calibri" w:hAnsi="Arial Narrow" w:cs="Arial"/>
          <w:sz w:val="24"/>
          <w:szCs w:val="24"/>
        </w:rPr>
        <w:t xml:space="preserve"> à</w:t>
      </w:r>
      <w:r w:rsidR="00625CD3" w:rsidRPr="007E7C5B">
        <w:rPr>
          <w:rFonts w:ascii="Arial Narrow" w:eastAsia="Calibri" w:hAnsi="Arial Narrow" w:cs="Arial"/>
          <w:sz w:val="24"/>
          <w:szCs w:val="24"/>
        </w:rPr>
        <w:t xml:space="preserve"> 44% en 2021 puis </w:t>
      </w:r>
      <w:r w:rsidR="0088122D" w:rsidRPr="007E7C5B">
        <w:rPr>
          <w:rFonts w:ascii="Arial Narrow" w:eastAsia="Calibri" w:hAnsi="Arial Narrow" w:cs="Arial"/>
          <w:sz w:val="24"/>
          <w:szCs w:val="24"/>
        </w:rPr>
        <w:t>60% en 2023.</w:t>
      </w:r>
      <w:r w:rsidR="00E672CE" w:rsidRPr="007E7C5B">
        <w:rPr>
          <w:rFonts w:ascii="Arial Narrow" w:eastAsia="Calibri" w:hAnsi="Arial Narrow" w:cs="Arial"/>
          <w:sz w:val="24"/>
          <w:szCs w:val="24"/>
        </w:rPr>
        <w:t xml:space="preserve"> </w:t>
      </w:r>
      <w:r w:rsidR="00CA5E1D" w:rsidRPr="007E7C5B">
        <w:rPr>
          <w:rFonts w:ascii="Arial Narrow" w:eastAsia="Calibri" w:hAnsi="Arial Narrow" w:cs="Arial"/>
          <w:sz w:val="24"/>
          <w:szCs w:val="24"/>
        </w:rPr>
        <w:t>C</w:t>
      </w:r>
      <w:r w:rsidR="003E7F09" w:rsidRPr="00A918AC">
        <w:rPr>
          <w:rFonts w:ascii="Arial Narrow" w:eastAsia="Calibri" w:hAnsi="Arial Narrow" w:cs="Arial"/>
          <w:sz w:val="24"/>
          <w:szCs w:val="24"/>
        </w:rPr>
        <w:t xml:space="preserve">ette </w:t>
      </w:r>
      <w:r w:rsidR="006934E5" w:rsidRPr="007E7C5B">
        <w:rPr>
          <w:rFonts w:ascii="Arial Narrow" w:eastAsia="Calibri" w:hAnsi="Arial Narrow" w:cs="Arial"/>
          <w:sz w:val="24"/>
          <w:szCs w:val="24"/>
        </w:rPr>
        <w:t>évolution</w:t>
      </w:r>
      <w:r w:rsidR="00CA5E1D" w:rsidRPr="007E7C5B">
        <w:rPr>
          <w:rFonts w:ascii="Arial Narrow" w:eastAsia="Calibri" w:hAnsi="Arial Narrow" w:cs="Arial"/>
          <w:sz w:val="24"/>
          <w:szCs w:val="24"/>
        </w:rPr>
        <w:t xml:space="preserve"> </w:t>
      </w:r>
      <w:r w:rsidR="003E7F09" w:rsidRPr="007E7C5B" w:rsidDel="00441684">
        <w:rPr>
          <w:rFonts w:ascii="Arial Narrow" w:eastAsia="Calibri" w:hAnsi="Arial Narrow" w:cs="Arial"/>
          <w:sz w:val="24"/>
          <w:szCs w:val="24"/>
        </w:rPr>
        <w:t>serait liée</w:t>
      </w:r>
      <w:r w:rsidR="003E7F09" w:rsidRPr="00A918AC" w:rsidDel="00441684">
        <w:rPr>
          <w:rFonts w:ascii="Arial Narrow" w:eastAsia="Calibri" w:hAnsi="Arial Narrow" w:cs="Arial"/>
          <w:sz w:val="24"/>
          <w:szCs w:val="24"/>
        </w:rPr>
        <w:t xml:space="preserve"> </w:t>
      </w:r>
      <w:r w:rsidR="003E7F09" w:rsidRPr="00A918AC">
        <w:rPr>
          <w:rFonts w:ascii="Arial Narrow" w:eastAsia="Calibri" w:hAnsi="Arial Narrow" w:cs="Arial"/>
          <w:sz w:val="24"/>
          <w:szCs w:val="24"/>
        </w:rPr>
        <w:t xml:space="preserve">à l’arrêt de la distribution en routine après la campagne de masse en 2021 et </w:t>
      </w:r>
      <w:r w:rsidR="00634080" w:rsidRPr="007E7C5B">
        <w:rPr>
          <w:rFonts w:ascii="Arial Narrow" w:eastAsia="Calibri" w:hAnsi="Arial Narrow" w:cs="Arial"/>
          <w:sz w:val="24"/>
          <w:szCs w:val="24"/>
        </w:rPr>
        <w:t>à</w:t>
      </w:r>
      <w:r w:rsidR="003E7F09" w:rsidRPr="00A918AC">
        <w:rPr>
          <w:rFonts w:ascii="Arial Narrow" w:eastAsia="Calibri" w:hAnsi="Arial Narrow" w:cs="Arial"/>
          <w:sz w:val="24"/>
          <w:szCs w:val="24"/>
        </w:rPr>
        <w:t xml:space="preserve"> la rupture en MILDA au niveau central </w:t>
      </w:r>
      <w:r w:rsidR="00740DE8" w:rsidRPr="007E7C5B">
        <w:rPr>
          <w:rFonts w:ascii="Arial Narrow" w:eastAsia="Calibri" w:hAnsi="Arial Narrow" w:cs="Arial"/>
          <w:sz w:val="24"/>
          <w:szCs w:val="24"/>
        </w:rPr>
        <w:t xml:space="preserve">dans les mois </w:t>
      </w:r>
      <w:r w:rsidR="003E7F09" w:rsidRPr="00A918AC">
        <w:rPr>
          <w:rFonts w:ascii="Arial Narrow" w:eastAsia="Calibri" w:hAnsi="Arial Narrow" w:cs="Arial"/>
          <w:sz w:val="24"/>
          <w:szCs w:val="24"/>
        </w:rPr>
        <w:t xml:space="preserve">d’août </w:t>
      </w:r>
      <w:r w:rsidR="00740DE8" w:rsidRPr="007E7C5B">
        <w:rPr>
          <w:rFonts w:ascii="Arial Narrow" w:eastAsia="Calibri" w:hAnsi="Arial Narrow" w:cs="Arial"/>
          <w:sz w:val="24"/>
          <w:szCs w:val="24"/>
        </w:rPr>
        <w:t xml:space="preserve">et </w:t>
      </w:r>
      <w:r w:rsidR="00556AD2" w:rsidRPr="007E7C5B">
        <w:rPr>
          <w:rFonts w:ascii="Arial Narrow" w:eastAsia="Calibri" w:hAnsi="Arial Narrow" w:cs="Arial"/>
          <w:sz w:val="24"/>
          <w:szCs w:val="24"/>
        </w:rPr>
        <w:t>de</w:t>
      </w:r>
      <w:r w:rsidR="00740DE8" w:rsidRPr="00A918AC">
        <w:rPr>
          <w:rFonts w:ascii="Arial Narrow" w:eastAsia="Calibri" w:hAnsi="Arial Narrow" w:cs="Arial"/>
          <w:sz w:val="24"/>
          <w:szCs w:val="24"/>
        </w:rPr>
        <w:t xml:space="preserve"> </w:t>
      </w:r>
      <w:r w:rsidR="003E7F09" w:rsidRPr="00A918AC">
        <w:rPr>
          <w:rFonts w:ascii="Arial Narrow" w:eastAsia="Calibri" w:hAnsi="Arial Narrow" w:cs="Arial"/>
          <w:sz w:val="24"/>
          <w:szCs w:val="24"/>
        </w:rPr>
        <w:t>septembre</w:t>
      </w:r>
      <w:r w:rsidR="00C05CB4" w:rsidRPr="007E7C5B">
        <w:rPr>
          <w:rFonts w:ascii="Arial Narrow" w:eastAsia="Calibri" w:hAnsi="Arial Narrow" w:cs="Arial"/>
          <w:sz w:val="24"/>
          <w:szCs w:val="24"/>
        </w:rPr>
        <w:t xml:space="preserve"> 2022</w:t>
      </w:r>
      <w:r w:rsidR="003E7F09" w:rsidRPr="00A918AC">
        <w:rPr>
          <w:rFonts w:ascii="Arial Narrow" w:eastAsia="Calibri" w:hAnsi="Arial Narrow" w:cs="Arial"/>
          <w:sz w:val="24"/>
          <w:szCs w:val="24"/>
        </w:rPr>
        <w:t>.</w:t>
      </w:r>
      <w:r w:rsidR="00DB3284" w:rsidRPr="007E7C5B">
        <w:rPr>
          <w:rFonts w:ascii="Arial Narrow" w:eastAsia="Calibri" w:hAnsi="Arial Narrow" w:cs="Arial"/>
          <w:sz w:val="24"/>
          <w:szCs w:val="24"/>
        </w:rPr>
        <w:t xml:space="preserve"> </w:t>
      </w:r>
    </w:p>
    <w:p w14:paraId="0B50D303" w14:textId="6A513DF0" w:rsidR="00743CC4" w:rsidRPr="00A918AC" w:rsidRDefault="00BE0A21" w:rsidP="00A918AC">
      <w:pPr>
        <w:spacing w:line="257" w:lineRule="auto"/>
        <w:jc w:val="both"/>
        <w:rPr>
          <w:rFonts w:ascii="Arial Narrow" w:eastAsia="Calibri" w:hAnsi="Arial Narrow" w:cs="Arial"/>
          <w:sz w:val="24"/>
          <w:szCs w:val="24"/>
        </w:rPr>
      </w:pPr>
      <w:r w:rsidRPr="007E7C5B">
        <w:rPr>
          <w:rFonts w:ascii="Arial Narrow" w:eastAsia="Calibri" w:hAnsi="Arial Narrow" w:cs="Arial"/>
          <w:sz w:val="24"/>
          <w:szCs w:val="24"/>
        </w:rPr>
        <w:t>L</w:t>
      </w:r>
      <w:r w:rsidR="000D00A1" w:rsidRPr="007E7C5B">
        <w:rPr>
          <w:rFonts w:ascii="Arial Narrow" w:eastAsia="Calibri" w:hAnsi="Arial Narrow" w:cs="Arial"/>
          <w:sz w:val="24"/>
          <w:szCs w:val="24"/>
        </w:rPr>
        <w:t>a lutte antivectorielle par la démoustication avec</w:t>
      </w:r>
      <w:r w:rsidR="00D45A4C" w:rsidRPr="007E7C5B">
        <w:rPr>
          <w:rFonts w:ascii="Arial Narrow" w:eastAsia="Calibri" w:hAnsi="Arial Narrow" w:cs="Arial"/>
          <w:sz w:val="24"/>
          <w:szCs w:val="24"/>
        </w:rPr>
        <w:t xml:space="preserve"> l’utilisation</w:t>
      </w:r>
      <w:r w:rsidR="000D00A1" w:rsidRPr="007E7C5B">
        <w:rPr>
          <w:rFonts w:ascii="Arial Narrow" w:eastAsia="Calibri" w:hAnsi="Arial Narrow" w:cs="Arial"/>
          <w:sz w:val="24"/>
          <w:szCs w:val="24"/>
        </w:rPr>
        <w:t xml:space="preserve"> de drones et camions fumigateurs </w:t>
      </w:r>
      <w:r w:rsidR="00D45A4C" w:rsidRPr="007E7C5B">
        <w:rPr>
          <w:rFonts w:ascii="Arial Narrow" w:eastAsia="Calibri" w:hAnsi="Arial Narrow" w:cs="Arial"/>
          <w:sz w:val="24"/>
          <w:szCs w:val="24"/>
        </w:rPr>
        <w:t xml:space="preserve">a été </w:t>
      </w:r>
      <w:r w:rsidR="00F33344" w:rsidRPr="007E7C5B">
        <w:rPr>
          <w:rFonts w:ascii="Arial Narrow" w:eastAsia="Calibri" w:hAnsi="Arial Narrow" w:cs="Arial"/>
          <w:sz w:val="24"/>
          <w:szCs w:val="24"/>
        </w:rPr>
        <w:t>réalisée</w:t>
      </w:r>
      <w:r w:rsidR="00D45A4C" w:rsidRPr="007E7C5B">
        <w:rPr>
          <w:rFonts w:ascii="Arial Narrow" w:eastAsia="Calibri" w:hAnsi="Arial Narrow" w:cs="Arial"/>
          <w:sz w:val="24"/>
          <w:szCs w:val="24"/>
        </w:rPr>
        <w:t xml:space="preserve"> </w:t>
      </w:r>
      <w:r w:rsidR="000D00A1" w:rsidRPr="007E7C5B" w:rsidDel="00D45A4C">
        <w:rPr>
          <w:rFonts w:ascii="Arial Narrow" w:eastAsia="Calibri" w:hAnsi="Arial Narrow" w:cs="Arial"/>
          <w:sz w:val="24"/>
          <w:szCs w:val="24"/>
        </w:rPr>
        <w:t xml:space="preserve">dans </w:t>
      </w:r>
      <w:r w:rsidR="000D00A1" w:rsidRPr="007E7C5B">
        <w:rPr>
          <w:rFonts w:ascii="Arial Narrow" w:eastAsia="Calibri" w:hAnsi="Arial Narrow" w:cs="Arial"/>
          <w:sz w:val="24"/>
          <w:szCs w:val="24"/>
        </w:rPr>
        <w:t xml:space="preserve">06 localités (Abidjan, Agboville, </w:t>
      </w:r>
      <w:proofErr w:type="spellStart"/>
      <w:r w:rsidR="000D00A1" w:rsidRPr="007E7C5B">
        <w:rPr>
          <w:rFonts w:ascii="Arial Narrow" w:eastAsia="Calibri" w:hAnsi="Arial Narrow" w:cs="Arial"/>
          <w:sz w:val="24"/>
          <w:szCs w:val="24"/>
        </w:rPr>
        <w:t>Tiassalé</w:t>
      </w:r>
      <w:proofErr w:type="spellEnd"/>
      <w:r w:rsidR="000D00A1" w:rsidRPr="007E7C5B">
        <w:rPr>
          <w:rFonts w:ascii="Arial Narrow" w:eastAsia="Calibri" w:hAnsi="Arial Narrow" w:cs="Arial"/>
          <w:sz w:val="24"/>
          <w:szCs w:val="24"/>
        </w:rPr>
        <w:t>, Touba, Koro et Man) et la Pulvérisation Intra Domiciliaire (PID) dans 02 localités (</w:t>
      </w:r>
      <w:proofErr w:type="spellStart"/>
      <w:r w:rsidR="000D00A1" w:rsidRPr="007E7C5B">
        <w:rPr>
          <w:rFonts w:ascii="Arial Narrow" w:eastAsia="Calibri" w:hAnsi="Arial Narrow" w:cs="Arial"/>
          <w:sz w:val="24"/>
          <w:szCs w:val="24"/>
        </w:rPr>
        <w:t>Sakassou</w:t>
      </w:r>
      <w:proofErr w:type="spellEnd"/>
      <w:r w:rsidR="000D00A1" w:rsidRPr="007E7C5B">
        <w:rPr>
          <w:rFonts w:ascii="Arial Narrow" w:eastAsia="Calibri" w:hAnsi="Arial Narrow" w:cs="Arial"/>
          <w:sz w:val="24"/>
          <w:szCs w:val="24"/>
        </w:rPr>
        <w:t xml:space="preserve"> et </w:t>
      </w:r>
      <w:proofErr w:type="spellStart"/>
      <w:r w:rsidR="000D00A1" w:rsidRPr="007E7C5B">
        <w:rPr>
          <w:rFonts w:ascii="Arial Narrow" w:eastAsia="Calibri" w:hAnsi="Arial Narrow" w:cs="Arial"/>
          <w:sz w:val="24"/>
          <w:szCs w:val="24"/>
        </w:rPr>
        <w:t>Nassian</w:t>
      </w:r>
      <w:proofErr w:type="spellEnd"/>
      <w:r w:rsidR="000D00A1" w:rsidRPr="007E7C5B">
        <w:rPr>
          <w:rFonts w:ascii="Arial Narrow" w:eastAsia="Calibri" w:hAnsi="Arial Narrow" w:cs="Arial"/>
          <w:sz w:val="24"/>
          <w:szCs w:val="24"/>
        </w:rPr>
        <w:t>)</w:t>
      </w:r>
      <w:r w:rsidR="00D45A4C" w:rsidRPr="007E7C5B">
        <w:rPr>
          <w:rFonts w:ascii="Arial Narrow" w:eastAsia="Calibri" w:hAnsi="Arial Narrow" w:cs="Arial"/>
          <w:sz w:val="24"/>
          <w:szCs w:val="24"/>
        </w:rPr>
        <w:t xml:space="preserve">. </w:t>
      </w:r>
      <w:r w:rsidR="00B60A8E" w:rsidRPr="007E7C5B">
        <w:rPr>
          <w:rFonts w:ascii="Arial Narrow" w:eastAsia="Calibri" w:hAnsi="Arial Narrow" w:cs="Arial"/>
          <w:sz w:val="24"/>
          <w:szCs w:val="24"/>
        </w:rPr>
        <w:t xml:space="preserve">Ces opérations ont permis de </w:t>
      </w:r>
      <w:r w:rsidR="005A67B1" w:rsidRPr="007E7C5B">
        <w:rPr>
          <w:rFonts w:ascii="Arial Narrow" w:eastAsia="Calibri" w:hAnsi="Arial Narrow" w:cs="Arial"/>
          <w:sz w:val="24"/>
          <w:szCs w:val="24"/>
        </w:rPr>
        <w:t xml:space="preserve">faire effectivement baisser </w:t>
      </w:r>
      <w:r w:rsidR="00F64449" w:rsidRPr="007E7C5B">
        <w:rPr>
          <w:rFonts w:ascii="Arial Narrow" w:eastAsia="Calibri" w:hAnsi="Arial Narrow" w:cs="Arial"/>
          <w:sz w:val="24"/>
          <w:szCs w:val="24"/>
        </w:rPr>
        <w:t>entre 202</w:t>
      </w:r>
      <w:r w:rsidR="001A6068" w:rsidRPr="007E7C5B">
        <w:rPr>
          <w:rFonts w:ascii="Arial Narrow" w:eastAsia="Calibri" w:hAnsi="Arial Narrow" w:cs="Arial"/>
          <w:sz w:val="24"/>
          <w:szCs w:val="24"/>
        </w:rPr>
        <w:t>2</w:t>
      </w:r>
      <w:r w:rsidR="00F64449" w:rsidRPr="007E7C5B">
        <w:rPr>
          <w:rFonts w:ascii="Arial Narrow" w:eastAsia="Calibri" w:hAnsi="Arial Narrow" w:cs="Arial"/>
          <w:sz w:val="24"/>
          <w:szCs w:val="24"/>
        </w:rPr>
        <w:t xml:space="preserve"> et 2023 </w:t>
      </w:r>
      <w:r w:rsidR="005A67B1" w:rsidRPr="007E7C5B">
        <w:rPr>
          <w:rFonts w:ascii="Arial Narrow" w:eastAsia="Calibri" w:hAnsi="Arial Narrow" w:cs="Arial"/>
          <w:sz w:val="24"/>
          <w:szCs w:val="24"/>
        </w:rPr>
        <w:t xml:space="preserve">l’incidence du paludisme dans les régions sanitaires </w:t>
      </w:r>
      <w:r w:rsidR="00A973A8" w:rsidRPr="007E7C5B">
        <w:rPr>
          <w:rFonts w:ascii="Arial Narrow" w:eastAsia="Calibri" w:hAnsi="Arial Narrow" w:cs="Arial"/>
          <w:sz w:val="24"/>
          <w:szCs w:val="24"/>
        </w:rPr>
        <w:t>d’Abidjan</w:t>
      </w:r>
      <w:r w:rsidR="007866F8" w:rsidRPr="007E7C5B">
        <w:rPr>
          <w:rFonts w:ascii="Arial Narrow" w:eastAsia="Calibri" w:hAnsi="Arial Narrow" w:cs="Arial"/>
          <w:sz w:val="24"/>
          <w:szCs w:val="24"/>
        </w:rPr>
        <w:t> </w:t>
      </w:r>
      <w:r w:rsidR="00A973A8" w:rsidRPr="007E7C5B">
        <w:rPr>
          <w:rFonts w:ascii="Arial Narrow" w:eastAsia="Calibri" w:hAnsi="Arial Narrow" w:cs="Arial"/>
          <w:sz w:val="24"/>
          <w:szCs w:val="24"/>
        </w:rPr>
        <w:t>1 (de 114,3‰ à 105,</w:t>
      </w:r>
      <w:r w:rsidR="00461709" w:rsidRPr="007E7C5B">
        <w:rPr>
          <w:rFonts w:ascii="Arial Narrow" w:eastAsia="Calibri" w:hAnsi="Arial Narrow" w:cs="Arial"/>
          <w:sz w:val="24"/>
          <w:szCs w:val="24"/>
        </w:rPr>
        <w:t>4</w:t>
      </w:r>
      <w:r w:rsidR="00A973A8" w:rsidRPr="007E7C5B">
        <w:rPr>
          <w:rFonts w:ascii="Arial Narrow" w:eastAsia="Calibri" w:hAnsi="Arial Narrow" w:cs="Arial"/>
          <w:sz w:val="24"/>
          <w:szCs w:val="24"/>
        </w:rPr>
        <w:t>‰),</w:t>
      </w:r>
      <w:r w:rsidR="003A52FF" w:rsidRPr="007E7C5B">
        <w:rPr>
          <w:rFonts w:ascii="Arial Narrow" w:eastAsia="Calibri" w:hAnsi="Arial Narrow" w:cs="Arial"/>
          <w:sz w:val="24"/>
          <w:szCs w:val="24"/>
        </w:rPr>
        <w:t xml:space="preserve"> du </w:t>
      </w:r>
      <w:proofErr w:type="spellStart"/>
      <w:r w:rsidR="003A52FF" w:rsidRPr="007E7C5B">
        <w:rPr>
          <w:rFonts w:ascii="Arial Narrow" w:eastAsia="Calibri" w:hAnsi="Arial Narrow" w:cs="Arial"/>
          <w:sz w:val="24"/>
          <w:szCs w:val="24"/>
        </w:rPr>
        <w:t>Bounkani</w:t>
      </w:r>
      <w:proofErr w:type="spellEnd"/>
      <w:r w:rsidR="003A52FF" w:rsidRPr="007E7C5B">
        <w:rPr>
          <w:rFonts w:ascii="Arial Narrow" w:eastAsia="Calibri" w:hAnsi="Arial Narrow" w:cs="Arial"/>
          <w:sz w:val="24"/>
          <w:szCs w:val="24"/>
        </w:rPr>
        <w:t xml:space="preserve"> (de 444,3‰ à </w:t>
      </w:r>
      <w:r w:rsidR="003A6FF2" w:rsidRPr="007E7C5B">
        <w:rPr>
          <w:rFonts w:ascii="Arial Narrow" w:eastAsia="Calibri" w:hAnsi="Arial Narrow" w:cs="Arial"/>
          <w:sz w:val="24"/>
          <w:szCs w:val="24"/>
        </w:rPr>
        <w:t>348</w:t>
      </w:r>
      <w:r w:rsidR="003A52FF" w:rsidRPr="007E7C5B">
        <w:rPr>
          <w:rFonts w:ascii="Arial Narrow" w:eastAsia="Calibri" w:hAnsi="Arial Narrow" w:cs="Arial"/>
          <w:sz w:val="24"/>
          <w:szCs w:val="24"/>
        </w:rPr>
        <w:t>,</w:t>
      </w:r>
      <w:r w:rsidR="003A6FF2" w:rsidRPr="007E7C5B">
        <w:rPr>
          <w:rFonts w:ascii="Arial Narrow" w:eastAsia="Calibri" w:hAnsi="Arial Narrow" w:cs="Arial"/>
          <w:sz w:val="24"/>
          <w:szCs w:val="24"/>
        </w:rPr>
        <w:t>5</w:t>
      </w:r>
      <w:r w:rsidR="003A52FF" w:rsidRPr="007E7C5B">
        <w:rPr>
          <w:rFonts w:ascii="Arial Narrow" w:eastAsia="Calibri" w:hAnsi="Arial Narrow" w:cs="Arial"/>
          <w:sz w:val="24"/>
          <w:szCs w:val="24"/>
        </w:rPr>
        <w:t>‰)</w:t>
      </w:r>
      <w:r w:rsidR="00A973A8" w:rsidRPr="007E7C5B">
        <w:rPr>
          <w:rFonts w:ascii="Arial Narrow" w:eastAsia="Calibri" w:hAnsi="Arial Narrow" w:cs="Arial"/>
          <w:sz w:val="24"/>
          <w:szCs w:val="24"/>
        </w:rPr>
        <w:t xml:space="preserve"> </w:t>
      </w:r>
      <w:r w:rsidR="005A67B1" w:rsidRPr="007E7C5B">
        <w:rPr>
          <w:rFonts w:ascii="Arial Narrow" w:eastAsia="Calibri" w:hAnsi="Arial Narrow" w:cs="Arial"/>
          <w:sz w:val="24"/>
          <w:szCs w:val="24"/>
        </w:rPr>
        <w:t>du Bafing</w:t>
      </w:r>
      <w:r w:rsidR="00F64449" w:rsidRPr="007E7C5B">
        <w:rPr>
          <w:rFonts w:ascii="Arial Narrow" w:eastAsia="Calibri" w:hAnsi="Arial Narrow" w:cs="Arial"/>
          <w:sz w:val="24"/>
          <w:szCs w:val="24"/>
        </w:rPr>
        <w:t xml:space="preserve"> </w:t>
      </w:r>
      <w:r w:rsidR="005A67B1" w:rsidRPr="007E7C5B">
        <w:rPr>
          <w:rFonts w:ascii="Arial Narrow" w:eastAsia="Calibri" w:hAnsi="Arial Narrow" w:cs="Arial"/>
          <w:sz w:val="24"/>
          <w:szCs w:val="24"/>
        </w:rPr>
        <w:t>(</w:t>
      </w:r>
      <w:r w:rsidR="00F64449" w:rsidRPr="007E7C5B">
        <w:rPr>
          <w:rFonts w:ascii="Arial Narrow" w:eastAsia="Calibri" w:hAnsi="Arial Narrow" w:cs="Arial"/>
          <w:sz w:val="24"/>
          <w:szCs w:val="24"/>
        </w:rPr>
        <w:t xml:space="preserve">de </w:t>
      </w:r>
      <w:r w:rsidR="00AC2D4B" w:rsidRPr="007E7C5B">
        <w:rPr>
          <w:rFonts w:ascii="Arial Narrow" w:eastAsia="Calibri" w:hAnsi="Arial Narrow" w:cs="Arial"/>
          <w:sz w:val="24"/>
          <w:szCs w:val="24"/>
        </w:rPr>
        <w:t>513</w:t>
      </w:r>
      <w:r w:rsidR="00F64449" w:rsidRPr="007E7C5B">
        <w:rPr>
          <w:rFonts w:ascii="Arial Narrow" w:eastAsia="Calibri" w:hAnsi="Arial Narrow" w:cs="Arial"/>
          <w:sz w:val="24"/>
          <w:szCs w:val="24"/>
        </w:rPr>
        <w:t>,</w:t>
      </w:r>
      <w:r w:rsidR="00AC2D4B" w:rsidRPr="007E7C5B">
        <w:rPr>
          <w:rFonts w:ascii="Arial Narrow" w:eastAsia="Calibri" w:hAnsi="Arial Narrow" w:cs="Arial"/>
          <w:sz w:val="24"/>
          <w:szCs w:val="24"/>
        </w:rPr>
        <w:t>3</w:t>
      </w:r>
      <w:r w:rsidR="00DC7D51" w:rsidRPr="007E7C5B">
        <w:rPr>
          <w:rFonts w:ascii="Arial Narrow" w:eastAsia="Calibri" w:hAnsi="Arial Narrow" w:cs="Arial"/>
          <w:sz w:val="24"/>
          <w:szCs w:val="24"/>
        </w:rPr>
        <w:t>‰</w:t>
      </w:r>
      <w:r w:rsidR="00F64449" w:rsidRPr="007E7C5B">
        <w:rPr>
          <w:rFonts w:ascii="Arial Narrow" w:eastAsia="Calibri" w:hAnsi="Arial Narrow" w:cs="Arial"/>
          <w:sz w:val="24"/>
          <w:szCs w:val="24"/>
        </w:rPr>
        <w:t xml:space="preserve"> à 462,3</w:t>
      </w:r>
      <w:r w:rsidR="00DC7D51" w:rsidRPr="007E7C5B">
        <w:rPr>
          <w:rFonts w:ascii="Arial Narrow" w:eastAsia="Calibri" w:hAnsi="Arial Narrow" w:cs="Arial"/>
          <w:sz w:val="24"/>
          <w:szCs w:val="24"/>
        </w:rPr>
        <w:t>‰</w:t>
      </w:r>
      <w:r w:rsidR="005A67B1" w:rsidRPr="007E7C5B">
        <w:rPr>
          <w:rFonts w:ascii="Arial Narrow" w:eastAsia="Calibri" w:hAnsi="Arial Narrow" w:cs="Arial"/>
          <w:sz w:val="24"/>
          <w:szCs w:val="24"/>
        </w:rPr>
        <w:t xml:space="preserve">) et du </w:t>
      </w:r>
      <w:proofErr w:type="spellStart"/>
      <w:r w:rsidR="005A67B1" w:rsidRPr="007E7C5B">
        <w:rPr>
          <w:rFonts w:ascii="Arial Narrow" w:eastAsia="Calibri" w:hAnsi="Arial Narrow" w:cs="Arial"/>
          <w:sz w:val="24"/>
          <w:szCs w:val="24"/>
        </w:rPr>
        <w:t>Tonkpi</w:t>
      </w:r>
      <w:proofErr w:type="spellEnd"/>
      <w:r w:rsidR="005A67B1" w:rsidRPr="007E7C5B">
        <w:rPr>
          <w:rFonts w:ascii="Arial Narrow" w:eastAsia="Calibri" w:hAnsi="Arial Narrow" w:cs="Arial"/>
          <w:sz w:val="24"/>
          <w:szCs w:val="24"/>
        </w:rPr>
        <w:t xml:space="preserve"> (</w:t>
      </w:r>
      <w:r w:rsidR="0055296A" w:rsidRPr="007E7C5B">
        <w:rPr>
          <w:rFonts w:ascii="Arial Narrow" w:eastAsia="Calibri" w:hAnsi="Arial Narrow" w:cs="Arial"/>
          <w:sz w:val="24"/>
          <w:szCs w:val="24"/>
        </w:rPr>
        <w:t xml:space="preserve">de </w:t>
      </w:r>
      <w:r w:rsidR="00323719" w:rsidRPr="007E7C5B">
        <w:rPr>
          <w:rFonts w:ascii="Arial Narrow" w:eastAsia="Calibri" w:hAnsi="Arial Narrow" w:cs="Arial"/>
          <w:sz w:val="24"/>
          <w:szCs w:val="24"/>
        </w:rPr>
        <w:t>3</w:t>
      </w:r>
      <w:r w:rsidR="00070DB3" w:rsidRPr="007E7C5B">
        <w:rPr>
          <w:rFonts w:ascii="Arial Narrow" w:eastAsia="Calibri" w:hAnsi="Arial Narrow" w:cs="Arial"/>
          <w:sz w:val="24"/>
          <w:szCs w:val="24"/>
        </w:rPr>
        <w:t>80</w:t>
      </w:r>
      <w:r w:rsidR="00323719" w:rsidRPr="007E7C5B">
        <w:rPr>
          <w:rFonts w:ascii="Arial Narrow" w:eastAsia="Calibri" w:hAnsi="Arial Narrow" w:cs="Arial"/>
          <w:sz w:val="24"/>
          <w:szCs w:val="24"/>
        </w:rPr>
        <w:t>,</w:t>
      </w:r>
      <w:r w:rsidR="00070DB3" w:rsidRPr="007E7C5B">
        <w:rPr>
          <w:rFonts w:ascii="Arial Narrow" w:eastAsia="Calibri" w:hAnsi="Arial Narrow" w:cs="Arial"/>
          <w:sz w:val="24"/>
          <w:szCs w:val="24"/>
        </w:rPr>
        <w:t>5</w:t>
      </w:r>
      <w:r w:rsidR="00DC7D51" w:rsidRPr="007E7C5B">
        <w:rPr>
          <w:rFonts w:ascii="Arial Narrow" w:eastAsia="Calibri" w:hAnsi="Arial Narrow" w:cs="Arial"/>
          <w:sz w:val="24"/>
          <w:szCs w:val="24"/>
        </w:rPr>
        <w:t>‰</w:t>
      </w:r>
      <w:r w:rsidR="00323719" w:rsidRPr="007E7C5B">
        <w:rPr>
          <w:rFonts w:ascii="Arial Narrow" w:eastAsia="Calibri" w:hAnsi="Arial Narrow" w:cs="Arial"/>
          <w:sz w:val="24"/>
          <w:szCs w:val="24"/>
        </w:rPr>
        <w:t xml:space="preserve"> à 269,</w:t>
      </w:r>
      <w:r w:rsidR="0055296A" w:rsidRPr="007E7C5B">
        <w:rPr>
          <w:rFonts w:ascii="Arial Narrow" w:eastAsia="Calibri" w:hAnsi="Arial Narrow" w:cs="Arial"/>
          <w:sz w:val="24"/>
          <w:szCs w:val="24"/>
        </w:rPr>
        <w:t>5</w:t>
      </w:r>
      <w:r w:rsidR="00DC7D51" w:rsidRPr="007E7C5B">
        <w:rPr>
          <w:rFonts w:ascii="Arial Narrow" w:eastAsia="Calibri" w:hAnsi="Arial Narrow" w:cs="Arial"/>
          <w:sz w:val="24"/>
          <w:szCs w:val="24"/>
        </w:rPr>
        <w:t>‰</w:t>
      </w:r>
      <w:r w:rsidR="005A67B1" w:rsidRPr="007E7C5B">
        <w:rPr>
          <w:rFonts w:ascii="Arial Narrow" w:eastAsia="Calibri" w:hAnsi="Arial Narrow" w:cs="Arial"/>
          <w:sz w:val="24"/>
          <w:szCs w:val="24"/>
        </w:rPr>
        <w:t xml:space="preserve">). </w:t>
      </w:r>
      <w:r w:rsidR="00C16CAE" w:rsidRPr="007E7C5B">
        <w:rPr>
          <w:rFonts w:ascii="Arial Narrow" w:eastAsia="Calibri" w:hAnsi="Arial Narrow" w:cs="Arial"/>
          <w:sz w:val="24"/>
          <w:szCs w:val="24"/>
        </w:rPr>
        <w:t>Également</w:t>
      </w:r>
      <w:r w:rsidR="00D45A4C" w:rsidRPr="007E7C5B">
        <w:rPr>
          <w:rFonts w:ascii="Arial Narrow" w:eastAsia="Calibri" w:hAnsi="Arial Narrow" w:cs="Arial"/>
          <w:sz w:val="24"/>
          <w:szCs w:val="24"/>
        </w:rPr>
        <w:t xml:space="preserve">, </w:t>
      </w:r>
      <w:r w:rsidR="00C914E8" w:rsidRPr="007E7C5B">
        <w:rPr>
          <w:rFonts w:ascii="Arial Narrow" w:eastAsia="Calibri" w:hAnsi="Arial Narrow" w:cs="Arial"/>
          <w:sz w:val="24"/>
          <w:szCs w:val="24"/>
        </w:rPr>
        <w:t xml:space="preserve">le renforcement du cadre de collaboration intra-sectorielle a permis la mutualisation des ressources techniques (PNLP/INHP) pour la lutte </w:t>
      </w:r>
      <w:r w:rsidR="00C16CAE" w:rsidRPr="007E7C5B">
        <w:rPr>
          <w:rFonts w:ascii="Arial Narrow" w:eastAsia="Calibri" w:hAnsi="Arial Narrow" w:cs="Arial"/>
          <w:sz w:val="24"/>
          <w:szCs w:val="24"/>
        </w:rPr>
        <w:t>antivectorielle</w:t>
      </w:r>
      <w:r w:rsidR="00C914E8" w:rsidRPr="007E7C5B">
        <w:rPr>
          <w:rFonts w:ascii="Arial Narrow" w:eastAsia="Calibri" w:hAnsi="Arial Narrow" w:cs="Arial"/>
          <w:sz w:val="24"/>
          <w:szCs w:val="24"/>
        </w:rPr>
        <w:t xml:space="preserve"> du paludisme et la dengue dans trois (</w:t>
      </w:r>
      <w:r w:rsidR="0061762A" w:rsidRPr="007E7C5B">
        <w:rPr>
          <w:rFonts w:ascii="Arial Narrow" w:eastAsia="Calibri" w:hAnsi="Arial Narrow" w:cs="Arial"/>
          <w:sz w:val="24"/>
          <w:szCs w:val="24"/>
        </w:rPr>
        <w:t>0</w:t>
      </w:r>
      <w:r w:rsidR="00C914E8" w:rsidRPr="007E7C5B">
        <w:rPr>
          <w:rFonts w:ascii="Arial Narrow" w:eastAsia="Calibri" w:hAnsi="Arial Narrow" w:cs="Arial"/>
          <w:sz w:val="24"/>
          <w:szCs w:val="24"/>
        </w:rPr>
        <w:t xml:space="preserve">3) régions sanitaires (Abidjan 1, Abidjan 2 et </w:t>
      </w:r>
      <w:proofErr w:type="spellStart"/>
      <w:r w:rsidR="00C914E8" w:rsidRPr="007E7C5B">
        <w:rPr>
          <w:rFonts w:ascii="Arial Narrow" w:eastAsia="Calibri" w:hAnsi="Arial Narrow" w:cs="Arial"/>
          <w:sz w:val="24"/>
          <w:szCs w:val="24"/>
        </w:rPr>
        <w:t>Agnéby-Tiassa</w:t>
      </w:r>
      <w:proofErr w:type="spellEnd"/>
      <w:r w:rsidR="00C914E8" w:rsidRPr="007E7C5B">
        <w:rPr>
          <w:rFonts w:ascii="Arial Narrow" w:eastAsia="Calibri" w:hAnsi="Arial Narrow" w:cs="Arial"/>
          <w:sz w:val="24"/>
          <w:szCs w:val="24"/>
        </w:rPr>
        <w:t>).</w:t>
      </w:r>
    </w:p>
    <w:p w14:paraId="01202957" w14:textId="5A102D8A" w:rsidR="003E7F09" w:rsidRPr="007E7C5B" w:rsidRDefault="003E7F09" w:rsidP="003E7F09">
      <w:pPr>
        <w:spacing w:before="120" w:after="120"/>
        <w:jc w:val="both"/>
        <w:rPr>
          <w:rFonts w:ascii="Arial Narrow" w:hAnsi="Arial Narrow" w:cs="Times New Roman"/>
          <w:sz w:val="24"/>
          <w:szCs w:val="24"/>
        </w:rPr>
      </w:pPr>
      <w:r w:rsidRPr="007E7C5B">
        <w:rPr>
          <w:rFonts w:ascii="Arial Narrow" w:hAnsi="Arial Narrow" w:cs="Times New Roman"/>
          <w:sz w:val="24"/>
          <w:szCs w:val="24"/>
        </w:rPr>
        <w:lastRenderedPageBreak/>
        <w:t xml:space="preserve">Pour ce qui est </w:t>
      </w:r>
      <w:r w:rsidR="00B43032" w:rsidRPr="007E7C5B">
        <w:rPr>
          <w:rFonts w:ascii="Arial Narrow" w:eastAsia="Calibri" w:hAnsi="Arial Narrow" w:cs="Arial"/>
          <w:sz w:val="24"/>
          <w:szCs w:val="24"/>
        </w:rPr>
        <w:t xml:space="preserve">du traitement préventif intermittent par la </w:t>
      </w:r>
      <w:proofErr w:type="spellStart"/>
      <w:r w:rsidR="00556AD2" w:rsidRPr="007E7C5B">
        <w:rPr>
          <w:rFonts w:ascii="Arial Narrow" w:eastAsia="Calibri" w:hAnsi="Arial Narrow" w:cs="Arial"/>
          <w:sz w:val="24"/>
          <w:szCs w:val="24"/>
        </w:rPr>
        <w:t>Sulfad</w:t>
      </w:r>
      <w:r w:rsidR="009950CA" w:rsidRPr="007E7C5B">
        <w:rPr>
          <w:rFonts w:ascii="Arial Narrow" w:eastAsia="Calibri" w:hAnsi="Arial Narrow" w:cs="Arial"/>
          <w:sz w:val="24"/>
          <w:szCs w:val="24"/>
        </w:rPr>
        <w:t>oxine</w:t>
      </w:r>
      <w:proofErr w:type="spellEnd"/>
      <w:r w:rsidR="009950CA" w:rsidRPr="007E7C5B">
        <w:rPr>
          <w:rFonts w:ascii="Arial Narrow" w:eastAsia="Calibri" w:hAnsi="Arial Narrow" w:cs="Arial"/>
          <w:sz w:val="24"/>
          <w:szCs w:val="24"/>
        </w:rPr>
        <w:t xml:space="preserve"> </w:t>
      </w:r>
      <w:proofErr w:type="spellStart"/>
      <w:r w:rsidR="00300ED5" w:rsidRPr="007E7C5B">
        <w:rPr>
          <w:rFonts w:ascii="Arial Narrow" w:eastAsia="Calibri" w:hAnsi="Arial Narrow" w:cs="Arial"/>
          <w:sz w:val="24"/>
          <w:szCs w:val="24"/>
        </w:rPr>
        <w:t>Pyr</w:t>
      </w:r>
      <w:r w:rsidR="00B469D9" w:rsidRPr="007E7C5B">
        <w:rPr>
          <w:rFonts w:ascii="Arial Narrow" w:eastAsia="Calibri" w:hAnsi="Arial Narrow" w:cs="Arial"/>
          <w:sz w:val="24"/>
          <w:szCs w:val="24"/>
        </w:rPr>
        <w:t>ime</w:t>
      </w:r>
      <w:r w:rsidR="00FA7EBB" w:rsidRPr="007E7C5B">
        <w:rPr>
          <w:rFonts w:ascii="Arial Narrow" w:eastAsia="Calibri" w:hAnsi="Arial Narrow" w:cs="Arial"/>
          <w:sz w:val="24"/>
          <w:szCs w:val="24"/>
        </w:rPr>
        <w:t>tha</w:t>
      </w:r>
      <w:r w:rsidR="00A51B1D" w:rsidRPr="007E7C5B">
        <w:rPr>
          <w:rFonts w:ascii="Arial Narrow" w:eastAsia="Calibri" w:hAnsi="Arial Narrow" w:cs="Arial"/>
          <w:sz w:val="24"/>
          <w:szCs w:val="24"/>
        </w:rPr>
        <w:t>mine</w:t>
      </w:r>
      <w:proofErr w:type="spellEnd"/>
      <w:r w:rsidR="00A51B1D" w:rsidRPr="007E7C5B">
        <w:rPr>
          <w:rFonts w:ascii="Arial Narrow" w:eastAsia="Calibri" w:hAnsi="Arial Narrow" w:cs="Arial"/>
          <w:sz w:val="24"/>
          <w:szCs w:val="24"/>
        </w:rPr>
        <w:t xml:space="preserve"> (</w:t>
      </w:r>
      <w:r w:rsidR="00B43032" w:rsidRPr="007E7C5B">
        <w:rPr>
          <w:rFonts w:ascii="Arial Narrow" w:eastAsia="Calibri" w:hAnsi="Arial Narrow" w:cs="Arial"/>
          <w:sz w:val="24"/>
          <w:szCs w:val="24"/>
        </w:rPr>
        <w:t>SP</w:t>
      </w:r>
      <w:r w:rsidR="00A51B1D" w:rsidRPr="007E7C5B">
        <w:rPr>
          <w:rFonts w:ascii="Arial Narrow" w:eastAsia="Calibri" w:hAnsi="Arial Narrow" w:cs="Arial"/>
          <w:sz w:val="24"/>
          <w:szCs w:val="24"/>
        </w:rPr>
        <w:t>),</w:t>
      </w:r>
      <w:r w:rsidR="00B43032" w:rsidRPr="007E7C5B">
        <w:rPr>
          <w:rFonts w:ascii="Arial Narrow" w:eastAsia="Calibri" w:hAnsi="Arial Narrow" w:cs="Arial"/>
          <w:sz w:val="24"/>
          <w:szCs w:val="24"/>
        </w:rPr>
        <w:t xml:space="preserve"> 1 335 852 </w:t>
      </w:r>
      <w:r w:rsidR="00AB40A1" w:rsidRPr="007E7C5B">
        <w:rPr>
          <w:rFonts w:ascii="Arial Narrow" w:eastAsia="Calibri" w:hAnsi="Arial Narrow" w:cs="Arial"/>
          <w:sz w:val="24"/>
          <w:szCs w:val="24"/>
        </w:rPr>
        <w:t>doses ont été distribuées aux femmes enceintes</w:t>
      </w:r>
      <w:r w:rsidR="00AB0832" w:rsidRPr="007E7C5B">
        <w:rPr>
          <w:rFonts w:ascii="Arial Narrow" w:eastAsia="Calibri" w:hAnsi="Arial Narrow" w:cs="Arial"/>
          <w:sz w:val="24"/>
          <w:szCs w:val="24"/>
        </w:rPr>
        <w:t xml:space="preserve">. </w:t>
      </w:r>
      <w:r w:rsidR="00AB0832" w:rsidRPr="007E7C5B">
        <w:rPr>
          <w:rFonts w:ascii="Arial Narrow" w:hAnsi="Arial Narrow" w:cs="Times New Roman"/>
          <w:sz w:val="24"/>
          <w:szCs w:val="24"/>
        </w:rPr>
        <w:t>L</w:t>
      </w:r>
      <w:r w:rsidRPr="007E7C5B">
        <w:rPr>
          <w:rFonts w:ascii="Arial Narrow" w:hAnsi="Arial Narrow" w:cs="Times New Roman"/>
          <w:sz w:val="24"/>
          <w:szCs w:val="24"/>
        </w:rPr>
        <w:t xml:space="preserve">e taux de couverture en SP3 </w:t>
      </w:r>
      <w:r w:rsidR="00BE0A21" w:rsidRPr="007E7C5B">
        <w:rPr>
          <w:rFonts w:ascii="Arial Narrow" w:hAnsi="Arial Narrow" w:cs="Times New Roman"/>
          <w:sz w:val="24"/>
          <w:szCs w:val="24"/>
        </w:rPr>
        <w:t xml:space="preserve">a </w:t>
      </w:r>
      <w:r w:rsidRPr="007E7C5B">
        <w:rPr>
          <w:rFonts w:ascii="Arial Narrow" w:hAnsi="Arial Narrow" w:cs="Times New Roman"/>
          <w:sz w:val="24"/>
          <w:szCs w:val="24"/>
        </w:rPr>
        <w:t>connu une augmentation de 202</w:t>
      </w:r>
      <w:r w:rsidR="005632F5" w:rsidRPr="007E7C5B">
        <w:rPr>
          <w:rFonts w:ascii="Arial Narrow" w:hAnsi="Arial Narrow" w:cs="Times New Roman"/>
          <w:sz w:val="24"/>
          <w:szCs w:val="24"/>
        </w:rPr>
        <w:t>0</w:t>
      </w:r>
      <w:r w:rsidRPr="007E7C5B">
        <w:rPr>
          <w:rFonts w:ascii="Arial Narrow" w:hAnsi="Arial Narrow" w:cs="Times New Roman"/>
          <w:sz w:val="24"/>
          <w:szCs w:val="24"/>
        </w:rPr>
        <w:t xml:space="preserve"> à 2023 passant de 4</w:t>
      </w:r>
      <w:r w:rsidR="005632F5" w:rsidRPr="007E7C5B">
        <w:rPr>
          <w:rFonts w:ascii="Arial Narrow" w:hAnsi="Arial Narrow" w:cs="Times New Roman"/>
          <w:sz w:val="24"/>
          <w:szCs w:val="24"/>
        </w:rPr>
        <w:t>7</w:t>
      </w:r>
      <w:r w:rsidRPr="007E7C5B">
        <w:rPr>
          <w:rFonts w:ascii="Arial Narrow" w:hAnsi="Arial Narrow" w:cs="Times New Roman"/>
          <w:sz w:val="24"/>
          <w:szCs w:val="24"/>
        </w:rPr>
        <w:t>% à 51%</w:t>
      </w:r>
      <w:r w:rsidR="00CB5F21" w:rsidRPr="007E7C5B">
        <w:rPr>
          <w:rFonts w:ascii="Arial Narrow" w:hAnsi="Arial Narrow" w:cs="Times New Roman"/>
          <w:sz w:val="24"/>
          <w:szCs w:val="24"/>
        </w:rPr>
        <w:t xml:space="preserve">, restant </w:t>
      </w:r>
      <w:r w:rsidR="00D043B7" w:rsidRPr="007E7C5B">
        <w:rPr>
          <w:rFonts w:ascii="Arial Narrow" w:hAnsi="Arial Narrow" w:cs="Times New Roman"/>
          <w:sz w:val="24"/>
          <w:szCs w:val="24"/>
        </w:rPr>
        <w:t xml:space="preserve">toutefois </w:t>
      </w:r>
      <w:r w:rsidR="00D043B7" w:rsidRPr="007E7C5B" w:rsidDel="005632F5">
        <w:rPr>
          <w:rFonts w:ascii="Arial Narrow" w:hAnsi="Arial Narrow" w:cs="Times New Roman"/>
          <w:sz w:val="24"/>
          <w:szCs w:val="24"/>
        </w:rPr>
        <w:t>en</w:t>
      </w:r>
      <w:r w:rsidRPr="007E7C5B">
        <w:rPr>
          <w:rFonts w:ascii="Arial Narrow" w:hAnsi="Arial Narrow" w:cs="Times New Roman"/>
          <w:sz w:val="24"/>
          <w:szCs w:val="24"/>
        </w:rPr>
        <w:t xml:space="preserve"> deçà de la cible </w:t>
      </w:r>
      <w:r w:rsidR="003C0868" w:rsidRPr="007E7C5B">
        <w:rPr>
          <w:rFonts w:ascii="Arial Narrow" w:hAnsi="Arial Narrow" w:cs="Times New Roman"/>
          <w:sz w:val="24"/>
          <w:szCs w:val="24"/>
        </w:rPr>
        <w:t xml:space="preserve">de </w:t>
      </w:r>
      <w:r w:rsidRPr="007E7C5B">
        <w:rPr>
          <w:rFonts w:ascii="Arial Narrow" w:hAnsi="Arial Narrow" w:cs="Times New Roman"/>
          <w:sz w:val="24"/>
          <w:szCs w:val="24"/>
        </w:rPr>
        <w:t xml:space="preserve">65%. </w:t>
      </w:r>
    </w:p>
    <w:p w14:paraId="1E200F0B" w14:textId="62D6A38F" w:rsidR="00864765" w:rsidRPr="007E7C5B" w:rsidRDefault="00864765">
      <w:pPr>
        <w:jc w:val="both"/>
        <w:rPr>
          <w:rFonts w:ascii="Arial Narrow" w:hAnsi="Arial Narrow" w:cs="Times New Roman"/>
          <w:sz w:val="24"/>
          <w:szCs w:val="24"/>
        </w:rPr>
      </w:pPr>
      <w:r w:rsidRPr="007E7C5B">
        <w:rPr>
          <w:rFonts w:ascii="Arial Narrow" w:hAnsi="Arial Narrow" w:cs="Times New Roman"/>
          <w:sz w:val="24"/>
          <w:szCs w:val="24"/>
        </w:rPr>
        <w:t xml:space="preserve">En outre, la vaccination contre le paludisme a été introduite en Côte d’Ivoire en juillet 2024. La première phase concerne 250 000 enfants. Pour une cible attendue de 44 960, </w:t>
      </w:r>
      <w:r w:rsidR="00646F4E">
        <w:rPr>
          <w:rFonts w:ascii="Arial Narrow" w:hAnsi="Arial Narrow" w:cs="Times New Roman"/>
          <w:sz w:val="24"/>
          <w:szCs w:val="24"/>
        </w:rPr>
        <w:t>186 615</w:t>
      </w:r>
      <w:r w:rsidRPr="007E7C5B">
        <w:rPr>
          <w:rFonts w:ascii="Arial Narrow" w:hAnsi="Arial Narrow" w:cs="Times New Roman"/>
          <w:sz w:val="24"/>
          <w:szCs w:val="24"/>
        </w:rPr>
        <w:t xml:space="preserve"> enfants ont été vaccinés.</w:t>
      </w:r>
    </w:p>
    <w:p w14:paraId="13F91862" w14:textId="7C7E3EA7" w:rsidR="00E4417A" w:rsidRPr="00A918AC" w:rsidRDefault="00C14F5F" w:rsidP="00A918AC">
      <w:pPr>
        <w:jc w:val="both"/>
        <w:rPr>
          <w:rFonts w:ascii="Arial Narrow" w:hAnsi="Arial Narrow" w:cs="Times New Roman"/>
          <w:sz w:val="24"/>
          <w:szCs w:val="24"/>
        </w:rPr>
      </w:pPr>
      <w:r w:rsidRPr="00B82295">
        <w:rPr>
          <w:rFonts w:cstheme="minorHAnsi"/>
          <w:noProof/>
          <w:sz w:val="24"/>
          <w:szCs w:val="24"/>
        </w:rPr>
        <mc:AlternateContent>
          <mc:Choice Requires="wps">
            <w:drawing>
              <wp:anchor distT="0" distB="0" distL="114300" distR="114300" simplePos="0" relativeHeight="251658263" behindDoc="1" locked="0" layoutInCell="1" allowOverlap="1" wp14:anchorId="6FEBBB2C" wp14:editId="0BF7752B">
                <wp:simplePos x="0" y="0"/>
                <wp:positionH relativeFrom="margin">
                  <wp:posOffset>2961005</wp:posOffset>
                </wp:positionH>
                <wp:positionV relativeFrom="paragraph">
                  <wp:posOffset>474345</wp:posOffset>
                </wp:positionV>
                <wp:extent cx="2762250" cy="2355850"/>
                <wp:effectExtent l="0" t="0" r="19050" b="25400"/>
                <wp:wrapTight wrapText="bothSides">
                  <wp:wrapPolygon edited="0">
                    <wp:start x="0" y="0"/>
                    <wp:lineTo x="0" y="21658"/>
                    <wp:lineTo x="21600" y="21658"/>
                    <wp:lineTo x="21600" y="0"/>
                    <wp:lineTo x="0" y="0"/>
                  </wp:wrapPolygon>
                </wp:wrapTight>
                <wp:docPr id="906247753" name="Text Box 7"/>
                <wp:cNvGraphicFramePr/>
                <a:graphic xmlns:a="http://schemas.openxmlformats.org/drawingml/2006/main">
                  <a:graphicData uri="http://schemas.microsoft.com/office/word/2010/wordprocessingShape">
                    <wps:wsp>
                      <wps:cNvSpPr txBox="1"/>
                      <wps:spPr>
                        <a:xfrm>
                          <a:off x="0" y="0"/>
                          <a:ext cx="2762250" cy="2355850"/>
                        </a:xfrm>
                        <a:prstGeom prst="rect">
                          <a:avLst/>
                        </a:prstGeom>
                        <a:solidFill>
                          <a:schemeClr val="lt1"/>
                        </a:solidFill>
                        <a:ln w="6350">
                          <a:solidFill>
                            <a:schemeClr val="bg1">
                              <a:lumMod val="75000"/>
                            </a:schemeClr>
                          </a:solidFill>
                        </a:ln>
                      </wps:spPr>
                      <wps:txbx>
                        <w:txbxContent>
                          <w:p w14:paraId="3DF0290A" w14:textId="12568580" w:rsidR="004C32BB" w:rsidRPr="009F2C0C" w:rsidRDefault="004C32BB" w:rsidP="00DC5897">
                            <w:pPr>
                              <w:pStyle w:val="Lgende"/>
                            </w:pPr>
                            <w:bookmarkStart w:id="71" w:name="_Toc178328915"/>
                            <w:bookmarkStart w:id="72" w:name="_Toc183688803"/>
                            <w:r w:rsidRPr="009F2C0C">
                              <w:t xml:space="preserve">Graphique </w:t>
                            </w:r>
                            <w:r>
                              <w:fldChar w:fldCharType="begin"/>
                            </w:r>
                            <w:r w:rsidRPr="00117554">
                              <w:instrText xml:space="preserve"> SEQ Graphique \* ARABIC </w:instrText>
                            </w:r>
                            <w:r>
                              <w:fldChar w:fldCharType="separate"/>
                            </w:r>
                            <w:r w:rsidR="00F546EB">
                              <w:rPr>
                                <w:noProof/>
                              </w:rPr>
                              <w:t>16</w:t>
                            </w:r>
                            <w:r>
                              <w:fldChar w:fldCharType="end"/>
                            </w:r>
                            <w:r w:rsidRPr="009F2C0C">
                              <w:t xml:space="preserve"> : Incidence du paludisme chez les moins de 5 ans</w:t>
                            </w:r>
                            <w:bookmarkEnd w:id="71"/>
                            <w:bookmarkEnd w:id="72"/>
                          </w:p>
                          <w:p w14:paraId="416342E5" w14:textId="0345B7BB" w:rsidR="004C32BB" w:rsidRPr="00B82295" w:rsidRDefault="00133C9D" w:rsidP="004C32BB">
                            <w:pPr>
                              <w:keepNext/>
                            </w:pPr>
                            <w:r>
                              <w:rPr>
                                <w:noProof/>
                              </w:rPr>
                              <w:drawing>
                                <wp:inline distT="0" distB="0" distL="0" distR="0" wp14:anchorId="24A62D38" wp14:editId="66444646">
                                  <wp:extent cx="2497016" cy="1525905"/>
                                  <wp:effectExtent l="0" t="0" r="17780" b="17145"/>
                                  <wp:docPr id="1028427" name="Chart 1">
                                    <a:extLst xmlns:a="http://schemas.openxmlformats.org/drawingml/2006/main">
                                      <a:ext uri="{FF2B5EF4-FFF2-40B4-BE49-F238E27FC236}">
                                        <a16:creationId xmlns:a16="http://schemas.microsoft.com/office/drawing/2014/main" id="{DBFD4FB5-32A9-B873-E2C8-ED5CC54FC6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80A1200" w14:textId="77777777" w:rsidR="004C32BB" w:rsidRPr="00B82295" w:rsidRDefault="004C32BB" w:rsidP="00DC5897">
                            <w:pPr>
                              <w:pStyle w:val="Lgende"/>
                            </w:pPr>
                            <w:r w:rsidRPr="00B82295">
                              <w:t>Sources : Rapports d'activités PNLP</w:t>
                            </w:r>
                          </w:p>
                          <w:p w14:paraId="5561566D" w14:textId="77777777" w:rsidR="004C32BB" w:rsidRPr="00B82295" w:rsidRDefault="004C32BB" w:rsidP="004C32BB">
                            <w:pPr>
                              <w:keepNext/>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FEBBB2C" id="_x0000_s1043" type="#_x0000_t202" style="position:absolute;left:0;text-align:left;margin-left:233.15pt;margin-top:37.35pt;width:217.5pt;height:185.5pt;z-index:-2516582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" fillcolor="white [3201]" strokecolor="#bfbfbf [2412]" strokeweight=".5pt">
                <v:textbox>
                  <w:txbxContent>
                    <w:p w14:paraId="3DF0290A" w14:textId="12568580" w:rsidR="004C32BB" w:rsidRPr="009F2C0C" w:rsidRDefault="004C32BB" w:rsidP="00DC5897">
                      <w:pPr>
                        <w:pStyle w:val="Lgende"/>
                      </w:pPr>
                      <w:bookmarkStart w:id="88" w:name="_Toc178328915"/>
                      <w:bookmarkStart w:id="89" w:name="_Toc183688803"/>
                      <w:r w:rsidRPr="009F2C0C">
                        <w:t xml:space="preserve">Graphique </w:t>
                      </w:r>
                      <w:r>
                        <w:fldChar w:fldCharType="begin"/>
                      </w:r>
                      <w:r w:rsidRPr="00117554">
                        <w:instrText xml:space="preserve"> SEQ Graphique \* ARABIC </w:instrText>
                      </w:r>
                      <w:r>
                        <w:fldChar w:fldCharType="separate"/>
                      </w:r>
                      <w:r w:rsidR="00F546EB">
                        <w:rPr>
                          <w:noProof/>
                        </w:rPr>
                        <w:t>16</w:t>
                      </w:r>
                      <w:r>
                        <w:fldChar w:fldCharType="end"/>
                      </w:r>
                      <w:r w:rsidRPr="009F2C0C">
                        <w:t xml:space="preserve"> : Incidence du paludisme chez les moins de 5 ans</w:t>
                      </w:r>
                      <w:bookmarkEnd w:id="88"/>
                      <w:bookmarkEnd w:id="89"/>
                    </w:p>
                    <w:p w14:paraId="416342E5" w14:textId="0345B7BB" w:rsidR="004C32BB" w:rsidRPr="00B82295" w:rsidRDefault="00133C9D" w:rsidP="004C32BB">
                      <w:pPr>
                        <w:keepNext/>
                      </w:pPr>
                      <w:r>
                        <w:rPr>
                          <w:noProof/>
                        </w:rPr>
                        <w:drawing>
                          <wp:inline distT="0" distB="0" distL="0" distR="0" wp14:anchorId="24A62D38" wp14:editId="66444646">
                            <wp:extent cx="2497016" cy="1525905"/>
                            <wp:effectExtent l="0" t="0" r="17780" b="17145"/>
                            <wp:docPr id="1028427" name="Chart 1">
                              <a:extLst xmlns:a="http://schemas.openxmlformats.org/drawingml/2006/main">
                                <a:ext uri="{FF2B5EF4-FFF2-40B4-BE49-F238E27FC236}">
                                  <a16:creationId xmlns:a16="http://schemas.microsoft.com/office/drawing/2014/main" id="{DBFD4FB5-32A9-B873-E2C8-ED5CC54FC6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80A1200" w14:textId="77777777" w:rsidR="004C32BB" w:rsidRPr="00B82295" w:rsidRDefault="004C32BB" w:rsidP="00DC5897">
                      <w:pPr>
                        <w:pStyle w:val="Lgende"/>
                      </w:pPr>
                      <w:r w:rsidRPr="00B82295">
                        <w:t>Sources : Rapports d'activités PNLP</w:t>
                      </w:r>
                    </w:p>
                    <w:p w14:paraId="5561566D" w14:textId="77777777" w:rsidR="004C32BB" w:rsidRPr="00B82295" w:rsidRDefault="004C32BB" w:rsidP="004C32BB">
                      <w:pPr>
                        <w:keepNext/>
                        <w:rPr>
                          <w:sz w:val="14"/>
                          <w:szCs w:val="14"/>
                        </w:rPr>
                      </w:pPr>
                    </w:p>
                  </w:txbxContent>
                </v:textbox>
                <w10:wrap type="tight" anchorx="margin"/>
              </v:shape>
            </w:pict>
          </mc:Fallback>
        </mc:AlternateContent>
      </w:r>
      <w:r w:rsidR="003D03B9" w:rsidRPr="00B82295">
        <w:rPr>
          <w:rFonts w:cstheme="minorHAnsi"/>
          <w:noProof/>
          <w:sz w:val="24"/>
          <w:szCs w:val="24"/>
        </w:rPr>
        <mc:AlternateContent>
          <mc:Choice Requires="wps">
            <w:drawing>
              <wp:anchor distT="0" distB="0" distL="114300" distR="114300" simplePos="0" relativeHeight="251658262" behindDoc="1" locked="0" layoutInCell="1" allowOverlap="1" wp14:anchorId="49E6B815" wp14:editId="19F4CDCD">
                <wp:simplePos x="0" y="0"/>
                <wp:positionH relativeFrom="margin">
                  <wp:align>left</wp:align>
                </wp:positionH>
                <wp:positionV relativeFrom="paragraph">
                  <wp:posOffset>476250</wp:posOffset>
                </wp:positionV>
                <wp:extent cx="2901950" cy="2355850"/>
                <wp:effectExtent l="0" t="0" r="12700" b="25400"/>
                <wp:wrapTight wrapText="bothSides">
                  <wp:wrapPolygon edited="0">
                    <wp:start x="0" y="0"/>
                    <wp:lineTo x="0" y="21658"/>
                    <wp:lineTo x="21553" y="21658"/>
                    <wp:lineTo x="21553" y="0"/>
                    <wp:lineTo x="0" y="0"/>
                  </wp:wrapPolygon>
                </wp:wrapTight>
                <wp:docPr id="1044924548" name="Text Box 7"/>
                <wp:cNvGraphicFramePr/>
                <a:graphic xmlns:a="http://schemas.openxmlformats.org/drawingml/2006/main">
                  <a:graphicData uri="http://schemas.microsoft.com/office/word/2010/wordprocessingShape">
                    <wps:wsp>
                      <wps:cNvSpPr txBox="1"/>
                      <wps:spPr>
                        <a:xfrm>
                          <a:off x="0" y="0"/>
                          <a:ext cx="2901950" cy="2356338"/>
                        </a:xfrm>
                        <a:prstGeom prst="rect">
                          <a:avLst/>
                        </a:prstGeom>
                        <a:solidFill>
                          <a:schemeClr val="lt1"/>
                        </a:solidFill>
                        <a:ln w="6350">
                          <a:solidFill>
                            <a:schemeClr val="bg1">
                              <a:lumMod val="75000"/>
                            </a:schemeClr>
                          </a:solidFill>
                        </a:ln>
                      </wps:spPr>
                      <wps:txbx>
                        <w:txbxContent>
                          <w:p w14:paraId="7290382E" w14:textId="3285B23F" w:rsidR="00434B10" w:rsidRPr="009F2C0C" w:rsidRDefault="00434B10" w:rsidP="00DC5897">
                            <w:pPr>
                              <w:pStyle w:val="Lgende"/>
                            </w:pPr>
                            <w:bookmarkStart w:id="73" w:name="_Toc178328916"/>
                            <w:bookmarkStart w:id="74" w:name="_Toc183688804"/>
                            <w:r w:rsidRPr="009F2C0C">
                              <w:t xml:space="preserve">Graphique </w:t>
                            </w:r>
                            <w:r>
                              <w:fldChar w:fldCharType="begin"/>
                            </w:r>
                            <w:r w:rsidRPr="00117554">
                              <w:instrText xml:space="preserve"> SEQ Graphique \* ARABIC </w:instrText>
                            </w:r>
                            <w:r>
                              <w:fldChar w:fldCharType="separate"/>
                            </w:r>
                            <w:r w:rsidR="00F546EB">
                              <w:rPr>
                                <w:noProof/>
                              </w:rPr>
                              <w:t>17</w:t>
                            </w:r>
                            <w:r>
                              <w:fldChar w:fldCharType="end"/>
                            </w:r>
                            <w:r w:rsidRPr="009F2C0C">
                              <w:t xml:space="preserve"> : Incidence du paludisme dans la population générale</w:t>
                            </w:r>
                            <w:bookmarkEnd w:id="73"/>
                            <w:bookmarkEnd w:id="74"/>
                          </w:p>
                          <w:p w14:paraId="21C82A7C" w14:textId="78269BA0" w:rsidR="00434B10" w:rsidRPr="00B82295" w:rsidRDefault="00C14F5F" w:rsidP="00434B10">
                            <w:pPr>
                              <w:keepNext/>
                            </w:pPr>
                            <w:r>
                              <w:rPr>
                                <w:noProof/>
                              </w:rPr>
                              <w:drawing>
                                <wp:inline distT="0" distB="0" distL="0" distR="0" wp14:anchorId="7C2D3A57" wp14:editId="15600DAA">
                                  <wp:extent cx="2679895" cy="1518920"/>
                                  <wp:effectExtent l="0" t="0" r="6350" b="5080"/>
                                  <wp:docPr id="852343727" name="Chart 1">
                                    <a:extLst xmlns:a="http://schemas.openxmlformats.org/drawingml/2006/main">
                                      <a:ext uri="{FF2B5EF4-FFF2-40B4-BE49-F238E27FC236}">
                                        <a16:creationId xmlns:a16="http://schemas.microsoft.com/office/drawing/2014/main" id="{A64795EE-D79B-98AD-ABC0-6C91C206CA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7128E92" w14:textId="77777777" w:rsidR="00434B10" w:rsidRPr="00B82295" w:rsidRDefault="00434B10" w:rsidP="00DC5897">
                            <w:pPr>
                              <w:pStyle w:val="Lgende"/>
                            </w:pPr>
                            <w:r w:rsidRPr="00B82295">
                              <w:t>Sources : Rapports d'activités PNLP</w:t>
                            </w:r>
                          </w:p>
                          <w:p w14:paraId="3DF4415E" w14:textId="77777777" w:rsidR="00434B10" w:rsidRPr="00B82295" w:rsidRDefault="00434B10" w:rsidP="00434B10">
                            <w:pPr>
                              <w:keepNext/>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9E6B815" id="_x0000_s1044" type="#_x0000_t202" style="position:absolute;left:0;text-align:left;margin-left:0;margin-top:37.5pt;width:228.5pt;height:185.5pt;z-index:-25165821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" fillcolor="white [3201]" strokecolor="#bfbfbf [2412]" strokeweight=".5pt">
                <v:textbox>
                  <w:txbxContent>
                    <w:p w14:paraId="7290382E" w14:textId="3285B23F" w:rsidR="00434B10" w:rsidRPr="009F2C0C" w:rsidRDefault="00434B10" w:rsidP="00DC5897">
                      <w:pPr>
                        <w:pStyle w:val="Lgende"/>
                      </w:pPr>
                      <w:bookmarkStart w:id="92" w:name="_Toc178328916"/>
                      <w:bookmarkStart w:id="93" w:name="_Toc183688804"/>
                      <w:r w:rsidRPr="009F2C0C">
                        <w:t xml:space="preserve">Graphique </w:t>
                      </w:r>
                      <w:r>
                        <w:fldChar w:fldCharType="begin"/>
                      </w:r>
                      <w:r w:rsidRPr="00117554">
                        <w:instrText xml:space="preserve"> SEQ Graphique \* ARABIC </w:instrText>
                      </w:r>
                      <w:r>
                        <w:fldChar w:fldCharType="separate"/>
                      </w:r>
                      <w:r w:rsidR="00F546EB">
                        <w:rPr>
                          <w:noProof/>
                        </w:rPr>
                        <w:t>17</w:t>
                      </w:r>
                      <w:r>
                        <w:fldChar w:fldCharType="end"/>
                      </w:r>
                      <w:r w:rsidRPr="009F2C0C">
                        <w:t xml:space="preserve"> : Incidence du paludisme dans la population générale</w:t>
                      </w:r>
                      <w:bookmarkEnd w:id="92"/>
                      <w:bookmarkEnd w:id="93"/>
                    </w:p>
                    <w:p w14:paraId="21C82A7C" w14:textId="78269BA0" w:rsidR="00434B10" w:rsidRPr="00B82295" w:rsidRDefault="00C14F5F" w:rsidP="00434B10">
                      <w:pPr>
                        <w:keepNext/>
                      </w:pPr>
                      <w:r>
                        <w:rPr>
                          <w:noProof/>
                        </w:rPr>
                        <w:drawing>
                          <wp:inline distT="0" distB="0" distL="0" distR="0" wp14:anchorId="7C2D3A57" wp14:editId="15600DAA">
                            <wp:extent cx="2679895" cy="1518920"/>
                            <wp:effectExtent l="0" t="0" r="6350" b="5080"/>
                            <wp:docPr id="852343727" name="Chart 1">
                              <a:extLst xmlns:a="http://schemas.openxmlformats.org/drawingml/2006/main">
                                <a:ext uri="{FF2B5EF4-FFF2-40B4-BE49-F238E27FC236}">
                                  <a16:creationId xmlns:a16="http://schemas.microsoft.com/office/drawing/2014/main" id="{A64795EE-D79B-98AD-ABC0-6C91C206CA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7128E92" w14:textId="77777777" w:rsidR="00434B10" w:rsidRPr="00B82295" w:rsidRDefault="00434B10" w:rsidP="00DC5897">
                      <w:pPr>
                        <w:pStyle w:val="Lgende"/>
                      </w:pPr>
                      <w:r w:rsidRPr="00B82295">
                        <w:t>Sources : Rapports d'activités PNLP</w:t>
                      </w:r>
                    </w:p>
                    <w:p w14:paraId="3DF4415E" w14:textId="77777777" w:rsidR="00434B10" w:rsidRPr="00B82295" w:rsidRDefault="00434B10" w:rsidP="00434B10">
                      <w:pPr>
                        <w:keepNext/>
                        <w:rPr>
                          <w:sz w:val="14"/>
                          <w:szCs w:val="14"/>
                        </w:rPr>
                      </w:pPr>
                    </w:p>
                  </w:txbxContent>
                </v:textbox>
                <w10:wrap type="tight" anchorx="margin"/>
              </v:shape>
            </w:pict>
          </mc:Fallback>
        </mc:AlternateContent>
      </w:r>
      <w:r w:rsidR="00CA0D81" w:rsidRPr="00A918AC">
        <w:rPr>
          <w:rFonts w:ascii="Arial Narrow" w:hAnsi="Arial Narrow" w:cs="Times New Roman"/>
          <w:sz w:val="24"/>
          <w:szCs w:val="24"/>
        </w:rPr>
        <w:t xml:space="preserve">Par ailleurs, </w:t>
      </w:r>
      <w:r w:rsidR="003E7F09" w:rsidRPr="00A918AC">
        <w:rPr>
          <w:rFonts w:ascii="Arial Narrow" w:hAnsi="Arial Narrow" w:cs="Times New Roman"/>
          <w:sz w:val="24"/>
          <w:szCs w:val="24"/>
        </w:rPr>
        <w:t>un repositoire des données liées au paludisme (épidémiologique, environnementale et climatique…)</w:t>
      </w:r>
      <w:r w:rsidR="002277A6" w:rsidRPr="00A918AC">
        <w:rPr>
          <w:rFonts w:ascii="Arial Narrow" w:hAnsi="Arial Narrow" w:cs="Times New Roman"/>
          <w:sz w:val="24"/>
          <w:szCs w:val="24"/>
        </w:rPr>
        <w:t xml:space="preserve"> a été mis en place</w:t>
      </w:r>
      <w:r w:rsidR="003E7F09" w:rsidRPr="00A918AC">
        <w:rPr>
          <w:rFonts w:ascii="Arial Narrow" w:hAnsi="Arial Narrow" w:cs="Times New Roman"/>
          <w:sz w:val="24"/>
          <w:szCs w:val="24"/>
        </w:rPr>
        <w:t>.</w:t>
      </w:r>
    </w:p>
    <w:p w14:paraId="42157CBB" w14:textId="441B84BB" w:rsidR="00B62913" w:rsidRPr="00A918AC" w:rsidRDefault="00994750" w:rsidP="00A918AC">
      <w:pPr>
        <w:jc w:val="both"/>
        <w:rPr>
          <w:rFonts w:ascii="Arial Narrow" w:hAnsi="Arial Narrow" w:cs="Times New Roman"/>
          <w:sz w:val="24"/>
          <w:szCs w:val="24"/>
        </w:rPr>
      </w:pPr>
      <w:r w:rsidRPr="007E7C5B">
        <w:rPr>
          <w:rFonts w:ascii="Arial Narrow" w:hAnsi="Arial Narrow" w:cs="Times New Roman"/>
          <w:sz w:val="24"/>
          <w:szCs w:val="24"/>
        </w:rPr>
        <w:t>Malgré ces efforts, le paludisme demeure un problème majeur</w:t>
      </w:r>
      <w:r w:rsidR="00F15516" w:rsidRPr="007E7C5B">
        <w:rPr>
          <w:rFonts w:ascii="Arial Narrow" w:hAnsi="Arial Narrow" w:cs="Times New Roman"/>
          <w:sz w:val="24"/>
          <w:szCs w:val="24"/>
        </w:rPr>
        <w:t xml:space="preserve"> de santé publique. </w:t>
      </w:r>
      <w:r w:rsidR="008B4DA6" w:rsidRPr="007E7C5B">
        <w:rPr>
          <w:rFonts w:ascii="Arial Narrow" w:hAnsi="Arial Narrow" w:cs="Times New Roman"/>
          <w:sz w:val="24"/>
          <w:szCs w:val="24"/>
        </w:rPr>
        <w:t>L</w:t>
      </w:r>
      <w:r w:rsidR="00B62913" w:rsidRPr="00A918AC">
        <w:rPr>
          <w:rFonts w:ascii="Arial Narrow" w:hAnsi="Arial Narrow" w:cs="Times New Roman"/>
          <w:sz w:val="24"/>
          <w:szCs w:val="24"/>
        </w:rPr>
        <w:t>’incidence du paludisme dans la population générale est passé</w:t>
      </w:r>
      <w:r w:rsidR="00D71989" w:rsidRPr="007E7C5B">
        <w:rPr>
          <w:rFonts w:ascii="Arial Narrow" w:hAnsi="Arial Narrow" w:cs="Times New Roman"/>
          <w:sz w:val="24"/>
          <w:szCs w:val="24"/>
        </w:rPr>
        <w:t>e</w:t>
      </w:r>
      <w:r w:rsidR="00B62913" w:rsidRPr="00A918AC">
        <w:rPr>
          <w:rFonts w:ascii="Arial Narrow" w:hAnsi="Arial Narrow" w:cs="Times New Roman"/>
          <w:sz w:val="24"/>
          <w:szCs w:val="24"/>
        </w:rPr>
        <w:t xml:space="preserve"> de 173</w:t>
      </w:r>
      <w:r w:rsidR="00A14E6C" w:rsidRPr="007E7C5B">
        <w:rPr>
          <w:rFonts w:ascii="Arial Narrow" w:hAnsi="Arial Narrow" w:cs="Times New Roman"/>
          <w:sz w:val="24"/>
          <w:szCs w:val="24"/>
        </w:rPr>
        <w:t>‰</w:t>
      </w:r>
      <w:r w:rsidR="00B62913" w:rsidRPr="00A918AC">
        <w:rPr>
          <w:rFonts w:ascii="Arial Narrow" w:hAnsi="Arial Narrow" w:cs="Times New Roman"/>
          <w:sz w:val="24"/>
          <w:szCs w:val="24"/>
        </w:rPr>
        <w:t xml:space="preserve"> en 202</w:t>
      </w:r>
      <w:r w:rsidR="002333B3" w:rsidRPr="007E7C5B">
        <w:rPr>
          <w:rFonts w:ascii="Arial Narrow" w:hAnsi="Arial Narrow" w:cs="Times New Roman"/>
          <w:sz w:val="24"/>
          <w:szCs w:val="24"/>
        </w:rPr>
        <w:t>0</w:t>
      </w:r>
      <w:r w:rsidR="00B62913" w:rsidRPr="00A918AC">
        <w:rPr>
          <w:rFonts w:ascii="Arial Narrow" w:hAnsi="Arial Narrow" w:cs="Times New Roman"/>
          <w:sz w:val="24"/>
          <w:szCs w:val="24"/>
        </w:rPr>
        <w:t xml:space="preserve"> à 269</w:t>
      </w:r>
      <w:r w:rsidR="00A14E6C" w:rsidRPr="007E7C5B">
        <w:rPr>
          <w:rFonts w:ascii="Arial Narrow" w:hAnsi="Arial Narrow" w:cs="Times New Roman"/>
          <w:sz w:val="24"/>
          <w:szCs w:val="24"/>
        </w:rPr>
        <w:t>‰</w:t>
      </w:r>
      <w:r w:rsidR="00B62913" w:rsidRPr="00A918AC">
        <w:rPr>
          <w:rFonts w:ascii="Arial Narrow" w:hAnsi="Arial Narrow" w:cs="Times New Roman"/>
          <w:sz w:val="24"/>
          <w:szCs w:val="24"/>
        </w:rPr>
        <w:t xml:space="preserve"> en 2023</w:t>
      </w:r>
      <w:r w:rsidR="001B7CC5" w:rsidRPr="007E7C5B">
        <w:rPr>
          <w:rFonts w:ascii="Arial Narrow" w:hAnsi="Arial Narrow" w:cs="Times New Roman"/>
          <w:sz w:val="24"/>
          <w:szCs w:val="24"/>
        </w:rPr>
        <w:t>.</w:t>
      </w:r>
      <w:r w:rsidR="00B62913" w:rsidRPr="00A918AC">
        <w:rPr>
          <w:rFonts w:ascii="Arial Narrow" w:hAnsi="Arial Narrow" w:cs="Times New Roman"/>
          <w:sz w:val="24"/>
          <w:szCs w:val="24"/>
        </w:rPr>
        <w:t xml:space="preserve"> </w:t>
      </w:r>
      <w:r w:rsidR="00B62913" w:rsidRPr="007E7C5B">
        <w:rPr>
          <w:rFonts w:ascii="Arial Narrow" w:hAnsi="Arial Narrow" w:cs="Times New Roman"/>
          <w:sz w:val="24"/>
          <w:szCs w:val="24"/>
        </w:rPr>
        <w:t>L’incidence du paludisme chez les enfants de moins de 5 ans</w:t>
      </w:r>
      <w:r w:rsidR="00BC012D" w:rsidRPr="007E7C5B">
        <w:rPr>
          <w:rFonts w:ascii="Arial Narrow" w:hAnsi="Arial Narrow" w:cs="Times New Roman"/>
          <w:sz w:val="24"/>
          <w:szCs w:val="24"/>
        </w:rPr>
        <w:t>,</w:t>
      </w:r>
      <w:r w:rsidR="00B62913" w:rsidRPr="007E7C5B">
        <w:rPr>
          <w:rFonts w:ascii="Arial Narrow" w:hAnsi="Arial Narrow" w:cs="Times New Roman"/>
          <w:sz w:val="24"/>
          <w:szCs w:val="24"/>
        </w:rPr>
        <w:t xml:space="preserve"> quant à elle, est </w:t>
      </w:r>
      <w:r w:rsidR="00B62913" w:rsidRPr="00A918AC">
        <w:rPr>
          <w:rFonts w:ascii="Arial Narrow" w:hAnsi="Arial Narrow" w:cs="Times New Roman"/>
          <w:sz w:val="24"/>
          <w:szCs w:val="24"/>
        </w:rPr>
        <w:t>passé</w:t>
      </w:r>
      <w:r w:rsidR="00855F17" w:rsidRPr="007E7C5B">
        <w:rPr>
          <w:rFonts w:ascii="Arial Narrow" w:hAnsi="Arial Narrow" w:cs="Times New Roman"/>
          <w:sz w:val="24"/>
          <w:szCs w:val="24"/>
        </w:rPr>
        <w:t>e</w:t>
      </w:r>
      <w:r w:rsidR="00B62913" w:rsidRPr="007E7C5B">
        <w:rPr>
          <w:rFonts w:ascii="Arial Narrow" w:hAnsi="Arial Narrow" w:cs="Times New Roman"/>
          <w:sz w:val="24"/>
          <w:szCs w:val="24"/>
        </w:rPr>
        <w:t xml:space="preserve"> de </w:t>
      </w:r>
      <w:r w:rsidR="00F67DAB" w:rsidRPr="007E7C5B">
        <w:rPr>
          <w:rFonts w:ascii="Arial Narrow" w:hAnsi="Arial Narrow" w:cs="Times New Roman"/>
          <w:sz w:val="24"/>
          <w:szCs w:val="24"/>
        </w:rPr>
        <w:t>441</w:t>
      </w:r>
      <w:r w:rsidR="00F2395A" w:rsidRPr="007E7C5B">
        <w:rPr>
          <w:rFonts w:ascii="Arial Narrow" w:hAnsi="Arial Narrow" w:cs="Times New Roman"/>
          <w:sz w:val="24"/>
          <w:szCs w:val="24"/>
        </w:rPr>
        <w:t xml:space="preserve">‰ </w:t>
      </w:r>
      <w:r w:rsidR="00B62913" w:rsidRPr="007E7C5B">
        <w:rPr>
          <w:rFonts w:ascii="Arial Narrow" w:hAnsi="Arial Narrow" w:cs="Times New Roman"/>
          <w:sz w:val="24"/>
          <w:szCs w:val="24"/>
        </w:rPr>
        <w:t xml:space="preserve">en </w:t>
      </w:r>
      <w:r w:rsidR="00B62913" w:rsidRPr="00A918AC">
        <w:rPr>
          <w:rFonts w:ascii="Arial Narrow" w:hAnsi="Arial Narrow" w:cs="Times New Roman"/>
          <w:sz w:val="24"/>
          <w:szCs w:val="24"/>
        </w:rPr>
        <w:t>202</w:t>
      </w:r>
      <w:r w:rsidR="00DF52A1" w:rsidRPr="007E7C5B">
        <w:rPr>
          <w:rFonts w:ascii="Arial Narrow" w:hAnsi="Arial Narrow" w:cs="Times New Roman"/>
          <w:sz w:val="24"/>
          <w:szCs w:val="24"/>
        </w:rPr>
        <w:t>0</w:t>
      </w:r>
      <w:r w:rsidR="00B62913" w:rsidRPr="007E7C5B">
        <w:rPr>
          <w:rFonts w:ascii="Arial Narrow" w:hAnsi="Arial Narrow" w:cs="Times New Roman"/>
          <w:sz w:val="24"/>
          <w:szCs w:val="24"/>
        </w:rPr>
        <w:t xml:space="preserve"> à 992</w:t>
      </w:r>
      <w:r w:rsidR="00F2395A" w:rsidRPr="007E7C5B">
        <w:rPr>
          <w:rFonts w:ascii="Arial Narrow" w:hAnsi="Arial Narrow" w:cs="Times New Roman"/>
          <w:sz w:val="24"/>
          <w:szCs w:val="24"/>
        </w:rPr>
        <w:t xml:space="preserve">‰ </w:t>
      </w:r>
      <w:r w:rsidR="00B62913" w:rsidRPr="007E7C5B">
        <w:rPr>
          <w:rFonts w:ascii="Arial Narrow" w:hAnsi="Arial Narrow" w:cs="Times New Roman"/>
          <w:sz w:val="24"/>
          <w:szCs w:val="24"/>
        </w:rPr>
        <w:t xml:space="preserve">en 2023. </w:t>
      </w:r>
      <w:r w:rsidR="003417BE" w:rsidRPr="007E7C5B">
        <w:rPr>
          <w:rFonts w:ascii="Arial Narrow" w:hAnsi="Arial Narrow" w:cs="Times New Roman"/>
          <w:sz w:val="24"/>
          <w:szCs w:val="24"/>
        </w:rPr>
        <w:t>De m</w:t>
      </w:r>
      <w:r w:rsidR="00E42D27" w:rsidRPr="007E7C5B">
        <w:rPr>
          <w:rFonts w:ascii="Arial Narrow" w:hAnsi="Arial Narrow" w:cs="Times New Roman"/>
          <w:sz w:val="24"/>
          <w:szCs w:val="24"/>
        </w:rPr>
        <w:t>ê</w:t>
      </w:r>
      <w:r w:rsidR="003417BE" w:rsidRPr="007E7C5B">
        <w:rPr>
          <w:rFonts w:ascii="Arial Narrow" w:hAnsi="Arial Narrow" w:cs="Times New Roman"/>
          <w:sz w:val="24"/>
          <w:szCs w:val="24"/>
        </w:rPr>
        <w:t>me</w:t>
      </w:r>
      <w:r w:rsidR="00B62913" w:rsidRPr="00A918AC">
        <w:rPr>
          <w:rFonts w:ascii="Arial Narrow" w:hAnsi="Arial Narrow" w:cs="Times New Roman"/>
          <w:sz w:val="24"/>
          <w:szCs w:val="24"/>
        </w:rPr>
        <w:t xml:space="preserve">, </w:t>
      </w:r>
      <w:r w:rsidR="003417BE" w:rsidRPr="007E7C5B">
        <w:rPr>
          <w:rFonts w:ascii="Arial Narrow" w:hAnsi="Arial Narrow" w:cs="Times New Roman"/>
          <w:sz w:val="24"/>
          <w:szCs w:val="24"/>
        </w:rPr>
        <w:t>le</w:t>
      </w:r>
      <w:r w:rsidR="00B62913" w:rsidRPr="007E7C5B">
        <w:rPr>
          <w:rFonts w:ascii="Arial Narrow" w:hAnsi="Arial Narrow" w:cs="Times New Roman"/>
          <w:sz w:val="24"/>
          <w:szCs w:val="24"/>
        </w:rPr>
        <w:t xml:space="preserve"> nombre de cas de paludisme </w:t>
      </w:r>
      <w:r w:rsidR="00B62913" w:rsidRPr="00A918AC">
        <w:rPr>
          <w:rFonts w:ascii="Arial Narrow" w:hAnsi="Arial Narrow" w:cs="Times New Roman"/>
          <w:sz w:val="24"/>
          <w:szCs w:val="24"/>
        </w:rPr>
        <w:t>grave</w:t>
      </w:r>
      <w:r w:rsidR="00B62913" w:rsidRPr="007E7C5B">
        <w:rPr>
          <w:rFonts w:ascii="Arial Narrow" w:hAnsi="Arial Narrow" w:cs="Times New Roman"/>
          <w:sz w:val="24"/>
          <w:szCs w:val="24"/>
        </w:rPr>
        <w:t xml:space="preserve"> chez les enfants de moins de 5 ans </w:t>
      </w:r>
      <w:r w:rsidR="003417BE" w:rsidRPr="007E7C5B">
        <w:rPr>
          <w:rFonts w:ascii="Arial Narrow" w:hAnsi="Arial Narrow" w:cs="Times New Roman"/>
          <w:sz w:val="24"/>
          <w:szCs w:val="24"/>
        </w:rPr>
        <w:t>a augmenté</w:t>
      </w:r>
      <w:r w:rsidR="00033252" w:rsidRPr="007E7C5B">
        <w:rPr>
          <w:rFonts w:ascii="Arial Narrow" w:hAnsi="Arial Narrow" w:cs="Times New Roman"/>
          <w:sz w:val="24"/>
          <w:szCs w:val="24"/>
        </w:rPr>
        <w:t xml:space="preserve"> de</w:t>
      </w:r>
      <w:r w:rsidR="00B62913" w:rsidRPr="007E7C5B">
        <w:rPr>
          <w:rFonts w:ascii="Arial Narrow" w:hAnsi="Arial Narrow" w:cs="Times New Roman"/>
          <w:sz w:val="24"/>
          <w:szCs w:val="24"/>
        </w:rPr>
        <w:t xml:space="preserve"> 58 460</w:t>
      </w:r>
      <w:r w:rsidR="00086E0D" w:rsidRPr="007E7C5B">
        <w:rPr>
          <w:rFonts w:ascii="Arial Narrow" w:hAnsi="Arial Narrow" w:cs="Times New Roman"/>
          <w:sz w:val="24"/>
          <w:szCs w:val="24"/>
        </w:rPr>
        <w:t xml:space="preserve"> </w:t>
      </w:r>
      <w:r w:rsidR="00616296" w:rsidRPr="007E7C5B">
        <w:rPr>
          <w:rFonts w:ascii="Arial Narrow" w:hAnsi="Arial Narrow" w:cs="Times New Roman"/>
          <w:sz w:val="24"/>
          <w:szCs w:val="24"/>
        </w:rPr>
        <w:t xml:space="preserve">cas </w:t>
      </w:r>
      <w:r w:rsidR="00086E0D" w:rsidRPr="007E7C5B">
        <w:rPr>
          <w:rFonts w:ascii="Arial Narrow" w:hAnsi="Arial Narrow" w:cs="Times New Roman"/>
          <w:sz w:val="24"/>
          <w:szCs w:val="24"/>
        </w:rPr>
        <w:t>en 2021</w:t>
      </w:r>
      <w:r w:rsidR="00B62913" w:rsidRPr="00A918AC">
        <w:rPr>
          <w:rFonts w:ascii="Arial Narrow" w:hAnsi="Arial Narrow" w:cs="Times New Roman"/>
          <w:sz w:val="24"/>
          <w:szCs w:val="24"/>
        </w:rPr>
        <w:t xml:space="preserve"> </w:t>
      </w:r>
      <w:r w:rsidR="00B62913" w:rsidRPr="007E7C5B">
        <w:rPr>
          <w:rFonts w:ascii="Arial Narrow" w:hAnsi="Arial Narrow" w:cs="Times New Roman"/>
          <w:sz w:val="24"/>
          <w:szCs w:val="24"/>
        </w:rPr>
        <w:t>à 81 865 cas</w:t>
      </w:r>
      <w:r w:rsidR="00616296" w:rsidRPr="007E7C5B">
        <w:rPr>
          <w:rFonts w:ascii="Arial Narrow" w:hAnsi="Arial Narrow" w:cs="Times New Roman"/>
          <w:sz w:val="24"/>
          <w:szCs w:val="24"/>
        </w:rPr>
        <w:t xml:space="preserve"> en 2023</w:t>
      </w:r>
      <w:r w:rsidR="00B62913" w:rsidRPr="00A918AC">
        <w:rPr>
          <w:rFonts w:ascii="Arial Narrow" w:hAnsi="Arial Narrow" w:cs="Times New Roman"/>
          <w:sz w:val="24"/>
          <w:szCs w:val="24"/>
        </w:rPr>
        <w:t>.</w:t>
      </w:r>
      <w:r w:rsidR="00B62913" w:rsidRPr="007E7C5B">
        <w:rPr>
          <w:rFonts w:ascii="Arial Narrow" w:hAnsi="Arial Narrow" w:cs="Times New Roman"/>
          <w:sz w:val="24"/>
          <w:szCs w:val="24"/>
        </w:rPr>
        <w:t xml:space="preserve"> </w:t>
      </w:r>
      <w:r w:rsidR="00320366" w:rsidRPr="007E7C5B">
        <w:rPr>
          <w:rFonts w:ascii="Arial Narrow" w:hAnsi="Arial Narrow" w:cs="Times New Roman"/>
          <w:sz w:val="24"/>
          <w:szCs w:val="24"/>
        </w:rPr>
        <w:t>Ces</w:t>
      </w:r>
      <w:r w:rsidR="00B62913" w:rsidRPr="00A918AC">
        <w:rPr>
          <w:rFonts w:ascii="Arial Narrow" w:hAnsi="Arial Narrow" w:cs="Times New Roman"/>
          <w:sz w:val="24"/>
          <w:szCs w:val="24"/>
        </w:rPr>
        <w:t xml:space="preserve"> hausse</w:t>
      </w:r>
      <w:r w:rsidR="00320366" w:rsidRPr="007E7C5B">
        <w:rPr>
          <w:rFonts w:ascii="Arial Narrow" w:hAnsi="Arial Narrow" w:cs="Times New Roman"/>
          <w:sz w:val="24"/>
          <w:szCs w:val="24"/>
        </w:rPr>
        <w:t>s</w:t>
      </w:r>
      <w:r w:rsidR="00B62913" w:rsidRPr="00A918AC">
        <w:rPr>
          <w:rFonts w:ascii="Arial Narrow" w:hAnsi="Arial Narrow" w:cs="Times New Roman"/>
          <w:sz w:val="24"/>
          <w:szCs w:val="24"/>
        </w:rPr>
        <w:t xml:space="preserve"> peu</w:t>
      </w:r>
      <w:r w:rsidR="00320366" w:rsidRPr="007E7C5B">
        <w:rPr>
          <w:rFonts w:ascii="Arial Narrow" w:hAnsi="Arial Narrow" w:cs="Times New Roman"/>
          <w:sz w:val="24"/>
          <w:szCs w:val="24"/>
        </w:rPr>
        <w:t>ven</w:t>
      </w:r>
      <w:r w:rsidR="00B62913" w:rsidRPr="00A918AC">
        <w:rPr>
          <w:rFonts w:ascii="Arial Narrow" w:hAnsi="Arial Narrow" w:cs="Times New Roman"/>
          <w:sz w:val="24"/>
          <w:szCs w:val="24"/>
        </w:rPr>
        <w:t>t</w:t>
      </w:r>
      <w:r w:rsidR="00B62913" w:rsidRPr="007E7C5B">
        <w:rPr>
          <w:rFonts w:ascii="Arial Narrow" w:hAnsi="Arial Narrow" w:cs="Times New Roman"/>
          <w:sz w:val="24"/>
          <w:szCs w:val="24"/>
        </w:rPr>
        <w:t xml:space="preserve"> être </w:t>
      </w:r>
      <w:r w:rsidR="00B62913" w:rsidRPr="00A918AC">
        <w:rPr>
          <w:rFonts w:ascii="Arial Narrow" w:hAnsi="Arial Narrow" w:cs="Times New Roman"/>
          <w:sz w:val="24"/>
          <w:szCs w:val="24"/>
        </w:rPr>
        <w:t>expliquée</w:t>
      </w:r>
      <w:r w:rsidR="00320366" w:rsidRPr="007E7C5B">
        <w:rPr>
          <w:rFonts w:ascii="Arial Narrow" w:hAnsi="Arial Narrow" w:cs="Times New Roman"/>
          <w:sz w:val="24"/>
          <w:szCs w:val="24"/>
        </w:rPr>
        <w:t>s</w:t>
      </w:r>
      <w:r w:rsidR="00B62913" w:rsidRPr="007E7C5B">
        <w:rPr>
          <w:rFonts w:ascii="Arial Narrow" w:hAnsi="Arial Narrow" w:cs="Times New Roman"/>
          <w:sz w:val="24"/>
          <w:szCs w:val="24"/>
        </w:rPr>
        <w:t xml:space="preserve"> par la faible adoption des moustiquaires imprégnées dans certaines communautés </w:t>
      </w:r>
      <w:r w:rsidR="00366651" w:rsidRPr="007E7C5B">
        <w:rPr>
          <w:rFonts w:ascii="Arial Narrow" w:hAnsi="Arial Narrow" w:cs="Times New Roman"/>
          <w:sz w:val="24"/>
          <w:szCs w:val="24"/>
        </w:rPr>
        <w:t>et</w:t>
      </w:r>
      <w:r w:rsidR="00354EED" w:rsidRPr="007E7C5B">
        <w:rPr>
          <w:rFonts w:ascii="Arial Narrow" w:hAnsi="Arial Narrow" w:cs="Times New Roman"/>
          <w:sz w:val="24"/>
          <w:szCs w:val="24"/>
        </w:rPr>
        <w:t xml:space="preserve"> l</w:t>
      </w:r>
      <w:r w:rsidR="00B62913" w:rsidRPr="00A918AC">
        <w:rPr>
          <w:rFonts w:ascii="Arial Narrow" w:hAnsi="Arial Narrow" w:cs="Times New Roman"/>
          <w:sz w:val="24"/>
          <w:szCs w:val="24"/>
        </w:rPr>
        <w:t>es</w:t>
      </w:r>
      <w:r w:rsidR="00B62913" w:rsidRPr="007E7C5B">
        <w:rPr>
          <w:rFonts w:ascii="Arial Narrow" w:hAnsi="Arial Narrow" w:cs="Times New Roman"/>
          <w:sz w:val="24"/>
          <w:szCs w:val="24"/>
        </w:rPr>
        <w:t xml:space="preserve"> difficultés logistiques liées à l’approvisionnement en produits antipaludiques. </w:t>
      </w:r>
    </w:p>
    <w:p w14:paraId="54ED5173" w14:textId="1040EDEF" w:rsidR="00744097" w:rsidRPr="007E7C5B" w:rsidRDefault="00550EBD" w:rsidP="003E7F09">
      <w:pPr>
        <w:jc w:val="both"/>
        <w:rPr>
          <w:rFonts w:ascii="Arial Narrow" w:hAnsi="Arial Narrow" w:cs="Times New Roman"/>
          <w:sz w:val="24"/>
          <w:szCs w:val="24"/>
        </w:rPr>
      </w:pPr>
      <w:r w:rsidRPr="007E7C5B">
        <w:rPr>
          <w:rFonts w:ascii="Arial Narrow" w:hAnsi="Arial Narrow" w:cs="Times New Roman"/>
          <w:sz w:val="24"/>
          <w:szCs w:val="24"/>
        </w:rPr>
        <w:t>Ainsi, d</w:t>
      </w:r>
      <w:r w:rsidR="003E7F09" w:rsidRPr="007E7C5B">
        <w:rPr>
          <w:rFonts w:ascii="Arial Narrow" w:hAnsi="Arial Narrow" w:cs="Times New Roman"/>
          <w:sz w:val="24"/>
          <w:szCs w:val="24"/>
        </w:rPr>
        <w:t xml:space="preserve">es défis </w:t>
      </w:r>
      <w:r w:rsidR="00A8203B" w:rsidRPr="007E7C5B">
        <w:rPr>
          <w:rFonts w:ascii="Arial Narrow" w:hAnsi="Arial Narrow" w:cs="Times New Roman"/>
          <w:sz w:val="24"/>
          <w:szCs w:val="24"/>
        </w:rPr>
        <w:t>persistent</w:t>
      </w:r>
      <w:r w:rsidR="006D19A1" w:rsidRPr="007E7C5B">
        <w:rPr>
          <w:rFonts w:ascii="Arial Narrow" w:hAnsi="Arial Narrow" w:cs="Times New Roman"/>
          <w:sz w:val="24"/>
          <w:szCs w:val="24"/>
        </w:rPr>
        <w:t>,</w:t>
      </w:r>
      <w:r w:rsidR="003E7F09" w:rsidRPr="007E7C5B">
        <w:rPr>
          <w:rFonts w:ascii="Arial Narrow" w:hAnsi="Arial Narrow" w:cs="Times New Roman"/>
          <w:sz w:val="24"/>
          <w:szCs w:val="24"/>
        </w:rPr>
        <w:t> à savoir</w:t>
      </w:r>
      <w:r w:rsidR="008E3132" w:rsidRPr="007E7C5B">
        <w:rPr>
          <w:rFonts w:ascii="Arial Narrow" w:hAnsi="Arial Narrow" w:cs="Times New Roman"/>
          <w:sz w:val="24"/>
          <w:szCs w:val="24"/>
        </w:rPr>
        <w:t>,</w:t>
      </w:r>
      <w:r w:rsidR="00877617" w:rsidRPr="007E7C5B">
        <w:rPr>
          <w:rFonts w:ascii="Arial Narrow" w:hAnsi="Arial Narrow" w:cs="Times New Roman"/>
          <w:sz w:val="24"/>
          <w:szCs w:val="24"/>
        </w:rPr>
        <w:t xml:space="preserve"> la</w:t>
      </w:r>
      <w:r w:rsidR="003E7F09" w:rsidRPr="007E7C5B">
        <w:rPr>
          <w:rFonts w:ascii="Arial Narrow" w:hAnsi="Arial Narrow" w:cs="Times New Roman"/>
          <w:bCs/>
          <w:sz w:val="24"/>
          <w:szCs w:val="24"/>
        </w:rPr>
        <w:t xml:space="preserve"> disponib</w:t>
      </w:r>
      <w:r w:rsidR="003262C4" w:rsidRPr="007E7C5B">
        <w:rPr>
          <w:rFonts w:ascii="Arial Narrow" w:hAnsi="Arial Narrow" w:cs="Times New Roman"/>
          <w:bCs/>
          <w:sz w:val="24"/>
          <w:szCs w:val="24"/>
        </w:rPr>
        <w:t>ilité d</w:t>
      </w:r>
      <w:r w:rsidR="003E7F09" w:rsidRPr="007E7C5B">
        <w:rPr>
          <w:rFonts w:ascii="Arial Narrow" w:hAnsi="Arial Narrow" w:cs="Times New Roman"/>
          <w:bCs/>
          <w:sz w:val="24"/>
          <w:szCs w:val="24"/>
        </w:rPr>
        <w:t xml:space="preserve">es médicaments et intrants au dernier </w:t>
      </w:r>
      <w:r w:rsidR="00B9334D" w:rsidRPr="007E7C5B">
        <w:rPr>
          <w:rFonts w:ascii="Arial Narrow" w:hAnsi="Arial Narrow" w:cs="Times New Roman"/>
          <w:bCs/>
          <w:sz w:val="24"/>
          <w:szCs w:val="24"/>
        </w:rPr>
        <w:t>kilom</w:t>
      </w:r>
      <w:r w:rsidR="00324F3B" w:rsidRPr="007E7C5B">
        <w:rPr>
          <w:rFonts w:ascii="Arial Narrow" w:hAnsi="Arial Narrow" w:cs="Times New Roman"/>
          <w:bCs/>
          <w:sz w:val="24"/>
          <w:szCs w:val="24"/>
        </w:rPr>
        <w:t>è</w:t>
      </w:r>
      <w:r w:rsidR="00B9334D" w:rsidRPr="007E7C5B">
        <w:rPr>
          <w:rFonts w:ascii="Arial Narrow" w:hAnsi="Arial Narrow" w:cs="Times New Roman"/>
          <w:bCs/>
          <w:sz w:val="24"/>
          <w:szCs w:val="24"/>
        </w:rPr>
        <w:t xml:space="preserve">tre </w:t>
      </w:r>
      <w:r w:rsidR="00E21A28" w:rsidRPr="007E7C5B">
        <w:rPr>
          <w:rFonts w:ascii="Arial Narrow" w:hAnsi="Arial Narrow" w:cs="Times New Roman"/>
          <w:bCs/>
          <w:sz w:val="24"/>
          <w:szCs w:val="24"/>
        </w:rPr>
        <w:t>et</w:t>
      </w:r>
      <w:r w:rsidR="008E4F94" w:rsidRPr="007E7C5B">
        <w:rPr>
          <w:rFonts w:ascii="Arial Narrow" w:hAnsi="Arial Narrow" w:cs="Times New Roman"/>
          <w:bCs/>
          <w:sz w:val="24"/>
          <w:szCs w:val="24"/>
        </w:rPr>
        <w:t xml:space="preserve"> </w:t>
      </w:r>
      <w:r w:rsidR="003E7F09" w:rsidRPr="007E7C5B" w:rsidDel="00153911">
        <w:rPr>
          <w:rFonts w:ascii="Arial Narrow" w:hAnsi="Arial Narrow" w:cs="Times New Roman"/>
          <w:bCs/>
          <w:sz w:val="24"/>
          <w:szCs w:val="24"/>
        </w:rPr>
        <w:t>le r</w:t>
      </w:r>
      <w:r w:rsidR="003E7F09" w:rsidRPr="007E7C5B" w:rsidDel="00153911">
        <w:rPr>
          <w:rFonts w:ascii="Arial Narrow" w:hAnsi="Arial Narrow" w:cs="Times New Roman"/>
          <w:sz w:val="24"/>
          <w:szCs w:val="24"/>
        </w:rPr>
        <w:t xml:space="preserve">espect </w:t>
      </w:r>
      <w:r w:rsidR="00153911" w:rsidRPr="007E7C5B">
        <w:rPr>
          <w:rFonts w:ascii="Arial Narrow" w:hAnsi="Arial Narrow" w:cs="Times New Roman"/>
          <w:bCs/>
          <w:sz w:val="24"/>
          <w:szCs w:val="24"/>
        </w:rPr>
        <w:t xml:space="preserve">des </w:t>
      </w:r>
      <w:r w:rsidR="007D4D6C" w:rsidRPr="007E7C5B">
        <w:rPr>
          <w:rFonts w:ascii="Arial Narrow" w:hAnsi="Arial Narrow" w:cs="Times New Roman"/>
          <w:bCs/>
          <w:sz w:val="24"/>
          <w:szCs w:val="24"/>
        </w:rPr>
        <w:t>procédures</w:t>
      </w:r>
      <w:r w:rsidR="00153911" w:rsidRPr="007E7C5B">
        <w:rPr>
          <w:rFonts w:ascii="Arial Narrow" w:hAnsi="Arial Narrow" w:cs="Times New Roman"/>
          <w:bCs/>
          <w:sz w:val="24"/>
          <w:szCs w:val="24"/>
        </w:rPr>
        <w:t xml:space="preserve"> de prise en charge du paludisme</w:t>
      </w:r>
      <w:r w:rsidR="003E7F09" w:rsidRPr="007E7C5B">
        <w:rPr>
          <w:rFonts w:ascii="Arial Narrow" w:hAnsi="Arial Narrow" w:cs="Times New Roman"/>
          <w:sz w:val="24"/>
          <w:szCs w:val="24"/>
        </w:rPr>
        <w:t>.</w:t>
      </w:r>
    </w:p>
    <w:p w14:paraId="0FD6A9B3" w14:textId="77777777" w:rsidR="003E7F09" w:rsidRPr="007E7C5B" w:rsidRDefault="003E7F09" w:rsidP="003E7F09">
      <w:pPr>
        <w:jc w:val="both"/>
        <w:rPr>
          <w:rFonts w:ascii="Arial Narrow" w:eastAsia="Calibri" w:hAnsi="Arial Narrow" w:cs="Arial"/>
          <w:b/>
          <w:bCs/>
          <w:sz w:val="24"/>
          <w:szCs w:val="24"/>
        </w:rPr>
      </w:pPr>
      <w:r w:rsidRPr="007E7C5B">
        <w:rPr>
          <w:rFonts w:ascii="Arial Narrow" w:eastAsiaTheme="majorEastAsia" w:hAnsi="Arial Narrow" w:cstheme="majorBidi"/>
          <w:b/>
          <w:bCs/>
          <w:color w:val="0070C0"/>
          <w:sz w:val="24"/>
          <w:szCs w:val="24"/>
        </w:rPr>
        <w:t>VIH/sida</w:t>
      </w:r>
    </w:p>
    <w:p w14:paraId="6B5705AA" w14:textId="62E1C65B" w:rsidR="007C56F2" w:rsidRPr="007E7C5B" w:rsidRDefault="003E7F09" w:rsidP="003E7F09">
      <w:pPr>
        <w:spacing w:line="257" w:lineRule="auto"/>
        <w:jc w:val="both"/>
        <w:rPr>
          <w:rFonts w:ascii="Arial Narrow" w:eastAsia="Calibri" w:hAnsi="Arial Narrow" w:cs="Arial"/>
          <w:sz w:val="24"/>
          <w:szCs w:val="24"/>
        </w:rPr>
      </w:pPr>
      <w:r w:rsidRPr="007E7C5B">
        <w:rPr>
          <w:rFonts w:ascii="Arial Narrow" w:eastAsia="Calibri" w:hAnsi="Arial Narrow" w:cs="Arial"/>
          <w:b/>
          <w:bCs/>
          <w:sz w:val="24"/>
          <w:szCs w:val="24"/>
        </w:rPr>
        <w:t xml:space="preserve">Concernant </w:t>
      </w:r>
      <w:r w:rsidR="00441590" w:rsidRPr="007E7C5B">
        <w:rPr>
          <w:rFonts w:ascii="Arial Narrow" w:eastAsia="Calibri" w:hAnsi="Arial Narrow" w:cs="Arial"/>
          <w:b/>
          <w:bCs/>
          <w:sz w:val="24"/>
          <w:szCs w:val="24"/>
        </w:rPr>
        <w:t xml:space="preserve">la lutte contre </w:t>
      </w:r>
      <w:r w:rsidRPr="007E7C5B">
        <w:rPr>
          <w:rFonts w:ascii="Arial Narrow" w:eastAsia="Calibri" w:hAnsi="Arial Narrow" w:cs="Arial"/>
          <w:b/>
          <w:bCs/>
          <w:sz w:val="24"/>
          <w:szCs w:val="24"/>
        </w:rPr>
        <w:t>le VIH/sida</w:t>
      </w:r>
      <w:r w:rsidRPr="007E7C5B">
        <w:rPr>
          <w:rFonts w:ascii="Arial Narrow" w:eastAsia="Calibri" w:hAnsi="Arial Narrow" w:cs="Arial"/>
          <w:sz w:val="24"/>
          <w:szCs w:val="24"/>
        </w:rPr>
        <w:t xml:space="preserve">, </w:t>
      </w:r>
      <w:r w:rsidR="003957A1" w:rsidRPr="007E7C5B">
        <w:rPr>
          <w:rFonts w:ascii="Arial Narrow" w:eastAsia="Calibri" w:hAnsi="Arial Narrow" w:cs="Arial"/>
          <w:sz w:val="24"/>
          <w:szCs w:val="24"/>
        </w:rPr>
        <w:t>le</w:t>
      </w:r>
      <w:r w:rsidRPr="007E7C5B">
        <w:rPr>
          <w:rFonts w:ascii="Arial Narrow" w:eastAsia="Calibri" w:hAnsi="Arial Narrow" w:cs="Arial"/>
          <w:sz w:val="24"/>
          <w:szCs w:val="24"/>
        </w:rPr>
        <w:t xml:space="preserve"> </w:t>
      </w:r>
      <w:r w:rsidR="00441590" w:rsidRPr="007E7C5B">
        <w:rPr>
          <w:rFonts w:ascii="Arial Narrow" w:eastAsia="Calibri" w:hAnsi="Arial Narrow" w:cs="Arial"/>
          <w:sz w:val="24"/>
          <w:szCs w:val="24"/>
        </w:rPr>
        <w:t xml:space="preserve">Plan Stratégique National </w:t>
      </w:r>
      <w:r w:rsidRPr="007E7C5B">
        <w:rPr>
          <w:rFonts w:ascii="Arial Narrow" w:eastAsia="Calibri" w:hAnsi="Arial Narrow" w:cs="Arial"/>
          <w:sz w:val="24"/>
          <w:szCs w:val="24"/>
        </w:rPr>
        <w:t>de lutte contre le VIH/sida (PSN</w:t>
      </w:r>
      <w:r w:rsidR="00C535CC" w:rsidRPr="007E7C5B">
        <w:rPr>
          <w:rFonts w:ascii="Arial Narrow" w:eastAsia="Calibri" w:hAnsi="Arial Narrow" w:cs="Arial"/>
          <w:sz w:val="24"/>
          <w:szCs w:val="24"/>
        </w:rPr>
        <w:t>)</w:t>
      </w:r>
      <w:r w:rsidRPr="007E7C5B">
        <w:rPr>
          <w:rFonts w:ascii="Arial Narrow" w:eastAsia="Calibri" w:hAnsi="Arial Narrow" w:cs="Arial"/>
          <w:sz w:val="24"/>
          <w:szCs w:val="24"/>
        </w:rPr>
        <w:t xml:space="preserve"> 2021-2025,</w:t>
      </w:r>
      <w:r w:rsidRPr="007E7C5B" w:rsidDel="00234419">
        <w:rPr>
          <w:rFonts w:ascii="Arial Narrow" w:eastAsia="Calibri" w:hAnsi="Arial Narrow" w:cs="Arial"/>
          <w:sz w:val="24"/>
          <w:szCs w:val="24"/>
        </w:rPr>
        <w:t xml:space="preserve"> </w:t>
      </w:r>
      <w:r w:rsidRPr="007E7C5B">
        <w:rPr>
          <w:rFonts w:ascii="Arial Narrow" w:eastAsia="Calibri" w:hAnsi="Arial Narrow" w:cs="Arial"/>
          <w:sz w:val="24"/>
          <w:szCs w:val="24"/>
        </w:rPr>
        <w:t xml:space="preserve">qui </w:t>
      </w:r>
      <w:r w:rsidR="008F7819" w:rsidRPr="007E7C5B">
        <w:rPr>
          <w:rFonts w:ascii="Arial Narrow" w:eastAsia="Calibri" w:hAnsi="Arial Narrow" w:cs="Arial"/>
          <w:sz w:val="24"/>
          <w:szCs w:val="24"/>
        </w:rPr>
        <w:t>définit</w:t>
      </w:r>
      <w:r w:rsidR="00005843" w:rsidRPr="007E7C5B">
        <w:rPr>
          <w:rFonts w:ascii="Arial Narrow" w:eastAsia="Calibri" w:hAnsi="Arial Narrow" w:cs="Arial"/>
          <w:sz w:val="24"/>
          <w:szCs w:val="24"/>
        </w:rPr>
        <w:t xml:space="preserve"> </w:t>
      </w:r>
      <w:r w:rsidRPr="007E7C5B">
        <w:rPr>
          <w:rFonts w:ascii="Arial Narrow" w:eastAsia="Calibri" w:hAnsi="Arial Narrow" w:cs="Arial"/>
          <w:sz w:val="24"/>
          <w:szCs w:val="24"/>
        </w:rPr>
        <w:t>les grandes orientations</w:t>
      </w:r>
      <w:r w:rsidR="008F7819" w:rsidRPr="007E7C5B">
        <w:rPr>
          <w:rFonts w:ascii="Arial Narrow" w:eastAsia="Calibri" w:hAnsi="Arial Narrow" w:cs="Arial"/>
          <w:sz w:val="24"/>
          <w:szCs w:val="24"/>
        </w:rPr>
        <w:t>,</w:t>
      </w:r>
      <w:r w:rsidRPr="007E7C5B" w:rsidDel="007B2D93">
        <w:rPr>
          <w:rFonts w:ascii="Arial Narrow" w:eastAsia="Calibri" w:hAnsi="Arial Narrow" w:cs="Arial"/>
          <w:sz w:val="24"/>
          <w:szCs w:val="24"/>
        </w:rPr>
        <w:t xml:space="preserve"> </w:t>
      </w:r>
      <w:r w:rsidR="0077309D" w:rsidRPr="007E7C5B">
        <w:rPr>
          <w:rFonts w:ascii="Arial Narrow" w:eastAsia="Calibri" w:hAnsi="Arial Narrow" w:cs="Arial"/>
          <w:sz w:val="24"/>
          <w:szCs w:val="24"/>
        </w:rPr>
        <w:t>a été élaboré</w:t>
      </w:r>
      <w:r w:rsidRPr="007E7C5B">
        <w:rPr>
          <w:rFonts w:ascii="Arial Narrow" w:eastAsia="Calibri" w:hAnsi="Arial Narrow" w:cs="Arial"/>
          <w:sz w:val="24"/>
          <w:szCs w:val="24"/>
        </w:rPr>
        <w:t xml:space="preserve">. </w:t>
      </w:r>
    </w:p>
    <w:p w14:paraId="71D2524D" w14:textId="24DEDA9B" w:rsidR="00FE2F02" w:rsidRPr="007E7C5B" w:rsidRDefault="007C56F2" w:rsidP="00281B55">
      <w:pPr>
        <w:spacing w:line="257" w:lineRule="auto"/>
        <w:jc w:val="both"/>
        <w:rPr>
          <w:rFonts w:ascii="Arial Narrow" w:eastAsia="Calibri" w:hAnsi="Arial Narrow" w:cs="Arial"/>
          <w:sz w:val="24"/>
          <w:szCs w:val="24"/>
        </w:rPr>
      </w:pPr>
      <w:r w:rsidRPr="007E7C5B">
        <w:rPr>
          <w:rFonts w:ascii="Arial Narrow" w:eastAsia="Calibri" w:hAnsi="Arial Narrow" w:cs="Arial"/>
          <w:sz w:val="24"/>
          <w:szCs w:val="24"/>
        </w:rPr>
        <w:t>A</w:t>
      </w:r>
      <w:r w:rsidR="0071592E" w:rsidRPr="007E7C5B">
        <w:rPr>
          <w:rFonts w:ascii="Arial Narrow" w:eastAsia="Calibri" w:hAnsi="Arial Narrow" w:cs="Arial"/>
          <w:sz w:val="24"/>
          <w:szCs w:val="24"/>
        </w:rPr>
        <w:t xml:space="preserve"> l’effet de </w:t>
      </w:r>
      <w:r w:rsidR="007D4D6C" w:rsidRPr="007E7C5B">
        <w:rPr>
          <w:rFonts w:ascii="Arial Narrow" w:eastAsia="Calibri" w:hAnsi="Arial Narrow" w:cs="Arial"/>
          <w:sz w:val="24"/>
          <w:szCs w:val="24"/>
        </w:rPr>
        <w:t>réduire</w:t>
      </w:r>
      <w:r w:rsidR="003B47CB" w:rsidRPr="007E7C5B">
        <w:rPr>
          <w:rFonts w:ascii="Arial Narrow" w:eastAsia="Calibri" w:hAnsi="Arial Narrow" w:cs="Arial"/>
          <w:sz w:val="24"/>
          <w:szCs w:val="24"/>
        </w:rPr>
        <w:t xml:space="preserve"> l’incidence</w:t>
      </w:r>
      <w:r w:rsidRPr="007E7C5B">
        <w:rPr>
          <w:rFonts w:ascii="Arial Narrow" w:eastAsia="Calibri" w:hAnsi="Arial Narrow" w:cs="Arial"/>
          <w:sz w:val="24"/>
          <w:szCs w:val="24"/>
        </w:rPr>
        <w:t xml:space="preserve"> du VIH</w:t>
      </w:r>
      <w:r w:rsidR="00896B03" w:rsidRPr="007E7C5B">
        <w:rPr>
          <w:rFonts w:ascii="Arial Narrow" w:eastAsia="Calibri" w:hAnsi="Arial Narrow" w:cs="Arial"/>
          <w:sz w:val="24"/>
          <w:szCs w:val="24"/>
        </w:rPr>
        <w:t>/sida</w:t>
      </w:r>
      <w:r w:rsidRPr="007E7C5B">
        <w:rPr>
          <w:rFonts w:ascii="Arial Narrow" w:eastAsia="Calibri" w:hAnsi="Arial Narrow" w:cs="Arial"/>
          <w:sz w:val="24"/>
          <w:szCs w:val="24"/>
        </w:rPr>
        <w:t>, d</w:t>
      </w:r>
      <w:r w:rsidR="0018124C" w:rsidRPr="007E7C5B">
        <w:rPr>
          <w:rFonts w:ascii="Arial Narrow" w:eastAsia="Calibri" w:hAnsi="Arial Narrow" w:cs="Arial"/>
          <w:sz w:val="24"/>
          <w:szCs w:val="24"/>
        </w:rPr>
        <w:t xml:space="preserve">es activités de sensibilisation </w:t>
      </w:r>
      <w:r w:rsidR="00282087" w:rsidRPr="007E7C5B">
        <w:rPr>
          <w:rFonts w:ascii="Arial Narrow" w:eastAsia="Calibri" w:hAnsi="Arial Narrow" w:cs="Arial"/>
          <w:sz w:val="24"/>
          <w:szCs w:val="24"/>
        </w:rPr>
        <w:t xml:space="preserve">ont été </w:t>
      </w:r>
      <w:r w:rsidR="004A0A86" w:rsidRPr="007E7C5B">
        <w:rPr>
          <w:rFonts w:ascii="Arial Narrow" w:eastAsia="Calibri" w:hAnsi="Arial Narrow" w:cs="Arial"/>
          <w:sz w:val="24"/>
          <w:szCs w:val="24"/>
        </w:rPr>
        <w:t>réalisées</w:t>
      </w:r>
      <w:r w:rsidR="0018124C" w:rsidRPr="007E7C5B">
        <w:rPr>
          <w:rFonts w:ascii="Arial Narrow" w:eastAsia="Calibri" w:hAnsi="Arial Narrow" w:cs="Arial"/>
          <w:sz w:val="24"/>
          <w:szCs w:val="24"/>
        </w:rPr>
        <w:t>, à savoir la promotion et la distribution des intrants (préservatif masculin, féminin, gel lubrifiant) au sein de la population général</w:t>
      </w:r>
      <w:r w:rsidR="006F2A4E" w:rsidRPr="007E7C5B">
        <w:rPr>
          <w:rFonts w:ascii="Arial Narrow" w:eastAsia="Calibri" w:hAnsi="Arial Narrow" w:cs="Arial"/>
          <w:sz w:val="24"/>
          <w:szCs w:val="24"/>
        </w:rPr>
        <w:t>e</w:t>
      </w:r>
      <w:r w:rsidR="0018124C" w:rsidRPr="007E7C5B">
        <w:rPr>
          <w:rFonts w:ascii="Arial Narrow" w:eastAsia="Calibri" w:hAnsi="Arial Narrow" w:cs="Arial"/>
          <w:sz w:val="24"/>
          <w:szCs w:val="24"/>
        </w:rPr>
        <w:t xml:space="preserve">, des populations clés </w:t>
      </w:r>
      <w:r w:rsidR="00003284" w:rsidRPr="007E7C5B">
        <w:rPr>
          <w:rFonts w:ascii="Arial Narrow" w:eastAsia="Calibri" w:hAnsi="Arial Narrow" w:cs="Arial"/>
          <w:sz w:val="24"/>
          <w:szCs w:val="24"/>
        </w:rPr>
        <w:t>et</w:t>
      </w:r>
      <w:r w:rsidR="0018124C" w:rsidRPr="007E7C5B">
        <w:rPr>
          <w:rFonts w:ascii="Arial Narrow" w:eastAsia="Calibri" w:hAnsi="Arial Narrow" w:cs="Arial"/>
          <w:sz w:val="24"/>
          <w:szCs w:val="24"/>
        </w:rPr>
        <w:t xml:space="preserve"> celles en situation de vulnérabilité à travers l’approche district.</w:t>
      </w:r>
      <w:r w:rsidR="003B4E93" w:rsidRPr="007E7C5B">
        <w:rPr>
          <w:rFonts w:ascii="Arial Narrow" w:eastAsia="Calibri" w:hAnsi="Arial Narrow" w:cs="Arial"/>
          <w:sz w:val="24"/>
          <w:szCs w:val="24"/>
        </w:rPr>
        <w:t xml:space="preserve"> </w:t>
      </w:r>
      <w:r w:rsidR="0041357C" w:rsidRPr="007E7C5B">
        <w:rPr>
          <w:rFonts w:ascii="Arial Narrow" w:eastAsia="Calibri" w:hAnsi="Arial Narrow" w:cs="Arial"/>
          <w:sz w:val="24"/>
          <w:szCs w:val="24"/>
        </w:rPr>
        <w:t xml:space="preserve">Aussi, la </w:t>
      </w:r>
      <w:r w:rsidR="00C46EE2" w:rsidRPr="007E7C5B">
        <w:rPr>
          <w:rFonts w:ascii="Arial Narrow" w:eastAsia="Calibri" w:hAnsi="Arial Narrow" w:cs="Arial"/>
          <w:sz w:val="24"/>
          <w:szCs w:val="24"/>
        </w:rPr>
        <w:t>Proph</w:t>
      </w:r>
      <w:r w:rsidR="0076304B">
        <w:rPr>
          <w:rFonts w:ascii="Arial Narrow" w:eastAsia="Calibri" w:hAnsi="Arial Narrow" w:cs="Arial"/>
          <w:sz w:val="24"/>
          <w:szCs w:val="24"/>
        </w:rPr>
        <w:t>y</w:t>
      </w:r>
      <w:r w:rsidR="00C46EE2" w:rsidRPr="007E7C5B">
        <w:rPr>
          <w:rFonts w:ascii="Arial Narrow" w:eastAsia="Calibri" w:hAnsi="Arial Narrow" w:cs="Arial"/>
          <w:sz w:val="24"/>
          <w:szCs w:val="24"/>
        </w:rPr>
        <w:t xml:space="preserve">laxie </w:t>
      </w:r>
      <w:proofErr w:type="spellStart"/>
      <w:r w:rsidR="00C46EE2" w:rsidRPr="007E7C5B">
        <w:rPr>
          <w:rFonts w:ascii="Arial Narrow" w:eastAsia="Calibri" w:hAnsi="Arial Narrow" w:cs="Arial"/>
          <w:sz w:val="24"/>
          <w:szCs w:val="24"/>
        </w:rPr>
        <w:t>pré-Exposition</w:t>
      </w:r>
      <w:proofErr w:type="spellEnd"/>
      <w:r w:rsidR="00C46EE2" w:rsidRPr="007E7C5B">
        <w:rPr>
          <w:rFonts w:ascii="Arial Narrow" w:eastAsia="Calibri" w:hAnsi="Arial Narrow" w:cs="Arial"/>
          <w:sz w:val="24"/>
          <w:szCs w:val="24"/>
        </w:rPr>
        <w:t xml:space="preserve"> (</w:t>
      </w:r>
      <w:proofErr w:type="spellStart"/>
      <w:r w:rsidR="00C46EE2" w:rsidRPr="007E7C5B">
        <w:rPr>
          <w:rFonts w:ascii="Arial Narrow" w:eastAsia="Calibri" w:hAnsi="Arial Narrow" w:cs="Arial"/>
          <w:sz w:val="24"/>
          <w:szCs w:val="24"/>
        </w:rPr>
        <w:t>PrEP</w:t>
      </w:r>
      <w:proofErr w:type="spellEnd"/>
      <w:r w:rsidR="00C46EE2" w:rsidRPr="007E7C5B">
        <w:rPr>
          <w:rFonts w:ascii="Arial Narrow" w:eastAsia="Calibri" w:hAnsi="Arial Narrow" w:cs="Arial"/>
          <w:sz w:val="24"/>
          <w:szCs w:val="24"/>
        </w:rPr>
        <w:t xml:space="preserve">) </w:t>
      </w:r>
      <w:r w:rsidR="0041357C" w:rsidRPr="00A918AC">
        <w:rPr>
          <w:rFonts w:ascii="Arial Narrow" w:eastAsia="Calibri" w:hAnsi="Arial Narrow" w:cs="Arial"/>
          <w:sz w:val="24"/>
          <w:szCs w:val="24"/>
        </w:rPr>
        <w:t>a été mise en œuvre</w:t>
      </w:r>
      <w:r w:rsidR="0041357C" w:rsidRPr="007E7C5B">
        <w:rPr>
          <w:rFonts w:ascii="Arial Narrow" w:eastAsia="Calibri" w:hAnsi="Arial Narrow" w:cs="Arial"/>
          <w:sz w:val="24"/>
          <w:szCs w:val="24"/>
        </w:rPr>
        <w:t xml:space="preserve"> </w:t>
      </w:r>
      <w:r w:rsidR="0041357C" w:rsidRPr="00BD42B2">
        <w:rPr>
          <w:rFonts w:ascii="Arial Narrow" w:eastAsia="Calibri" w:hAnsi="Arial Narrow" w:cs="Arial"/>
          <w:sz w:val="24"/>
          <w:szCs w:val="24"/>
        </w:rPr>
        <w:t>sur tout le territoire national</w:t>
      </w:r>
      <w:r w:rsidR="0041357C" w:rsidRPr="007E7C5B">
        <w:rPr>
          <w:rFonts w:ascii="Arial Narrow" w:eastAsia="Calibri" w:hAnsi="Arial Narrow" w:cs="Arial"/>
          <w:sz w:val="24"/>
          <w:szCs w:val="24"/>
        </w:rPr>
        <w:t>.</w:t>
      </w:r>
    </w:p>
    <w:p w14:paraId="7CEF75B7" w14:textId="503376B5" w:rsidR="007E0442" w:rsidRPr="007E7C5B" w:rsidRDefault="007E0442" w:rsidP="007E0442">
      <w:pPr>
        <w:spacing w:after="0" w:line="240" w:lineRule="auto"/>
        <w:jc w:val="both"/>
        <w:rPr>
          <w:rFonts w:ascii="Arial Narrow" w:hAnsi="Arial Narrow" w:cs="Arial"/>
          <w:sz w:val="24"/>
          <w:szCs w:val="24"/>
        </w:rPr>
      </w:pPr>
      <w:r w:rsidRPr="00A918AC">
        <w:rPr>
          <w:rFonts w:ascii="Arial Narrow" w:hAnsi="Arial Narrow" w:cstheme="minorHAnsi"/>
          <w:sz w:val="24"/>
          <w:szCs w:val="24"/>
        </w:rPr>
        <w:t xml:space="preserve">Relativement à la prise en charge, </w:t>
      </w:r>
      <w:r w:rsidRPr="007E7C5B">
        <w:rPr>
          <w:rFonts w:ascii="Arial Narrow" w:hAnsi="Arial Narrow" w:cstheme="minorHAnsi"/>
          <w:sz w:val="24"/>
          <w:szCs w:val="24"/>
        </w:rPr>
        <w:t xml:space="preserve">on note </w:t>
      </w:r>
      <w:r w:rsidR="00A23DA8" w:rsidRPr="007E7C5B">
        <w:rPr>
          <w:rFonts w:ascii="Arial Narrow" w:hAnsi="Arial Narrow"/>
          <w:sz w:val="24"/>
          <w:szCs w:val="24"/>
        </w:rPr>
        <w:t>l</w:t>
      </w:r>
      <w:r w:rsidRPr="007E7C5B">
        <w:rPr>
          <w:rFonts w:ascii="Arial Narrow" w:hAnsi="Arial Narrow" w:cs="Arial"/>
          <w:sz w:val="24"/>
          <w:szCs w:val="24"/>
        </w:rPr>
        <w:t>’augmentation du nombre de centre</w:t>
      </w:r>
      <w:r w:rsidR="00A23DA8" w:rsidRPr="007E7C5B">
        <w:rPr>
          <w:rFonts w:ascii="Arial Narrow" w:hAnsi="Arial Narrow" w:cs="Arial"/>
          <w:sz w:val="24"/>
          <w:szCs w:val="24"/>
        </w:rPr>
        <w:t>s</w:t>
      </w:r>
      <w:r w:rsidRPr="007E7C5B">
        <w:rPr>
          <w:rFonts w:ascii="Arial Narrow" w:hAnsi="Arial Narrow" w:cs="Arial"/>
          <w:sz w:val="24"/>
          <w:szCs w:val="24"/>
        </w:rPr>
        <w:t xml:space="preserve"> de santé offrant la prise en charge du VIH </w:t>
      </w:r>
      <w:r w:rsidR="00A23DA8" w:rsidRPr="007E7C5B">
        <w:rPr>
          <w:rFonts w:ascii="Arial Narrow" w:hAnsi="Arial Narrow" w:cs="Arial"/>
          <w:sz w:val="24"/>
          <w:szCs w:val="24"/>
        </w:rPr>
        <w:t xml:space="preserve">qui est passé </w:t>
      </w:r>
      <w:r w:rsidRPr="007E7C5B">
        <w:rPr>
          <w:rFonts w:ascii="Arial Narrow" w:hAnsi="Arial Narrow" w:cs="Arial"/>
          <w:sz w:val="24"/>
          <w:szCs w:val="24"/>
        </w:rPr>
        <w:t>de 2 473 en 2021 à 2 595 en 2023</w:t>
      </w:r>
      <w:r w:rsidR="0060755D" w:rsidRPr="007E7C5B">
        <w:rPr>
          <w:rFonts w:ascii="Arial Narrow" w:hAnsi="Arial Narrow" w:cs="Arial"/>
          <w:sz w:val="24"/>
          <w:szCs w:val="24"/>
        </w:rPr>
        <w:t xml:space="preserve">. </w:t>
      </w:r>
      <w:r w:rsidR="00921235" w:rsidRPr="007E7C5B">
        <w:rPr>
          <w:rFonts w:ascii="Arial Narrow" w:hAnsi="Arial Narrow" w:cs="Arial"/>
          <w:sz w:val="24"/>
          <w:szCs w:val="24"/>
        </w:rPr>
        <w:t>Aussi, l</w:t>
      </w:r>
      <w:r w:rsidR="0060755D" w:rsidRPr="007E7C5B">
        <w:rPr>
          <w:rFonts w:ascii="Arial Narrow" w:hAnsi="Arial Narrow" w:cs="Arial"/>
          <w:sz w:val="24"/>
          <w:szCs w:val="24"/>
        </w:rPr>
        <w:t xml:space="preserve">a contribution du financement de l’Etat </w:t>
      </w:r>
      <w:r w:rsidR="00657FE0" w:rsidRPr="007E7C5B">
        <w:rPr>
          <w:rFonts w:ascii="Arial Narrow" w:hAnsi="Arial Narrow" w:cs="Arial"/>
          <w:sz w:val="24"/>
          <w:szCs w:val="24"/>
        </w:rPr>
        <w:t>pour l’achat des ARV a</w:t>
      </w:r>
      <w:r w:rsidR="0060755D" w:rsidRPr="007E7C5B">
        <w:rPr>
          <w:rFonts w:ascii="Arial Narrow" w:hAnsi="Arial Narrow" w:cs="Arial"/>
          <w:sz w:val="24"/>
          <w:szCs w:val="24"/>
        </w:rPr>
        <w:t xml:space="preserve"> nette</w:t>
      </w:r>
      <w:r w:rsidR="00657FE0" w:rsidRPr="007E7C5B">
        <w:rPr>
          <w:rFonts w:ascii="Arial Narrow" w:hAnsi="Arial Narrow" w:cs="Arial"/>
          <w:sz w:val="24"/>
          <w:szCs w:val="24"/>
        </w:rPr>
        <w:t>ment</w:t>
      </w:r>
      <w:r w:rsidR="0060755D" w:rsidRPr="007E7C5B">
        <w:rPr>
          <w:rFonts w:ascii="Arial Narrow" w:hAnsi="Arial Narrow" w:cs="Arial"/>
          <w:sz w:val="24"/>
          <w:szCs w:val="24"/>
        </w:rPr>
        <w:t xml:space="preserve"> progress</w:t>
      </w:r>
      <w:r w:rsidR="00657FE0" w:rsidRPr="007E7C5B">
        <w:rPr>
          <w:rFonts w:ascii="Arial Narrow" w:hAnsi="Arial Narrow" w:cs="Arial"/>
          <w:sz w:val="24"/>
          <w:szCs w:val="24"/>
        </w:rPr>
        <w:t>é</w:t>
      </w:r>
      <w:r w:rsidR="00DC541C" w:rsidRPr="007E7C5B">
        <w:rPr>
          <w:rFonts w:ascii="Arial Narrow" w:hAnsi="Arial Narrow" w:cs="Arial"/>
          <w:sz w:val="24"/>
          <w:szCs w:val="24"/>
        </w:rPr>
        <w:t xml:space="preserve"> (</w:t>
      </w:r>
      <w:r w:rsidR="0060755D" w:rsidRPr="007E7C5B">
        <w:rPr>
          <w:rFonts w:ascii="Arial Narrow" w:hAnsi="Arial Narrow" w:cs="Arial"/>
          <w:sz w:val="24"/>
          <w:szCs w:val="24"/>
        </w:rPr>
        <w:t>35% en 2024 contre 28% en 2023</w:t>
      </w:r>
      <w:r w:rsidR="00DC541C" w:rsidRPr="007E7C5B">
        <w:rPr>
          <w:rFonts w:ascii="Arial Narrow" w:hAnsi="Arial Narrow" w:cs="Arial"/>
          <w:sz w:val="24"/>
          <w:szCs w:val="24"/>
        </w:rPr>
        <w:t>).</w:t>
      </w:r>
    </w:p>
    <w:p w14:paraId="59DE8811" w14:textId="77777777" w:rsidR="0060755D" w:rsidRPr="007E7C5B" w:rsidRDefault="0060755D" w:rsidP="007E0442">
      <w:pPr>
        <w:spacing w:after="0" w:line="240" w:lineRule="auto"/>
        <w:jc w:val="both"/>
        <w:rPr>
          <w:rFonts w:ascii="Arial Narrow" w:hAnsi="Arial Narrow" w:cs="Arial"/>
          <w:sz w:val="24"/>
          <w:szCs w:val="24"/>
        </w:rPr>
      </w:pPr>
    </w:p>
    <w:p w14:paraId="42E42D41" w14:textId="06168D33" w:rsidR="002A10D8" w:rsidRPr="007E7C5B" w:rsidRDefault="0057520A" w:rsidP="00496DBE">
      <w:pPr>
        <w:spacing w:after="0" w:line="240" w:lineRule="auto"/>
        <w:jc w:val="both"/>
        <w:rPr>
          <w:rFonts w:ascii="Arial Narrow" w:hAnsi="Arial Narrow" w:cstheme="minorHAnsi"/>
          <w:sz w:val="24"/>
          <w:szCs w:val="24"/>
        </w:rPr>
      </w:pPr>
      <w:r w:rsidRPr="007E7C5B">
        <w:rPr>
          <w:rFonts w:ascii="Arial Narrow" w:hAnsi="Arial Narrow" w:cs="Arial"/>
          <w:sz w:val="24"/>
          <w:szCs w:val="24"/>
        </w:rPr>
        <w:t>S’agissant du d</w:t>
      </w:r>
      <w:r w:rsidR="006D013B" w:rsidRPr="007E7C5B">
        <w:rPr>
          <w:rFonts w:ascii="Arial Narrow" w:hAnsi="Arial Narrow" w:cs="Arial"/>
          <w:sz w:val="24"/>
          <w:szCs w:val="24"/>
        </w:rPr>
        <w:t>ép</w:t>
      </w:r>
      <w:r w:rsidRPr="007E7C5B">
        <w:rPr>
          <w:rFonts w:ascii="Arial Narrow" w:hAnsi="Arial Narrow" w:cs="Arial"/>
          <w:sz w:val="24"/>
          <w:szCs w:val="24"/>
        </w:rPr>
        <w:t>istage</w:t>
      </w:r>
      <w:r w:rsidR="002218C0" w:rsidRPr="007E7C5B">
        <w:rPr>
          <w:rFonts w:ascii="Arial Narrow" w:hAnsi="Arial Narrow" w:cs="Arial"/>
          <w:sz w:val="24"/>
          <w:szCs w:val="24"/>
        </w:rPr>
        <w:t> :</w:t>
      </w:r>
      <w:r w:rsidRPr="007E7C5B">
        <w:rPr>
          <w:rFonts w:ascii="Arial Narrow" w:hAnsi="Arial Narrow" w:cs="Arial"/>
          <w:sz w:val="24"/>
          <w:szCs w:val="24"/>
        </w:rPr>
        <w:t xml:space="preserve"> </w:t>
      </w:r>
      <w:r w:rsidR="002218C0" w:rsidRPr="00A918AC">
        <w:rPr>
          <w:rFonts w:ascii="Arial Narrow" w:hAnsi="Arial Narrow" w:cs="Arial"/>
          <w:i/>
          <w:sz w:val="24"/>
          <w:szCs w:val="24"/>
        </w:rPr>
        <w:t>(</w:t>
      </w:r>
      <w:r w:rsidR="00AE6B3B" w:rsidRPr="00A918AC">
        <w:rPr>
          <w:rFonts w:ascii="Arial Narrow" w:hAnsi="Arial Narrow" w:cs="Arial"/>
          <w:i/>
          <w:sz w:val="24"/>
          <w:szCs w:val="24"/>
        </w:rPr>
        <w:t>i)</w:t>
      </w:r>
      <w:r w:rsidRPr="007E7C5B">
        <w:rPr>
          <w:rFonts w:ascii="Arial Narrow" w:hAnsi="Arial Narrow" w:cs="Arial"/>
          <w:sz w:val="24"/>
          <w:szCs w:val="24"/>
        </w:rPr>
        <w:t xml:space="preserve"> </w:t>
      </w:r>
      <w:r w:rsidR="00DE66F6" w:rsidRPr="007E7C5B">
        <w:rPr>
          <w:rFonts w:ascii="Arial Narrow" w:hAnsi="Arial Narrow" w:cstheme="minorHAnsi"/>
          <w:sz w:val="24"/>
          <w:szCs w:val="24"/>
        </w:rPr>
        <w:t>le</w:t>
      </w:r>
      <w:r w:rsidRPr="007E7C5B">
        <w:rPr>
          <w:rFonts w:ascii="Arial Narrow" w:hAnsi="Arial Narrow" w:cstheme="minorHAnsi"/>
          <w:sz w:val="24"/>
          <w:szCs w:val="24"/>
        </w:rPr>
        <w:t xml:space="preserve"> nombre de structures de santé offrant le dépistage du VIH </w:t>
      </w:r>
      <w:r w:rsidR="00DE66F6" w:rsidRPr="007E7C5B">
        <w:rPr>
          <w:rFonts w:ascii="Arial Narrow" w:hAnsi="Arial Narrow" w:cstheme="minorHAnsi"/>
          <w:sz w:val="24"/>
          <w:szCs w:val="24"/>
        </w:rPr>
        <w:t xml:space="preserve">s’est accru, </w:t>
      </w:r>
      <w:r w:rsidRPr="007E7C5B">
        <w:rPr>
          <w:rFonts w:ascii="Arial Narrow" w:hAnsi="Arial Narrow"/>
          <w:sz w:val="24"/>
          <w:szCs w:val="24"/>
        </w:rPr>
        <w:t>passant</w:t>
      </w:r>
      <w:r w:rsidRPr="007E7C5B">
        <w:rPr>
          <w:rFonts w:ascii="Arial Narrow" w:hAnsi="Arial Narrow" w:cstheme="minorHAnsi"/>
          <w:sz w:val="24"/>
          <w:szCs w:val="24"/>
        </w:rPr>
        <w:t xml:space="preserve"> de 2 744 en 2021 à 2 945 en 2023</w:t>
      </w:r>
      <w:r w:rsidR="002218C0" w:rsidRPr="007E7C5B">
        <w:rPr>
          <w:rFonts w:ascii="Arial Narrow" w:hAnsi="Arial Narrow" w:cstheme="minorHAnsi"/>
          <w:sz w:val="24"/>
          <w:szCs w:val="24"/>
        </w:rPr>
        <w:t> </w:t>
      </w:r>
      <w:r w:rsidR="002218C0" w:rsidRPr="007E7C5B">
        <w:rPr>
          <w:rFonts w:ascii="Arial Narrow" w:hAnsi="Arial Narrow"/>
          <w:sz w:val="24"/>
          <w:szCs w:val="24"/>
        </w:rPr>
        <w:t>;</w:t>
      </w:r>
      <w:r w:rsidR="00AE6B3B" w:rsidRPr="007E7C5B">
        <w:rPr>
          <w:rFonts w:ascii="Arial Narrow" w:hAnsi="Arial Narrow"/>
          <w:sz w:val="24"/>
          <w:szCs w:val="24"/>
        </w:rPr>
        <w:t xml:space="preserve"> </w:t>
      </w:r>
      <w:r w:rsidR="002218C0" w:rsidRPr="00A918AC">
        <w:rPr>
          <w:rFonts w:ascii="Arial Narrow" w:hAnsi="Arial Narrow"/>
          <w:i/>
          <w:sz w:val="24"/>
          <w:szCs w:val="24"/>
        </w:rPr>
        <w:t>(</w:t>
      </w:r>
      <w:r w:rsidR="00AE6B3B" w:rsidRPr="00A918AC">
        <w:rPr>
          <w:rFonts w:ascii="Arial Narrow" w:hAnsi="Arial Narrow"/>
          <w:i/>
          <w:sz w:val="24"/>
          <w:szCs w:val="24"/>
        </w:rPr>
        <w:t>ii)</w:t>
      </w:r>
      <w:r w:rsidR="00AE6B3B" w:rsidRPr="007E7C5B">
        <w:rPr>
          <w:rFonts w:ascii="Arial Narrow" w:hAnsi="Arial Narrow"/>
          <w:sz w:val="24"/>
          <w:szCs w:val="24"/>
        </w:rPr>
        <w:t xml:space="preserve"> </w:t>
      </w:r>
      <w:r w:rsidR="00AE6B3B" w:rsidRPr="007E7C5B">
        <w:rPr>
          <w:rFonts w:ascii="Arial Narrow" w:hAnsi="Arial Narrow" w:cstheme="minorHAnsi"/>
          <w:sz w:val="24"/>
          <w:szCs w:val="24"/>
        </w:rPr>
        <w:t>l</w:t>
      </w:r>
      <w:r w:rsidR="002A10D8" w:rsidRPr="007E7C5B">
        <w:rPr>
          <w:rFonts w:ascii="Arial Narrow" w:hAnsi="Arial Narrow" w:cstheme="minorHAnsi"/>
          <w:sz w:val="24"/>
          <w:szCs w:val="24"/>
        </w:rPr>
        <w:t xml:space="preserve">a </w:t>
      </w:r>
      <w:r w:rsidR="006F7B84" w:rsidRPr="007E7C5B">
        <w:rPr>
          <w:rFonts w:ascii="Arial Narrow" w:hAnsi="Arial Narrow" w:cstheme="minorHAnsi"/>
          <w:sz w:val="24"/>
          <w:szCs w:val="24"/>
        </w:rPr>
        <w:t>stratégie</w:t>
      </w:r>
      <w:r w:rsidR="00F41364" w:rsidRPr="007E7C5B">
        <w:rPr>
          <w:rFonts w:ascii="Arial Narrow" w:hAnsi="Arial Narrow" w:cstheme="minorHAnsi"/>
          <w:sz w:val="24"/>
          <w:szCs w:val="24"/>
        </w:rPr>
        <w:t xml:space="preserve"> de l’index </w:t>
      </w:r>
      <w:proofErr w:type="spellStart"/>
      <w:r w:rsidR="00F41364" w:rsidRPr="007E7C5B">
        <w:rPr>
          <w:rFonts w:ascii="Arial Narrow" w:hAnsi="Arial Narrow" w:cstheme="minorHAnsi"/>
          <w:sz w:val="24"/>
          <w:szCs w:val="24"/>
        </w:rPr>
        <w:t>testing</w:t>
      </w:r>
      <w:proofErr w:type="spellEnd"/>
      <w:r w:rsidR="00F41364" w:rsidRPr="007E7C5B">
        <w:rPr>
          <w:rFonts w:ascii="Arial Narrow" w:hAnsi="Arial Narrow" w:cstheme="minorHAnsi"/>
          <w:sz w:val="24"/>
          <w:szCs w:val="24"/>
        </w:rPr>
        <w:t xml:space="preserve"> a été mise en œuvre dans </w:t>
      </w:r>
      <w:r w:rsidR="00F41364" w:rsidRPr="007E7C5B">
        <w:rPr>
          <w:rFonts w:ascii="Arial Narrow" w:hAnsi="Arial Narrow" w:cstheme="minorHAnsi"/>
          <w:sz w:val="24"/>
          <w:szCs w:val="24"/>
        </w:rPr>
        <w:lastRenderedPageBreak/>
        <w:t xml:space="preserve">79 districts </w:t>
      </w:r>
      <w:r w:rsidR="002A10D8" w:rsidRPr="007E7C5B" w:rsidDel="00F41364">
        <w:rPr>
          <w:rFonts w:ascii="Arial Narrow" w:hAnsi="Arial Narrow" w:cstheme="minorHAnsi"/>
          <w:sz w:val="24"/>
          <w:szCs w:val="24"/>
        </w:rPr>
        <w:t>sanitaires </w:t>
      </w:r>
      <w:r w:rsidR="002218C0" w:rsidRPr="007E7C5B">
        <w:rPr>
          <w:rFonts w:ascii="Arial Narrow" w:hAnsi="Arial Narrow" w:cstheme="minorHAnsi"/>
          <w:sz w:val="24"/>
          <w:szCs w:val="24"/>
        </w:rPr>
        <w:t>et</w:t>
      </w:r>
      <w:r w:rsidR="00AE6B3B" w:rsidRPr="007E7C5B">
        <w:rPr>
          <w:rFonts w:ascii="Arial Narrow" w:hAnsi="Arial Narrow" w:cstheme="minorHAnsi"/>
          <w:sz w:val="24"/>
          <w:szCs w:val="24"/>
        </w:rPr>
        <w:t xml:space="preserve"> </w:t>
      </w:r>
      <w:r w:rsidR="002218C0" w:rsidRPr="00A918AC">
        <w:rPr>
          <w:rFonts w:ascii="Arial Narrow" w:hAnsi="Arial Narrow" w:cstheme="minorHAnsi"/>
          <w:i/>
          <w:sz w:val="24"/>
          <w:szCs w:val="24"/>
        </w:rPr>
        <w:t>(</w:t>
      </w:r>
      <w:r w:rsidR="00AE6B3B" w:rsidRPr="00A918AC">
        <w:rPr>
          <w:rFonts w:ascii="Arial Narrow" w:hAnsi="Arial Narrow" w:cstheme="minorHAnsi"/>
          <w:i/>
          <w:sz w:val="24"/>
          <w:szCs w:val="24"/>
        </w:rPr>
        <w:t>iii)</w:t>
      </w:r>
      <w:r w:rsidR="00F41364" w:rsidRPr="007E7C5B">
        <w:rPr>
          <w:rFonts w:ascii="Arial Narrow" w:hAnsi="Arial Narrow"/>
          <w:sz w:val="24"/>
          <w:szCs w:val="24"/>
        </w:rPr>
        <w:t xml:space="preserve"> </w:t>
      </w:r>
      <w:r w:rsidR="00BD2BD0" w:rsidRPr="007E7C5B">
        <w:rPr>
          <w:rFonts w:ascii="Arial Narrow" w:hAnsi="Arial Narrow"/>
          <w:sz w:val="24"/>
          <w:szCs w:val="24"/>
        </w:rPr>
        <w:t xml:space="preserve">l’offre du dépistage a été </w:t>
      </w:r>
      <w:r w:rsidR="00F41364" w:rsidRPr="007E7C5B">
        <w:rPr>
          <w:rFonts w:ascii="Arial Narrow" w:hAnsi="Arial Narrow"/>
          <w:sz w:val="24"/>
          <w:szCs w:val="24"/>
        </w:rPr>
        <w:t>démédicalis</w:t>
      </w:r>
      <w:r w:rsidR="00BD2BD0" w:rsidRPr="007E7C5B">
        <w:rPr>
          <w:rFonts w:ascii="Arial Narrow" w:hAnsi="Arial Narrow"/>
          <w:sz w:val="24"/>
          <w:szCs w:val="24"/>
        </w:rPr>
        <w:t xml:space="preserve">ée </w:t>
      </w:r>
      <w:r w:rsidR="00F41364" w:rsidRPr="007E7C5B">
        <w:rPr>
          <w:rFonts w:ascii="Arial Narrow" w:hAnsi="Arial Narrow"/>
          <w:sz w:val="24"/>
          <w:szCs w:val="24"/>
        </w:rPr>
        <w:t xml:space="preserve">et </w:t>
      </w:r>
      <w:r w:rsidR="00BD2BD0" w:rsidRPr="007E7C5B">
        <w:rPr>
          <w:rFonts w:ascii="Arial Narrow" w:hAnsi="Arial Narrow"/>
          <w:sz w:val="24"/>
          <w:szCs w:val="24"/>
        </w:rPr>
        <w:t xml:space="preserve">l’autotest </w:t>
      </w:r>
      <w:r w:rsidR="00DE744B" w:rsidRPr="007E7C5B">
        <w:rPr>
          <w:rFonts w:ascii="Arial Narrow" w:hAnsi="Arial Narrow"/>
          <w:sz w:val="24"/>
          <w:szCs w:val="24"/>
        </w:rPr>
        <w:t>a été</w:t>
      </w:r>
      <w:r w:rsidR="00F41364" w:rsidRPr="007E7C5B">
        <w:rPr>
          <w:rFonts w:ascii="Arial Narrow" w:hAnsi="Arial Narrow"/>
          <w:sz w:val="24"/>
          <w:szCs w:val="24"/>
        </w:rPr>
        <w:t xml:space="preserve"> mise en œuvre dans </w:t>
      </w:r>
      <w:r w:rsidR="00DE744B" w:rsidRPr="007E7C5B">
        <w:rPr>
          <w:rFonts w:ascii="Arial Narrow" w:hAnsi="Arial Narrow"/>
          <w:sz w:val="24"/>
          <w:szCs w:val="24"/>
        </w:rPr>
        <w:t xml:space="preserve">tous </w:t>
      </w:r>
      <w:r w:rsidR="00F41364" w:rsidRPr="007E7C5B">
        <w:rPr>
          <w:rFonts w:ascii="Arial Narrow" w:hAnsi="Arial Narrow"/>
          <w:sz w:val="24"/>
          <w:szCs w:val="24"/>
        </w:rPr>
        <w:t xml:space="preserve">les </w:t>
      </w:r>
      <w:r w:rsidR="00EC336D" w:rsidRPr="007E7C5B">
        <w:rPr>
          <w:rFonts w:ascii="Arial Narrow" w:hAnsi="Arial Narrow"/>
          <w:sz w:val="24"/>
          <w:szCs w:val="24"/>
        </w:rPr>
        <w:t xml:space="preserve">établissements sanitaires </w:t>
      </w:r>
      <w:r w:rsidR="00F41364" w:rsidRPr="007E7C5B">
        <w:rPr>
          <w:rFonts w:ascii="Arial Narrow" w:hAnsi="Arial Narrow"/>
          <w:sz w:val="24"/>
          <w:szCs w:val="24"/>
        </w:rPr>
        <w:t>et dans la communauté</w:t>
      </w:r>
      <w:r w:rsidR="00496DBE" w:rsidRPr="007E7C5B">
        <w:rPr>
          <w:rFonts w:ascii="Arial Narrow" w:hAnsi="Arial Narrow"/>
          <w:sz w:val="24"/>
          <w:szCs w:val="24"/>
        </w:rPr>
        <w:t>.</w:t>
      </w:r>
    </w:p>
    <w:p w14:paraId="10D8DFF7" w14:textId="77777777" w:rsidR="00496DBE" w:rsidRPr="007E7C5B" w:rsidRDefault="00496DBE" w:rsidP="00A918AC">
      <w:pPr>
        <w:spacing w:after="0" w:line="240" w:lineRule="auto"/>
        <w:jc w:val="both"/>
        <w:rPr>
          <w:rFonts w:ascii="Arial Narrow" w:hAnsi="Arial Narrow" w:cstheme="minorHAnsi"/>
          <w:sz w:val="24"/>
          <w:szCs w:val="24"/>
        </w:rPr>
      </w:pPr>
    </w:p>
    <w:p w14:paraId="5E15EE4A" w14:textId="6E4FE7D0" w:rsidR="002A10D8" w:rsidRPr="007E7C5B" w:rsidRDefault="009A4BE3" w:rsidP="00A918AC">
      <w:pPr>
        <w:jc w:val="both"/>
        <w:rPr>
          <w:rFonts w:ascii="Arial Narrow" w:hAnsi="Arial Narrow"/>
          <w:sz w:val="24"/>
          <w:szCs w:val="24"/>
        </w:rPr>
      </w:pPr>
      <w:r w:rsidRPr="007E7C5B">
        <w:rPr>
          <w:rFonts w:ascii="Arial Narrow" w:hAnsi="Arial Narrow"/>
          <w:sz w:val="24"/>
          <w:szCs w:val="24"/>
        </w:rPr>
        <w:t>Par ailleurs,</w:t>
      </w:r>
      <w:r w:rsidR="002A10D8" w:rsidRPr="007E7C5B" w:rsidDel="00842D6E">
        <w:rPr>
          <w:rFonts w:ascii="Arial Narrow" w:hAnsi="Arial Narrow"/>
          <w:sz w:val="24"/>
          <w:szCs w:val="24"/>
        </w:rPr>
        <w:t xml:space="preserve"> </w:t>
      </w:r>
      <w:r w:rsidR="002A10D8" w:rsidRPr="00A918AC">
        <w:rPr>
          <w:rFonts w:ascii="Arial Narrow" w:hAnsi="Arial Narrow"/>
          <w:sz w:val="24"/>
          <w:szCs w:val="24"/>
        </w:rPr>
        <w:t xml:space="preserve">l’accès à l’offre de service des populations clés (utilisation des plateformes U-Report, </w:t>
      </w:r>
      <w:proofErr w:type="spellStart"/>
      <w:r w:rsidR="002A10D8" w:rsidRPr="00A918AC">
        <w:rPr>
          <w:rFonts w:ascii="Arial Narrow" w:hAnsi="Arial Narrow"/>
          <w:sz w:val="24"/>
          <w:szCs w:val="24"/>
        </w:rPr>
        <w:t>Ngouan</w:t>
      </w:r>
      <w:proofErr w:type="spellEnd"/>
      <w:r w:rsidR="002A10D8" w:rsidRPr="00A918AC">
        <w:rPr>
          <w:rFonts w:ascii="Arial Narrow" w:hAnsi="Arial Narrow"/>
          <w:sz w:val="24"/>
          <w:szCs w:val="24"/>
        </w:rPr>
        <w:t xml:space="preserve"> et E-santé adolescents et jeunes)</w:t>
      </w:r>
      <w:r w:rsidR="00842D6E" w:rsidRPr="007E7C5B">
        <w:rPr>
          <w:rFonts w:ascii="Arial Narrow" w:hAnsi="Arial Narrow"/>
          <w:sz w:val="24"/>
          <w:szCs w:val="24"/>
        </w:rPr>
        <w:t xml:space="preserve"> a été digitalisé</w:t>
      </w:r>
      <w:r w:rsidR="00DA105D" w:rsidRPr="007E7C5B">
        <w:rPr>
          <w:rFonts w:ascii="Arial Narrow" w:hAnsi="Arial Narrow"/>
          <w:sz w:val="24"/>
          <w:szCs w:val="24"/>
        </w:rPr>
        <w:t xml:space="preserve"> et </w:t>
      </w:r>
      <w:r w:rsidR="00BD31FC" w:rsidRPr="007E7C5B">
        <w:rPr>
          <w:rFonts w:ascii="Arial Narrow" w:hAnsi="Arial Narrow"/>
          <w:sz w:val="24"/>
          <w:szCs w:val="24"/>
        </w:rPr>
        <w:t>des autotests ont été mis à disposition des</w:t>
      </w:r>
      <w:r w:rsidR="003F2E0F" w:rsidRPr="007E7C5B">
        <w:rPr>
          <w:rFonts w:ascii="Arial Narrow" w:hAnsi="Arial Narrow" w:cs="Arial"/>
          <w:sz w:val="24"/>
          <w:szCs w:val="24"/>
        </w:rPr>
        <w:t xml:space="preserve"> nouvelles populations vulnérables </w:t>
      </w:r>
      <w:r w:rsidR="00E174D9" w:rsidRPr="007E7C5B">
        <w:rPr>
          <w:rFonts w:ascii="Arial Narrow" w:hAnsi="Arial Narrow" w:cs="Arial"/>
          <w:sz w:val="24"/>
          <w:szCs w:val="24"/>
        </w:rPr>
        <w:t>à</w:t>
      </w:r>
      <w:r w:rsidR="003F2E0F" w:rsidRPr="007E7C5B">
        <w:rPr>
          <w:rFonts w:ascii="Arial Narrow" w:hAnsi="Arial Narrow" w:cs="Arial"/>
          <w:sz w:val="24"/>
          <w:szCs w:val="24"/>
        </w:rPr>
        <w:t xml:space="preserve"> prévalences élevées </w:t>
      </w:r>
      <w:r w:rsidR="003F2E0F" w:rsidRPr="00BD42B2">
        <w:rPr>
          <w:rFonts w:ascii="Arial Narrow" w:hAnsi="Arial Narrow" w:cs="Arial"/>
          <w:sz w:val="24"/>
          <w:szCs w:val="24"/>
        </w:rPr>
        <w:t xml:space="preserve">(pêcheurs 3,40%, </w:t>
      </w:r>
      <w:r w:rsidR="003F2E0F" w:rsidRPr="007E7C5B">
        <w:rPr>
          <w:rFonts w:ascii="Arial Narrow" w:hAnsi="Arial Narrow" w:cs="Arial"/>
          <w:sz w:val="24"/>
          <w:szCs w:val="24"/>
        </w:rPr>
        <w:t>personnes en situation d</w:t>
      </w:r>
      <w:r w:rsidR="00917DC1" w:rsidRPr="007E7C5B">
        <w:rPr>
          <w:rFonts w:ascii="Arial Narrow" w:hAnsi="Arial Narrow" w:cs="Arial"/>
          <w:sz w:val="24"/>
          <w:szCs w:val="24"/>
        </w:rPr>
        <w:t xml:space="preserve">e </w:t>
      </w:r>
      <w:r w:rsidR="003F2E0F" w:rsidRPr="007E7C5B">
        <w:rPr>
          <w:rFonts w:ascii="Arial Narrow" w:hAnsi="Arial Narrow" w:cs="Arial"/>
          <w:sz w:val="24"/>
          <w:szCs w:val="24"/>
        </w:rPr>
        <w:t>handicap 2,91% et Hommes en uniformes 3%)</w:t>
      </w:r>
      <w:r w:rsidR="005C679E" w:rsidRPr="007E7C5B">
        <w:rPr>
          <w:rFonts w:ascii="Arial Narrow" w:hAnsi="Arial Narrow" w:cs="Arial"/>
          <w:sz w:val="24"/>
          <w:szCs w:val="24"/>
        </w:rPr>
        <w:t>,</w:t>
      </w:r>
      <w:r w:rsidR="003F2E0F" w:rsidRPr="007E7C5B">
        <w:rPr>
          <w:rFonts w:ascii="Arial Narrow" w:hAnsi="Arial Narrow" w:cs="Arial"/>
          <w:sz w:val="24"/>
          <w:szCs w:val="24"/>
        </w:rPr>
        <w:t xml:space="preserve"> non ou insuffisamment adressées par les stratégies de dépistage actuelles.</w:t>
      </w:r>
    </w:p>
    <w:p w14:paraId="7A6C878C" w14:textId="79D7EF23" w:rsidR="009D4307" w:rsidRPr="007E7C5B" w:rsidRDefault="007D0E98" w:rsidP="003E7F09">
      <w:pPr>
        <w:spacing w:line="257" w:lineRule="auto"/>
        <w:jc w:val="both"/>
        <w:rPr>
          <w:rFonts w:ascii="Arial Narrow" w:hAnsi="Arial Narrow" w:cs="Times New Roman"/>
          <w:sz w:val="24"/>
          <w:szCs w:val="24"/>
        </w:rPr>
      </w:pPr>
      <w:r w:rsidRPr="007E7C5B">
        <w:rPr>
          <w:rFonts w:ascii="Arial Narrow" w:hAnsi="Arial Narrow" w:cs="Arial"/>
          <w:bCs/>
          <w:sz w:val="24"/>
          <w:szCs w:val="24"/>
        </w:rPr>
        <w:t xml:space="preserve">La </w:t>
      </w:r>
      <w:r w:rsidR="00D717D3" w:rsidRPr="007E7C5B">
        <w:rPr>
          <w:rFonts w:ascii="Arial Narrow" w:hAnsi="Arial Narrow" w:cs="Arial"/>
          <w:bCs/>
          <w:sz w:val="24"/>
          <w:szCs w:val="24"/>
        </w:rPr>
        <w:t>réalisation</w:t>
      </w:r>
      <w:r w:rsidRPr="007E7C5B">
        <w:rPr>
          <w:rFonts w:ascii="Arial Narrow" w:hAnsi="Arial Narrow" w:cs="Arial"/>
          <w:bCs/>
          <w:sz w:val="24"/>
          <w:szCs w:val="24"/>
        </w:rPr>
        <w:t xml:space="preserve"> de toutes ces interventions a permis l’atteinte des </w:t>
      </w:r>
      <w:r w:rsidR="00D717D3" w:rsidRPr="007E7C5B">
        <w:rPr>
          <w:rFonts w:ascii="Arial Narrow" w:hAnsi="Arial Narrow" w:cs="Arial"/>
          <w:bCs/>
          <w:sz w:val="24"/>
          <w:szCs w:val="24"/>
        </w:rPr>
        <w:t>résultats</w:t>
      </w:r>
      <w:r w:rsidRPr="007E7C5B">
        <w:rPr>
          <w:rFonts w:ascii="Arial Narrow" w:hAnsi="Arial Narrow" w:cs="Arial"/>
          <w:bCs/>
          <w:sz w:val="24"/>
          <w:szCs w:val="24"/>
        </w:rPr>
        <w:t xml:space="preserve"> clés suivants</w:t>
      </w:r>
      <w:r w:rsidR="005F5999" w:rsidRPr="007E7C5B">
        <w:rPr>
          <w:rFonts w:ascii="Arial Narrow" w:hAnsi="Arial Narrow" w:cs="Arial"/>
          <w:bCs/>
          <w:sz w:val="24"/>
          <w:szCs w:val="24"/>
        </w:rPr>
        <w:t xml:space="preserve"> : </w:t>
      </w:r>
    </w:p>
    <w:p w14:paraId="404457D2" w14:textId="31D56D9D" w:rsidR="00281B55" w:rsidRPr="007E7C5B" w:rsidRDefault="009D4307" w:rsidP="000A1A7B">
      <w:pPr>
        <w:pStyle w:val="Paragraphedeliste"/>
        <w:numPr>
          <w:ilvl w:val="0"/>
          <w:numId w:val="24"/>
        </w:numPr>
        <w:spacing w:line="257" w:lineRule="auto"/>
        <w:jc w:val="both"/>
        <w:rPr>
          <w:rFonts w:ascii="Arial Narrow" w:eastAsia="Calibri" w:hAnsi="Arial Narrow" w:cs="Arial"/>
          <w:sz w:val="24"/>
          <w:szCs w:val="24"/>
        </w:rPr>
      </w:pPr>
      <w:r w:rsidRPr="007E7C5B">
        <w:rPr>
          <w:rFonts w:ascii="Arial Narrow" w:hAnsi="Arial Narrow" w:cs="Times New Roman"/>
          <w:sz w:val="24"/>
          <w:szCs w:val="24"/>
        </w:rPr>
        <w:t>Le</w:t>
      </w:r>
      <w:r w:rsidR="003F5B6B" w:rsidRPr="007E7C5B">
        <w:rPr>
          <w:rFonts w:ascii="Arial Narrow" w:hAnsi="Arial Narrow" w:cs="Times New Roman"/>
          <w:sz w:val="24"/>
          <w:szCs w:val="24"/>
        </w:rPr>
        <w:t xml:space="preserve"> pourcentage des PVVIH qui connaissent leur statut sérologique (</w:t>
      </w:r>
      <w:r w:rsidR="003F5B6B" w:rsidRPr="007E7C5B">
        <w:rPr>
          <w:rFonts w:ascii="Arial Narrow" w:hAnsi="Arial Narrow" w:cs="Times New Roman"/>
          <w:b/>
          <w:sz w:val="24"/>
          <w:szCs w:val="24"/>
        </w:rPr>
        <w:t>1</w:t>
      </w:r>
      <w:r w:rsidR="003F5B6B" w:rsidRPr="007E7C5B">
        <w:rPr>
          <w:rFonts w:ascii="Arial Narrow" w:hAnsi="Arial Narrow" w:cs="Times New Roman"/>
          <w:b/>
          <w:sz w:val="24"/>
          <w:szCs w:val="24"/>
          <w:vertAlign w:val="superscript"/>
        </w:rPr>
        <w:t>er</w:t>
      </w:r>
      <w:r w:rsidR="003F5B6B" w:rsidRPr="007E7C5B">
        <w:rPr>
          <w:rFonts w:ascii="Arial Narrow" w:hAnsi="Arial Narrow" w:cs="Times New Roman"/>
          <w:b/>
          <w:sz w:val="24"/>
          <w:szCs w:val="24"/>
        </w:rPr>
        <w:t xml:space="preserve"> 95</w:t>
      </w:r>
      <w:r w:rsidR="003F5B6B" w:rsidRPr="007E7C5B">
        <w:rPr>
          <w:rFonts w:ascii="Arial Narrow" w:hAnsi="Arial Narrow" w:cs="Times New Roman"/>
          <w:sz w:val="24"/>
          <w:szCs w:val="24"/>
        </w:rPr>
        <w:t>)</w:t>
      </w:r>
      <w:r w:rsidR="003F5B6B" w:rsidRPr="007E7C5B">
        <w:rPr>
          <w:rFonts w:ascii="Arial Narrow" w:hAnsi="Arial Narrow" w:cs="Times New Roman"/>
          <w:b/>
          <w:sz w:val="24"/>
          <w:szCs w:val="24"/>
        </w:rPr>
        <w:t xml:space="preserve"> </w:t>
      </w:r>
      <w:r w:rsidR="003F5B6B" w:rsidRPr="007E7C5B">
        <w:rPr>
          <w:rFonts w:ascii="Arial Narrow" w:hAnsi="Arial Narrow" w:cs="Times New Roman"/>
          <w:sz w:val="24"/>
          <w:szCs w:val="24"/>
        </w:rPr>
        <w:t>est passé de 8</w:t>
      </w:r>
      <w:r w:rsidR="006934F4" w:rsidRPr="007E7C5B">
        <w:rPr>
          <w:rFonts w:ascii="Arial Narrow" w:hAnsi="Arial Narrow" w:cs="Times New Roman"/>
          <w:sz w:val="24"/>
          <w:szCs w:val="24"/>
        </w:rPr>
        <w:t>4</w:t>
      </w:r>
      <w:r w:rsidR="003F5B6B" w:rsidRPr="007E7C5B">
        <w:rPr>
          <w:rFonts w:ascii="Arial Narrow" w:hAnsi="Arial Narrow" w:cs="Times New Roman"/>
          <w:sz w:val="24"/>
          <w:szCs w:val="24"/>
        </w:rPr>
        <w:t>% en 202</w:t>
      </w:r>
      <w:r w:rsidR="00DC4BF5" w:rsidRPr="007E7C5B">
        <w:rPr>
          <w:rFonts w:ascii="Arial Narrow" w:hAnsi="Arial Narrow" w:cs="Times New Roman"/>
          <w:sz w:val="24"/>
          <w:szCs w:val="24"/>
        </w:rPr>
        <w:t>0</w:t>
      </w:r>
      <w:r w:rsidR="003F5B6B" w:rsidRPr="007E7C5B">
        <w:rPr>
          <w:rFonts w:ascii="Arial Narrow" w:hAnsi="Arial Narrow" w:cs="Times New Roman"/>
          <w:sz w:val="24"/>
          <w:szCs w:val="24"/>
        </w:rPr>
        <w:t xml:space="preserve"> à </w:t>
      </w:r>
      <w:r w:rsidR="00DA70BA" w:rsidRPr="007E7C5B">
        <w:rPr>
          <w:rFonts w:ascii="Arial Narrow" w:hAnsi="Arial Narrow" w:cs="Times New Roman"/>
          <w:sz w:val="24"/>
          <w:szCs w:val="24"/>
        </w:rPr>
        <w:t xml:space="preserve">80% en 2021 puis à </w:t>
      </w:r>
      <w:r w:rsidR="003F5B6B" w:rsidRPr="007E7C5B">
        <w:rPr>
          <w:rFonts w:ascii="Arial Narrow" w:hAnsi="Arial Narrow" w:cs="Times New Roman"/>
          <w:sz w:val="24"/>
          <w:szCs w:val="24"/>
        </w:rPr>
        <w:t xml:space="preserve">82% en 2023 contre une cible de 91%. </w:t>
      </w:r>
      <w:r w:rsidR="001B277E" w:rsidRPr="007E7C5B">
        <w:rPr>
          <w:rFonts w:ascii="Arial Narrow" w:hAnsi="Arial Narrow" w:cs="Times New Roman"/>
          <w:sz w:val="24"/>
          <w:szCs w:val="24"/>
        </w:rPr>
        <w:t>Il existe</w:t>
      </w:r>
      <w:r w:rsidR="003F5B6B" w:rsidRPr="007E7C5B">
        <w:rPr>
          <w:rFonts w:ascii="Arial Narrow" w:hAnsi="Arial Narrow" w:cs="Times New Roman"/>
          <w:sz w:val="24"/>
          <w:szCs w:val="24"/>
        </w:rPr>
        <w:t xml:space="preserve"> une inégalité dans l’accès à la connaissance de statut. En 202</w:t>
      </w:r>
      <w:r w:rsidR="0092168C" w:rsidRPr="007E7C5B">
        <w:rPr>
          <w:rFonts w:ascii="Arial Narrow" w:hAnsi="Arial Narrow" w:cs="Times New Roman"/>
          <w:sz w:val="24"/>
          <w:szCs w:val="24"/>
        </w:rPr>
        <w:t>3</w:t>
      </w:r>
      <w:r w:rsidR="003F5B6B" w:rsidRPr="007E7C5B">
        <w:rPr>
          <w:rFonts w:ascii="Arial Narrow" w:hAnsi="Arial Narrow" w:cs="Times New Roman"/>
          <w:sz w:val="24"/>
          <w:szCs w:val="24"/>
        </w:rPr>
        <w:t xml:space="preserve">, la connaissance de statut </w:t>
      </w:r>
      <w:r w:rsidR="003F5B6B" w:rsidRPr="007E7C5B" w:rsidDel="0092168C">
        <w:rPr>
          <w:rFonts w:ascii="Arial Narrow" w:hAnsi="Arial Narrow" w:cs="Times New Roman"/>
          <w:sz w:val="24"/>
          <w:szCs w:val="24"/>
        </w:rPr>
        <w:t xml:space="preserve">était de </w:t>
      </w:r>
      <w:r w:rsidR="003F5B6B" w:rsidRPr="007E7C5B">
        <w:rPr>
          <w:rFonts w:ascii="Arial Narrow" w:hAnsi="Arial Narrow" w:cs="Times New Roman"/>
          <w:sz w:val="24"/>
          <w:szCs w:val="24"/>
        </w:rPr>
        <w:t>55% chez les enfants de 0-14 ans, 75% chez les hommes de 15ans et plus et 88% chez les femmes de 15 ans et plus. Ce faible taux d’enrôlement des enfant</w:t>
      </w:r>
      <w:r w:rsidR="00897A9E" w:rsidRPr="007E7C5B">
        <w:rPr>
          <w:rFonts w:ascii="Arial Narrow" w:hAnsi="Arial Narrow" w:cs="Times New Roman"/>
          <w:sz w:val="24"/>
          <w:szCs w:val="24"/>
        </w:rPr>
        <w:t>s</w:t>
      </w:r>
      <w:r w:rsidR="003F5B6B" w:rsidRPr="007E7C5B">
        <w:rPr>
          <w:rFonts w:ascii="Arial Narrow" w:hAnsi="Arial Narrow" w:cs="Times New Roman"/>
          <w:sz w:val="24"/>
          <w:szCs w:val="24"/>
        </w:rPr>
        <w:t xml:space="preserve"> PVVIH pourrait s’expliquer par p</w:t>
      </w:r>
      <w:r w:rsidR="003F5B6B" w:rsidRPr="007E7C5B">
        <w:rPr>
          <w:rFonts w:ascii="Arial Narrow" w:hAnsi="Arial Narrow" w:cs="Arial"/>
          <w:sz w:val="24"/>
          <w:szCs w:val="24"/>
        </w:rPr>
        <w:t xml:space="preserve">lusieurs occasions manquées d’offre du dépistage notamment la non-intégration du dépistage aux activités du </w:t>
      </w:r>
      <w:r w:rsidR="00EA5326" w:rsidRPr="007E7C5B">
        <w:rPr>
          <w:rFonts w:ascii="Arial Narrow" w:hAnsi="Arial Narrow" w:cs="Arial"/>
          <w:sz w:val="24"/>
          <w:szCs w:val="24"/>
        </w:rPr>
        <w:t>Programme Elargi de Vaccination (</w:t>
      </w:r>
      <w:r w:rsidR="003F5B6B" w:rsidRPr="007E7C5B">
        <w:rPr>
          <w:rFonts w:ascii="Arial Narrow" w:hAnsi="Arial Narrow" w:cs="Arial"/>
          <w:sz w:val="24"/>
          <w:szCs w:val="24"/>
        </w:rPr>
        <w:t>PEV</w:t>
      </w:r>
      <w:r w:rsidR="00EA5326" w:rsidRPr="007E7C5B">
        <w:rPr>
          <w:rFonts w:ascii="Arial Narrow" w:hAnsi="Arial Narrow" w:cs="Arial"/>
          <w:sz w:val="24"/>
          <w:szCs w:val="24"/>
        </w:rPr>
        <w:t>)</w:t>
      </w:r>
      <w:r w:rsidR="003F5B6B" w:rsidRPr="007E7C5B">
        <w:rPr>
          <w:rFonts w:ascii="Arial Narrow" w:hAnsi="Arial Narrow" w:cs="Arial"/>
          <w:sz w:val="24"/>
          <w:szCs w:val="24"/>
        </w:rPr>
        <w:t xml:space="preserve">, dans les centres sociaux, unités de pesée pédiatrique, services diététique, dermatologie, urgences médicales pédiatriques, etc. </w:t>
      </w:r>
    </w:p>
    <w:p w14:paraId="73B65E66" w14:textId="297A6F15" w:rsidR="004B00D2" w:rsidRPr="007E7C5B" w:rsidRDefault="00C61EB8" w:rsidP="000A1A7B">
      <w:pPr>
        <w:pStyle w:val="Paragraphedeliste"/>
        <w:numPr>
          <w:ilvl w:val="0"/>
          <w:numId w:val="24"/>
        </w:numPr>
        <w:spacing w:before="120" w:after="120"/>
        <w:jc w:val="both"/>
        <w:rPr>
          <w:rFonts w:ascii="Arial Narrow" w:hAnsi="Arial Narrow" w:cs="Times New Roman"/>
          <w:sz w:val="24"/>
          <w:szCs w:val="24"/>
        </w:rPr>
      </w:pPr>
      <w:r w:rsidRPr="007E7C5B">
        <w:rPr>
          <w:rFonts w:ascii="Arial Narrow" w:hAnsi="Arial Narrow" w:cs="Times New Roman"/>
          <w:sz w:val="24"/>
          <w:szCs w:val="24"/>
        </w:rPr>
        <w:t xml:space="preserve">Le pourcentage des PVVIH </w:t>
      </w:r>
      <w:r w:rsidRPr="00A918AC">
        <w:rPr>
          <w:rFonts w:ascii="Arial Narrow" w:hAnsi="Arial Narrow" w:cs="Times New Roman"/>
          <w:sz w:val="24"/>
          <w:szCs w:val="24"/>
        </w:rPr>
        <w:t>diagnostiqué</w:t>
      </w:r>
      <w:r w:rsidR="00774F5D" w:rsidRPr="007E7C5B">
        <w:rPr>
          <w:rFonts w:ascii="Arial Narrow" w:hAnsi="Arial Narrow" w:cs="Times New Roman"/>
          <w:sz w:val="24"/>
          <w:szCs w:val="24"/>
        </w:rPr>
        <w:t>e</w:t>
      </w:r>
      <w:r w:rsidRPr="00A918AC">
        <w:rPr>
          <w:rFonts w:ascii="Arial Narrow" w:hAnsi="Arial Narrow" w:cs="Times New Roman"/>
          <w:sz w:val="24"/>
          <w:szCs w:val="24"/>
        </w:rPr>
        <w:t>s</w:t>
      </w:r>
      <w:r w:rsidRPr="007E7C5B">
        <w:rPr>
          <w:rFonts w:ascii="Arial Narrow" w:hAnsi="Arial Narrow" w:cs="Times New Roman"/>
          <w:sz w:val="24"/>
          <w:szCs w:val="24"/>
        </w:rPr>
        <w:t xml:space="preserve"> et </w:t>
      </w:r>
      <w:r w:rsidRPr="00A918AC">
        <w:rPr>
          <w:rFonts w:ascii="Arial Narrow" w:hAnsi="Arial Narrow" w:cs="Times New Roman"/>
          <w:sz w:val="24"/>
          <w:szCs w:val="24"/>
        </w:rPr>
        <w:t>mis</w:t>
      </w:r>
      <w:r w:rsidRPr="007E7C5B">
        <w:rPr>
          <w:rFonts w:ascii="Arial Narrow" w:hAnsi="Arial Narrow" w:cs="Times New Roman"/>
          <w:sz w:val="24"/>
          <w:szCs w:val="24"/>
        </w:rPr>
        <w:t xml:space="preserve"> sous traitement ARV (</w:t>
      </w:r>
      <w:r w:rsidRPr="007E7C5B">
        <w:rPr>
          <w:rFonts w:ascii="Arial Narrow" w:hAnsi="Arial Narrow" w:cs="Times New Roman"/>
          <w:b/>
          <w:sz w:val="24"/>
          <w:szCs w:val="24"/>
        </w:rPr>
        <w:t>2</w:t>
      </w:r>
      <w:r w:rsidRPr="007E7C5B">
        <w:rPr>
          <w:rFonts w:ascii="Arial Narrow" w:hAnsi="Arial Narrow" w:cs="Times New Roman"/>
          <w:b/>
          <w:sz w:val="24"/>
          <w:szCs w:val="24"/>
          <w:vertAlign w:val="superscript"/>
        </w:rPr>
        <w:t>ème</w:t>
      </w:r>
      <w:r w:rsidRPr="007E7C5B">
        <w:rPr>
          <w:rFonts w:ascii="Arial Narrow" w:hAnsi="Arial Narrow" w:cs="Times New Roman"/>
          <w:b/>
          <w:sz w:val="24"/>
          <w:szCs w:val="24"/>
        </w:rPr>
        <w:t xml:space="preserve"> 95)</w:t>
      </w:r>
      <w:r w:rsidRPr="007E7C5B">
        <w:rPr>
          <w:rFonts w:ascii="Arial Narrow" w:hAnsi="Arial Narrow" w:cs="Times New Roman"/>
          <w:sz w:val="24"/>
          <w:szCs w:val="24"/>
        </w:rPr>
        <w:t xml:space="preserve"> est passé de</w:t>
      </w:r>
      <w:r w:rsidR="00006D4C" w:rsidRPr="007E7C5B">
        <w:rPr>
          <w:rFonts w:ascii="Arial Narrow" w:hAnsi="Arial Narrow" w:cs="Times New Roman"/>
          <w:sz w:val="24"/>
          <w:szCs w:val="24"/>
        </w:rPr>
        <w:t xml:space="preserve"> 78% en 2020</w:t>
      </w:r>
      <w:r w:rsidR="00420A97" w:rsidRPr="007E7C5B">
        <w:rPr>
          <w:rFonts w:ascii="Arial Narrow" w:hAnsi="Arial Narrow" w:cs="Times New Roman"/>
          <w:sz w:val="24"/>
          <w:szCs w:val="24"/>
        </w:rPr>
        <w:t xml:space="preserve"> </w:t>
      </w:r>
      <w:r w:rsidR="00745337" w:rsidRPr="007E7C5B">
        <w:rPr>
          <w:rFonts w:ascii="Arial Narrow" w:hAnsi="Arial Narrow" w:cs="Times New Roman"/>
          <w:sz w:val="24"/>
          <w:szCs w:val="24"/>
        </w:rPr>
        <w:t xml:space="preserve">à </w:t>
      </w:r>
      <w:r w:rsidRPr="007E7C5B">
        <w:rPr>
          <w:rFonts w:ascii="Arial Narrow" w:hAnsi="Arial Narrow" w:cs="Times New Roman"/>
          <w:sz w:val="24"/>
          <w:szCs w:val="24"/>
        </w:rPr>
        <w:t>95%</w:t>
      </w:r>
      <w:r w:rsidRPr="007E7C5B" w:rsidDel="00C72847">
        <w:rPr>
          <w:rFonts w:ascii="Arial Narrow" w:hAnsi="Arial Narrow" w:cs="Times New Roman"/>
          <w:sz w:val="24"/>
          <w:szCs w:val="24"/>
        </w:rPr>
        <w:t xml:space="preserve"> </w:t>
      </w:r>
      <w:r w:rsidRPr="007E7C5B">
        <w:rPr>
          <w:rFonts w:ascii="Arial Narrow" w:hAnsi="Arial Narrow" w:cs="Times New Roman"/>
          <w:sz w:val="24"/>
          <w:szCs w:val="24"/>
        </w:rPr>
        <w:t xml:space="preserve">en 2021 </w:t>
      </w:r>
      <w:r w:rsidR="00F273F9" w:rsidRPr="007E7C5B">
        <w:rPr>
          <w:rFonts w:ascii="Arial Narrow" w:hAnsi="Arial Narrow" w:cs="Times New Roman"/>
          <w:sz w:val="24"/>
          <w:szCs w:val="24"/>
        </w:rPr>
        <w:t xml:space="preserve">puis </w:t>
      </w:r>
      <w:r w:rsidRPr="007E7C5B">
        <w:rPr>
          <w:rFonts w:ascii="Arial Narrow" w:hAnsi="Arial Narrow" w:cs="Times New Roman"/>
          <w:sz w:val="24"/>
          <w:szCs w:val="24"/>
        </w:rPr>
        <w:t>à 88% en 2023 (Spectrum).</w:t>
      </w:r>
      <w:r w:rsidRPr="007E7C5B" w:rsidDel="007E1167">
        <w:rPr>
          <w:rFonts w:ascii="Arial Narrow" w:hAnsi="Arial Narrow" w:cs="Times New Roman"/>
          <w:sz w:val="24"/>
          <w:szCs w:val="24"/>
        </w:rPr>
        <w:t xml:space="preserve"> </w:t>
      </w:r>
      <w:r w:rsidRPr="007E7C5B">
        <w:rPr>
          <w:rFonts w:ascii="Arial Narrow" w:hAnsi="Arial Narrow" w:cs="Times New Roman"/>
          <w:sz w:val="24"/>
          <w:szCs w:val="24"/>
        </w:rPr>
        <w:t>La désagrégation de cet indicateur en 2023 par catégorie est de 55% chez les enfants de 0-14 ans, 88% chez les femmes et 75% chez les hommes. La cible de 88% fixée en 2023 a été atteinte</w:t>
      </w:r>
      <w:r w:rsidR="00E22CBA" w:rsidRPr="007E7C5B">
        <w:rPr>
          <w:rFonts w:ascii="Arial Narrow" w:hAnsi="Arial Narrow" w:cs="Times New Roman"/>
          <w:sz w:val="24"/>
          <w:szCs w:val="24"/>
        </w:rPr>
        <w:t xml:space="preserve"> malgré</w:t>
      </w:r>
      <w:r w:rsidRPr="00A918AC">
        <w:rPr>
          <w:rFonts w:ascii="Arial Narrow" w:hAnsi="Arial Narrow" w:cs="Times New Roman"/>
          <w:sz w:val="24"/>
          <w:szCs w:val="24"/>
        </w:rPr>
        <w:t>.</w:t>
      </w:r>
    </w:p>
    <w:p w14:paraId="3EFE78BE" w14:textId="5AF615E2" w:rsidR="003726E3" w:rsidRDefault="003726E3" w:rsidP="000A1A7B">
      <w:pPr>
        <w:pStyle w:val="Paragraphedeliste"/>
        <w:numPr>
          <w:ilvl w:val="0"/>
          <w:numId w:val="24"/>
        </w:numPr>
        <w:spacing w:before="120" w:after="120"/>
        <w:jc w:val="both"/>
        <w:rPr>
          <w:rFonts w:ascii="Arial Narrow" w:hAnsi="Arial Narrow" w:cs="Times New Roman"/>
          <w:sz w:val="24"/>
          <w:szCs w:val="24"/>
        </w:rPr>
      </w:pPr>
      <w:r w:rsidRPr="00A918AC">
        <w:rPr>
          <w:rFonts w:ascii="Arial Narrow" w:hAnsi="Arial Narrow" w:cs="Times New Roman"/>
          <w:sz w:val="24"/>
          <w:szCs w:val="24"/>
        </w:rPr>
        <w:t>Le pourcentage des PVVIH sous traitement ARV ayant une charge virale durablement supprimée (</w:t>
      </w:r>
      <w:r w:rsidRPr="00A918AC">
        <w:rPr>
          <w:rFonts w:ascii="Arial Narrow" w:hAnsi="Arial Narrow" w:cs="Times New Roman"/>
          <w:b/>
          <w:sz w:val="24"/>
          <w:szCs w:val="24"/>
        </w:rPr>
        <w:t>3</w:t>
      </w:r>
      <w:r w:rsidRPr="00A918AC">
        <w:rPr>
          <w:rFonts w:ascii="Arial Narrow" w:hAnsi="Arial Narrow" w:cs="Times New Roman"/>
          <w:b/>
          <w:sz w:val="24"/>
          <w:szCs w:val="24"/>
          <w:vertAlign w:val="superscript"/>
        </w:rPr>
        <w:t>ème</w:t>
      </w:r>
      <w:r w:rsidRPr="00A918AC">
        <w:rPr>
          <w:rFonts w:ascii="Arial Narrow" w:hAnsi="Arial Narrow" w:cs="Times New Roman"/>
          <w:b/>
          <w:sz w:val="24"/>
          <w:szCs w:val="24"/>
        </w:rPr>
        <w:t xml:space="preserve"> 95) </w:t>
      </w:r>
      <w:r w:rsidRPr="00A918AC">
        <w:rPr>
          <w:rFonts w:ascii="Arial Narrow" w:hAnsi="Arial Narrow" w:cs="Times New Roman"/>
          <w:sz w:val="24"/>
          <w:szCs w:val="24"/>
        </w:rPr>
        <w:t xml:space="preserve">est passé de </w:t>
      </w:r>
      <w:r w:rsidR="00C35F17" w:rsidRPr="007E7C5B">
        <w:rPr>
          <w:rFonts w:ascii="Arial Narrow" w:hAnsi="Arial Narrow" w:cs="Times New Roman"/>
          <w:sz w:val="24"/>
          <w:szCs w:val="24"/>
        </w:rPr>
        <w:t xml:space="preserve">82% en 2020, à </w:t>
      </w:r>
      <w:r w:rsidRPr="00A918AC">
        <w:rPr>
          <w:rFonts w:ascii="Arial Narrow" w:hAnsi="Arial Narrow" w:cs="Times New Roman"/>
          <w:sz w:val="24"/>
          <w:szCs w:val="24"/>
        </w:rPr>
        <w:t xml:space="preserve">84% en 2021 </w:t>
      </w:r>
      <w:r w:rsidR="00C35F17" w:rsidRPr="007E7C5B">
        <w:rPr>
          <w:rFonts w:ascii="Arial Narrow" w:hAnsi="Arial Narrow" w:cs="Times New Roman"/>
          <w:sz w:val="24"/>
          <w:szCs w:val="24"/>
        </w:rPr>
        <w:t xml:space="preserve">puis </w:t>
      </w:r>
      <w:r w:rsidRPr="00A918AC">
        <w:rPr>
          <w:rFonts w:ascii="Arial Narrow" w:hAnsi="Arial Narrow" w:cs="Times New Roman"/>
          <w:sz w:val="24"/>
          <w:szCs w:val="24"/>
        </w:rPr>
        <w:t>à 88% en 2023</w:t>
      </w:r>
      <w:r w:rsidR="00374587" w:rsidRPr="007E7C5B">
        <w:rPr>
          <w:rFonts w:ascii="Arial Narrow" w:hAnsi="Arial Narrow" w:cs="Times New Roman"/>
          <w:sz w:val="24"/>
          <w:szCs w:val="24"/>
        </w:rPr>
        <w:t>,</w:t>
      </w:r>
      <w:r w:rsidRPr="00A918AC">
        <w:rPr>
          <w:rFonts w:ascii="Arial Narrow" w:hAnsi="Arial Narrow" w:cs="Times New Roman"/>
          <w:sz w:val="24"/>
          <w:szCs w:val="24"/>
        </w:rPr>
        <w:t xml:space="preserve"> contre une cible de 90%. </w:t>
      </w:r>
      <w:r w:rsidR="00F523EC" w:rsidRPr="007E7C5B">
        <w:rPr>
          <w:rFonts w:ascii="Arial Narrow" w:hAnsi="Arial Narrow" w:cs="Times New Roman"/>
          <w:sz w:val="24"/>
          <w:szCs w:val="24"/>
        </w:rPr>
        <w:t>Ce pourcentage est</w:t>
      </w:r>
      <w:r w:rsidRPr="00A918AC">
        <w:rPr>
          <w:rFonts w:ascii="Arial Narrow" w:hAnsi="Arial Narrow" w:cs="Times New Roman"/>
          <w:sz w:val="24"/>
          <w:szCs w:val="24"/>
        </w:rPr>
        <w:t xml:space="preserve"> de 79% chez les enfants de 0-14 ans, 88% chez les hommes et les femmes de 15</w:t>
      </w:r>
      <w:r w:rsidR="00997E03" w:rsidRPr="007E7C5B">
        <w:rPr>
          <w:rFonts w:ascii="Arial Narrow" w:hAnsi="Arial Narrow" w:cs="Times New Roman"/>
          <w:sz w:val="24"/>
          <w:szCs w:val="24"/>
        </w:rPr>
        <w:t xml:space="preserve"> </w:t>
      </w:r>
      <w:r w:rsidRPr="00A918AC">
        <w:rPr>
          <w:rFonts w:ascii="Arial Narrow" w:hAnsi="Arial Narrow" w:cs="Times New Roman"/>
          <w:sz w:val="24"/>
          <w:szCs w:val="24"/>
        </w:rPr>
        <w:t>ans et plus. Cette évolution positive pourrait s’expliquer par l’augmentation du nombre de plateformes de charge virale (CV) sur l’étendue du territoire (</w:t>
      </w:r>
      <w:r w:rsidRPr="00A918AC">
        <w:rPr>
          <w:rFonts w:ascii="Arial Narrow" w:hAnsi="Arial Narrow"/>
          <w:sz w:val="24"/>
          <w:szCs w:val="24"/>
        </w:rPr>
        <w:t>passant de 21 en 2021 à 31 en 2023)</w:t>
      </w:r>
      <w:r w:rsidRPr="00A918AC">
        <w:rPr>
          <w:rFonts w:ascii="Arial Narrow" w:hAnsi="Arial Narrow" w:cs="Times New Roman"/>
          <w:sz w:val="24"/>
          <w:szCs w:val="24"/>
        </w:rPr>
        <w:t xml:space="preserve">, </w:t>
      </w:r>
      <w:r w:rsidR="00847F66" w:rsidRPr="007E7C5B">
        <w:rPr>
          <w:rFonts w:ascii="Arial Narrow" w:hAnsi="Arial Narrow" w:cs="Times New Roman"/>
          <w:sz w:val="24"/>
          <w:szCs w:val="24"/>
        </w:rPr>
        <w:t xml:space="preserve">par </w:t>
      </w:r>
      <w:r w:rsidRPr="00A918AC">
        <w:rPr>
          <w:rFonts w:ascii="Arial Narrow" w:hAnsi="Arial Narrow" w:cs="Times New Roman"/>
          <w:sz w:val="24"/>
          <w:szCs w:val="24"/>
        </w:rPr>
        <w:t xml:space="preserve">la disponibilité des intrants et </w:t>
      </w:r>
      <w:r w:rsidR="00847F66" w:rsidRPr="007E7C5B">
        <w:rPr>
          <w:rFonts w:ascii="Arial Narrow" w:hAnsi="Arial Narrow" w:cs="Times New Roman"/>
          <w:sz w:val="24"/>
          <w:szCs w:val="24"/>
        </w:rPr>
        <w:t xml:space="preserve">par </w:t>
      </w:r>
      <w:r w:rsidRPr="00A918AC">
        <w:rPr>
          <w:rFonts w:ascii="Arial Narrow" w:hAnsi="Arial Narrow" w:cs="Times New Roman"/>
          <w:sz w:val="24"/>
          <w:szCs w:val="24"/>
        </w:rPr>
        <w:t xml:space="preserve">le suivi de la charge virale des patients. </w:t>
      </w:r>
    </w:p>
    <w:p w14:paraId="00DB7524" w14:textId="58C243C4" w:rsidR="00CA152D" w:rsidRDefault="00CA152D" w:rsidP="00DC5897">
      <w:pPr>
        <w:pStyle w:val="Lgende"/>
      </w:pPr>
      <w:bookmarkStart w:id="75" w:name="_Toc183688805"/>
      <w:r>
        <w:t xml:space="preserve">Graphique </w:t>
      </w:r>
      <w:r>
        <w:fldChar w:fldCharType="begin"/>
      </w:r>
      <w:r>
        <w:instrText xml:space="preserve"> SEQ Graphique \* ARABIC </w:instrText>
      </w:r>
      <w:r>
        <w:fldChar w:fldCharType="separate"/>
      </w:r>
      <w:r w:rsidR="00F546EB">
        <w:rPr>
          <w:noProof/>
        </w:rPr>
        <w:t>18</w:t>
      </w:r>
      <w:r>
        <w:fldChar w:fldCharType="end"/>
      </w:r>
      <w:r>
        <w:t xml:space="preserve"> : Evolution des indicateurs du VIH</w:t>
      </w:r>
      <w:bookmarkEnd w:id="75"/>
    </w:p>
    <w:p w14:paraId="465CAE42" w14:textId="77777777" w:rsidR="00CA152D" w:rsidRDefault="002C7DDE" w:rsidP="00CA152D">
      <w:pPr>
        <w:keepNext/>
        <w:spacing w:before="120" w:after="120"/>
        <w:jc w:val="both"/>
      </w:pPr>
      <w:r>
        <w:rPr>
          <w:noProof/>
        </w:rPr>
        <w:drawing>
          <wp:inline distT="0" distB="0" distL="0" distR="0" wp14:anchorId="13B7C504" wp14:editId="66FE3704">
            <wp:extent cx="5767705" cy="2305050"/>
            <wp:effectExtent l="0" t="0" r="4445" b="0"/>
            <wp:docPr id="1412874009" name="Chart 1">
              <a:extLst xmlns:a="http://schemas.openxmlformats.org/drawingml/2006/main">
                <a:ext uri="{FF2B5EF4-FFF2-40B4-BE49-F238E27FC236}">
                  <a16:creationId xmlns:a16="http://schemas.microsoft.com/office/drawing/2014/main" id="{1F7B91EE-1085-4404-9062-DAF7A60684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340D2AB" w14:textId="14753C8F" w:rsidR="003726E3" w:rsidRPr="00B67FC0" w:rsidRDefault="00CA152D" w:rsidP="00DC5897">
      <w:pPr>
        <w:pStyle w:val="Lgende"/>
        <w:rPr>
          <w:rFonts w:cs="Times New Roman"/>
          <w:sz w:val="24"/>
          <w:szCs w:val="24"/>
        </w:rPr>
      </w:pPr>
      <w:r>
        <w:t xml:space="preserve">Source : </w:t>
      </w:r>
      <w:r w:rsidR="00FF2546">
        <w:t>Rapport d’activité PNLS</w:t>
      </w:r>
    </w:p>
    <w:p w14:paraId="368B391A" w14:textId="1ECEBFA1" w:rsidR="003E7F09" w:rsidRPr="007E7C5B" w:rsidRDefault="003E7F09" w:rsidP="000A1A7B">
      <w:pPr>
        <w:pStyle w:val="Paragraphedeliste"/>
        <w:numPr>
          <w:ilvl w:val="0"/>
          <w:numId w:val="24"/>
        </w:numPr>
        <w:spacing w:before="120" w:after="120"/>
        <w:jc w:val="both"/>
        <w:rPr>
          <w:rFonts w:ascii="Arial Narrow" w:hAnsi="Arial Narrow" w:cs="Times New Roman"/>
          <w:sz w:val="24"/>
          <w:szCs w:val="24"/>
        </w:rPr>
      </w:pPr>
      <w:r w:rsidRPr="007E7C5B">
        <w:rPr>
          <w:rFonts w:ascii="Arial Narrow" w:hAnsi="Arial Narrow" w:cs="Times New Roman"/>
          <w:sz w:val="24"/>
          <w:szCs w:val="24"/>
        </w:rPr>
        <w:t xml:space="preserve">Le taux de transmission du VIH de la mère à l’enfant y compris la période d’allaitement a connu une hausse entre </w:t>
      </w:r>
      <w:r w:rsidR="00DE2D05" w:rsidRPr="007E7C5B">
        <w:rPr>
          <w:rFonts w:ascii="Arial Narrow" w:hAnsi="Arial Narrow" w:cs="Times New Roman"/>
          <w:sz w:val="24"/>
          <w:szCs w:val="24"/>
        </w:rPr>
        <w:t xml:space="preserve">2020 </w:t>
      </w:r>
      <w:r w:rsidRPr="007E7C5B">
        <w:rPr>
          <w:rFonts w:ascii="Arial Narrow" w:hAnsi="Arial Narrow" w:cs="Times New Roman"/>
          <w:sz w:val="24"/>
          <w:szCs w:val="24"/>
        </w:rPr>
        <w:t xml:space="preserve">et 2023. Ce taux est passé de </w:t>
      </w:r>
      <w:r w:rsidR="00ED519B" w:rsidRPr="007E7C5B">
        <w:rPr>
          <w:rFonts w:ascii="Arial Narrow" w:hAnsi="Arial Narrow" w:cs="Times New Roman"/>
          <w:sz w:val="24"/>
          <w:szCs w:val="24"/>
        </w:rPr>
        <w:t xml:space="preserve">6,61% en 2020 à </w:t>
      </w:r>
      <w:r w:rsidRPr="007E7C5B">
        <w:rPr>
          <w:rFonts w:ascii="Arial Narrow" w:hAnsi="Arial Narrow" w:cs="Times New Roman"/>
          <w:sz w:val="24"/>
          <w:szCs w:val="24"/>
        </w:rPr>
        <w:t>10,61% 2023</w:t>
      </w:r>
      <w:r w:rsidR="00117DDA" w:rsidRPr="007E7C5B">
        <w:rPr>
          <w:rFonts w:ascii="Arial Narrow" w:hAnsi="Arial Narrow" w:cs="Times New Roman"/>
          <w:sz w:val="24"/>
          <w:szCs w:val="24"/>
        </w:rPr>
        <w:t xml:space="preserve">. </w:t>
      </w:r>
      <w:r w:rsidRPr="007E7C5B">
        <w:rPr>
          <w:rFonts w:ascii="Arial Narrow" w:hAnsi="Arial Narrow" w:cs="Times New Roman"/>
          <w:sz w:val="24"/>
          <w:szCs w:val="24"/>
        </w:rPr>
        <w:t>Cette évolution pourrait s’expliquer par</w:t>
      </w:r>
      <w:r w:rsidR="008C203E" w:rsidRPr="007E7C5B">
        <w:rPr>
          <w:rFonts w:ascii="Arial Narrow" w:hAnsi="Arial Narrow" w:cs="Times New Roman"/>
          <w:sz w:val="24"/>
          <w:szCs w:val="24"/>
        </w:rPr>
        <w:t xml:space="preserve"> : </w:t>
      </w:r>
      <w:r w:rsidR="008C203E" w:rsidRPr="00A918AC">
        <w:rPr>
          <w:rFonts w:ascii="Arial Narrow" w:hAnsi="Arial Narrow" w:cs="Times New Roman"/>
          <w:i/>
          <w:sz w:val="24"/>
          <w:szCs w:val="24"/>
        </w:rPr>
        <w:t>(i)</w:t>
      </w:r>
      <w:r w:rsidR="008C203E" w:rsidRPr="007E7C5B">
        <w:rPr>
          <w:rFonts w:ascii="Arial Narrow" w:hAnsi="Arial Narrow" w:cs="Times New Roman"/>
          <w:sz w:val="24"/>
          <w:szCs w:val="24"/>
        </w:rPr>
        <w:t xml:space="preserve"> </w:t>
      </w:r>
      <w:r w:rsidRPr="007E7C5B">
        <w:rPr>
          <w:rFonts w:ascii="Arial Narrow" w:hAnsi="Arial Narrow" w:cs="Times New Roman"/>
          <w:sz w:val="24"/>
          <w:szCs w:val="24"/>
        </w:rPr>
        <w:t xml:space="preserve">la baisse de la dispensation d’ARV aux femmes enceintes séropositives </w:t>
      </w:r>
      <w:r w:rsidRPr="007E7C5B">
        <w:rPr>
          <w:rFonts w:ascii="Arial Narrow" w:hAnsi="Arial Narrow" w:cs="Times New Roman"/>
          <w:sz w:val="24"/>
          <w:szCs w:val="24"/>
        </w:rPr>
        <w:lastRenderedPageBreak/>
        <w:t>au VIH (96% en 2021 à 84% en 2022)</w:t>
      </w:r>
      <w:r w:rsidR="00AE1248" w:rsidRPr="007E7C5B">
        <w:rPr>
          <w:rFonts w:ascii="Arial Narrow" w:hAnsi="Arial Narrow" w:cs="Times New Roman"/>
          <w:sz w:val="24"/>
          <w:szCs w:val="24"/>
        </w:rPr>
        <w:t> ;</w:t>
      </w:r>
      <w:r w:rsidRPr="007E7C5B">
        <w:rPr>
          <w:rFonts w:ascii="Arial Narrow" w:hAnsi="Arial Narrow" w:cs="Times New Roman"/>
          <w:sz w:val="24"/>
          <w:szCs w:val="24"/>
        </w:rPr>
        <w:t xml:space="preserve"> </w:t>
      </w:r>
      <w:r w:rsidR="008C203E" w:rsidRPr="007E7C5B">
        <w:rPr>
          <w:rFonts w:ascii="Arial Narrow" w:hAnsi="Arial Narrow" w:cs="Times New Roman"/>
          <w:i/>
          <w:iCs/>
          <w:sz w:val="24"/>
          <w:szCs w:val="24"/>
        </w:rPr>
        <w:t>(ii)</w:t>
      </w:r>
      <w:r w:rsidRPr="007E7C5B">
        <w:rPr>
          <w:rFonts w:ascii="Arial Narrow" w:hAnsi="Arial Narrow" w:cs="Times New Roman"/>
          <w:i/>
          <w:sz w:val="24"/>
          <w:szCs w:val="24"/>
        </w:rPr>
        <w:t xml:space="preserve"> </w:t>
      </w:r>
      <w:r w:rsidRPr="007E7C5B">
        <w:rPr>
          <w:rFonts w:ascii="Arial Narrow" w:hAnsi="Arial Narrow" w:cs="Times New Roman"/>
          <w:sz w:val="24"/>
          <w:szCs w:val="24"/>
        </w:rPr>
        <w:t>la baisse de la prophylaxie ARV des enfants exposés dans les 72 heures (72,80% en 2021 à 64% en 2022) lié à</w:t>
      </w:r>
      <w:r w:rsidRPr="00A918AC">
        <w:rPr>
          <w:rFonts w:ascii="Arial Narrow" w:hAnsi="Arial Narrow" w:cs="Times New Roman"/>
          <w:sz w:val="24"/>
          <w:szCs w:val="24"/>
        </w:rPr>
        <w:t xml:space="preserve"> l’insuffisance dans la mise en œuvre des directives nationales et les ruptures de médicaments (Névirapine et Zidovudine sirop)</w:t>
      </w:r>
      <w:r w:rsidR="00AE1248" w:rsidRPr="007E7C5B">
        <w:rPr>
          <w:rFonts w:ascii="Arial Narrow" w:hAnsi="Arial Narrow" w:cs="Times New Roman"/>
          <w:sz w:val="24"/>
          <w:szCs w:val="24"/>
        </w:rPr>
        <w:t> ;</w:t>
      </w:r>
      <w:r w:rsidR="00251A9B" w:rsidRPr="007E7C5B">
        <w:rPr>
          <w:rFonts w:ascii="Arial Narrow" w:hAnsi="Arial Narrow" w:cs="Times New Roman"/>
          <w:sz w:val="24"/>
          <w:szCs w:val="24"/>
        </w:rPr>
        <w:t xml:space="preserve"> </w:t>
      </w:r>
      <w:r w:rsidR="00251A9B" w:rsidRPr="007E7C5B">
        <w:rPr>
          <w:rFonts w:ascii="Arial Narrow" w:hAnsi="Arial Narrow" w:cs="Times New Roman"/>
          <w:i/>
          <w:iCs/>
          <w:sz w:val="24"/>
          <w:szCs w:val="24"/>
        </w:rPr>
        <w:t>(iii)</w:t>
      </w:r>
      <w:r w:rsidRPr="00A918AC">
        <w:rPr>
          <w:rFonts w:ascii="Arial Narrow" w:hAnsi="Arial Narrow" w:cs="Times New Roman"/>
          <w:sz w:val="24"/>
          <w:szCs w:val="24"/>
        </w:rPr>
        <w:t xml:space="preserve"> </w:t>
      </w:r>
      <w:r w:rsidRPr="007E7C5B">
        <w:rPr>
          <w:rFonts w:ascii="Arial Narrow" w:hAnsi="Arial Narrow" w:cs="Times New Roman"/>
          <w:sz w:val="24"/>
          <w:szCs w:val="24"/>
        </w:rPr>
        <w:t xml:space="preserve">la baisse du dépistage précoce chez les enfants avant 2 mois (61% en 2021 à 53% en 2022) </w:t>
      </w:r>
      <w:r w:rsidR="00217646" w:rsidRPr="00A918AC">
        <w:rPr>
          <w:rFonts w:ascii="Arial Narrow" w:hAnsi="Arial Narrow" w:cs="Times New Roman"/>
          <w:sz w:val="24"/>
          <w:szCs w:val="24"/>
        </w:rPr>
        <w:t xml:space="preserve">due </w:t>
      </w:r>
      <w:r w:rsidRPr="00A918AC">
        <w:rPr>
          <w:rFonts w:ascii="Arial Narrow" w:hAnsi="Arial Narrow" w:cs="Times New Roman"/>
          <w:sz w:val="24"/>
          <w:szCs w:val="24"/>
        </w:rPr>
        <w:t>à l’absence d’appui pour le prélèvement et le convoyage des DBS et charges virales</w:t>
      </w:r>
      <w:r w:rsidR="00AE1248" w:rsidRPr="007E7C5B">
        <w:rPr>
          <w:rFonts w:ascii="Arial Narrow" w:hAnsi="Arial Narrow" w:cs="Times New Roman"/>
          <w:sz w:val="24"/>
          <w:szCs w:val="24"/>
        </w:rPr>
        <w:t> ;</w:t>
      </w:r>
      <w:r w:rsidRPr="007E7C5B">
        <w:rPr>
          <w:rFonts w:ascii="Arial Narrow" w:hAnsi="Arial Narrow" w:cs="Times New Roman"/>
          <w:sz w:val="24"/>
          <w:szCs w:val="24"/>
        </w:rPr>
        <w:t xml:space="preserve"> </w:t>
      </w:r>
      <w:r w:rsidR="00AE1248" w:rsidRPr="00A918AC">
        <w:rPr>
          <w:rFonts w:ascii="Arial Narrow" w:hAnsi="Arial Narrow" w:cs="Times New Roman"/>
          <w:i/>
          <w:sz w:val="24"/>
          <w:szCs w:val="24"/>
        </w:rPr>
        <w:t>(iv)</w:t>
      </w:r>
      <w:r w:rsidRPr="007E7C5B">
        <w:rPr>
          <w:rFonts w:ascii="Arial Narrow" w:hAnsi="Arial Narrow" w:cs="Times New Roman"/>
          <w:sz w:val="24"/>
          <w:szCs w:val="24"/>
        </w:rPr>
        <w:t xml:space="preserve"> le fa</w:t>
      </w:r>
      <w:r w:rsidRPr="00A918AC">
        <w:rPr>
          <w:rFonts w:ascii="Arial Narrow" w:hAnsi="Arial Narrow" w:cs="Times New Roman"/>
          <w:sz w:val="24"/>
          <w:szCs w:val="24"/>
        </w:rPr>
        <w:t>ible taux de CPN1 au premier trimestre de la grossesse représentant 35%, soit 340 491 des grossesses attendues pour lesquelles les mesures de prévention de la transmission mère-enfant du VIH pourraient être plus efficaces</w:t>
      </w:r>
      <w:r w:rsidR="00BC0ED8" w:rsidRPr="007E7C5B">
        <w:rPr>
          <w:rFonts w:ascii="Arial Narrow" w:hAnsi="Arial Narrow" w:cs="Times New Roman"/>
          <w:sz w:val="24"/>
          <w:szCs w:val="24"/>
        </w:rPr>
        <w:t xml:space="preserve"> et</w:t>
      </w:r>
      <w:r w:rsidRPr="00A918AC">
        <w:rPr>
          <w:rFonts w:ascii="Arial Narrow" w:hAnsi="Arial Narrow" w:cs="Times New Roman"/>
          <w:sz w:val="24"/>
          <w:szCs w:val="24"/>
        </w:rPr>
        <w:t xml:space="preserve"> </w:t>
      </w:r>
      <w:r w:rsidR="00BC0ED8" w:rsidRPr="007E7C5B">
        <w:rPr>
          <w:rFonts w:ascii="Arial Narrow" w:hAnsi="Arial Narrow" w:cs="Times New Roman"/>
          <w:sz w:val="24"/>
          <w:szCs w:val="24"/>
        </w:rPr>
        <w:t>(v) par l’insuffisance de</w:t>
      </w:r>
      <w:r w:rsidRPr="007E7C5B">
        <w:rPr>
          <w:rFonts w:ascii="Arial Narrow" w:hAnsi="Arial Narrow" w:cs="Times New Roman"/>
          <w:sz w:val="24"/>
          <w:szCs w:val="24"/>
        </w:rPr>
        <w:t xml:space="preserve"> </w:t>
      </w:r>
      <w:r w:rsidR="003E1999" w:rsidRPr="007E7C5B">
        <w:rPr>
          <w:rFonts w:ascii="Arial Narrow" w:hAnsi="Arial Narrow" w:cs="Times New Roman"/>
          <w:sz w:val="24"/>
          <w:szCs w:val="24"/>
        </w:rPr>
        <w:t>l’</w:t>
      </w:r>
      <w:r w:rsidRPr="007E7C5B">
        <w:rPr>
          <w:rFonts w:ascii="Arial Narrow" w:hAnsi="Arial Narrow" w:cs="Times New Roman"/>
          <w:sz w:val="24"/>
          <w:szCs w:val="24"/>
        </w:rPr>
        <w:t>intégration de la PTME dans les structures cliniques privées et centre de santé confessionnels.</w:t>
      </w:r>
    </w:p>
    <w:p w14:paraId="1CE22A4E" w14:textId="37A75F6E" w:rsidR="00B13B80" w:rsidRPr="007E7C5B" w:rsidRDefault="0057154B" w:rsidP="00D620BF">
      <w:pPr>
        <w:jc w:val="both"/>
        <w:rPr>
          <w:rFonts w:ascii="Arial Narrow" w:eastAsia="Calibri" w:hAnsi="Arial Narrow" w:cs="Arial"/>
          <w:sz w:val="24"/>
          <w:szCs w:val="24"/>
        </w:rPr>
      </w:pPr>
      <w:r>
        <w:rPr>
          <w:rFonts w:ascii="Arial Narrow" w:hAnsi="Arial Narrow" w:cs="Arial"/>
          <w:sz w:val="24"/>
          <w:szCs w:val="24"/>
        </w:rPr>
        <w:t>L’ensemble de ces actions</w:t>
      </w:r>
      <w:r w:rsidR="00223DF4" w:rsidRPr="007E7C5B">
        <w:rPr>
          <w:rFonts w:ascii="Arial Narrow" w:hAnsi="Arial Narrow" w:cs="Arial"/>
          <w:sz w:val="24"/>
          <w:szCs w:val="24"/>
        </w:rPr>
        <w:t xml:space="preserve"> </w:t>
      </w:r>
      <w:r>
        <w:rPr>
          <w:rFonts w:ascii="Arial Narrow" w:hAnsi="Arial Narrow" w:cs="Arial"/>
          <w:sz w:val="24"/>
          <w:szCs w:val="24"/>
        </w:rPr>
        <w:t>a</w:t>
      </w:r>
      <w:r w:rsidR="00223DF4" w:rsidRPr="007E7C5B">
        <w:rPr>
          <w:rFonts w:ascii="Arial Narrow" w:hAnsi="Arial Narrow" w:cs="Arial"/>
          <w:sz w:val="24"/>
          <w:szCs w:val="24"/>
        </w:rPr>
        <w:t xml:space="preserve"> permi</w:t>
      </w:r>
      <w:r>
        <w:rPr>
          <w:rFonts w:ascii="Arial Narrow" w:hAnsi="Arial Narrow" w:cs="Arial"/>
          <w:sz w:val="24"/>
          <w:szCs w:val="24"/>
        </w:rPr>
        <w:t>s</w:t>
      </w:r>
      <w:r w:rsidR="00223DF4" w:rsidRPr="007E7C5B">
        <w:rPr>
          <w:rFonts w:ascii="Arial Narrow" w:hAnsi="Arial Narrow" w:cs="Arial"/>
          <w:sz w:val="24"/>
          <w:szCs w:val="24"/>
        </w:rPr>
        <w:t xml:space="preserve"> de réduire </w:t>
      </w:r>
      <w:r w:rsidR="00C0716B" w:rsidRPr="007E7C5B">
        <w:rPr>
          <w:rFonts w:ascii="Arial Narrow" w:hAnsi="Arial Narrow" w:cs="Arial"/>
          <w:sz w:val="24"/>
          <w:szCs w:val="24"/>
        </w:rPr>
        <w:t xml:space="preserve">la </w:t>
      </w:r>
      <w:r w:rsidR="00031B33" w:rsidRPr="007E7C5B">
        <w:rPr>
          <w:rFonts w:ascii="Arial Narrow" w:hAnsi="Arial Narrow" w:cs="Arial"/>
          <w:sz w:val="24"/>
          <w:szCs w:val="24"/>
        </w:rPr>
        <w:t>pré</w:t>
      </w:r>
      <w:r w:rsidR="00031B33" w:rsidRPr="00A918AC">
        <w:rPr>
          <w:rFonts w:ascii="Arial Narrow" w:hAnsi="Arial Narrow" w:cstheme="minorHAnsi"/>
          <w:sz w:val="24"/>
          <w:szCs w:val="24"/>
        </w:rPr>
        <w:t xml:space="preserve">valence du VIH/sida de </w:t>
      </w:r>
      <w:r w:rsidR="00255C7B" w:rsidRPr="00A918AC">
        <w:rPr>
          <w:rFonts w:ascii="Arial Narrow" w:hAnsi="Arial Narrow" w:cstheme="minorHAnsi"/>
          <w:sz w:val="24"/>
          <w:szCs w:val="24"/>
        </w:rPr>
        <w:t>2,5</w:t>
      </w:r>
      <w:r w:rsidR="00031B33" w:rsidRPr="00A918AC">
        <w:rPr>
          <w:rFonts w:ascii="Arial Narrow" w:hAnsi="Arial Narrow" w:cstheme="minorHAnsi"/>
          <w:sz w:val="24"/>
          <w:szCs w:val="24"/>
        </w:rPr>
        <w:t xml:space="preserve">% en </w:t>
      </w:r>
      <w:r w:rsidR="00255C7B" w:rsidRPr="00A918AC">
        <w:rPr>
          <w:rFonts w:ascii="Arial Narrow" w:hAnsi="Arial Narrow" w:cstheme="minorHAnsi"/>
          <w:sz w:val="24"/>
          <w:szCs w:val="24"/>
        </w:rPr>
        <w:t>2018</w:t>
      </w:r>
      <w:r w:rsidR="00031B33" w:rsidRPr="00A918AC">
        <w:rPr>
          <w:rFonts w:ascii="Arial Narrow" w:hAnsi="Arial Narrow" w:cstheme="minorHAnsi"/>
          <w:sz w:val="24"/>
          <w:szCs w:val="24"/>
        </w:rPr>
        <w:t xml:space="preserve"> à 1,82% en 2023. </w:t>
      </w:r>
    </w:p>
    <w:p w14:paraId="0804A608" w14:textId="042AC50F" w:rsidR="003E7F09" w:rsidRPr="007E7C5B" w:rsidRDefault="003E7F09" w:rsidP="003E7F09">
      <w:pPr>
        <w:spacing w:line="240" w:lineRule="auto"/>
        <w:jc w:val="both"/>
        <w:rPr>
          <w:rFonts w:ascii="Arial Narrow" w:hAnsi="Arial Narrow" w:cstheme="minorHAnsi"/>
          <w:sz w:val="24"/>
          <w:szCs w:val="24"/>
        </w:rPr>
      </w:pPr>
      <w:bookmarkStart w:id="76" w:name="_Hlk39765386"/>
      <w:r w:rsidRPr="007E7C5B">
        <w:rPr>
          <w:rFonts w:ascii="Arial Narrow" w:hAnsi="Arial Narrow" w:cstheme="minorHAnsi"/>
          <w:sz w:val="24"/>
          <w:szCs w:val="24"/>
        </w:rPr>
        <w:t xml:space="preserve">Cependant, malgré ces nombreuses réalisations, des défis restent à </w:t>
      </w:r>
      <w:r w:rsidR="00655C00" w:rsidRPr="007E7C5B">
        <w:rPr>
          <w:rFonts w:ascii="Arial Narrow" w:hAnsi="Arial Narrow" w:cstheme="minorHAnsi"/>
          <w:sz w:val="24"/>
          <w:szCs w:val="24"/>
        </w:rPr>
        <w:t xml:space="preserve">être </w:t>
      </w:r>
      <w:r w:rsidR="00E65C85" w:rsidRPr="007E7C5B">
        <w:rPr>
          <w:rFonts w:ascii="Arial Narrow" w:hAnsi="Arial Narrow" w:cstheme="minorHAnsi"/>
          <w:sz w:val="24"/>
          <w:szCs w:val="24"/>
        </w:rPr>
        <w:t>relevés</w:t>
      </w:r>
      <w:r w:rsidR="00655C00" w:rsidRPr="007E7C5B">
        <w:rPr>
          <w:rFonts w:ascii="Arial Narrow" w:hAnsi="Arial Narrow" w:cstheme="minorHAnsi"/>
          <w:sz w:val="24"/>
          <w:szCs w:val="24"/>
        </w:rPr>
        <w:t xml:space="preserve"> </w:t>
      </w:r>
      <w:r w:rsidRPr="007E7C5B">
        <w:rPr>
          <w:rFonts w:ascii="Arial Narrow" w:hAnsi="Arial Narrow" w:cstheme="minorHAnsi"/>
          <w:sz w:val="24"/>
          <w:szCs w:val="24"/>
        </w:rPr>
        <w:t xml:space="preserve">pour l’atteinte des objectifs fixés en 2025. Pour améliorer le dépistage, </w:t>
      </w:r>
      <w:r w:rsidR="000C7B4F" w:rsidRPr="007E7C5B">
        <w:rPr>
          <w:rFonts w:ascii="Arial Narrow" w:hAnsi="Arial Narrow" w:cstheme="minorHAnsi"/>
          <w:sz w:val="24"/>
          <w:szCs w:val="24"/>
        </w:rPr>
        <w:t xml:space="preserve">il </w:t>
      </w:r>
      <w:r w:rsidRPr="007E7C5B">
        <w:rPr>
          <w:rFonts w:ascii="Arial Narrow" w:hAnsi="Arial Narrow" w:cstheme="minorHAnsi"/>
          <w:sz w:val="24"/>
          <w:szCs w:val="24"/>
        </w:rPr>
        <w:t xml:space="preserve">est nécessaire de </w:t>
      </w:r>
      <w:r w:rsidR="002D35A7" w:rsidRPr="007E7C5B">
        <w:rPr>
          <w:rFonts w:ascii="Arial Narrow" w:hAnsi="Arial Narrow" w:cstheme="minorHAnsi"/>
          <w:sz w:val="24"/>
          <w:szCs w:val="24"/>
        </w:rPr>
        <w:t xml:space="preserve">renforcer la </w:t>
      </w:r>
      <w:r w:rsidRPr="007E7C5B">
        <w:rPr>
          <w:rFonts w:ascii="Arial Narrow" w:hAnsi="Arial Narrow" w:cstheme="minorHAnsi"/>
          <w:sz w:val="24"/>
          <w:szCs w:val="24"/>
        </w:rPr>
        <w:t xml:space="preserve">communication à travers les médias d'État </w:t>
      </w:r>
      <w:r w:rsidR="00226508" w:rsidRPr="007E7C5B">
        <w:rPr>
          <w:rFonts w:ascii="Arial Narrow" w:hAnsi="Arial Narrow" w:cstheme="minorHAnsi"/>
          <w:sz w:val="24"/>
          <w:szCs w:val="24"/>
        </w:rPr>
        <w:t xml:space="preserve">via </w:t>
      </w:r>
      <w:r w:rsidRPr="007E7C5B">
        <w:rPr>
          <w:rFonts w:ascii="Arial Narrow" w:hAnsi="Arial Narrow" w:cstheme="minorHAnsi"/>
          <w:sz w:val="24"/>
          <w:szCs w:val="24"/>
        </w:rPr>
        <w:t xml:space="preserve">des campagnes </w:t>
      </w:r>
      <w:r w:rsidR="00A9797E" w:rsidRPr="007E7C5B">
        <w:rPr>
          <w:rFonts w:ascii="Arial Narrow" w:hAnsi="Arial Narrow" w:cstheme="minorHAnsi"/>
          <w:sz w:val="24"/>
          <w:szCs w:val="24"/>
        </w:rPr>
        <w:t xml:space="preserve">autant </w:t>
      </w:r>
      <w:r w:rsidRPr="007E7C5B">
        <w:rPr>
          <w:rFonts w:ascii="Arial Narrow" w:hAnsi="Arial Narrow" w:cstheme="minorHAnsi"/>
          <w:sz w:val="24"/>
          <w:szCs w:val="24"/>
        </w:rPr>
        <w:t xml:space="preserve">gratuites </w:t>
      </w:r>
      <w:r w:rsidR="00A9797E" w:rsidRPr="007E7C5B">
        <w:rPr>
          <w:rFonts w:ascii="Arial Narrow" w:hAnsi="Arial Narrow" w:cstheme="minorHAnsi"/>
          <w:sz w:val="24"/>
          <w:szCs w:val="24"/>
        </w:rPr>
        <w:t>qu’</w:t>
      </w:r>
      <w:r w:rsidRPr="007E7C5B">
        <w:rPr>
          <w:rFonts w:ascii="Arial Narrow" w:hAnsi="Arial Narrow" w:cstheme="minorHAnsi"/>
          <w:sz w:val="24"/>
          <w:szCs w:val="24"/>
        </w:rPr>
        <w:t>à coût réduit pour les acteurs/partenaires impliqués dans la lutte contre le VIH</w:t>
      </w:r>
      <w:r w:rsidR="00051482" w:rsidRPr="007E7C5B">
        <w:rPr>
          <w:rFonts w:ascii="Arial Narrow" w:hAnsi="Arial Narrow" w:cstheme="minorHAnsi"/>
          <w:sz w:val="24"/>
          <w:szCs w:val="24"/>
        </w:rPr>
        <w:t xml:space="preserve"> et la sensibilisation au niveau communautaire</w:t>
      </w:r>
      <w:r w:rsidR="00656DBF" w:rsidRPr="007E7C5B">
        <w:rPr>
          <w:rFonts w:ascii="Arial Narrow" w:hAnsi="Arial Narrow" w:cstheme="minorHAnsi"/>
          <w:sz w:val="24"/>
          <w:szCs w:val="24"/>
        </w:rPr>
        <w:t>.</w:t>
      </w:r>
      <w:r w:rsidR="00850C8D" w:rsidRPr="007E7C5B">
        <w:rPr>
          <w:rFonts w:ascii="Arial Narrow" w:hAnsi="Arial Narrow" w:cstheme="minorHAnsi"/>
          <w:sz w:val="24"/>
          <w:szCs w:val="24"/>
        </w:rPr>
        <w:t xml:space="preserve"> </w:t>
      </w:r>
      <w:r w:rsidR="00356878" w:rsidRPr="007E7C5B">
        <w:rPr>
          <w:rFonts w:ascii="Arial Narrow" w:hAnsi="Arial Narrow" w:cstheme="minorHAnsi"/>
          <w:sz w:val="24"/>
          <w:szCs w:val="24"/>
        </w:rPr>
        <w:t xml:space="preserve">De plus, </w:t>
      </w:r>
      <w:r w:rsidR="00FB2686" w:rsidRPr="007E7C5B">
        <w:rPr>
          <w:rFonts w:ascii="Arial Narrow" w:hAnsi="Arial Narrow" w:cstheme="minorHAnsi"/>
          <w:sz w:val="24"/>
          <w:szCs w:val="24"/>
        </w:rPr>
        <w:t xml:space="preserve">l’identification et la mobilisation des </w:t>
      </w:r>
      <w:r w:rsidR="00031105" w:rsidRPr="007E7C5B">
        <w:rPr>
          <w:rFonts w:ascii="Arial Narrow" w:hAnsi="Arial Narrow" w:cstheme="minorHAnsi"/>
          <w:sz w:val="24"/>
          <w:szCs w:val="24"/>
        </w:rPr>
        <w:t>populations clés (Professionnels de sexe, Hommes ayant des rapports sexuels avec d’autres Hommes, les transgenres, les Usagers de drogues) restent un défi majeur</w:t>
      </w:r>
      <w:r w:rsidR="00F9144B" w:rsidRPr="007E7C5B">
        <w:rPr>
          <w:rFonts w:ascii="Arial Narrow" w:hAnsi="Arial Narrow" w:cstheme="minorHAnsi"/>
          <w:sz w:val="24"/>
          <w:szCs w:val="24"/>
        </w:rPr>
        <w:t>.</w:t>
      </w:r>
      <w:r w:rsidR="00031105" w:rsidRPr="007E7C5B">
        <w:rPr>
          <w:rFonts w:ascii="Arial Narrow" w:hAnsi="Arial Narrow" w:cstheme="minorHAnsi"/>
          <w:sz w:val="24"/>
          <w:szCs w:val="24"/>
        </w:rPr>
        <w:t xml:space="preserve"> </w:t>
      </w:r>
      <w:r w:rsidR="0013683D" w:rsidRPr="007E7C5B">
        <w:rPr>
          <w:rFonts w:ascii="Arial Narrow" w:hAnsi="Arial Narrow" w:cstheme="minorHAnsi"/>
          <w:sz w:val="24"/>
          <w:szCs w:val="24"/>
        </w:rPr>
        <w:t>En effet, l</w:t>
      </w:r>
      <w:r w:rsidRPr="007E7C5B">
        <w:rPr>
          <w:rFonts w:ascii="Arial Narrow" w:hAnsi="Arial Narrow" w:cstheme="minorHAnsi"/>
          <w:sz w:val="24"/>
          <w:szCs w:val="24"/>
        </w:rPr>
        <w:t xml:space="preserve">es préjugés sociaux et </w:t>
      </w:r>
      <w:r w:rsidR="00A37F01" w:rsidRPr="007E7C5B">
        <w:rPr>
          <w:rFonts w:ascii="Arial Narrow" w:hAnsi="Arial Narrow" w:cstheme="minorHAnsi"/>
          <w:sz w:val="24"/>
          <w:szCs w:val="24"/>
        </w:rPr>
        <w:t xml:space="preserve">la </w:t>
      </w:r>
      <w:r w:rsidRPr="007E7C5B">
        <w:rPr>
          <w:rFonts w:ascii="Arial Narrow" w:hAnsi="Arial Narrow" w:cstheme="minorHAnsi"/>
          <w:sz w:val="24"/>
          <w:szCs w:val="24"/>
        </w:rPr>
        <w:t>stigmatisation du VIH continuent de freiner le dépistage, notamment chez les populations clés et vulnérables (comme les hommes adultes)</w:t>
      </w:r>
      <w:r w:rsidR="00850C8D" w:rsidRPr="007E7C5B">
        <w:rPr>
          <w:rFonts w:ascii="Arial Narrow" w:hAnsi="Arial Narrow" w:cstheme="minorHAnsi"/>
          <w:sz w:val="24"/>
          <w:szCs w:val="24"/>
        </w:rPr>
        <w:t>.</w:t>
      </w:r>
      <w:r w:rsidRPr="007E7C5B">
        <w:rPr>
          <w:rFonts w:ascii="Arial Narrow" w:hAnsi="Arial Narrow" w:cstheme="minorHAnsi"/>
          <w:sz w:val="24"/>
          <w:szCs w:val="24"/>
        </w:rPr>
        <w:t xml:space="preserve"> </w:t>
      </w:r>
    </w:p>
    <w:p w14:paraId="14215E09" w14:textId="0748A78E" w:rsidR="003E7F09" w:rsidRPr="007E7C5B" w:rsidRDefault="003E7F09" w:rsidP="003E7F09">
      <w:pPr>
        <w:spacing w:line="240" w:lineRule="auto"/>
        <w:jc w:val="both"/>
        <w:rPr>
          <w:rFonts w:ascii="Arial Narrow" w:hAnsi="Arial Narrow" w:cstheme="minorHAnsi"/>
          <w:sz w:val="24"/>
          <w:szCs w:val="24"/>
        </w:rPr>
      </w:pPr>
      <w:r w:rsidRPr="007E7C5B">
        <w:rPr>
          <w:rFonts w:ascii="Arial Narrow" w:hAnsi="Arial Narrow" w:cstheme="minorHAnsi"/>
          <w:sz w:val="24"/>
          <w:szCs w:val="24"/>
        </w:rPr>
        <w:t>Pour améliorer les performances des soins et traitements</w:t>
      </w:r>
      <w:r w:rsidR="00DB0CC7" w:rsidRPr="007E7C5B">
        <w:rPr>
          <w:rFonts w:ascii="Arial Narrow" w:hAnsi="Arial Narrow" w:cstheme="minorHAnsi"/>
          <w:sz w:val="24"/>
          <w:szCs w:val="24"/>
        </w:rPr>
        <w:t xml:space="preserve">, il </w:t>
      </w:r>
      <w:r w:rsidR="00113CC1" w:rsidRPr="007E7C5B">
        <w:rPr>
          <w:rFonts w:ascii="Arial Narrow" w:hAnsi="Arial Narrow" w:cstheme="minorHAnsi"/>
          <w:sz w:val="24"/>
          <w:szCs w:val="24"/>
        </w:rPr>
        <w:t>est nécessaire d</w:t>
      </w:r>
      <w:r w:rsidR="009375A3" w:rsidRPr="007E7C5B">
        <w:rPr>
          <w:rFonts w:ascii="Arial Narrow" w:hAnsi="Arial Narrow" w:cstheme="minorHAnsi"/>
          <w:sz w:val="24"/>
          <w:szCs w:val="24"/>
        </w:rPr>
        <w:t>e</w:t>
      </w:r>
      <w:r w:rsidR="00376B8E" w:rsidRPr="007E7C5B">
        <w:rPr>
          <w:rFonts w:ascii="Arial Narrow" w:hAnsi="Arial Narrow" w:cstheme="minorHAnsi"/>
          <w:sz w:val="24"/>
          <w:szCs w:val="24"/>
        </w:rPr>
        <w:t xml:space="preserve"> : </w:t>
      </w:r>
      <w:r w:rsidR="00376B8E" w:rsidRPr="00A918AC">
        <w:rPr>
          <w:rFonts w:ascii="Arial Narrow" w:hAnsi="Arial Narrow" w:cstheme="minorHAnsi"/>
          <w:i/>
          <w:sz w:val="24"/>
          <w:szCs w:val="24"/>
        </w:rPr>
        <w:t>(i)</w:t>
      </w:r>
      <w:r w:rsidR="00376B8E" w:rsidRPr="007E7C5B">
        <w:rPr>
          <w:rFonts w:ascii="Arial Narrow" w:hAnsi="Arial Narrow" w:cstheme="minorHAnsi"/>
          <w:sz w:val="24"/>
          <w:szCs w:val="24"/>
        </w:rPr>
        <w:t xml:space="preserve"> </w:t>
      </w:r>
      <w:r w:rsidR="009375A3" w:rsidRPr="007E7C5B">
        <w:rPr>
          <w:rFonts w:ascii="Arial Narrow" w:hAnsi="Arial Narrow" w:cstheme="minorHAnsi"/>
          <w:sz w:val="24"/>
          <w:szCs w:val="24"/>
        </w:rPr>
        <w:t>renforcer la coordination avec les acteurs du secteur privé, afin d’</w:t>
      </w:r>
      <w:r w:rsidRPr="007E7C5B">
        <w:rPr>
          <w:rFonts w:ascii="Arial Narrow" w:hAnsi="Arial Narrow" w:cstheme="minorHAnsi"/>
          <w:sz w:val="24"/>
          <w:szCs w:val="24"/>
        </w:rPr>
        <w:t>intégrer les traitements antirétroviraux (ARV) et le suivi clinique dans les structures de santé privées, qu’elles soient lucratives ou non</w:t>
      </w:r>
      <w:r w:rsidR="00376B8E" w:rsidRPr="007E7C5B">
        <w:rPr>
          <w:rFonts w:ascii="Arial Narrow" w:hAnsi="Arial Narrow" w:cstheme="minorHAnsi"/>
          <w:sz w:val="24"/>
          <w:szCs w:val="24"/>
        </w:rPr>
        <w:t xml:space="preserve"> ; </w:t>
      </w:r>
      <w:r w:rsidR="00DF6806" w:rsidRPr="00A918AC">
        <w:rPr>
          <w:rFonts w:ascii="Arial Narrow" w:hAnsi="Arial Narrow" w:cstheme="minorHAnsi"/>
          <w:i/>
          <w:sz w:val="24"/>
          <w:szCs w:val="24"/>
        </w:rPr>
        <w:t>(ii)</w:t>
      </w:r>
      <w:r w:rsidR="00DF6806" w:rsidRPr="007E7C5B">
        <w:rPr>
          <w:rFonts w:ascii="Arial Narrow" w:hAnsi="Arial Narrow" w:cstheme="minorHAnsi"/>
          <w:sz w:val="24"/>
          <w:szCs w:val="24"/>
        </w:rPr>
        <w:t xml:space="preserve"> </w:t>
      </w:r>
      <w:r w:rsidR="00C85E97" w:rsidRPr="007E7C5B">
        <w:rPr>
          <w:rFonts w:ascii="Arial Narrow" w:hAnsi="Arial Narrow" w:cstheme="minorHAnsi"/>
          <w:sz w:val="24"/>
          <w:szCs w:val="24"/>
        </w:rPr>
        <w:t>renforcer l’implication des</w:t>
      </w:r>
      <w:r w:rsidR="00AB03F7" w:rsidRPr="007E7C5B">
        <w:rPr>
          <w:rFonts w:ascii="Arial Narrow" w:hAnsi="Arial Narrow" w:cstheme="minorHAnsi"/>
          <w:sz w:val="24"/>
          <w:szCs w:val="24"/>
        </w:rPr>
        <w:t xml:space="preserve"> prestataires</w:t>
      </w:r>
      <w:r w:rsidR="00DF6806" w:rsidRPr="007E7C5B">
        <w:rPr>
          <w:rFonts w:ascii="Arial Narrow" w:hAnsi="Arial Narrow" w:cstheme="minorHAnsi"/>
          <w:sz w:val="24"/>
          <w:szCs w:val="24"/>
        </w:rPr>
        <w:t xml:space="preserve"> </w:t>
      </w:r>
      <w:r w:rsidRPr="007E7C5B">
        <w:rPr>
          <w:rFonts w:ascii="Arial Narrow" w:hAnsi="Arial Narrow" w:cstheme="minorHAnsi"/>
          <w:sz w:val="24"/>
          <w:szCs w:val="24"/>
        </w:rPr>
        <w:t>pour assurer un traitement adéquat</w:t>
      </w:r>
      <w:r w:rsidR="00441294" w:rsidRPr="007E7C5B">
        <w:rPr>
          <w:rFonts w:ascii="Arial Narrow" w:hAnsi="Arial Narrow" w:cstheme="minorHAnsi"/>
          <w:sz w:val="24"/>
          <w:szCs w:val="24"/>
        </w:rPr>
        <w:t xml:space="preserve">, </w:t>
      </w:r>
      <w:r w:rsidR="00440BFF" w:rsidRPr="007E7C5B">
        <w:rPr>
          <w:rFonts w:ascii="Arial Narrow" w:hAnsi="Arial Narrow" w:cstheme="minorHAnsi"/>
          <w:sz w:val="24"/>
          <w:szCs w:val="24"/>
        </w:rPr>
        <w:t>en particulier la gestion des comorbidités</w:t>
      </w:r>
      <w:r w:rsidRPr="007E7C5B">
        <w:rPr>
          <w:rFonts w:ascii="Arial Narrow" w:hAnsi="Arial Narrow" w:cstheme="minorHAnsi"/>
          <w:sz w:val="24"/>
          <w:szCs w:val="24"/>
        </w:rPr>
        <w:t>.</w:t>
      </w:r>
    </w:p>
    <w:p w14:paraId="5F2131B2" w14:textId="77777777" w:rsidR="003E7F09" w:rsidRPr="007E7C5B" w:rsidRDefault="003E7F09" w:rsidP="003E7F09">
      <w:pPr>
        <w:spacing w:after="0" w:line="240" w:lineRule="auto"/>
        <w:jc w:val="both"/>
        <w:rPr>
          <w:rFonts w:ascii="Arial Narrow" w:eastAsiaTheme="majorEastAsia" w:hAnsi="Arial Narrow" w:cstheme="majorBidi"/>
          <w:b/>
          <w:bCs/>
          <w:color w:val="0070C0"/>
          <w:sz w:val="24"/>
          <w:szCs w:val="24"/>
        </w:rPr>
      </w:pPr>
      <w:r w:rsidRPr="007E7C5B">
        <w:rPr>
          <w:rFonts w:ascii="Arial Narrow" w:eastAsiaTheme="majorEastAsia" w:hAnsi="Arial Narrow" w:cstheme="majorBidi"/>
          <w:b/>
          <w:bCs/>
          <w:color w:val="0070C0"/>
          <w:sz w:val="24"/>
          <w:szCs w:val="24"/>
        </w:rPr>
        <w:t>Tuberculose</w:t>
      </w:r>
    </w:p>
    <w:bookmarkEnd w:id="76"/>
    <w:p w14:paraId="26C40B10" w14:textId="77777777" w:rsidR="00627B1D" w:rsidRPr="007E7C5B" w:rsidRDefault="003E7F09" w:rsidP="006B7B11">
      <w:pPr>
        <w:spacing w:before="120" w:after="120"/>
        <w:jc w:val="both"/>
        <w:rPr>
          <w:rFonts w:ascii="Arial Narrow" w:eastAsia="Calibri" w:hAnsi="Arial Narrow" w:cs="Arial"/>
          <w:sz w:val="24"/>
          <w:szCs w:val="24"/>
        </w:rPr>
      </w:pPr>
      <w:r w:rsidRPr="007E7C5B">
        <w:rPr>
          <w:rFonts w:ascii="Arial Narrow" w:eastAsia="Calibri" w:hAnsi="Arial Narrow" w:cs="Arial"/>
          <w:b/>
          <w:bCs/>
          <w:sz w:val="24"/>
          <w:szCs w:val="24"/>
        </w:rPr>
        <w:t>Dans le cadre de la lutte contre la tuberculose</w:t>
      </w:r>
      <w:r w:rsidRPr="007E7C5B">
        <w:rPr>
          <w:rFonts w:ascii="Arial Narrow" w:eastAsia="Calibri" w:hAnsi="Arial Narrow" w:cs="Arial"/>
          <w:sz w:val="24"/>
          <w:szCs w:val="24"/>
        </w:rPr>
        <w:t xml:space="preserve">, plusieurs stratégies ont été adoptées notamment la stratégie OMS </w:t>
      </w:r>
      <w:r w:rsidRPr="00A918AC">
        <w:rPr>
          <w:rFonts w:ascii="Arial Narrow" w:eastAsia="Calibri" w:hAnsi="Arial Narrow" w:cs="Arial"/>
          <w:i/>
          <w:sz w:val="24"/>
          <w:szCs w:val="24"/>
        </w:rPr>
        <w:t>« Mettre fin à la tuberculose d’ici 2035 »</w:t>
      </w:r>
      <w:r w:rsidRPr="007E7C5B">
        <w:rPr>
          <w:rFonts w:ascii="Arial Narrow" w:eastAsia="Calibri" w:hAnsi="Arial Narrow" w:cs="Arial"/>
          <w:sz w:val="24"/>
          <w:szCs w:val="24"/>
        </w:rPr>
        <w:t xml:space="preserve">. </w:t>
      </w:r>
      <w:r w:rsidR="002C3166" w:rsidRPr="007E7C5B">
        <w:rPr>
          <w:rFonts w:ascii="Arial Narrow" w:eastAsia="Calibri" w:hAnsi="Arial Narrow" w:cs="Arial"/>
          <w:sz w:val="24"/>
          <w:szCs w:val="24"/>
        </w:rPr>
        <w:t xml:space="preserve">Pour ce faire, le MSHPCMU </w:t>
      </w:r>
      <w:r w:rsidR="00866319" w:rsidRPr="007E7C5B">
        <w:rPr>
          <w:rFonts w:ascii="Arial Narrow" w:eastAsia="Calibri" w:hAnsi="Arial Narrow" w:cs="Arial"/>
          <w:sz w:val="24"/>
          <w:szCs w:val="24"/>
        </w:rPr>
        <w:t>s’est doté</w:t>
      </w:r>
      <w:r w:rsidR="002C3166" w:rsidRPr="007E7C5B">
        <w:rPr>
          <w:rFonts w:ascii="Arial Narrow" w:eastAsia="Calibri" w:hAnsi="Arial Narrow" w:cs="Arial"/>
          <w:sz w:val="24"/>
          <w:szCs w:val="24"/>
        </w:rPr>
        <w:t xml:space="preserve"> d’un plan stratégique national de lutte contre la tuberculose qui donne les grandes orientations. </w:t>
      </w:r>
    </w:p>
    <w:p w14:paraId="174DCBBF" w14:textId="4A801C7E" w:rsidR="00A70572" w:rsidRPr="007E7C5B" w:rsidRDefault="002C3166" w:rsidP="00A918AC">
      <w:pPr>
        <w:spacing w:before="120" w:after="120"/>
        <w:jc w:val="both"/>
        <w:rPr>
          <w:rFonts w:ascii="Arial Narrow" w:hAnsi="Arial Narrow"/>
          <w:sz w:val="24"/>
          <w:szCs w:val="24"/>
        </w:rPr>
      </w:pPr>
      <w:r w:rsidRPr="007E7C5B">
        <w:rPr>
          <w:rFonts w:ascii="Arial Narrow" w:eastAsia="Calibri" w:hAnsi="Arial Narrow" w:cs="Arial"/>
          <w:sz w:val="24"/>
          <w:szCs w:val="24"/>
        </w:rPr>
        <w:t>La mise en œuvre du</w:t>
      </w:r>
      <w:r w:rsidR="008D6FAC" w:rsidRPr="007E7C5B">
        <w:rPr>
          <w:rFonts w:ascii="Arial Narrow" w:eastAsia="Calibri" w:hAnsi="Arial Narrow" w:cs="Arial"/>
          <w:sz w:val="24"/>
          <w:szCs w:val="24"/>
        </w:rPr>
        <w:t>dit</w:t>
      </w:r>
      <w:r w:rsidRPr="007E7C5B">
        <w:rPr>
          <w:rFonts w:ascii="Arial Narrow" w:eastAsia="Calibri" w:hAnsi="Arial Narrow" w:cs="Arial"/>
          <w:sz w:val="24"/>
          <w:szCs w:val="24"/>
        </w:rPr>
        <w:t xml:space="preserve"> plan </w:t>
      </w:r>
      <w:r w:rsidR="007F11E4" w:rsidRPr="007E7C5B">
        <w:rPr>
          <w:rFonts w:ascii="Arial Narrow" w:eastAsia="Calibri" w:hAnsi="Arial Narrow" w:cs="Arial"/>
          <w:sz w:val="24"/>
          <w:szCs w:val="24"/>
        </w:rPr>
        <w:t xml:space="preserve">s’est matérialisée </w:t>
      </w:r>
      <w:r w:rsidR="00F3135C" w:rsidRPr="007E7C5B">
        <w:rPr>
          <w:rFonts w:ascii="Arial Narrow" w:eastAsia="Calibri" w:hAnsi="Arial Narrow" w:cs="Arial"/>
          <w:sz w:val="24"/>
          <w:szCs w:val="24"/>
        </w:rPr>
        <w:t>par</w:t>
      </w:r>
      <w:r w:rsidRPr="007E7C5B">
        <w:rPr>
          <w:rFonts w:ascii="Arial Narrow" w:eastAsia="Calibri" w:hAnsi="Arial Narrow" w:cs="Arial"/>
          <w:sz w:val="24"/>
          <w:szCs w:val="24"/>
        </w:rPr>
        <w:t xml:space="preserve"> les </w:t>
      </w:r>
      <w:r w:rsidR="00AA11A4" w:rsidRPr="007E7C5B">
        <w:rPr>
          <w:rFonts w:ascii="Arial Narrow" w:eastAsia="Calibri" w:hAnsi="Arial Narrow" w:cs="Arial"/>
          <w:sz w:val="24"/>
          <w:szCs w:val="24"/>
        </w:rPr>
        <w:t xml:space="preserve">réalisations </w:t>
      </w:r>
      <w:r w:rsidRPr="007E7C5B">
        <w:rPr>
          <w:rFonts w:ascii="Arial Narrow" w:eastAsia="Calibri" w:hAnsi="Arial Narrow" w:cs="Arial"/>
          <w:sz w:val="24"/>
          <w:szCs w:val="24"/>
        </w:rPr>
        <w:t>suivant</w:t>
      </w:r>
      <w:r w:rsidR="00AA11A4" w:rsidRPr="007E7C5B">
        <w:rPr>
          <w:rFonts w:ascii="Arial Narrow" w:eastAsia="Calibri" w:hAnsi="Arial Narrow" w:cs="Arial"/>
          <w:sz w:val="24"/>
          <w:szCs w:val="24"/>
        </w:rPr>
        <w:t>e</w:t>
      </w:r>
      <w:r w:rsidRPr="007E7C5B">
        <w:rPr>
          <w:rFonts w:ascii="Arial Narrow" w:eastAsia="Calibri" w:hAnsi="Arial Narrow" w:cs="Arial"/>
          <w:sz w:val="24"/>
          <w:szCs w:val="24"/>
        </w:rPr>
        <w:t xml:space="preserve">s : </w:t>
      </w:r>
      <w:r w:rsidR="00C21CD7" w:rsidRPr="00A918AC">
        <w:rPr>
          <w:rFonts w:ascii="Arial Narrow" w:eastAsia="Calibri" w:hAnsi="Arial Narrow" w:cs="Arial"/>
          <w:i/>
          <w:sz w:val="24"/>
          <w:szCs w:val="24"/>
        </w:rPr>
        <w:t>(i)</w:t>
      </w:r>
      <w:r w:rsidR="006D2CFF" w:rsidRPr="007E7C5B">
        <w:rPr>
          <w:rFonts w:ascii="Arial Narrow" w:eastAsia="Calibri" w:hAnsi="Arial Narrow" w:cs="Arial"/>
          <w:b/>
          <w:i/>
          <w:sz w:val="24"/>
          <w:szCs w:val="24"/>
        </w:rPr>
        <w:t xml:space="preserve"> </w:t>
      </w:r>
      <w:r w:rsidR="00AB7C7B" w:rsidRPr="007E7C5B">
        <w:rPr>
          <w:rFonts w:ascii="Arial Narrow" w:eastAsia="Calibri" w:hAnsi="Arial Narrow" w:cs="Arial"/>
          <w:sz w:val="24"/>
          <w:szCs w:val="24"/>
        </w:rPr>
        <w:t xml:space="preserve">les capacités des </w:t>
      </w:r>
      <w:r w:rsidR="00A70572" w:rsidRPr="007E7C5B">
        <w:rPr>
          <w:rFonts w:ascii="Arial Narrow" w:eastAsia="Calibri" w:hAnsi="Arial Narrow" w:cs="Arial"/>
          <w:sz w:val="24"/>
          <w:szCs w:val="24"/>
        </w:rPr>
        <w:t xml:space="preserve">RH impliquées dans la </w:t>
      </w:r>
      <w:r w:rsidR="000075BE" w:rsidRPr="007E7C5B">
        <w:rPr>
          <w:rFonts w:ascii="Arial Narrow" w:eastAsia="Calibri" w:hAnsi="Arial Narrow" w:cs="Arial"/>
          <w:sz w:val="24"/>
          <w:szCs w:val="24"/>
        </w:rPr>
        <w:t>lutte contre</w:t>
      </w:r>
      <w:r w:rsidR="00A70572" w:rsidRPr="007E7C5B">
        <w:rPr>
          <w:rFonts w:ascii="Arial Narrow" w:eastAsia="Calibri" w:hAnsi="Arial Narrow" w:cs="Arial"/>
          <w:sz w:val="24"/>
          <w:szCs w:val="24"/>
        </w:rPr>
        <w:t xml:space="preserve"> la tuberculose</w:t>
      </w:r>
      <w:r w:rsidR="000075BE" w:rsidRPr="007E7C5B">
        <w:rPr>
          <w:rFonts w:ascii="Arial Narrow" w:eastAsia="Calibri" w:hAnsi="Arial Narrow" w:cs="Arial"/>
          <w:sz w:val="24"/>
          <w:szCs w:val="24"/>
        </w:rPr>
        <w:t xml:space="preserve"> ont été renforcées</w:t>
      </w:r>
      <w:r w:rsidR="00B14E8D" w:rsidRPr="007E7C5B">
        <w:rPr>
          <w:rStyle w:val="Appelnotedebasdep"/>
          <w:rFonts w:ascii="Arial Narrow" w:eastAsia="Calibri" w:hAnsi="Arial Narrow" w:cs="Arial"/>
          <w:sz w:val="24"/>
          <w:szCs w:val="24"/>
        </w:rPr>
        <w:footnoteReference w:id="22"/>
      </w:r>
      <w:r w:rsidR="00C21CD7" w:rsidRPr="007E7C5B" w:rsidDel="008D2F0D">
        <w:rPr>
          <w:rFonts w:ascii="Arial Narrow" w:eastAsia="Calibri" w:hAnsi="Arial Narrow" w:cs="Arial"/>
          <w:sz w:val="24"/>
          <w:szCs w:val="24"/>
        </w:rPr>
        <w:t> </w:t>
      </w:r>
      <w:r w:rsidR="00C21CD7" w:rsidRPr="007E7C5B">
        <w:rPr>
          <w:rFonts w:ascii="Arial Narrow" w:eastAsia="Calibri" w:hAnsi="Arial Narrow" w:cs="Arial"/>
          <w:sz w:val="24"/>
          <w:szCs w:val="24"/>
        </w:rPr>
        <w:t xml:space="preserve">; </w:t>
      </w:r>
      <w:r w:rsidR="0057154B" w:rsidRPr="003C1C95">
        <w:rPr>
          <w:rFonts w:ascii="Arial Narrow" w:eastAsia="Calibri" w:hAnsi="Arial Narrow" w:cs="Arial"/>
          <w:sz w:val="24"/>
          <w:szCs w:val="24"/>
          <w:lang w:val="fr-CI"/>
        </w:rPr>
        <w:t>64</w:t>
      </w:r>
      <w:r w:rsidR="0057154B">
        <w:rPr>
          <w:rFonts w:ascii="Arial Narrow" w:eastAsia="Calibri" w:hAnsi="Arial Narrow" w:cs="Arial"/>
          <w:sz w:val="24"/>
          <w:szCs w:val="24"/>
          <w:lang w:val="fr-CI"/>
        </w:rPr>
        <w:t xml:space="preserve"> </w:t>
      </w:r>
      <w:r w:rsidR="0057154B" w:rsidRPr="003C1C95">
        <w:rPr>
          <w:rFonts w:ascii="Arial Narrow" w:eastAsia="Calibri" w:hAnsi="Arial Narrow" w:cs="Arial"/>
          <w:sz w:val="24"/>
          <w:szCs w:val="24"/>
          <w:lang w:val="fr-CI"/>
        </w:rPr>
        <w:t>773</w:t>
      </w:r>
      <w:r w:rsidR="0057154B" w:rsidRPr="007E7C5B">
        <w:rPr>
          <w:rFonts w:ascii="Arial Narrow" w:eastAsia="Calibri" w:hAnsi="Arial Narrow" w:cs="Arial"/>
          <w:sz w:val="24"/>
          <w:szCs w:val="24"/>
        </w:rPr>
        <w:t xml:space="preserve"> malade</w:t>
      </w:r>
      <w:r w:rsidR="0057154B">
        <w:rPr>
          <w:rFonts w:ascii="Arial Narrow" w:eastAsia="Calibri" w:hAnsi="Arial Narrow" w:cs="Arial"/>
          <w:sz w:val="24"/>
          <w:szCs w:val="24"/>
        </w:rPr>
        <w:t>s</w:t>
      </w:r>
      <w:r w:rsidR="0057154B" w:rsidRPr="007E7C5B">
        <w:rPr>
          <w:rFonts w:ascii="Arial Narrow" w:eastAsia="Calibri" w:hAnsi="Arial Narrow" w:cs="Arial"/>
          <w:sz w:val="24"/>
          <w:szCs w:val="24"/>
        </w:rPr>
        <w:t xml:space="preserve"> de la tuberculose sensible et T</w:t>
      </w:r>
      <w:r w:rsidR="0057154B">
        <w:rPr>
          <w:rFonts w:ascii="Arial Narrow" w:eastAsia="Calibri" w:hAnsi="Arial Narrow" w:cs="Arial"/>
          <w:sz w:val="24"/>
          <w:szCs w:val="24"/>
        </w:rPr>
        <w:t>uberculose Multi Résistante (T</w:t>
      </w:r>
      <w:r w:rsidR="0057154B" w:rsidRPr="007E7C5B">
        <w:rPr>
          <w:rFonts w:ascii="Arial Narrow" w:eastAsia="Calibri" w:hAnsi="Arial Narrow" w:cs="Arial"/>
          <w:sz w:val="24"/>
          <w:szCs w:val="24"/>
        </w:rPr>
        <w:t>BMR</w:t>
      </w:r>
      <w:r w:rsidR="0057154B">
        <w:rPr>
          <w:rFonts w:ascii="Arial Narrow" w:eastAsia="Calibri" w:hAnsi="Arial Narrow" w:cs="Arial"/>
          <w:sz w:val="24"/>
          <w:szCs w:val="24"/>
        </w:rPr>
        <w:t>)</w:t>
      </w:r>
      <w:r w:rsidR="0057154B" w:rsidRPr="007E7C5B">
        <w:rPr>
          <w:rFonts w:ascii="Arial Narrow" w:eastAsia="Calibri" w:hAnsi="Arial Narrow" w:cs="Arial"/>
          <w:sz w:val="24"/>
          <w:szCs w:val="24"/>
        </w:rPr>
        <w:t xml:space="preserve"> ont été pris en charge gratuitement, grâce à l’achat de médicaments de 1</w:t>
      </w:r>
      <w:r w:rsidR="0057154B" w:rsidRPr="007E7C5B">
        <w:rPr>
          <w:rFonts w:ascii="Arial Narrow" w:eastAsia="Calibri" w:hAnsi="Arial Narrow" w:cs="Arial"/>
          <w:sz w:val="24"/>
          <w:szCs w:val="24"/>
          <w:vertAlign w:val="superscript"/>
        </w:rPr>
        <w:t>ère</w:t>
      </w:r>
      <w:r w:rsidR="0057154B" w:rsidRPr="007E7C5B">
        <w:rPr>
          <w:rFonts w:ascii="Arial Narrow" w:eastAsia="Calibri" w:hAnsi="Arial Narrow" w:cs="Arial"/>
          <w:sz w:val="24"/>
          <w:szCs w:val="24"/>
        </w:rPr>
        <w:t xml:space="preserve"> et 2</w:t>
      </w:r>
      <w:r w:rsidR="0057154B" w:rsidRPr="007E7C5B">
        <w:rPr>
          <w:rFonts w:ascii="Arial Narrow" w:eastAsia="Calibri" w:hAnsi="Arial Narrow" w:cs="Arial"/>
          <w:sz w:val="24"/>
          <w:szCs w:val="24"/>
          <w:vertAlign w:val="superscript"/>
        </w:rPr>
        <w:t>ème</w:t>
      </w:r>
      <w:r w:rsidR="0057154B" w:rsidRPr="007E7C5B">
        <w:rPr>
          <w:rFonts w:ascii="Arial Narrow" w:eastAsia="Calibri" w:hAnsi="Arial Narrow" w:cs="Arial"/>
          <w:sz w:val="24"/>
          <w:szCs w:val="24"/>
        </w:rPr>
        <w:t xml:space="preserve"> ligne ; </w:t>
      </w:r>
      <w:r w:rsidR="0057154B" w:rsidRPr="00A918AC">
        <w:rPr>
          <w:rFonts w:ascii="Arial Narrow" w:eastAsia="Calibri" w:hAnsi="Arial Narrow" w:cs="Arial"/>
          <w:i/>
          <w:sz w:val="24"/>
          <w:szCs w:val="24"/>
        </w:rPr>
        <w:t>(iii)</w:t>
      </w:r>
      <w:r w:rsidR="0057154B" w:rsidRPr="007E7C5B">
        <w:rPr>
          <w:rFonts w:ascii="Arial Narrow" w:eastAsia="Calibri" w:hAnsi="Arial Narrow" w:cs="Arial"/>
          <w:sz w:val="24"/>
          <w:szCs w:val="24"/>
        </w:rPr>
        <w:t xml:space="preserve"> </w:t>
      </w:r>
      <w:r w:rsidR="0057154B" w:rsidRPr="003C1C95">
        <w:rPr>
          <w:rFonts w:ascii="Arial Narrow" w:eastAsia="Calibri" w:hAnsi="Arial Narrow" w:cs="Arial"/>
          <w:sz w:val="24"/>
          <w:szCs w:val="24"/>
          <w:lang w:val="fr-CI"/>
        </w:rPr>
        <w:t>1308</w:t>
      </w:r>
      <w:r w:rsidR="0057154B">
        <w:rPr>
          <w:rFonts w:ascii="Arial Narrow" w:eastAsia="Calibri" w:hAnsi="Arial Narrow" w:cs="Arial"/>
          <w:sz w:val="24"/>
          <w:szCs w:val="24"/>
          <w:lang w:val="fr-CI"/>
        </w:rPr>
        <w:t xml:space="preserve"> </w:t>
      </w:r>
      <w:r w:rsidR="0057154B" w:rsidRPr="007E7C5B">
        <w:rPr>
          <w:rFonts w:ascii="Arial Narrow" w:eastAsia="Calibri" w:hAnsi="Arial Narrow" w:cs="Arial"/>
          <w:sz w:val="24"/>
          <w:szCs w:val="24"/>
        </w:rPr>
        <w:t>malad</w:t>
      </w:r>
      <w:r w:rsidR="0057154B">
        <w:rPr>
          <w:rFonts w:ascii="Arial Narrow" w:eastAsia="Calibri" w:hAnsi="Arial Narrow" w:cs="Arial"/>
          <w:sz w:val="24"/>
          <w:szCs w:val="24"/>
        </w:rPr>
        <w:t xml:space="preserve">es </w:t>
      </w:r>
      <w:r w:rsidR="0057154B" w:rsidRPr="007E7C5B">
        <w:rPr>
          <w:rFonts w:ascii="Arial Narrow" w:eastAsia="Calibri" w:hAnsi="Arial Narrow" w:cs="Arial"/>
          <w:sz w:val="24"/>
          <w:szCs w:val="24"/>
        </w:rPr>
        <w:t>TBMR ont reçu un appui alimentaire et un appui à la réalisation du bilan pré-thérapeutique </w:t>
      </w:r>
      <w:r w:rsidR="0057154B">
        <w:rPr>
          <w:rFonts w:ascii="Arial Narrow" w:eastAsia="Calibri" w:hAnsi="Arial Narrow" w:cs="Arial"/>
          <w:sz w:val="24"/>
          <w:szCs w:val="24"/>
        </w:rPr>
        <w:t xml:space="preserve">sur </w:t>
      </w:r>
      <w:r w:rsidR="0057154B" w:rsidRPr="003C1C95">
        <w:rPr>
          <w:rFonts w:ascii="Arial Narrow" w:eastAsia="Calibri" w:hAnsi="Arial Narrow" w:cs="Arial"/>
          <w:sz w:val="24"/>
          <w:szCs w:val="24"/>
          <w:lang w:val="fr-CI"/>
        </w:rPr>
        <w:t>1456</w:t>
      </w:r>
      <w:r w:rsidR="0057154B">
        <w:rPr>
          <w:rFonts w:ascii="Arial Narrow" w:eastAsia="Calibri" w:hAnsi="Arial Narrow" w:cs="Arial"/>
          <w:sz w:val="24"/>
          <w:szCs w:val="24"/>
          <w:lang w:val="fr-CI"/>
        </w:rPr>
        <w:t xml:space="preserve">, </w:t>
      </w:r>
      <w:r w:rsidR="0057154B">
        <w:rPr>
          <w:rFonts w:ascii="Arial Narrow" w:eastAsia="Calibri" w:hAnsi="Arial Narrow" w:cs="Arial"/>
          <w:sz w:val="24"/>
          <w:szCs w:val="24"/>
        </w:rPr>
        <w:t>soit  90%</w:t>
      </w:r>
      <w:r w:rsidR="0057154B" w:rsidRPr="007E7C5B">
        <w:rPr>
          <w:rFonts w:ascii="Arial Narrow" w:eastAsia="Calibri" w:hAnsi="Arial Narrow" w:cs="Arial"/>
          <w:sz w:val="24"/>
          <w:szCs w:val="24"/>
        </w:rPr>
        <w:t xml:space="preserve">; </w:t>
      </w:r>
      <w:r w:rsidR="00A70572" w:rsidRPr="007E7C5B">
        <w:rPr>
          <w:rFonts w:ascii="Arial Narrow" w:eastAsia="Calibri" w:hAnsi="Arial Narrow" w:cs="Arial"/>
          <w:sz w:val="24"/>
          <w:szCs w:val="24"/>
        </w:rPr>
        <w:t>;</w:t>
      </w:r>
      <w:r w:rsidR="00C21CD7" w:rsidRPr="007E7C5B">
        <w:rPr>
          <w:rFonts w:ascii="Arial Narrow" w:eastAsia="Calibri" w:hAnsi="Arial Narrow" w:cs="Arial"/>
          <w:sz w:val="24"/>
          <w:szCs w:val="24"/>
        </w:rPr>
        <w:t xml:space="preserve"> </w:t>
      </w:r>
      <w:r w:rsidR="00C21CD7" w:rsidRPr="00A918AC">
        <w:rPr>
          <w:rFonts w:ascii="Arial Narrow" w:eastAsia="Calibri" w:hAnsi="Arial Narrow" w:cs="Arial"/>
          <w:i/>
          <w:sz w:val="24"/>
          <w:szCs w:val="24"/>
        </w:rPr>
        <w:t>(iv)</w:t>
      </w:r>
      <w:r w:rsidR="00C21CD7" w:rsidRPr="007E7C5B">
        <w:rPr>
          <w:rFonts w:ascii="Arial Narrow" w:eastAsia="Calibri" w:hAnsi="Arial Narrow" w:cs="Arial"/>
          <w:sz w:val="24"/>
          <w:szCs w:val="24"/>
        </w:rPr>
        <w:t xml:space="preserve"> </w:t>
      </w:r>
      <w:r w:rsidR="00C361A0" w:rsidRPr="007E7C5B">
        <w:rPr>
          <w:rFonts w:ascii="Arial Narrow" w:hAnsi="Arial Narrow" w:cs="Times New Roman"/>
          <w:sz w:val="24"/>
          <w:szCs w:val="24"/>
        </w:rPr>
        <w:t xml:space="preserve">47 </w:t>
      </w:r>
      <w:proofErr w:type="spellStart"/>
      <w:r w:rsidR="00C361A0" w:rsidRPr="007E7C5B">
        <w:rPr>
          <w:rFonts w:ascii="Arial Narrow" w:hAnsi="Arial Narrow" w:cs="Times New Roman"/>
          <w:sz w:val="24"/>
          <w:szCs w:val="24"/>
        </w:rPr>
        <w:t>genexpert</w:t>
      </w:r>
      <w:proofErr w:type="spellEnd"/>
      <w:r w:rsidR="00C361A0" w:rsidRPr="007E7C5B">
        <w:rPr>
          <w:rFonts w:ascii="Arial Narrow" w:hAnsi="Arial Narrow" w:cs="Times New Roman"/>
          <w:sz w:val="24"/>
          <w:szCs w:val="24"/>
        </w:rPr>
        <w:t xml:space="preserve">, 21 TB </w:t>
      </w:r>
      <w:proofErr w:type="spellStart"/>
      <w:r w:rsidR="00C361A0" w:rsidRPr="007E7C5B">
        <w:rPr>
          <w:rFonts w:ascii="Arial Narrow" w:hAnsi="Arial Narrow" w:cs="Times New Roman"/>
          <w:sz w:val="24"/>
          <w:szCs w:val="24"/>
        </w:rPr>
        <w:t>Lamp</w:t>
      </w:r>
      <w:proofErr w:type="spellEnd"/>
      <w:r w:rsidR="00C361A0" w:rsidRPr="007E7C5B">
        <w:rPr>
          <w:rFonts w:ascii="Arial Narrow" w:hAnsi="Arial Narrow" w:cs="Times New Roman"/>
          <w:sz w:val="24"/>
          <w:szCs w:val="24"/>
        </w:rPr>
        <w:t xml:space="preserve"> disposés dans les CAT et 02 COBAS 6800 dans les CAT </w:t>
      </w:r>
      <w:r w:rsidR="009E57C3" w:rsidRPr="007E7C5B">
        <w:rPr>
          <w:rFonts w:ascii="Arial Narrow" w:hAnsi="Arial Narrow" w:cs="Times New Roman"/>
          <w:sz w:val="24"/>
          <w:szCs w:val="24"/>
        </w:rPr>
        <w:t xml:space="preserve">des régions d’Abidjan 2 et du </w:t>
      </w:r>
      <w:proofErr w:type="spellStart"/>
      <w:r w:rsidR="009E57C3" w:rsidRPr="007E7C5B">
        <w:rPr>
          <w:rFonts w:ascii="Arial Narrow" w:hAnsi="Arial Narrow" w:cs="Times New Roman"/>
          <w:sz w:val="24"/>
          <w:szCs w:val="24"/>
        </w:rPr>
        <w:t>Gbéké</w:t>
      </w:r>
      <w:proofErr w:type="spellEnd"/>
      <w:r w:rsidR="009E57C3" w:rsidRPr="007E7C5B">
        <w:rPr>
          <w:rFonts w:ascii="Arial Narrow" w:hAnsi="Arial Narrow" w:cs="Times New Roman"/>
          <w:sz w:val="24"/>
          <w:szCs w:val="24"/>
        </w:rPr>
        <w:t xml:space="preserve"> </w:t>
      </w:r>
      <w:r w:rsidR="00572F45" w:rsidRPr="007E7C5B">
        <w:rPr>
          <w:rFonts w:ascii="Arial Narrow" w:eastAsia="Calibri" w:hAnsi="Arial Narrow" w:cs="Arial"/>
          <w:sz w:val="24"/>
          <w:szCs w:val="24"/>
        </w:rPr>
        <w:t xml:space="preserve">ont été </w:t>
      </w:r>
      <w:r w:rsidR="00FC7673" w:rsidRPr="007E7C5B">
        <w:rPr>
          <w:rFonts w:ascii="Arial Narrow" w:eastAsia="Calibri" w:hAnsi="Arial Narrow" w:cs="Arial"/>
          <w:sz w:val="24"/>
          <w:szCs w:val="24"/>
        </w:rPr>
        <w:t xml:space="preserve">déployés </w:t>
      </w:r>
      <w:r w:rsidR="00A70572" w:rsidRPr="007E7C5B">
        <w:rPr>
          <w:rFonts w:ascii="Arial Narrow" w:eastAsia="Calibri" w:hAnsi="Arial Narrow" w:cs="Arial"/>
          <w:sz w:val="24"/>
          <w:szCs w:val="24"/>
        </w:rPr>
        <w:t>pour un diagnostic précoce des cas de tuberculose</w:t>
      </w:r>
      <w:r w:rsidR="00566ED5" w:rsidRPr="007E7C5B">
        <w:rPr>
          <w:rFonts w:ascii="Arial Narrow" w:eastAsia="Calibri" w:hAnsi="Arial Narrow" w:cs="Arial"/>
          <w:sz w:val="24"/>
          <w:szCs w:val="24"/>
        </w:rPr>
        <w:t> </w:t>
      </w:r>
      <w:r w:rsidR="00A70572" w:rsidRPr="007E7C5B">
        <w:rPr>
          <w:rFonts w:ascii="Arial Narrow" w:hAnsi="Arial Narrow" w:cs="Times New Roman"/>
          <w:sz w:val="24"/>
          <w:szCs w:val="24"/>
        </w:rPr>
        <w:t>;</w:t>
      </w:r>
      <w:r w:rsidR="006B7B11" w:rsidRPr="007E7C5B">
        <w:rPr>
          <w:rFonts w:ascii="Arial Narrow" w:hAnsi="Arial Narrow" w:cs="Times New Roman"/>
          <w:sz w:val="24"/>
          <w:szCs w:val="24"/>
        </w:rPr>
        <w:t xml:space="preserve"> </w:t>
      </w:r>
      <w:r w:rsidR="006B7B11" w:rsidRPr="00A918AC">
        <w:rPr>
          <w:rFonts w:ascii="Arial Narrow" w:hAnsi="Arial Narrow" w:cs="Times New Roman"/>
          <w:i/>
          <w:sz w:val="24"/>
          <w:szCs w:val="24"/>
        </w:rPr>
        <w:t>(v)</w:t>
      </w:r>
      <w:r w:rsidR="006B7B11" w:rsidRPr="007E7C5B">
        <w:rPr>
          <w:rFonts w:ascii="Arial Narrow" w:hAnsi="Arial Narrow" w:cs="Times New Roman"/>
          <w:sz w:val="24"/>
          <w:szCs w:val="24"/>
        </w:rPr>
        <w:t xml:space="preserve"> </w:t>
      </w:r>
      <w:r w:rsidR="00EA6AEA" w:rsidRPr="007E7C5B">
        <w:rPr>
          <w:rFonts w:ascii="Arial Narrow" w:hAnsi="Arial Narrow" w:cs="Times New Roman"/>
          <w:sz w:val="24"/>
          <w:szCs w:val="24"/>
        </w:rPr>
        <w:t>l</w:t>
      </w:r>
      <w:r w:rsidR="00A70572" w:rsidRPr="007E7C5B">
        <w:rPr>
          <w:rFonts w:ascii="Arial Narrow" w:hAnsi="Arial Narrow" w:cs="Times New Roman"/>
          <w:sz w:val="24"/>
          <w:szCs w:val="24"/>
        </w:rPr>
        <w:t xml:space="preserve">es communautaires (ASC) </w:t>
      </w:r>
      <w:r w:rsidR="00EA6AEA" w:rsidRPr="007E7C5B">
        <w:rPr>
          <w:rFonts w:ascii="Arial Narrow" w:hAnsi="Arial Narrow" w:cs="Times New Roman"/>
          <w:sz w:val="24"/>
          <w:szCs w:val="24"/>
        </w:rPr>
        <w:t xml:space="preserve">ont été impliqués </w:t>
      </w:r>
      <w:r w:rsidR="00C648E0" w:rsidRPr="007E7C5B">
        <w:rPr>
          <w:rFonts w:ascii="Arial Narrow" w:hAnsi="Arial Narrow" w:cs="Times New Roman"/>
          <w:sz w:val="24"/>
          <w:szCs w:val="24"/>
        </w:rPr>
        <w:t>dans</w:t>
      </w:r>
      <w:r w:rsidR="00A70572" w:rsidRPr="007E7C5B">
        <w:rPr>
          <w:rFonts w:ascii="Arial Narrow" w:hAnsi="Arial Narrow" w:cs="Times New Roman"/>
          <w:sz w:val="24"/>
          <w:szCs w:val="24"/>
        </w:rPr>
        <w:t xml:space="preserve"> la référence des cas présumés de TB et le suivi des malades en traitement (enquêtes d’entourage, visite à domicile …) </w:t>
      </w:r>
      <w:r w:rsidR="00A70572" w:rsidRPr="007E7C5B">
        <w:rPr>
          <w:rFonts w:ascii="Arial Narrow" w:eastAsia="Calibri" w:hAnsi="Arial Narrow" w:cs="Arial"/>
          <w:sz w:val="24"/>
          <w:szCs w:val="24"/>
        </w:rPr>
        <w:t>;</w:t>
      </w:r>
      <w:r w:rsidR="006B7B11" w:rsidRPr="007E7C5B">
        <w:rPr>
          <w:rFonts w:ascii="Arial Narrow" w:eastAsia="Calibri" w:hAnsi="Arial Narrow" w:cs="Arial"/>
          <w:sz w:val="24"/>
          <w:szCs w:val="24"/>
        </w:rPr>
        <w:t xml:space="preserve"> </w:t>
      </w:r>
      <w:r w:rsidR="006B7B11" w:rsidRPr="00A918AC">
        <w:rPr>
          <w:rFonts w:ascii="Arial Narrow" w:eastAsia="Calibri" w:hAnsi="Arial Narrow" w:cs="Arial"/>
          <w:i/>
          <w:iCs/>
          <w:sz w:val="24"/>
          <w:szCs w:val="24"/>
        </w:rPr>
        <w:t>(vi)</w:t>
      </w:r>
      <w:r w:rsidR="0089675B" w:rsidRPr="007E7C5B">
        <w:rPr>
          <w:rFonts w:ascii="Arial Narrow" w:eastAsia="Calibri" w:hAnsi="Arial Narrow" w:cs="Arial"/>
          <w:sz w:val="24"/>
          <w:szCs w:val="24"/>
        </w:rPr>
        <w:t xml:space="preserve"> </w:t>
      </w:r>
      <w:r w:rsidR="00A70572" w:rsidRPr="007E7C5B">
        <w:rPr>
          <w:rFonts w:ascii="Arial Narrow" w:eastAsia="Calibri" w:hAnsi="Arial Narrow" w:cs="Arial"/>
          <w:sz w:val="24"/>
          <w:szCs w:val="24"/>
        </w:rPr>
        <w:t>un partenariat avec un prestataire privé pour le convoyage des échantillons de crachat des centres de diagnostic et de traitement vers les centres antituberculeux régionaux </w:t>
      </w:r>
      <w:r w:rsidR="0089675B" w:rsidRPr="007E7C5B">
        <w:rPr>
          <w:rFonts w:ascii="Arial Narrow" w:eastAsia="Calibri" w:hAnsi="Arial Narrow" w:cs="Arial"/>
          <w:sz w:val="24"/>
          <w:szCs w:val="24"/>
        </w:rPr>
        <w:t xml:space="preserve">a été </w:t>
      </w:r>
      <w:r w:rsidR="00C707C7" w:rsidRPr="007E7C5B">
        <w:rPr>
          <w:rFonts w:ascii="Arial Narrow" w:eastAsia="Calibri" w:hAnsi="Arial Narrow" w:cs="Arial"/>
          <w:sz w:val="24"/>
          <w:szCs w:val="24"/>
        </w:rPr>
        <w:t>é</w:t>
      </w:r>
      <w:r w:rsidR="0089675B" w:rsidRPr="007E7C5B">
        <w:rPr>
          <w:rFonts w:ascii="Arial Narrow" w:eastAsia="Calibri" w:hAnsi="Arial Narrow" w:cs="Arial"/>
          <w:sz w:val="24"/>
          <w:szCs w:val="24"/>
        </w:rPr>
        <w:t>tabli</w:t>
      </w:r>
      <w:r w:rsidR="00C707C7" w:rsidRPr="007E7C5B">
        <w:rPr>
          <w:rFonts w:ascii="Arial Narrow" w:eastAsia="Calibri" w:hAnsi="Arial Narrow" w:cs="Arial"/>
          <w:sz w:val="24"/>
          <w:szCs w:val="24"/>
        </w:rPr>
        <w:t xml:space="preserve"> </w:t>
      </w:r>
      <w:r w:rsidR="00A70572" w:rsidRPr="007E7C5B">
        <w:rPr>
          <w:rFonts w:ascii="Arial Narrow" w:eastAsia="Calibri" w:hAnsi="Arial Narrow" w:cs="Arial"/>
          <w:sz w:val="24"/>
          <w:szCs w:val="24"/>
        </w:rPr>
        <w:t>;</w:t>
      </w:r>
      <w:r w:rsidR="006B7B11" w:rsidRPr="007E7C5B">
        <w:rPr>
          <w:rFonts w:ascii="Arial Narrow" w:hAnsi="Arial Narrow"/>
          <w:sz w:val="24"/>
          <w:szCs w:val="24"/>
        </w:rPr>
        <w:t xml:space="preserve"> </w:t>
      </w:r>
      <w:r w:rsidR="006B7B11" w:rsidRPr="00A918AC">
        <w:rPr>
          <w:rFonts w:ascii="Arial Narrow" w:hAnsi="Arial Narrow"/>
          <w:i/>
          <w:sz w:val="24"/>
          <w:szCs w:val="24"/>
        </w:rPr>
        <w:t>(vii)</w:t>
      </w:r>
      <w:r w:rsidR="006B7B11" w:rsidRPr="007E7C5B">
        <w:rPr>
          <w:rFonts w:ascii="Arial Narrow" w:hAnsi="Arial Narrow"/>
          <w:sz w:val="24"/>
          <w:szCs w:val="24"/>
        </w:rPr>
        <w:t xml:space="preserve"> </w:t>
      </w:r>
      <w:r w:rsidR="00A70572" w:rsidRPr="007E7C5B">
        <w:rPr>
          <w:rFonts w:ascii="Arial Narrow" w:hAnsi="Arial Narrow"/>
          <w:sz w:val="24"/>
          <w:szCs w:val="24"/>
        </w:rPr>
        <w:t>un cadre de collaboration PNLS /PNLT avec la tenue de réunion</w:t>
      </w:r>
      <w:r w:rsidR="008C5230" w:rsidRPr="007E7C5B">
        <w:rPr>
          <w:rFonts w:ascii="Arial Narrow" w:hAnsi="Arial Narrow"/>
          <w:sz w:val="24"/>
          <w:szCs w:val="24"/>
        </w:rPr>
        <w:t>s</w:t>
      </w:r>
      <w:r w:rsidR="00A70572" w:rsidRPr="007E7C5B">
        <w:rPr>
          <w:rFonts w:ascii="Arial Narrow" w:hAnsi="Arial Narrow"/>
          <w:sz w:val="24"/>
          <w:szCs w:val="24"/>
        </w:rPr>
        <w:t xml:space="preserve"> de groupe de travail trimestriel </w:t>
      </w:r>
      <w:r w:rsidR="00A6512A" w:rsidRPr="007E7C5B">
        <w:rPr>
          <w:rFonts w:ascii="Arial Narrow" w:hAnsi="Arial Narrow"/>
          <w:sz w:val="24"/>
          <w:szCs w:val="24"/>
        </w:rPr>
        <w:t xml:space="preserve">a été mis en place </w:t>
      </w:r>
      <w:r w:rsidR="00A70572" w:rsidRPr="007E7C5B">
        <w:rPr>
          <w:rFonts w:ascii="Arial Narrow" w:hAnsi="Arial Narrow"/>
          <w:sz w:val="24"/>
          <w:szCs w:val="24"/>
        </w:rPr>
        <w:t>pour assurer la coordination de la lutte conjointe TB/VIH </w:t>
      </w:r>
      <w:r w:rsidR="001D5957" w:rsidRPr="007E7C5B">
        <w:rPr>
          <w:rFonts w:ascii="Arial Narrow" w:hAnsi="Arial Narrow"/>
          <w:sz w:val="24"/>
          <w:szCs w:val="24"/>
        </w:rPr>
        <w:t>et</w:t>
      </w:r>
      <w:r w:rsidR="006B7B11" w:rsidRPr="007E7C5B">
        <w:rPr>
          <w:rFonts w:ascii="Arial Narrow" w:hAnsi="Arial Narrow" w:cs="Times New Roman"/>
          <w:sz w:val="24"/>
          <w:szCs w:val="24"/>
        </w:rPr>
        <w:t xml:space="preserve"> </w:t>
      </w:r>
      <w:r w:rsidR="006B7B11" w:rsidRPr="00A918AC">
        <w:rPr>
          <w:rFonts w:ascii="Arial Narrow" w:hAnsi="Arial Narrow" w:cs="Times New Roman"/>
          <w:i/>
          <w:sz w:val="24"/>
          <w:szCs w:val="24"/>
        </w:rPr>
        <w:t>(viii)</w:t>
      </w:r>
      <w:r w:rsidR="006B7B11" w:rsidRPr="007E7C5B">
        <w:rPr>
          <w:rFonts w:ascii="Arial Narrow" w:hAnsi="Arial Narrow" w:cs="Times New Roman"/>
          <w:sz w:val="24"/>
          <w:szCs w:val="24"/>
        </w:rPr>
        <w:t xml:space="preserve"> </w:t>
      </w:r>
      <w:r w:rsidR="00A6512A" w:rsidRPr="007E7C5B">
        <w:rPr>
          <w:rFonts w:ascii="Arial Narrow" w:hAnsi="Arial Narrow" w:cs="Times New Roman"/>
          <w:sz w:val="24"/>
          <w:szCs w:val="24"/>
        </w:rPr>
        <w:t>le</w:t>
      </w:r>
      <w:r w:rsidR="00A70572" w:rsidRPr="007E7C5B">
        <w:rPr>
          <w:rFonts w:ascii="Arial Narrow" w:hAnsi="Arial Narrow" w:cs="Times New Roman"/>
          <w:sz w:val="24"/>
          <w:szCs w:val="24"/>
        </w:rPr>
        <w:t xml:space="preserve"> nombre de centre</w:t>
      </w:r>
      <w:r w:rsidR="0089675B" w:rsidRPr="007E7C5B">
        <w:rPr>
          <w:rFonts w:ascii="Arial Narrow" w:hAnsi="Arial Narrow" w:cs="Times New Roman"/>
          <w:sz w:val="24"/>
          <w:szCs w:val="24"/>
        </w:rPr>
        <w:t>s</w:t>
      </w:r>
      <w:r w:rsidR="00A70572" w:rsidRPr="007E7C5B">
        <w:rPr>
          <w:rFonts w:ascii="Arial Narrow" w:hAnsi="Arial Narrow" w:cs="Times New Roman"/>
          <w:sz w:val="24"/>
          <w:szCs w:val="24"/>
        </w:rPr>
        <w:t xml:space="preserve"> de diagnostic et de traitement de la tuberculose </w:t>
      </w:r>
      <w:r w:rsidR="00975720" w:rsidRPr="007E7C5B">
        <w:rPr>
          <w:rFonts w:ascii="Arial Narrow" w:hAnsi="Arial Narrow" w:cs="Times New Roman"/>
          <w:sz w:val="24"/>
          <w:szCs w:val="24"/>
        </w:rPr>
        <w:t xml:space="preserve">est passé </w:t>
      </w:r>
      <w:r w:rsidR="00A70572" w:rsidRPr="007E7C5B">
        <w:rPr>
          <w:rFonts w:ascii="Arial Narrow" w:hAnsi="Arial Narrow" w:cs="Times New Roman"/>
          <w:sz w:val="24"/>
          <w:szCs w:val="24"/>
        </w:rPr>
        <w:t>de 360 en 2021 à 368 en 2023.</w:t>
      </w:r>
      <w:r w:rsidR="00E9588D" w:rsidRPr="007E7C5B">
        <w:rPr>
          <w:rFonts w:ascii="Arial Narrow" w:hAnsi="Arial Narrow" w:cs="Times New Roman"/>
          <w:sz w:val="24"/>
          <w:szCs w:val="24"/>
        </w:rPr>
        <w:t xml:space="preserve"> </w:t>
      </w:r>
    </w:p>
    <w:p w14:paraId="748FEC77" w14:textId="6D7C7939" w:rsidR="005E7AC9" w:rsidRPr="007E7C5B" w:rsidRDefault="000A025F" w:rsidP="003D79F4">
      <w:pPr>
        <w:spacing w:line="257" w:lineRule="auto"/>
        <w:jc w:val="both"/>
        <w:rPr>
          <w:rFonts w:ascii="Arial Narrow" w:eastAsia="Calibri" w:hAnsi="Arial Narrow" w:cs="Times New Roman"/>
          <w:sz w:val="24"/>
          <w:szCs w:val="24"/>
        </w:rPr>
      </w:pPr>
      <w:r w:rsidRPr="00B82295">
        <w:rPr>
          <w:rFonts w:cstheme="minorHAnsi"/>
          <w:noProof/>
          <w:sz w:val="24"/>
          <w:szCs w:val="24"/>
        </w:rPr>
        <w:lastRenderedPageBreak/>
        <mc:AlternateContent>
          <mc:Choice Requires="wps">
            <w:drawing>
              <wp:anchor distT="0" distB="0" distL="114300" distR="114300" simplePos="0" relativeHeight="251658264" behindDoc="1" locked="0" layoutInCell="1" allowOverlap="1" wp14:anchorId="4884C172" wp14:editId="176AAB40">
                <wp:simplePos x="0" y="0"/>
                <wp:positionH relativeFrom="margin">
                  <wp:align>left</wp:align>
                </wp:positionH>
                <wp:positionV relativeFrom="paragraph">
                  <wp:posOffset>889000</wp:posOffset>
                </wp:positionV>
                <wp:extent cx="2814320" cy="2571750"/>
                <wp:effectExtent l="0" t="0" r="24130" b="19050"/>
                <wp:wrapTight wrapText="bothSides">
                  <wp:wrapPolygon edited="0">
                    <wp:start x="0" y="0"/>
                    <wp:lineTo x="0" y="21600"/>
                    <wp:lineTo x="21639" y="21600"/>
                    <wp:lineTo x="21639" y="0"/>
                    <wp:lineTo x="0" y="0"/>
                  </wp:wrapPolygon>
                </wp:wrapTight>
                <wp:docPr id="192673920" name="Text Box 7"/>
                <wp:cNvGraphicFramePr/>
                <a:graphic xmlns:a="http://schemas.openxmlformats.org/drawingml/2006/main">
                  <a:graphicData uri="http://schemas.microsoft.com/office/word/2010/wordprocessingShape">
                    <wps:wsp>
                      <wps:cNvSpPr txBox="1"/>
                      <wps:spPr>
                        <a:xfrm>
                          <a:off x="0" y="0"/>
                          <a:ext cx="2814381" cy="2571750"/>
                        </a:xfrm>
                        <a:prstGeom prst="rect">
                          <a:avLst/>
                        </a:prstGeom>
                        <a:solidFill>
                          <a:schemeClr val="lt1"/>
                        </a:solidFill>
                        <a:ln w="6350">
                          <a:solidFill>
                            <a:schemeClr val="bg1">
                              <a:lumMod val="75000"/>
                            </a:schemeClr>
                          </a:solidFill>
                        </a:ln>
                      </wps:spPr>
                      <wps:txbx>
                        <w:txbxContent>
                          <w:p w14:paraId="3B5349C0" w14:textId="4AEE39BB" w:rsidR="00920C4F" w:rsidRPr="009F2C0C" w:rsidRDefault="00920C4F" w:rsidP="00DC5897">
                            <w:pPr>
                              <w:pStyle w:val="Lgende"/>
                            </w:pPr>
                            <w:bookmarkStart w:id="77" w:name="_Toc183688806"/>
                            <w:r w:rsidRPr="009F2C0C">
                              <w:t xml:space="preserve">Graphique </w:t>
                            </w:r>
                            <w:r>
                              <w:fldChar w:fldCharType="begin"/>
                            </w:r>
                            <w:r w:rsidRPr="00117554">
                              <w:instrText xml:space="preserve"> SEQ Graphique \* ARABIC </w:instrText>
                            </w:r>
                            <w:r>
                              <w:fldChar w:fldCharType="separate"/>
                            </w:r>
                            <w:r w:rsidR="00F546EB">
                              <w:rPr>
                                <w:noProof/>
                              </w:rPr>
                              <w:t>19</w:t>
                            </w:r>
                            <w:r>
                              <w:fldChar w:fldCharType="end"/>
                            </w:r>
                            <w:r w:rsidRPr="009F2C0C">
                              <w:t xml:space="preserve"> : Taux de succès thérapeutique des nouveaux cas et rechutes de tuberculose toutes formes, confirmée bactériologiquement et diagnostiquée cliniquement : patients guéris et traitement terminé</w:t>
                            </w:r>
                            <w:bookmarkEnd w:id="77"/>
                          </w:p>
                          <w:p w14:paraId="05411B3A" w14:textId="0A55357F" w:rsidR="00920C4F" w:rsidRPr="00B82295" w:rsidRDefault="004D6837" w:rsidP="00920C4F">
                            <w:pPr>
                              <w:keepNext/>
                            </w:pPr>
                            <w:r>
                              <w:rPr>
                                <w:noProof/>
                              </w:rPr>
                              <w:drawing>
                                <wp:inline distT="0" distB="0" distL="0" distR="0" wp14:anchorId="01F1F772" wp14:editId="739EEC7A">
                                  <wp:extent cx="2625090" cy="1434905"/>
                                  <wp:effectExtent l="0" t="0" r="3810" b="13335"/>
                                  <wp:docPr id="2004937269" name="Chart 1">
                                    <a:extLst xmlns:a="http://schemas.openxmlformats.org/drawingml/2006/main">
                                      <a:ext uri="{FF2B5EF4-FFF2-40B4-BE49-F238E27FC236}">
                                        <a16:creationId xmlns:a16="http://schemas.microsoft.com/office/drawing/2014/main" id="{0BDE65E2-822F-3E64-BF2A-C02A69F6BA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DBE36B2" w14:textId="77777777" w:rsidR="00920C4F" w:rsidRPr="00B82295" w:rsidRDefault="00920C4F" w:rsidP="00DC5897">
                            <w:pPr>
                              <w:pStyle w:val="Lgende"/>
                            </w:pPr>
                            <w:r w:rsidRPr="00B82295">
                              <w:t>Sources : Rapports d'activités PNLT</w:t>
                            </w:r>
                          </w:p>
                          <w:p w14:paraId="75450E19" w14:textId="77777777" w:rsidR="00920C4F" w:rsidRPr="00B82295" w:rsidRDefault="00920C4F" w:rsidP="00920C4F">
                            <w:pPr>
                              <w:keepNext/>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884C172" id="_x0000_s1045" type="#_x0000_t202" style="position:absolute;left:0;text-align:left;margin-left:0;margin-top:70pt;width:221.6pt;height:202.5pt;z-index:-251658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" fillcolor="white [3201]" strokecolor="#bfbfbf [2412]" strokeweight=".5pt">
                <v:textbox>
                  <w:txbxContent>
                    <w:p w14:paraId="3B5349C0" w14:textId="4AEE39BB" w:rsidR="00920C4F" w:rsidRPr="009F2C0C" w:rsidRDefault="00920C4F" w:rsidP="00DC5897">
                      <w:pPr>
                        <w:pStyle w:val="Lgende"/>
                      </w:pPr>
                      <w:bookmarkStart w:id="97" w:name="_Toc183688806"/>
                      <w:r w:rsidRPr="009F2C0C">
                        <w:t xml:space="preserve">Graphique </w:t>
                      </w:r>
                      <w:r>
                        <w:fldChar w:fldCharType="begin"/>
                      </w:r>
                      <w:r w:rsidRPr="00117554">
                        <w:instrText xml:space="preserve"> SEQ Graphique \* ARABIC </w:instrText>
                      </w:r>
                      <w:r>
                        <w:fldChar w:fldCharType="separate"/>
                      </w:r>
                      <w:r w:rsidR="00F546EB">
                        <w:rPr>
                          <w:noProof/>
                        </w:rPr>
                        <w:t>19</w:t>
                      </w:r>
                      <w:r>
                        <w:fldChar w:fldCharType="end"/>
                      </w:r>
                      <w:r w:rsidRPr="009F2C0C">
                        <w:t xml:space="preserve"> : Taux de succès thérapeutique des nouveaux cas et rechutes de tuberculose toutes formes, confirmée bactériologiquement et diagnostiquée cliniquement : patients guéris et traitement terminé</w:t>
                      </w:r>
                      <w:bookmarkEnd w:id="97"/>
                    </w:p>
                    <w:p w14:paraId="05411B3A" w14:textId="0A55357F" w:rsidR="00920C4F" w:rsidRPr="00B82295" w:rsidRDefault="004D6837" w:rsidP="00920C4F">
                      <w:pPr>
                        <w:keepNext/>
                      </w:pPr>
                      <w:r>
                        <w:rPr>
                          <w:noProof/>
                        </w:rPr>
                        <w:drawing>
                          <wp:inline distT="0" distB="0" distL="0" distR="0" wp14:anchorId="01F1F772" wp14:editId="739EEC7A">
                            <wp:extent cx="2625090" cy="1434905"/>
                            <wp:effectExtent l="0" t="0" r="3810" b="13335"/>
                            <wp:docPr id="2004937269" name="Chart 1">
                              <a:extLst xmlns:a="http://schemas.openxmlformats.org/drawingml/2006/main">
                                <a:ext uri="{FF2B5EF4-FFF2-40B4-BE49-F238E27FC236}">
                                  <a16:creationId xmlns:a16="http://schemas.microsoft.com/office/drawing/2014/main" id="{0BDE65E2-822F-3E64-BF2A-C02A69F6BA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DBE36B2" w14:textId="77777777" w:rsidR="00920C4F" w:rsidRPr="00B82295" w:rsidRDefault="00920C4F" w:rsidP="00DC5897">
                      <w:pPr>
                        <w:pStyle w:val="Lgende"/>
                      </w:pPr>
                      <w:r w:rsidRPr="00B82295">
                        <w:t>Sources : Rapports d'activités PNLT</w:t>
                      </w:r>
                    </w:p>
                    <w:p w14:paraId="75450E19" w14:textId="77777777" w:rsidR="00920C4F" w:rsidRPr="00B82295" w:rsidRDefault="00920C4F" w:rsidP="00920C4F">
                      <w:pPr>
                        <w:keepNext/>
                        <w:rPr>
                          <w:sz w:val="14"/>
                          <w:szCs w:val="14"/>
                        </w:rPr>
                      </w:pPr>
                    </w:p>
                  </w:txbxContent>
                </v:textbox>
                <w10:wrap type="tight" anchorx="margin"/>
              </v:shape>
            </w:pict>
          </mc:Fallback>
        </mc:AlternateContent>
      </w:r>
      <w:r w:rsidR="00350419" w:rsidRPr="00B82295">
        <w:rPr>
          <w:rFonts w:cstheme="minorHAnsi"/>
          <w:noProof/>
          <w:sz w:val="24"/>
          <w:szCs w:val="24"/>
        </w:rPr>
        <mc:AlternateContent>
          <mc:Choice Requires="wps">
            <w:drawing>
              <wp:anchor distT="0" distB="0" distL="114300" distR="114300" simplePos="0" relativeHeight="251658265" behindDoc="1" locked="0" layoutInCell="1" allowOverlap="1" wp14:anchorId="1600F44E" wp14:editId="29F3E8A2">
                <wp:simplePos x="0" y="0"/>
                <wp:positionH relativeFrom="margin">
                  <wp:posOffset>2885440</wp:posOffset>
                </wp:positionH>
                <wp:positionV relativeFrom="paragraph">
                  <wp:posOffset>888365</wp:posOffset>
                </wp:positionV>
                <wp:extent cx="2850515" cy="2565400"/>
                <wp:effectExtent l="0" t="0" r="26035" b="25400"/>
                <wp:wrapTight wrapText="bothSides">
                  <wp:wrapPolygon edited="0">
                    <wp:start x="0" y="0"/>
                    <wp:lineTo x="0" y="21653"/>
                    <wp:lineTo x="21653" y="21653"/>
                    <wp:lineTo x="21653" y="0"/>
                    <wp:lineTo x="0" y="0"/>
                  </wp:wrapPolygon>
                </wp:wrapTight>
                <wp:docPr id="2044493078" name="Text Box 7"/>
                <wp:cNvGraphicFramePr/>
                <a:graphic xmlns:a="http://schemas.openxmlformats.org/drawingml/2006/main">
                  <a:graphicData uri="http://schemas.microsoft.com/office/word/2010/wordprocessingShape">
                    <wps:wsp>
                      <wps:cNvSpPr txBox="1"/>
                      <wps:spPr>
                        <a:xfrm>
                          <a:off x="0" y="0"/>
                          <a:ext cx="2850515" cy="2565400"/>
                        </a:xfrm>
                        <a:prstGeom prst="rect">
                          <a:avLst/>
                        </a:prstGeom>
                        <a:solidFill>
                          <a:schemeClr val="lt1"/>
                        </a:solidFill>
                        <a:ln w="6350">
                          <a:solidFill>
                            <a:schemeClr val="bg1">
                              <a:lumMod val="75000"/>
                            </a:schemeClr>
                          </a:solidFill>
                        </a:ln>
                      </wps:spPr>
                      <wps:txbx>
                        <w:txbxContent>
                          <w:p w14:paraId="71B3B611" w14:textId="3EA8B3EE" w:rsidR="001E5727" w:rsidRPr="009F2C0C" w:rsidRDefault="001E5727" w:rsidP="00DC5897">
                            <w:pPr>
                              <w:pStyle w:val="Lgende"/>
                            </w:pPr>
                            <w:bookmarkStart w:id="78" w:name="_Toc178328918"/>
                            <w:bookmarkStart w:id="79" w:name="_Toc183688807"/>
                            <w:r w:rsidRPr="009F2C0C">
                              <w:t xml:space="preserve">Graphique </w:t>
                            </w:r>
                            <w:r>
                              <w:fldChar w:fldCharType="begin"/>
                            </w:r>
                            <w:r w:rsidRPr="00117554">
                              <w:instrText xml:space="preserve"> SEQ Graphique \* ARABIC </w:instrText>
                            </w:r>
                            <w:r>
                              <w:fldChar w:fldCharType="separate"/>
                            </w:r>
                            <w:r w:rsidR="00F546EB">
                              <w:rPr>
                                <w:noProof/>
                              </w:rPr>
                              <w:t>20</w:t>
                            </w:r>
                            <w:r>
                              <w:fldChar w:fldCharType="end"/>
                            </w:r>
                            <w:r w:rsidRPr="009F2C0C">
                              <w:t xml:space="preserve"> : Taux de succès thérapeutique des cas de tuberculose résistante à la rifampicine (RR-TB) et/ou multirésistante (MDR-TB) confirmée en laboratoire</w:t>
                            </w:r>
                            <w:bookmarkEnd w:id="78"/>
                            <w:bookmarkEnd w:id="79"/>
                          </w:p>
                          <w:p w14:paraId="165C95DA" w14:textId="2BA5D7B3" w:rsidR="001E5727" w:rsidRPr="00B82295" w:rsidRDefault="00387607" w:rsidP="001E5727">
                            <w:pPr>
                              <w:keepNext/>
                            </w:pPr>
                            <w:r>
                              <w:rPr>
                                <w:noProof/>
                              </w:rPr>
                              <w:drawing>
                                <wp:inline distT="0" distB="0" distL="0" distR="0" wp14:anchorId="1450BD14" wp14:editId="49603F50">
                                  <wp:extent cx="2602523" cy="1589405"/>
                                  <wp:effectExtent l="0" t="0" r="7620" b="10795"/>
                                  <wp:docPr id="974169157" name="Chart 1">
                                    <a:extLst xmlns:a="http://schemas.openxmlformats.org/drawingml/2006/main">
                                      <a:ext uri="{FF2B5EF4-FFF2-40B4-BE49-F238E27FC236}">
                                        <a16:creationId xmlns:a16="http://schemas.microsoft.com/office/drawing/2014/main" id="{A456C75E-1752-EFBD-8D90-B284D7E78C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78ED8BF5" w14:textId="77777777" w:rsidR="001E5727" w:rsidRPr="00B82295" w:rsidRDefault="001E5727" w:rsidP="00DC5897">
                            <w:pPr>
                              <w:pStyle w:val="Lgende"/>
                            </w:pPr>
                            <w:r w:rsidRPr="00B82295">
                              <w:t>Sources : Rapports d'activités PNLT</w:t>
                            </w:r>
                          </w:p>
                          <w:p w14:paraId="4C1F25F2" w14:textId="77777777" w:rsidR="001E5727" w:rsidRPr="00B82295" w:rsidRDefault="001E5727" w:rsidP="001E5727">
                            <w:pPr>
                              <w:keepNext/>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600F44E" id="_x0000_s1046" type="#_x0000_t202" style="position:absolute;left:0;text-align:left;margin-left:227.2pt;margin-top:69.95pt;width:224.45pt;height:202pt;z-index:-251658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" fillcolor="white [3201]" strokecolor="#bfbfbf [2412]" strokeweight=".5pt">
                <v:textbox>
                  <w:txbxContent>
                    <w:p w14:paraId="71B3B611" w14:textId="3EA8B3EE" w:rsidR="001E5727" w:rsidRPr="009F2C0C" w:rsidRDefault="001E5727" w:rsidP="00DC5897">
                      <w:pPr>
                        <w:pStyle w:val="Lgende"/>
                      </w:pPr>
                      <w:bookmarkStart w:id="100" w:name="_Toc178328918"/>
                      <w:bookmarkStart w:id="101" w:name="_Toc183688807"/>
                      <w:r w:rsidRPr="009F2C0C">
                        <w:t xml:space="preserve">Graphique </w:t>
                      </w:r>
                      <w:r>
                        <w:fldChar w:fldCharType="begin"/>
                      </w:r>
                      <w:r w:rsidRPr="00117554">
                        <w:instrText xml:space="preserve"> SEQ Graphique \* ARABIC </w:instrText>
                      </w:r>
                      <w:r>
                        <w:fldChar w:fldCharType="separate"/>
                      </w:r>
                      <w:r w:rsidR="00F546EB">
                        <w:rPr>
                          <w:noProof/>
                        </w:rPr>
                        <w:t>20</w:t>
                      </w:r>
                      <w:r>
                        <w:fldChar w:fldCharType="end"/>
                      </w:r>
                      <w:r w:rsidRPr="009F2C0C">
                        <w:t xml:space="preserve"> : Taux de succès thérapeutique des cas de tuberculose résistante à la rifampicine (RR-TB) et/ou multirésistante (MDR-TB) confirmée en laboratoire</w:t>
                      </w:r>
                      <w:bookmarkEnd w:id="100"/>
                      <w:bookmarkEnd w:id="101"/>
                    </w:p>
                    <w:p w14:paraId="165C95DA" w14:textId="2BA5D7B3" w:rsidR="001E5727" w:rsidRPr="00B82295" w:rsidRDefault="00387607" w:rsidP="001E5727">
                      <w:pPr>
                        <w:keepNext/>
                      </w:pPr>
                      <w:r>
                        <w:rPr>
                          <w:noProof/>
                        </w:rPr>
                        <w:drawing>
                          <wp:inline distT="0" distB="0" distL="0" distR="0" wp14:anchorId="1450BD14" wp14:editId="49603F50">
                            <wp:extent cx="2602523" cy="1589405"/>
                            <wp:effectExtent l="0" t="0" r="7620" b="10795"/>
                            <wp:docPr id="974169157" name="Chart 1">
                              <a:extLst xmlns:a="http://schemas.openxmlformats.org/drawingml/2006/main">
                                <a:ext uri="{FF2B5EF4-FFF2-40B4-BE49-F238E27FC236}">
                                  <a16:creationId xmlns:a16="http://schemas.microsoft.com/office/drawing/2014/main" id="{A456C75E-1752-EFBD-8D90-B284D7E78C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8ED8BF5" w14:textId="77777777" w:rsidR="001E5727" w:rsidRPr="00B82295" w:rsidRDefault="001E5727" w:rsidP="00DC5897">
                      <w:pPr>
                        <w:pStyle w:val="Lgende"/>
                      </w:pPr>
                      <w:r w:rsidRPr="00B82295">
                        <w:t>Sources : Rapports d'activités PNLT</w:t>
                      </w:r>
                    </w:p>
                    <w:p w14:paraId="4C1F25F2" w14:textId="77777777" w:rsidR="001E5727" w:rsidRPr="00B82295" w:rsidRDefault="001E5727" w:rsidP="001E5727">
                      <w:pPr>
                        <w:keepNext/>
                        <w:rPr>
                          <w:sz w:val="14"/>
                          <w:szCs w:val="14"/>
                        </w:rPr>
                      </w:pPr>
                    </w:p>
                  </w:txbxContent>
                </v:textbox>
                <w10:wrap type="tight" anchorx="margin"/>
              </v:shape>
            </w:pict>
          </mc:Fallback>
        </mc:AlternateContent>
      </w:r>
      <w:r w:rsidR="005149DE" w:rsidRPr="007E7C5B">
        <w:rPr>
          <w:rFonts w:ascii="Arial Narrow" w:eastAsia="Calibri" w:hAnsi="Arial Narrow" w:cs="Arial"/>
          <w:sz w:val="24"/>
          <w:szCs w:val="24"/>
        </w:rPr>
        <w:t>Ces</w:t>
      </w:r>
      <w:r w:rsidR="003E7F09" w:rsidRPr="007E7C5B">
        <w:rPr>
          <w:rFonts w:ascii="Arial Narrow" w:eastAsia="Calibri" w:hAnsi="Arial Narrow" w:cs="Arial"/>
          <w:sz w:val="24"/>
          <w:szCs w:val="24"/>
        </w:rPr>
        <w:t xml:space="preserve"> interventions ont </w:t>
      </w:r>
      <w:r w:rsidR="005149DE" w:rsidRPr="007E7C5B">
        <w:rPr>
          <w:rFonts w:ascii="Arial Narrow" w:eastAsia="Calibri" w:hAnsi="Arial Narrow" w:cs="Arial"/>
          <w:sz w:val="24"/>
          <w:szCs w:val="24"/>
        </w:rPr>
        <w:t xml:space="preserve">entrainé une augmentation </w:t>
      </w:r>
      <w:r w:rsidR="008366B9" w:rsidRPr="007E7C5B">
        <w:rPr>
          <w:rFonts w:ascii="Arial Narrow" w:eastAsia="Calibri" w:hAnsi="Arial Narrow" w:cs="Arial"/>
          <w:sz w:val="24"/>
          <w:szCs w:val="24"/>
        </w:rPr>
        <w:t xml:space="preserve">de 3 points </w:t>
      </w:r>
      <w:r w:rsidR="00E9588D" w:rsidRPr="007E7C5B">
        <w:rPr>
          <w:rFonts w:ascii="Arial Narrow" w:eastAsia="Calibri" w:hAnsi="Arial Narrow" w:cs="Arial"/>
          <w:sz w:val="24"/>
          <w:szCs w:val="24"/>
        </w:rPr>
        <w:t>de 20</w:t>
      </w:r>
      <w:r w:rsidR="00286BEB" w:rsidRPr="007E7C5B">
        <w:rPr>
          <w:rFonts w:ascii="Arial Narrow" w:eastAsia="Calibri" w:hAnsi="Arial Narrow" w:cs="Arial"/>
          <w:sz w:val="24"/>
          <w:szCs w:val="24"/>
        </w:rPr>
        <w:t>19</w:t>
      </w:r>
      <w:r w:rsidR="00E9588D" w:rsidRPr="007E7C5B">
        <w:rPr>
          <w:rFonts w:ascii="Arial Narrow" w:eastAsia="Calibri" w:hAnsi="Arial Narrow" w:cs="Arial"/>
          <w:sz w:val="24"/>
          <w:szCs w:val="24"/>
        </w:rPr>
        <w:t xml:space="preserve"> à 2023</w:t>
      </w:r>
      <w:r w:rsidR="00BE5235" w:rsidRPr="007E7C5B">
        <w:rPr>
          <w:rFonts w:ascii="Arial Narrow" w:eastAsia="Calibri" w:hAnsi="Arial Narrow" w:cs="Arial"/>
          <w:sz w:val="24"/>
          <w:szCs w:val="24"/>
        </w:rPr>
        <w:t xml:space="preserve"> </w:t>
      </w:r>
      <w:r w:rsidR="008366B9" w:rsidRPr="007E7C5B">
        <w:rPr>
          <w:rFonts w:ascii="Arial Narrow" w:eastAsia="Calibri" w:hAnsi="Arial Narrow" w:cs="Arial"/>
          <w:sz w:val="24"/>
          <w:szCs w:val="24"/>
        </w:rPr>
        <w:t>du</w:t>
      </w:r>
      <w:r w:rsidR="003E7F09" w:rsidRPr="007E7C5B">
        <w:rPr>
          <w:rFonts w:ascii="Arial Narrow" w:eastAsia="Calibri" w:hAnsi="Arial Narrow" w:cs="Arial"/>
          <w:sz w:val="24"/>
          <w:szCs w:val="24"/>
        </w:rPr>
        <w:t xml:space="preserve"> taux de succès thérapeutique des nouveaux cas et rechutes de tuberculose, toutes formes confirmées bactériologiquement et diagnostiquées cliniquement, passant </w:t>
      </w:r>
      <w:r w:rsidR="003E7F09" w:rsidRPr="00E537D7">
        <w:rPr>
          <w:rFonts w:ascii="Arial Narrow" w:eastAsia="Calibri" w:hAnsi="Arial Narrow" w:cs="Arial"/>
          <w:sz w:val="24"/>
          <w:szCs w:val="24"/>
        </w:rPr>
        <w:t>de 84% à 87%</w:t>
      </w:r>
      <w:r w:rsidR="004014C5" w:rsidRPr="00E537D7">
        <w:rPr>
          <w:rFonts w:ascii="Arial Narrow" w:eastAsia="Calibri" w:hAnsi="Arial Narrow" w:cs="Arial"/>
          <w:sz w:val="24"/>
          <w:szCs w:val="24"/>
        </w:rPr>
        <w:t xml:space="preserve"> contre</w:t>
      </w:r>
      <w:r w:rsidR="004014C5" w:rsidRPr="007E7C5B">
        <w:rPr>
          <w:rFonts w:ascii="Arial Narrow" w:eastAsia="Calibri" w:hAnsi="Arial Narrow" w:cs="Arial"/>
          <w:sz w:val="24"/>
          <w:szCs w:val="24"/>
        </w:rPr>
        <w:t xml:space="preserve"> une cible attendue de 90%</w:t>
      </w:r>
      <w:r w:rsidR="003E7F09" w:rsidRPr="007E7C5B">
        <w:rPr>
          <w:rFonts w:ascii="Arial Narrow" w:eastAsia="Calibri" w:hAnsi="Arial Narrow" w:cs="Arial"/>
          <w:sz w:val="24"/>
          <w:szCs w:val="24"/>
        </w:rPr>
        <w:t>.</w:t>
      </w:r>
      <w:r w:rsidR="001A623E" w:rsidRPr="007E7C5B">
        <w:rPr>
          <w:rFonts w:ascii="Arial Narrow" w:eastAsia="Calibri" w:hAnsi="Arial Narrow" w:cs="Arial"/>
          <w:sz w:val="24"/>
          <w:szCs w:val="24"/>
        </w:rPr>
        <w:t xml:space="preserve"> </w:t>
      </w:r>
      <w:r w:rsidR="00D30AD0" w:rsidRPr="007E7C5B">
        <w:rPr>
          <w:rFonts w:ascii="Arial Narrow" w:eastAsia="Calibri" w:hAnsi="Arial Narrow" w:cs="Arial"/>
          <w:sz w:val="24"/>
          <w:szCs w:val="24"/>
        </w:rPr>
        <w:t>L</w:t>
      </w:r>
      <w:r w:rsidR="00DA31CF" w:rsidRPr="007E7C5B">
        <w:rPr>
          <w:rFonts w:ascii="Arial Narrow" w:eastAsia="Calibri" w:hAnsi="Arial Narrow" w:cs="Arial"/>
          <w:sz w:val="24"/>
          <w:szCs w:val="24"/>
        </w:rPr>
        <w:t>e taux de succ</w:t>
      </w:r>
      <w:r w:rsidR="00310D64" w:rsidRPr="007E7C5B">
        <w:rPr>
          <w:rFonts w:ascii="Arial Narrow" w:eastAsia="Calibri" w:hAnsi="Arial Narrow" w:cs="Arial"/>
          <w:sz w:val="24"/>
          <w:szCs w:val="24"/>
        </w:rPr>
        <w:t>è</w:t>
      </w:r>
      <w:r w:rsidR="00DA31CF" w:rsidRPr="007E7C5B">
        <w:rPr>
          <w:rFonts w:ascii="Arial Narrow" w:eastAsia="Calibri" w:hAnsi="Arial Narrow" w:cs="Arial"/>
          <w:sz w:val="24"/>
          <w:szCs w:val="24"/>
        </w:rPr>
        <w:t>s th</w:t>
      </w:r>
      <w:r w:rsidR="00804449" w:rsidRPr="007E7C5B">
        <w:rPr>
          <w:rFonts w:ascii="Arial Narrow" w:eastAsia="Calibri" w:hAnsi="Arial Narrow" w:cs="Arial"/>
          <w:sz w:val="24"/>
          <w:szCs w:val="24"/>
        </w:rPr>
        <w:t>é</w:t>
      </w:r>
      <w:r w:rsidR="00DA31CF" w:rsidRPr="007E7C5B">
        <w:rPr>
          <w:rFonts w:ascii="Arial Narrow" w:eastAsia="Calibri" w:hAnsi="Arial Narrow" w:cs="Arial"/>
          <w:sz w:val="24"/>
          <w:szCs w:val="24"/>
        </w:rPr>
        <w:t xml:space="preserve">rapeutique des cas de </w:t>
      </w:r>
      <w:r w:rsidR="000F1D74" w:rsidRPr="007E7C5B">
        <w:rPr>
          <w:rFonts w:ascii="Arial Narrow" w:eastAsia="Calibri" w:hAnsi="Arial Narrow" w:cs="Arial"/>
          <w:sz w:val="24"/>
          <w:szCs w:val="24"/>
        </w:rPr>
        <w:t xml:space="preserve">tuberculose </w:t>
      </w:r>
      <w:r w:rsidR="00414975" w:rsidRPr="007E7C5B">
        <w:rPr>
          <w:rFonts w:ascii="Arial Narrow" w:eastAsia="Calibri" w:hAnsi="Arial Narrow" w:cs="Arial"/>
          <w:sz w:val="24"/>
          <w:szCs w:val="24"/>
        </w:rPr>
        <w:t>résistante</w:t>
      </w:r>
      <w:r w:rsidR="000F1D74" w:rsidRPr="007E7C5B">
        <w:rPr>
          <w:rFonts w:ascii="Arial Narrow" w:eastAsia="Calibri" w:hAnsi="Arial Narrow" w:cs="Arial"/>
          <w:sz w:val="24"/>
          <w:szCs w:val="24"/>
        </w:rPr>
        <w:t xml:space="preserve"> à la rifa</w:t>
      </w:r>
      <w:r w:rsidR="00820F18" w:rsidRPr="007E7C5B">
        <w:rPr>
          <w:rFonts w:ascii="Arial Narrow" w:eastAsia="Calibri" w:hAnsi="Arial Narrow" w:cs="Arial"/>
          <w:sz w:val="24"/>
          <w:szCs w:val="24"/>
        </w:rPr>
        <w:t>mpici</w:t>
      </w:r>
      <w:r w:rsidR="00B80F07" w:rsidRPr="007E7C5B">
        <w:rPr>
          <w:rFonts w:ascii="Arial Narrow" w:eastAsia="Calibri" w:hAnsi="Arial Narrow" w:cs="Arial"/>
          <w:sz w:val="24"/>
          <w:szCs w:val="24"/>
        </w:rPr>
        <w:t xml:space="preserve">ne </w:t>
      </w:r>
      <w:r w:rsidR="00113B61" w:rsidRPr="007E7C5B">
        <w:rPr>
          <w:rFonts w:ascii="Arial Narrow" w:eastAsia="Calibri" w:hAnsi="Arial Narrow" w:cs="Arial"/>
          <w:sz w:val="24"/>
          <w:szCs w:val="24"/>
        </w:rPr>
        <w:t>(RR</w:t>
      </w:r>
      <w:r w:rsidR="002571CB" w:rsidRPr="007E7C5B">
        <w:rPr>
          <w:rFonts w:ascii="Arial Narrow" w:eastAsia="Calibri" w:hAnsi="Arial Narrow" w:cs="Arial"/>
          <w:sz w:val="24"/>
          <w:szCs w:val="24"/>
        </w:rPr>
        <w:t xml:space="preserve">-TB) </w:t>
      </w:r>
      <w:r w:rsidR="007A7421" w:rsidRPr="007E7C5B">
        <w:rPr>
          <w:rFonts w:ascii="Arial Narrow" w:eastAsia="Calibri" w:hAnsi="Arial Narrow" w:cs="Arial"/>
          <w:sz w:val="24"/>
          <w:szCs w:val="24"/>
        </w:rPr>
        <w:t xml:space="preserve">et/ou </w:t>
      </w:r>
      <w:r w:rsidR="00414975" w:rsidRPr="007E7C5B">
        <w:rPr>
          <w:rFonts w:ascii="Arial Narrow" w:eastAsia="Calibri" w:hAnsi="Arial Narrow" w:cs="Arial"/>
          <w:sz w:val="24"/>
          <w:szCs w:val="24"/>
        </w:rPr>
        <w:t>multirésistante</w:t>
      </w:r>
      <w:r w:rsidR="007A7421" w:rsidRPr="007E7C5B">
        <w:rPr>
          <w:rFonts w:ascii="Arial Narrow" w:eastAsia="Calibri" w:hAnsi="Arial Narrow" w:cs="Arial"/>
          <w:sz w:val="24"/>
          <w:szCs w:val="24"/>
        </w:rPr>
        <w:t xml:space="preserve"> </w:t>
      </w:r>
      <w:r w:rsidR="0085099D" w:rsidRPr="007E7C5B">
        <w:rPr>
          <w:rFonts w:ascii="Arial Narrow" w:eastAsia="Calibri" w:hAnsi="Arial Narrow" w:cs="Arial"/>
          <w:sz w:val="24"/>
          <w:szCs w:val="24"/>
        </w:rPr>
        <w:t>(</w:t>
      </w:r>
      <w:r w:rsidR="00934297" w:rsidRPr="007E7C5B">
        <w:rPr>
          <w:rFonts w:ascii="Arial Narrow" w:eastAsia="Calibri" w:hAnsi="Arial Narrow" w:cs="Arial"/>
          <w:sz w:val="24"/>
          <w:szCs w:val="24"/>
        </w:rPr>
        <w:t xml:space="preserve">MDR-TB), confirmés en laboratoire, </w:t>
      </w:r>
      <w:r w:rsidR="00545198" w:rsidRPr="007E7C5B">
        <w:rPr>
          <w:rFonts w:ascii="Arial Narrow" w:eastAsia="Calibri" w:hAnsi="Arial Narrow" w:cs="Arial"/>
          <w:sz w:val="24"/>
          <w:szCs w:val="24"/>
        </w:rPr>
        <w:t xml:space="preserve">est </w:t>
      </w:r>
      <w:r w:rsidR="00D30AD0" w:rsidRPr="007E7C5B">
        <w:rPr>
          <w:rFonts w:ascii="Arial Narrow" w:eastAsia="Calibri" w:hAnsi="Arial Narrow" w:cs="Arial"/>
          <w:sz w:val="24"/>
          <w:szCs w:val="24"/>
        </w:rPr>
        <w:t xml:space="preserve">quant à lui </w:t>
      </w:r>
      <w:r w:rsidR="00934297" w:rsidRPr="007E7C5B">
        <w:rPr>
          <w:rFonts w:ascii="Arial Narrow" w:eastAsia="Calibri" w:hAnsi="Arial Narrow" w:cs="Arial"/>
          <w:sz w:val="24"/>
          <w:szCs w:val="24"/>
        </w:rPr>
        <w:t xml:space="preserve">passé </w:t>
      </w:r>
      <w:r w:rsidR="00590838" w:rsidRPr="007E7C5B">
        <w:rPr>
          <w:rFonts w:ascii="Arial Narrow" w:eastAsia="Calibri" w:hAnsi="Arial Narrow" w:cs="Arial"/>
          <w:sz w:val="24"/>
          <w:szCs w:val="24"/>
        </w:rPr>
        <w:t xml:space="preserve">de </w:t>
      </w:r>
      <w:r w:rsidR="00B21488" w:rsidRPr="007E7C5B">
        <w:rPr>
          <w:rFonts w:ascii="Arial Narrow" w:eastAsia="Calibri" w:hAnsi="Arial Narrow" w:cs="Arial"/>
          <w:sz w:val="24"/>
          <w:szCs w:val="24"/>
        </w:rPr>
        <w:t xml:space="preserve">74% en 2019 à </w:t>
      </w:r>
      <w:r w:rsidR="00934297" w:rsidRPr="007E7C5B">
        <w:rPr>
          <w:rFonts w:ascii="Arial Narrow" w:eastAsia="Calibri" w:hAnsi="Arial Narrow" w:cs="Arial"/>
          <w:sz w:val="24"/>
          <w:szCs w:val="24"/>
        </w:rPr>
        <w:t>78% en 2021</w:t>
      </w:r>
      <w:r w:rsidR="008019A8" w:rsidRPr="007E7C5B">
        <w:rPr>
          <w:rFonts w:ascii="Arial Narrow" w:eastAsia="Calibri" w:hAnsi="Arial Narrow" w:cs="Arial"/>
          <w:sz w:val="24"/>
          <w:szCs w:val="24"/>
        </w:rPr>
        <w:t xml:space="preserve"> </w:t>
      </w:r>
      <w:r w:rsidR="004C111A" w:rsidRPr="007E7C5B">
        <w:rPr>
          <w:rFonts w:ascii="Arial Narrow" w:eastAsia="Calibri" w:hAnsi="Arial Narrow" w:cs="Arial"/>
          <w:sz w:val="24"/>
          <w:szCs w:val="24"/>
        </w:rPr>
        <w:t>puis</w:t>
      </w:r>
      <w:r w:rsidR="00934297" w:rsidRPr="007E7C5B">
        <w:rPr>
          <w:rFonts w:ascii="Arial Narrow" w:eastAsia="Calibri" w:hAnsi="Arial Narrow" w:cs="Arial"/>
          <w:sz w:val="24"/>
          <w:szCs w:val="24"/>
        </w:rPr>
        <w:t xml:space="preserve"> à 75% en 2023</w:t>
      </w:r>
      <w:r w:rsidR="00CD3DAF" w:rsidRPr="007E7C5B">
        <w:rPr>
          <w:rFonts w:ascii="Arial Narrow" w:eastAsia="Calibri" w:hAnsi="Arial Narrow" w:cs="Arial"/>
          <w:sz w:val="24"/>
          <w:szCs w:val="24"/>
        </w:rPr>
        <w:t xml:space="preserve"> contre une</w:t>
      </w:r>
      <w:r w:rsidR="009409CC" w:rsidRPr="007E7C5B">
        <w:rPr>
          <w:rFonts w:ascii="Arial Narrow" w:eastAsia="Calibri" w:hAnsi="Arial Narrow" w:cs="Arial"/>
          <w:sz w:val="24"/>
          <w:szCs w:val="24"/>
        </w:rPr>
        <w:t xml:space="preserve"> </w:t>
      </w:r>
      <w:r w:rsidR="00F81F2F" w:rsidRPr="007E7C5B">
        <w:rPr>
          <w:rFonts w:ascii="Arial Narrow" w:eastAsia="Calibri" w:hAnsi="Arial Narrow" w:cs="Times New Roman"/>
          <w:sz w:val="24"/>
          <w:szCs w:val="24"/>
        </w:rPr>
        <w:t xml:space="preserve">cible de </w:t>
      </w:r>
      <w:r w:rsidR="0042064D" w:rsidRPr="007E7C5B">
        <w:rPr>
          <w:rFonts w:ascii="Arial Narrow" w:eastAsia="Calibri" w:hAnsi="Arial Narrow" w:cs="Times New Roman"/>
          <w:sz w:val="24"/>
          <w:szCs w:val="24"/>
        </w:rPr>
        <w:t>84%.</w:t>
      </w:r>
      <w:r w:rsidR="00F81F2F" w:rsidRPr="007E7C5B">
        <w:rPr>
          <w:rFonts w:ascii="Arial Narrow" w:eastAsia="Calibri" w:hAnsi="Arial Narrow" w:cs="Times New Roman"/>
          <w:sz w:val="24"/>
          <w:szCs w:val="24"/>
        </w:rPr>
        <w:t xml:space="preserve"> </w:t>
      </w:r>
      <w:r w:rsidR="00AD7B85" w:rsidRPr="007E7C5B">
        <w:rPr>
          <w:rFonts w:ascii="Arial Narrow" w:eastAsia="Calibri" w:hAnsi="Arial Narrow" w:cs="Times New Roman"/>
          <w:sz w:val="24"/>
          <w:szCs w:val="24"/>
        </w:rPr>
        <w:t>Cette baisse après 2021 s’explique par un</w:t>
      </w:r>
      <w:r w:rsidR="00AD7B85" w:rsidRPr="007E7C5B">
        <w:rPr>
          <w:rFonts w:ascii="Arial Narrow" w:hAnsi="Arial Narrow" w:cs="Times New Roman"/>
          <w:sz w:val="24"/>
          <w:szCs w:val="24"/>
        </w:rPr>
        <w:t xml:space="preserve"> taux de perdus de vue en hausse passant de 6% en 2021 à 11% en 2023.</w:t>
      </w:r>
    </w:p>
    <w:p w14:paraId="67E2CBF6" w14:textId="36C15625" w:rsidR="00AD7B85" w:rsidRPr="007E7C5B" w:rsidRDefault="004F600E" w:rsidP="00AD7B85">
      <w:pPr>
        <w:spacing w:line="257" w:lineRule="auto"/>
        <w:jc w:val="both"/>
        <w:rPr>
          <w:rFonts w:ascii="Arial Narrow" w:eastAsia="Calibri" w:hAnsi="Arial Narrow" w:cs="Arial"/>
          <w:color w:val="FF0000"/>
          <w:sz w:val="24"/>
          <w:szCs w:val="24"/>
        </w:rPr>
      </w:pPr>
      <w:r w:rsidRPr="007E7C5B">
        <w:rPr>
          <w:rFonts w:ascii="Arial Narrow" w:eastAsia="Calibri" w:hAnsi="Arial Narrow" w:cs="Arial"/>
          <w:sz w:val="24"/>
          <w:szCs w:val="24"/>
        </w:rPr>
        <w:t>L</w:t>
      </w:r>
      <w:r w:rsidR="00682785" w:rsidRPr="007E7C5B">
        <w:rPr>
          <w:rFonts w:ascii="Arial Narrow" w:eastAsia="Calibri" w:hAnsi="Arial Narrow" w:cs="Arial"/>
          <w:sz w:val="24"/>
          <w:szCs w:val="24"/>
        </w:rPr>
        <w:t xml:space="preserve">’incidence de la tuberculose a diminué, passant de 137 cas pour 100 000 habitants en 2020 à 123 cas pour 100 000 habitants en 2023. </w:t>
      </w:r>
      <w:r w:rsidR="00AD7B85" w:rsidRPr="007E7C5B">
        <w:rPr>
          <w:rFonts w:ascii="Arial Narrow" w:eastAsia="Calibri" w:hAnsi="Arial Narrow" w:cs="Arial"/>
          <w:sz w:val="24"/>
          <w:szCs w:val="24"/>
        </w:rPr>
        <w:t>En effet,</w:t>
      </w:r>
      <w:r w:rsidR="00AD7B85" w:rsidRPr="00A918AC">
        <w:rPr>
          <w:rFonts w:ascii="Arial Narrow" w:eastAsia="Calibri" w:hAnsi="Arial Narrow" w:cs="Arial"/>
          <w:sz w:val="24"/>
          <w:szCs w:val="24"/>
        </w:rPr>
        <w:t xml:space="preserve"> le taux de détection des cas de TB est largement en deçà de valeurs estimées. Le nombre de cas non-détectés est estimé à 14 792 en 2019 et 13 171 en 2022.</w:t>
      </w:r>
      <w:r w:rsidR="00E33227">
        <w:rPr>
          <w:rFonts w:ascii="Arial Narrow" w:eastAsia="Calibri" w:hAnsi="Arial Narrow" w:cs="Arial"/>
          <w:sz w:val="24"/>
          <w:szCs w:val="24"/>
        </w:rPr>
        <w:t xml:space="preserve"> </w:t>
      </w:r>
    </w:p>
    <w:p w14:paraId="604D1AF7" w14:textId="7DA13F5D" w:rsidR="00BF47FA" w:rsidRPr="007E7C5B" w:rsidRDefault="00D408AE" w:rsidP="00BF47FA">
      <w:pPr>
        <w:jc w:val="both"/>
        <w:rPr>
          <w:rFonts w:ascii="Arial Narrow" w:hAnsi="Arial Narrow" w:cs="Times New Roman"/>
          <w:sz w:val="24"/>
          <w:szCs w:val="24"/>
        </w:rPr>
      </w:pPr>
      <w:r w:rsidRPr="00A918AC">
        <w:rPr>
          <w:rFonts w:ascii="Arial Narrow" w:hAnsi="Arial Narrow"/>
          <w:noProof/>
          <w:sz w:val="24"/>
          <w:szCs w:val="24"/>
          <w:lang w:eastAsia="fr-FR"/>
        </w:rPr>
        <mc:AlternateContent>
          <mc:Choice Requires="wps">
            <w:drawing>
              <wp:anchor distT="0" distB="0" distL="114300" distR="114300" simplePos="0" relativeHeight="251658248" behindDoc="0" locked="0" layoutInCell="1" allowOverlap="1" wp14:anchorId="36B4271C" wp14:editId="6914E903">
                <wp:simplePos x="0" y="0"/>
                <wp:positionH relativeFrom="margin">
                  <wp:posOffset>0</wp:posOffset>
                </wp:positionH>
                <wp:positionV relativeFrom="paragraph">
                  <wp:posOffset>1057910</wp:posOffset>
                </wp:positionV>
                <wp:extent cx="5934075" cy="2656205"/>
                <wp:effectExtent l="0" t="0" r="9525" b="0"/>
                <wp:wrapTopAndBottom/>
                <wp:docPr id="1779363548" name="Text Box 55"/>
                <wp:cNvGraphicFramePr/>
                <a:graphic xmlns:a="http://schemas.openxmlformats.org/drawingml/2006/main">
                  <a:graphicData uri="http://schemas.microsoft.com/office/word/2010/wordprocessingShape">
                    <wps:wsp>
                      <wps:cNvSpPr txBox="1"/>
                      <wps:spPr>
                        <a:xfrm>
                          <a:off x="0" y="0"/>
                          <a:ext cx="5934075" cy="2656205"/>
                        </a:xfrm>
                        <a:prstGeom prst="rect">
                          <a:avLst/>
                        </a:prstGeom>
                        <a:solidFill>
                          <a:schemeClr val="lt1"/>
                        </a:solidFill>
                        <a:ln w="6350">
                          <a:noFill/>
                        </a:ln>
                      </wps:spPr>
                      <wps:txbx>
                        <w:txbxContent>
                          <w:p w14:paraId="7A098AEF" w14:textId="4EE4EC45" w:rsidR="009D16A0" w:rsidRPr="004167C0" w:rsidRDefault="009D16A0" w:rsidP="00DC5897">
                            <w:pPr>
                              <w:pStyle w:val="Lgende"/>
                              <w:rPr>
                                <w:lang w:val="fr-CI"/>
                              </w:rPr>
                            </w:pPr>
                            <w:bookmarkStart w:id="80" w:name="_Toc183688808"/>
                            <w:r w:rsidRPr="004167C0">
                              <w:t xml:space="preserve">Graphique </w:t>
                            </w:r>
                            <w:r w:rsidR="008E4C0C">
                              <w:fldChar w:fldCharType="begin"/>
                            </w:r>
                            <w:r w:rsidR="008E4C0C">
                              <w:instrText xml:space="preserve"> SEQ Graphique \* ARABIC </w:instrText>
                            </w:r>
                            <w:r w:rsidR="008E4C0C">
                              <w:fldChar w:fldCharType="separate"/>
                            </w:r>
                            <w:r w:rsidR="00F546EB">
                              <w:rPr>
                                <w:noProof/>
                              </w:rPr>
                              <w:t>21</w:t>
                            </w:r>
                            <w:r w:rsidR="008E4C0C">
                              <w:fldChar w:fldCharType="end"/>
                            </w:r>
                            <w:r w:rsidRPr="004167C0">
                              <w:t xml:space="preserve"> : </w:t>
                            </w:r>
                            <w:r w:rsidRPr="004167C0">
                              <w:rPr>
                                <w:lang w:val="fr-CI"/>
                              </w:rPr>
                              <w:t>Evolution de l'incidence de la TB de 2019 à 2022</w:t>
                            </w:r>
                            <w:bookmarkEnd w:id="80"/>
                          </w:p>
                          <w:p w14:paraId="5B23ECCE" w14:textId="77777777" w:rsidR="009D16A0" w:rsidRPr="004167C0" w:rsidRDefault="009D16A0" w:rsidP="007B5C20">
                            <w:pPr>
                              <w:keepNext/>
                              <w:spacing w:line="257" w:lineRule="auto"/>
                              <w:jc w:val="center"/>
                              <w:rPr>
                                <w:rFonts w:ascii="Arial Narrow" w:hAnsi="Arial Narrow"/>
                              </w:rPr>
                            </w:pPr>
                            <w:r w:rsidRPr="00A918AC">
                              <w:rPr>
                                <w:rFonts w:ascii="Arial Narrow" w:hAnsi="Arial Narrow"/>
                                <w:noProof/>
                                <w:sz w:val="24"/>
                                <w:szCs w:val="24"/>
                                <w:shd w:val="clear" w:color="auto" w:fill="E7E6E6" w:themeFill="background2"/>
                                <w:lang w:eastAsia="fr-FR"/>
                              </w:rPr>
                              <w:drawing>
                                <wp:inline distT="0" distB="0" distL="0" distR="0" wp14:anchorId="44C571E8" wp14:editId="521788B6">
                                  <wp:extent cx="4560425" cy="1950085"/>
                                  <wp:effectExtent l="0" t="0" r="12065" b="12065"/>
                                  <wp:docPr id="920681468" name="Graphique 1">
                                    <a:extLst xmlns:a="http://schemas.openxmlformats.org/drawingml/2006/main">
                                      <a:ext uri="{FF2B5EF4-FFF2-40B4-BE49-F238E27FC236}">
                                        <a16:creationId xmlns:a16="http://schemas.microsoft.com/office/drawing/2014/main" id="{552088AE-3ECA-4DDA-9C35-4A724BA62C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0C408FF4" w14:textId="77777777" w:rsidR="009D16A0" w:rsidRPr="004167C0" w:rsidRDefault="009D16A0" w:rsidP="00DC5897">
                            <w:pPr>
                              <w:pStyle w:val="Lgende"/>
                              <w:rPr>
                                <w:rFonts w:eastAsia="Calibri"/>
                                <w:color w:val="FF0000"/>
                                <w:sz w:val="24"/>
                                <w:szCs w:val="24"/>
                              </w:rPr>
                            </w:pPr>
                            <w:r w:rsidRPr="004167C0">
                              <w:t>Source : Rapports d'activités PNLT</w:t>
                            </w:r>
                          </w:p>
                          <w:p w14:paraId="23DF3372" w14:textId="77777777" w:rsidR="009D16A0" w:rsidRDefault="009D16A0" w:rsidP="00D408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6B4271C" id="Text Box 55" o:spid="_x0000_s1047" type="#_x0000_t202" style="position:absolute;left:0;text-align:left;margin-left:0;margin-top:83.3pt;width:467.25pt;height:209.1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" fillcolor="white [3201]" stroked="f" strokeweight=".5pt">
                <v:textbox>
                  <w:txbxContent>
                    <w:p w14:paraId="7A098AEF" w14:textId="4EE4EC45" w:rsidR="009D16A0" w:rsidRPr="004167C0" w:rsidRDefault="009D16A0" w:rsidP="00DC5897">
                      <w:pPr>
                        <w:pStyle w:val="Lgende"/>
                        <w:rPr>
                          <w:lang w:val="fr-CI"/>
                        </w:rPr>
                      </w:pPr>
                      <w:bookmarkStart w:id="103" w:name="_Toc183688808"/>
                      <w:r w:rsidRPr="004167C0">
                        <w:t xml:space="preserve">Graphique </w:t>
                      </w:r>
                      <w:r w:rsidR="008E4C0C">
                        <w:fldChar w:fldCharType="begin"/>
                      </w:r>
                      <w:r w:rsidR="008E4C0C">
                        <w:instrText xml:space="preserve"> SEQ Graphique \* ARABIC </w:instrText>
                      </w:r>
                      <w:r w:rsidR="008E4C0C">
                        <w:fldChar w:fldCharType="separate"/>
                      </w:r>
                      <w:r w:rsidR="00F546EB">
                        <w:rPr>
                          <w:noProof/>
                        </w:rPr>
                        <w:t>21</w:t>
                      </w:r>
                      <w:r w:rsidR="008E4C0C">
                        <w:fldChar w:fldCharType="end"/>
                      </w:r>
                      <w:r w:rsidRPr="004167C0">
                        <w:t xml:space="preserve"> : </w:t>
                      </w:r>
                      <w:r w:rsidRPr="004167C0">
                        <w:rPr>
                          <w:lang w:val="fr-CI"/>
                        </w:rPr>
                        <w:t>Evolution de l'incidence de la TB de 2019 à 2022</w:t>
                      </w:r>
                      <w:bookmarkEnd w:id="103"/>
                    </w:p>
                    <w:p w14:paraId="5B23ECCE" w14:textId="77777777" w:rsidR="009D16A0" w:rsidRPr="004167C0" w:rsidRDefault="009D16A0" w:rsidP="007B5C20">
                      <w:pPr>
                        <w:keepNext/>
                        <w:spacing w:line="257" w:lineRule="auto"/>
                        <w:jc w:val="center"/>
                        <w:rPr>
                          <w:rFonts w:ascii="Arial Narrow" w:hAnsi="Arial Narrow"/>
                        </w:rPr>
                      </w:pPr>
                      <w:r w:rsidRPr="00A918AC">
                        <w:rPr>
                          <w:rFonts w:ascii="Arial Narrow" w:hAnsi="Arial Narrow"/>
                          <w:noProof/>
                          <w:sz w:val="24"/>
                          <w:szCs w:val="24"/>
                          <w:shd w:val="clear" w:color="auto" w:fill="E7E6E6" w:themeFill="background2"/>
                          <w:lang w:eastAsia="fr-FR"/>
                        </w:rPr>
                        <w:drawing>
                          <wp:inline distT="0" distB="0" distL="0" distR="0" wp14:anchorId="44C571E8" wp14:editId="521788B6">
                            <wp:extent cx="4560425" cy="1950085"/>
                            <wp:effectExtent l="0" t="0" r="12065" b="12065"/>
                            <wp:docPr id="920681468" name="Graphique 1">
                              <a:extLst xmlns:a="http://schemas.openxmlformats.org/drawingml/2006/main">
                                <a:ext uri="{FF2B5EF4-FFF2-40B4-BE49-F238E27FC236}">
                                  <a16:creationId xmlns:a16="http://schemas.microsoft.com/office/drawing/2014/main" id="{552088AE-3ECA-4DDA-9C35-4A724BA62C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0C408FF4" w14:textId="77777777" w:rsidR="009D16A0" w:rsidRPr="004167C0" w:rsidRDefault="009D16A0" w:rsidP="00DC5897">
                      <w:pPr>
                        <w:pStyle w:val="Lgende"/>
                        <w:rPr>
                          <w:rFonts w:eastAsia="Calibri"/>
                          <w:color w:val="FF0000"/>
                          <w:sz w:val="24"/>
                          <w:szCs w:val="24"/>
                        </w:rPr>
                      </w:pPr>
                      <w:r w:rsidRPr="004167C0">
                        <w:t>Source : Rapports d'activités PNLT</w:t>
                      </w:r>
                    </w:p>
                    <w:p w14:paraId="23DF3372" w14:textId="77777777" w:rsidR="009D16A0" w:rsidRDefault="009D16A0" w:rsidP="00D408AE"/>
                  </w:txbxContent>
                </v:textbox>
                <w10:wrap type="topAndBottom" anchorx="margin"/>
              </v:shape>
            </w:pict>
          </mc:Fallback>
        </mc:AlternateContent>
      </w:r>
      <w:r w:rsidR="005B31D6" w:rsidRPr="007E7C5B">
        <w:rPr>
          <w:rFonts w:ascii="Arial Narrow" w:hAnsi="Arial Narrow" w:cs="Times New Roman"/>
          <w:sz w:val="24"/>
          <w:szCs w:val="24"/>
        </w:rPr>
        <w:t>C</w:t>
      </w:r>
      <w:r w:rsidR="00BF47FA" w:rsidRPr="007E7C5B">
        <w:rPr>
          <w:rFonts w:ascii="Arial Narrow" w:hAnsi="Arial Narrow" w:cs="Times New Roman"/>
          <w:sz w:val="24"/>
          <w:szCs w:val="24"/>
        </w:rPr>
        <w:t>oncernant la confection, la proportion de nouveaux cas et rechutes de tuberculose séropositifs au VIH enregistrés bénéficiant d'une thérapie antirétrovirale pendant le traitement antituberculeux est constant</w:t>
      </w:r>
      <w:r w:rsidR="00D35D87" w:rsidRPr="007E7C5B">
        <w:rPr>
          <w:rFonts w:ascii="Arial Narrow" w:hAnsi="Arial Narrow" w:cs="Times New Roman"/>
          <w:sz w:val="24"/>
          <w:szCs w:val="24"/>
        </w:rPr>
        <w:t>e</w:t>
      </w:r>
      <w:r w:rsidR="00BF47FA" w:rsidRPr="007E7C5B">
        <w:rPr>
          <w:rFonts w:ascii="Arial Narrow" w:hAnsi="Arial Narrow" w:cs="Times New Roman"/>
          <w:sz w:val="24"/>
          <w:szCs w:val="24"/>
        </w:rPr>
        <w:t xml:space="preserve"> à 9</w:t>
      </w:r>
      <w:r w:rsidR="378F90B5" w:rsidRPr="007E7C5B">
        <w:rPr>
          <w:rFonts w:ascii="Arial Narrow" w:hAnsi="Arial Narrow" w:cs="Times New Roman"/>
          <w:sz w:val="24"/>
          <w:szCs w:val="24"/>
        </w:rPr>
        <w:t>6</w:t>
      </w:r>
      <w:r w:rsidR="00BF47FA" w:rsidRPr="007E7C5B">
        <w:rPr>
          <w:rFonts w:ascii="Arial Narrow" w:hAnsi="Arial Narrow" w:cs="Times New Roman"/>
          <w:sz w:val="24"/>
          <w:szCs w:val="24"/>
        </w:rPr>
        <w:t>% de 2021 à 2023.</w:t>
      </w:r>
      <w:r w:rsidR="00BF47FA" w:rsidRPr="007E7C5B">
        <w:rPr>
          <w:rFonts w:ascii="Arial Narrow" w:hAnsi="Arial Narrow"/>
          <w:sz w:val="24"/>
          <w:szCs w:val="24"/>
        </w:rPr>
        <w:t xml:space="preserve"> </w:t>
      </w:r>
      <w:r w:rsidR="00BF47FA" w:rsidRPr="007E7C5B">
        <w:rPr>
          <w:rFonts w:ascii="Arial Narrow" w:hAnsi="Arial Narrow" w:cs="Times New Roman"/>
          <w:sz w:val="24"/>
          <w:szCs w:val="24"/>
        </w:rPr>
        <w:t xml:space="preserve">Les directives de prise en charge </w:t>
      </w:r>
      <w:r w:rsidR="007C28F8" w:rsidRPr="007E7C5B">
        <w:rPr>
          <w:rFonts w:ascii="Arial Narrow" w:hAnsi="Arial Narrow" w:cs="Times New Roman"/>
          <w:sz w:val="24"/>
          <w:szCs w:val="24"/>
        </w:rPr>
        <w:t>de la tuberculose</w:t>
      </w:r>
      <w:r w:rsidR="00BF47FA" w:rsidRPr="007E7C5B">
        <w:rPr>
          <w:rFonts w:ascii="Arial Narrow" w:hAnsi="Arial Narrow" w:cs="Times New Roman"/>
          <w:sz w:val="24"/>
          <w:szCs w:val="24"/>
        </w:rPr>
        <w:t xml:space="preserve"> recommandent la mise sous ARV systématique des patients coinfectés. Ces directives sont appliquées dans toutes les structures de diagnostic et de traitement de la TB.</w:t>
      </w:r>
    </w:p>
    <w:p w14:paraId="3AB90E7E" w14:textId="78CB7420" w:rsidR="003E7F09" w:rsidRPr="007E7C5B" w:rsidRDefault="00587F77" w:rsidP="00A918AC">
      <w:pPr>
        <w:spacing w:line="257" w:lineRule="auto"/>
        <w:jc w:val="both"/>
        <w:rPr>
          <w:rFonts w:ascii="Arial Narrow" w:hAnsi="Arial Narrow" w:cstheme="minorHAnsi"/>
          <w:sz w:val="24"/>
          <w:szCs w:val="24"/>
        </w:rPr>
      </w:pPr>
      <w:r w:rsidRPr="007E7C5B">
        <w:rPr>
          <w:rFonts w:ascii="Arial Narrow" w:hAnsi="Arial Narrow" w:cs="Times New Roman"/>
          <w:sz w:val="24"/>
          <w:szCs w:val="24"/>
        </w:rPr>
        <w:t>Par ailleurs,</w:t>
      </w:r>
      <w:r w:rsidR="00E33227">
        <w:rPr>
          <w:rFonts w:ascii="Arial Narrow" w:hAnsi="Arial Narrow" w:cs="Times New Roman"/>
          <w:sz w:val="24"/>
          <w:szCs w:val="24"/>
        </w:rPr>
        <w:t xml:space="preserve"> </w:t>
      </w:r>
      <w:r w:rsidRPr="007E7C5B">
        <w:rPr>
          <w:rFonts w:ascii="Arial Narrow" w:hAnsi="Arial Narrow" w:cs="Times New Roman"/>
          <w:sz w:val="24"/>
          <w:szCs w:val="24"/>
        </w:rPr>
        <w:t>le</w:t>
      </w:r>
      <w:r w:rsidR="00F81F2F" w:rsidRPr="007E7C5B">
        <w:rPr>
          <w:rFonts w:ascii="Arial Narrow" w:hAnsi="Arial Narrow" w:cs="Times New Roman"/>
          <w:sz w:val="24"/>
          <w:szCs w:val="24"/>
        </w:rPr>
        <w:t xml:space="preserve"> taux de décès </w:t>
      </w:r>
      <w:r w:rsidRPr="007E7C5B">
        <w:rPr>
          <w:rFonts w:ascii="Arial Narrow" w:hAnsi="Arial Narrow" w:cs="Times New Roman"/>
          <w:sz w:val="24"/>
          <w:szCs w:val="24"/>
        </w:rPr>
        <w:t xml:space="preserve">lié à la tuberculose a connu </w:t>
      </w:r>
      <w:r w:rsidR="00124070" w:rsidRPr="007E7C5B">
        <w:rPr>
          <w:rFonts w:ascii="Arial Narrow" w:hAnsi="Arial Narrow" w:cs="Times New Roman"/>
          <w:sz w:val="24"/>
          <w:szCs w:val="24"/>
        </w:rPr>
        <w:t xml:space="preserve">une baisse </w:t>
      </w:r>
      <w:r w:rsidR="00F81F2F" w:rsidRPr="007E7C5B">
        <w:rPr>
          <w:rFonts w:ascii="Arial Narrow" w:hAnsi="Arial Narrow" w:cs="Times New Roman"/>
          <w:sz w:val="24"/>
          <w:szCs w:val="24"/>
        </w:rPr>
        <w:t>de 12% à 11% en</w:t>
      </w:r>
      <w:r w:rsidR="00124070" w:rsidRPr="007E7C5B">
        <w:rPr>
          <w:rFonts w:ascii="Arial Narrow" w:hAnsi="Arial Narrow" w:cs="Times New Roman"/>
          <w:sz w:val="24"/>
          <w:szCs w:val="24"/>
        </w:rPr>
        <w:t>tre</w:t>
      </w:r>
      <w:r w:rsidR="00F81F2F" w:rsidRPr="007E7C5B">
        <w:rPr>
          <w:rFonts w:ascii="Arial Narrow" w:hAnsi="Arial Narrow" w:cs="Times New Roman"/>
          <w:sz w:val="24"/>
          <w:szCs w:val="24"/>
        </w:rPr>
        <w:t xml:space="preserve"> 2021 et 2023.</w:t>
      </w:r>
    </w:p>
    <w:p w14:paraId="7873BDAB" w14:textId="14250691" w:rsidR="003E7F09" w:rsidRPr="007E7C5B" w:rsidRDefault="003E7F09" w:rsidP="002539C2">
      <w:pPr>
        <w:jc w:val="both"/>
        <w:rPr>
          <w:rFonts w:ascii="Arial Narrow" w:hAnsi="Arial Narrow" w:cs="Times New Roman"/>
          <w:sz w:val="24"/>
          <w:szCs w:val="24"/>
        </w:rPr>
      </w:pPr>
      <w:r w:rsidRPr="007E7C5B">
        <w:rPr>
          <w:rFonts w:ascii="Arial Narrow" w:hAnsi="Arial Narrow" w:cs="Times New Roman"/>
          <w:sz w:val="24"/>
          <w:szCs w:val="24"/>
        </w:rPr>
        <w:lastRenderedPageBreak/>
        <w:t>Malgré les avancées réalisées dans la lutte contre la tuberculose, plusieurs défis importants demeurent</w:t>
      </w:r>
      <w:r w:rsidR="001707FD" w:rsidRPr="007E7C5B">
        <w:rPr>
          <w:rFonts w:ascii="Arial Narrow" w:hAnsi="Arial Narrow" w:cs="Times New Roman"/>
          <w:sz w:val="24"/>
          <w:szCs w:val="24"/>
        </w:rPr>
        <w:t xml:space="preserve"> : </w:t>
      </w:r>
      <w:r w:rsidR="004C3BFD" w:rsidRPr="00A918AC">
        <w:rPr>
          <w:rFonts w:ascii="Arial Narrow" w:hAnsi="Arial Narrow" w:cs="Times New Roman"/>
          <w:i/>
          <w:sz w:val="24"/>
          <w:szCs w:val="24"/>
        </w:rPr>
        <w:t>(</w:t>
      </w:r>
      <w:r w:rsidR="001707FD" w:rsidRPr="00A918AC">
        <w:rPr>
          <w:rFonts w:ascii="Arial Narrow" w:hAnsi="Arial Narrow" w:cs="Times New Roman"/>
          <w:i/>
          <w:sz w:val="24"/>
          <w:szCs w:val="24"/>
        </w:rPr>
        <w:t>i)</w:t>
      </w:r>
      <w:r w:rsidR="001707FD" w:rsidRPr="007E7C5B">
        <w:rPr>
          <w:rFonts w:ascii="Arial Narrow" w:hAnsi="Arial Narrow" w:cs="Times New Roman"/>
          <w:sz w:val="24"/>
          <w:szCs w:val="24"/>
        </w:rPr>
        <w:t xml:space="preserve"> </w:t>
      </w:r>
      <w:r w:rsidR="0036717C" w:rsidRPr="007E7C5B">
        <w:rPr>
          <w:rFonts w:ascii="Arial Narrow" w:hAnsi="Arial Narrow" w:cs="Times New Roman"/>
          <w:sz w:val="24"/>
          <w:szCs w:val="24"/>
        </w:rPr>
        <w:t xml:space="preserve">le </w:t>
      </w:r>
      <w:proofErr w:type="spellStart"/>
      <w:r w:rsidRPr="007E7C5B">
        <w:rPr>
          <w:rFonts w:ascii="Arial Narrow" w:hAnsi="Arial Narrow" w:cs="Times New Roman"/>
          <w:sz w:val="24"/>
          <w:szCs w:val="24"/>
        </w:rPr>
        <w:t>garanti</w:t>
      </w:r>
      <w:r w:rsidR="00F96CD6" w:rsidRPr="007E7C5B">
        <w:rPr>
          <w:rFonts w:ascii="Arial Narrow" w:hAnsi="Arial Narrow" w:cs="Times New Roman"/>
          <w:sz w:val="24"/>
          <w:szCs w:val="24"/>
        </w:rPr>
        <w:t>ssement</w:t>
      </w:r>
      <w:proofErr w:type="spellEnd"/>
      <w:r w:rsidR="00F96CD6" w:rsidRPr="007E7C5B">
        <w:rPr>
          <w:rFonts w:ascii="Arial Narrow" w:hAnsi="Arial Narrow" w:cs="Times New Roman"/>
          <w:sz w:val="24"/>
          <w:szCs w:val="24"/>
        </w:rPr>
        <w:t xml:space="preserve"> de</w:t>
      </w:r>
      <w:r w:rsidRPr="007E7C5B">
        <w:rPr>
          <w:rFonts w:ascii="Arial Narrow" w:hAnsi="Arial Narrow" w:cs="Times New Roman"/>
          <w:sz w:val="24"/>
          <w:szCs w:val="24"/>
        </w:rPr>
        <w:t xml:space="preserve"> la disponibilité continue des médicaments de première ligne pour le traitement de la tuberculose, ainsi que pour la gestion des effets indésirables</w:t>
      </w:r>
      <w:r w:rsidR="006E210F" w:rsidRPr="007E7C5B">
        <w:rPr>
          <w:rFonts w:ascii="Arial Narrow" w:hAnsi="Arial Narrow" w:cs="Times New Roman"/>
          <w:sz w:val="24"/>
          <w:szCs w:val="24"/>
        </w:rPr>
        <w:t xml:space="preserve"> ; </w:t>
      </w:r>
      <w:r w:rsidR="004C3BFD" w:rsidRPr="00A918AC">
        <w:rPr>
          <w:rFonts w:ascii="Arial Narrow" w:hAnsi="Arial Narrow" w:cs="Times New Roman"/>
          <w:i/>
          <w:sz w:val="24"/>
          <w:szCs w:val="24"/>
        </w:rPr>
        <w:t>(</w:t>
      </w:r>
      <w:r w:rsidR="006E210F" w:rsidRPr="00A918AC">
        <w:rPr>
          <w:rFonts w:ascii="Arial Narrow" w:hAnsi="Arial Narrow" w:cs="Times New Roman"/>
          <w:i/>
          <w:sz w:val="24"/>
          <w:szCs w:val="24"/>
        </w:rPr>
        <w:t>ii)</w:t>
      </w:r>
      <w:r w:rsidR="00166C49" w:rsidRPr="007E7C5B">
        <w:rPr>
          <w:rFonts w:ascii="Arial Narrow" w:hAnsi="Arial Narrow" w:cs="Times New Roman"/>
          <w:sz w:val="24"/>
          <w:szCs w:val="24"/>
        </w:rPr>
        <w:t xml:space="preserve"> </w:t>
      </w:r>
      <w:r w:rsidR="0036717C" w:rsidRPr="007E7C5B">
        <w:rPr>
          <w:rFonts w:ascii="Arial Narrow" w:hAnsi="Arial Narrow" w:cs="Times New Roman"/>
          <w:sz w:val="24"/>
          <w:szCs w:val="24"/>
        </w:rPr>
        <w:t xml:space="preserve">la </w:t>
      </w:r>
      <w:r w:rsidR="004A5474" w:rsidRPr="007E7C5B">
        <w:rPr>
          <w:rFonts w:ascii="Arial Narrow" w:hAnsi="Arial Narrow" w:cs="Times New Roman"/>
          <w:sz w:val="24"/>
          <w:szCs w:val="24"/>
        </w:rPr>
        <w:t xml:space="preserve">mise aux normes </w:t>
      </w:r>
      <w:r w:rsidR="00836CB2" w:rsidRPr="007E7C5B">
        <w:rPr>
          <w:rFonts w:ascii="Arial Narrow" w:hAnsi="Arial Narrow" w:cs="Times New Roman"/>
          <w:sz w:val="24"/>
          <w:szCs w:val="24"/>
        </w:rPr>
        <w:t>d</w:t>
      </w:r>
      <w:r w:rsidRPr="007E7C5B">
        <w:rPr>
          <w:rFonts w:ascii="Arial Narrow" w:hAnsi="Arial Narrow" w:cs="Times New Roman"/>
          <w:sz w:val="24"/>
          <w:szCs w:val="24"/>
        </w:rPr>
        <w:t xml:space="preserve">es infrastructures des nouveaux </w:t>
      </w:r>
      <w:r w:rsidR="00DC6EEE" w:rsidRPr="007E7C5B">
        <w:rPr>
          <w:rFonts w:ascii="Arial Narrow" w:hAnsi="Arial Narrow" w:cs="Times New Roman"/>
          <w:sz w:val="24"/>
          <w:szCs w:val="24"/>
        </w:rPr>
        <w:t xml:space="preserve">centres antituberculeux </w:t>
      </w:r>
      <w:r w:rsidRPr="007E7C5B">
        <w:rPr>
          <w:rFonts w:ascii="Arial Narrow" w:hAnsi="Arial Narrow" w:cs="Times New Roman"/>
          <w:sz w:val="24"/>
          <w:szCs w:val="24"/>
        </w:rPr>
        <w:t>pour garantir des services de qualité et conformes aux standards de santé publique</w:t>
      </w:r>
      <w:r w:rsidR="000C1506" w:rsidRPr="007E7C5B">
        <w:rPr>
          <w:rFonts w:ascii="Arial Narrow" w:hAnsi="Arial Narrow" w:cs="Times New Roman"/>
          <w:sz w:val="24"/>
          <w:szCs w:val="24"/>
        </w:rPr>
        <w:t xml:space="preserve"> ; </w:t>
      </w:r>
      <w:r w:rsidR="004C3BFD" w:rsidRPr="00A918AC">
        <w:rPr>
          <w:rFonts w:ascii="Arial Narrow" w:hAnsi="Arial Narrow" w:cs="Times New Roman"/>
          <w:i/>
          <w:iCs/>
          <w:sz w:val="24"/>
          <w:szCs w:val="24"/>
        </w:rPr>
        <w:t>(</w:t>
      </w:r>
      <w:r w:rsidR="007B0DB3" w:rsidRPr="00A918AC">
        <w:rPr>
          <w:rFonts w:ascii="Arial Narrow" w:hAnsi="Arial Narrow" w:cs="Times New Roman"/>
          <w:i/>
          <w:iCs/>
          <w:sz w:val="24"/>
          <w:szCs w:val="24"/>
        </w:rPr>
        <w:t>iii)</w:t>
      </w:r>
      <w:r w:rsidRPr="007E7C5B" w:rsidDel="007B0DB3">
        <w:rPr>
          <w:rFonts w:ascii="Arial Narrow" w:hAnsi="Arial Narrow" w:cs="Times New Roman"/>
          <w:sz w:val="24"/>
          <w:szCs w:val="24"/>
        </w:rPr>
        <w:t xml:space="preserve"> </w:t>
      </w:r>
      <w:r w:rsidRPr="007E7C5B">
        <w:rPr>
          <w:rFonts w:ascii="Arial Narrow" w:hAnsi="Arial Narrow" w:cs="Times New Roman"/>
          <w:sz w:val="24"/>
          <w:szCs w:val="24"/>
        </w:rPr>
        <w:t>la prise en charge</w:t>
      </w:r>
      <w:r w:rsidR="001F3847" w:rsidRPr="007E7C5B">
        <w:rPr>
          <w:rFonts w:ascii="Arial Narrow" w:hAnsi="Arial Narrow" w:cs="Times New Roman"/>
          <w:sz w:val="24"/>
          <w:szCs w:val="24"/>
        </w:rPr>
        <w:t xml:space="preserve"> effective</w:t>
      </w:r>
      <w:r w:rsidRPr="007E7C5B">
        <w:rPr>
          <w:rFonts w:ascii="Arial Narrow" w:hAnsi="Arial Narrow" w:cs="Times New Roman"/>
          <w:sz w:val="24"/>
          <w:szCs w:val="24"/>
        </w:rPr>
        <w:t xml:space="preserve"> des patients souffrant de tuberculose multirésistante nécessit</w:t>
      </w:r>
      <w:r w:rsidR="001F3847" w:rsidRPr="007E7C5B">
        <w:rPr>
          <w:rFonts w:ascii="Arial Narrow" w:hAnsi="Arial Narrow" w:cs="Times New Roman"/>
          <w:sz w:val="24"/>
          <w:szCs w:val="24"/>
        </w:rPr>
        <w:t>a</w:t>
      </w:r>
      <w:r w:rsidRPr="007E7C5B">
        <w:rPr>
          <w:rFonts w:ascii="Arial Narrow" w:hAnsi="Arial Narrow" w:cs="Times New Roman"/>
          <w:sz w:val="24"/>
          <w:szCs w:val="24"/>
        </w:rPr>
        <w:t>nt</w:t>
      </w:r>
      <w:r w:rsidRPr="007E7C5B" w:rsidDel="001F3847">
        <w:rPr>
          <w:rFonts w:ascii="Arial Narrow" w:hAnsi="Arial Narrow" w:cs="Times New Roman"/>
          <w:sz w:val="24"/>
          <w:szCs w:val="24"/>
        </w:rPr>
        <w:t xml:space="preserve"> </w:t>
      </w:r>
      <w:r w:rsidRPr="007E7C5B">
        <w:rPr>
          <w:rFonts w:ascii="Arial Narrow" w:hAnsi="Arial Narrow" w:cs="Times New Roman"/>
          <w:sz w:val="24"/>
          <w:szCs w:val="24"/>
        </w:rPr>
        <w:t>une hospitalisation prolongée et des soins spécialisés</w:t>
      </w:r>
      <w:r w:rsidR="007F5019" w:rsidRPr="007E7C5B">
        <w:rPr>
          <w:rFonts w:ascii="Arial Narrow" w:hAnsi="Arial Narrow" w:cs="Times New Roman"/>
          <w:sz w:val="24"/>
          <w:szCs w:val="24"/>
        </w:rPr>
        <w:t> ;</w:t>
      </w:r>
      <w:r w:rsidR="005D6E71" w:rsidRPr="007E7C5B">
        <w:rPr>
          <w:rFonts w:ascii="Arial Narrow" w:hAnsi="Arial Narrow" w:cs="Times New Roman"/>
          <w:sz w:val="24"/>
          <w:szCs w:val="24"/>
        </w:rPr>
        <w:t xml:space="preserve"> </w:t>
      </w:r>
      <w:r w:rsidR="004C3BFD" w:rsidRPr="00A918AC">
        <w:rPr>
          <w:rFonts w:ascii="Arial Narrow" w:hAnsi="Arial Narrow" w:cs="Times New Roman"/>
          <w:i/>
          <w:sz w:val="24"/>
          <w:szCs w:val="24"/>
        </w:rPr>
        <w:t>(</w:t>
      </w:r>
      <w:r w:rsidR="005D6E71" w:rsidRPr="00A918AC">
        <w:rPr>
          <w:rFonts w:ascii="Arial Narrow" w:hAnsi="Arial Narrow" w:cs="Times New Roman"/>
          <w:i/>
          <w:sz w:val="24"/>
          <w:szCs w:val="24"/>
        </w:rPr>
        <w:t>iv)</w:t>
      </w:r>
      <w:r w:rsidR="005D6E71" w:rsidRPr="007E7C5B">
        <w:rPr>
          <w:rFonts w:ascii="Arial Narrow" w:hAnsi="Arial Narrow" w:cs="Times New Roman"/>
          <w:sz w:val="24"/>
          <w:szCs w:val="24"/>
        </w:rPr>
        <w:t xml:space="preserve"> </w:t>
      </w:r>
      <w:r w:rsidR="001F029B" w:rsidRPr="00BE7777">
        <w:rPr>
          <w:rFonts w:ascii="Arial Narrow" w:hAnsi="Arial Narrow" w:cs="Times New Roman"/>
          <w:sz w:val="24"/>
          <w:szCs w:val="24"/>
        </w:rPr>
        <w:t xml:space="preserve">la </w:t>
      </w:r>
      <w:r w:rsidR="00317157" w:rsidRPr="00BE7777">
        <w:rPr>
          <w:rFonts w:ascii="Arial Narrow" w:hAnsi="Arial Narrow" w:cs="Times New Roman"/>
          <w:sz w:val="24"/>
          <w:szCs w:val="24"/>
        </w:rPr>
        <w:t>rétention</w:t>
      </w:r>
      <w:r w:rsidR="001F029B" w:rsidRPr="00BE7777">
        <w:rPr>
          <w:rFonts w:ascii="Arial Narrow" w:hAnsi="Arial Narrow" w:cs="Times New Roman"/>
          <w:sz w:val="24"/>
          <w:szCs w:val="24"/>
        </w:rPr>
        <w:t xml:space="preserve"> des</w:t>
      </w:r>
      <w:r w:rsidRPr="00BE7777">
        <w:rPr>
          <w:rFonts w:ascii="Arial Narrow" w:hAnsi="Arial Narrow" w:cs="Times New Roman"/>
          <w:sz w:val="24"/>
          <w:szCs w:val="24"/>
        </w:rPr>
        <w:t xml:space="preserve"> techniciens de laboratoire</w:t>
      </w:r>
      <w:r w:rsidR="00040128" w:rsidRPr="00BE7777">
        <w:rPr>
          <w:rFonts w:ascii="Arial Narrow" w:hAnsi="Arial Narrow" w:cs="Times New Roman"/>
          <w:sz w:val="24"/>
          <w:szCs w:val="24"/>
        </w:rPr>
        <w:t xml:space="preserve"> formés</w:t>
      </w:r>
      <w:r w:rsidR="00262C77" w:rsidRPr="00BE7777">
        <w:rPr>
          <w:rFonts w:ascii="Arial Narrow" w:hAnsi="Arial Narrow" w:cs="Times New Roman"/>
          <w:sz w:val="24"/>
          <w:szCs w:val="24"/>
        </w:rPr>
        <w:t xml:space="preserve"> pour le diagnostic de la tuberculose</w:t>
      </w:r>
      <w:r w:rsidR="00652B48" w:rsidRPr="007E7C5B">
        <w:rPr>
          <w:rFonts w:ascii="Arial Narrow" w:hAnsi="Arial Narrow" w:cs="Times New Roman"/>
          <w:sz w:val="24"/>
          <w:szCs w:val="24"/>
        </w:rPr>
        <w:t> </w:t>
      </w:r>
      <w:r w:rsidR="004C3BFD" w:rsidRPr="007E7C5B">
        <w:rPr>
          <w:rFonts w:ascii="Arial Narrow" w:hAnsi="Arial Narrow" w:cs="Times New Roman"/>
          <w:sz w:val="24"/>
          <w:szCs w:val="24"/>
        </w:rPr>
        <w:t>et</w:t>
      </w:r>
      <w:r w:rsidR="00652B48" w:rsidRPr="007E7C5B">
        <w:rPr>
          <w:rFonts w:ascii="Arial Narrow" w:hAnsi="Arial Narrow" w:cs="Times New Roman"/>
          <w:sz w:val="24"/>
          <w:szCs w:val="24"/>
        </w:rPr>
        <w:t xml:space="preserve"> </w:t>
      </w:r>
      <w:r w:rsidR="004C3BFD" w:rsidRPr="00A918AC">
        <w:rPr>
          <w:rFonts w:ascii="Arial Narrow" w:hAnsi="Arial Narrow" w:cs="Times New Roman"/>
          <w:i/>
          <w:sz w:val="24"/>
          <w:szCs w:val="24"/>
        </w:rPr>
        <w:t>(</w:t>
      </w:r>
      <w:r w:rsidR="00652B48" w:rsidRPr="00A918AC">
        <w:rPr>
          <w:rFonts w:ascii="Arial Narrow" w:hAnsi="Arial Narrow" w:cs="Times New Roman"/>
          <w:i/>
          <w:sz w:val="24"/>
          <w:szCs w:val="24"/>
        </w:rPr>
        <w:t>v)</w:t>
      </w:r>
      <w:r w:rsidR="00652B48" w:rsidRPr="007E7C5B">
        <w:rPr>
          <w:rFonts w:ascii="Arial Narrow" w:hAnsi="Arial Narrow" w:cs="Times New Roman"/>
          <w:sz w:val="24"/>
          <w:szCs w:val="24"/>
        </w:rPr>
        <w:t xml:space="preserve"> </w:t>
      </w:r>
      <w:r w:rsidR="008C7269" w:rsidRPr="007E7C5B">
        <w:rPr>
          <w:rFonts w:ascii="Arial Narrow" w:hAnsi="Arial Narrow" w:cs="Times New Roman"/>
          <w:sz w:val="24"/>
          <w:szCs w:val="24"/>
        </w:rPr>
        <w:t xml:space="preserve">la </w:t>
      </w:r>
      <w:r w:rsidR="00317157" w:rsidRPr="007E7C5B">
        <w:rPr>
          <w:rFonts w:ascii="Arial Narrow" w:hAnsi="Arial Narrow" w:cs="Times New Roman"/>
          <w:sz w:val="24"/>
          <w:szCs w:val="24"/>
        </w:rPr>
        <w:t>détection</w:t>
      </w:r>
      <w:r w:rsidR="002677E8" w:rsidRPr="007E7C5B">
        <w:rPr>
          <w:rFonts w:ascii="Arial Narrow" w:hAnsi="Arial Narrow" w:cs="Times New Roman"/>
          <w:sz w:val="24"/>
          <w:szCs w:val="24"/>
        </w:rPr>
        <w:t xml:space="preserve"> des perdus de vue</w:t>
      </w:r>
      <w:r w:rsidR="002539C2" w:rsidRPr="007E7C5B">
        <w:rPr>
          <w:rFonts w:ascii="Arial Narrow" w:hAnsi="Arial Narrow" w:cs="Times New Roman"/>
          <w:sz w:val="24"/>
          <w:szCs w:val="24"/>
        </w:rPr>
        <w:t>.</w:t>
      </w:r>
    </w:p>
    <w:p w14:paraId="0B4035C5" w14:textId="77777777" w:rsidR="003E7F09" w:rsidRPr="007E7C5B" w:rsidRDefault="003E7F09" w:rsidP="003E7F09">
      <w:pPr>
        <w:jc w:val="both"/>
        <w:rPr>
          <w:rFonts w:ascii="Arial Narrow" w:hAnsi="Arial Narrow"/>
          <w:b/>
          <w:bCs/>
          <w:color w:val="0070C0"/>
          <w:sz w:val="24"/>
          <w:szCs w:val="24"/>
        </w:rPr>
      </w:pPr>
      <w:r w:rsidRPr="007E7C5B">
        <w:rPr>
          <w:rFonts w:ascii="Arial Narrow" w:eastAsiaTheme="majorEastAsia" w:hAnsi="Arial Narrow" w:cstheme="majorBidi"/>
          <w:b/>
          <w:bCs/>
          <w:color w:val="0070C0"/>
          <w:sz w:val="24"/>
          <w:szCs w:val="24"/>
        </w:rPr>
        <w:t>Hépatites virales</w:t>
      </w:r>
    </w:p>
    <w:p w14:paraId="4F6D9037" w14:textId="634B5A03" w:rsidR="000E36AC" w:rsidRDefault="003E7F09" w:rsidP="003E7F09">
      <w:pPr>
        <w:jc w:val="both"/>
        <w:rPr>
          <w:rFonts w:ascii="Arial Narrow" w:hAnsi="Arial Narrow" w:cs="Segoe UI Historic"/>
          <w:color w:val="000000" w:themeColor="text1"/>
          <w:kern w:val="24"/>
          <w:sz w:val="24"/>
          <w:szCs w:val="24"/>
        </w:rPr>
      </w:pPr>
      <w:r w:rsidRPr="007E7C5B">
        <w:rPr>
          <w:rFonts w:ascii="Arial Narrow" w:hAnsi="Arial Narrow" w:cs="Segoe UI Historic"/>
          <w:color w:val="000000" w:themeColor="text1"/>
          <w:kern w:val="24"/>
          <w:sz w:val="24"/>
          <w:szCs w:val="24"/>
        </w:rPr>
        <w:t>Les hépatites virales B, C et D constituent un problème de santé publique majeur en Côte d'Ivoire, touchant fortement la population.</w:t>
      </w:r>
      <w:r w:rsidR="000E36AC">
        <w:rPr>
          <w:rFonts w:ascii="Arial Narrow" w:hAnsi="Arial Narrow" w:cs="Segoe UI Historic"/>
          <w:color w:val="000000" w:themeColor="text1"/>
          <w:kern w:val="24"/>
          <w:sz w:val="24"/>
          <w:szCs w:val="24"/>
        </w:rPr>
        <w:t xml:space="preserve"> En 2022, l</w:t>
      </w:r>
      <w:r w:rsidRPr="007E7C5B">
        <w:rPr>
          <w:rFonts w:ascii="Arial Narrow" w:hAnsi="Arial Narrow" w:cs="Segoe UI Historic"/>
          <w:color w:val="000000" w:themeColor="text1"/>
          <w:kern w:val="24"/>
          <w:sz w:val="24"/>
          <w:szCs w:val="24"/>
        </w:rPr>
        <w:t xml:space="preserve">a prévalence de l'hépatite virale B (HVB) </w:t>
      </w:r>
      <w:proofErr w:type="spellStart"/>
      <w:r w:rsidRPr="007E7C5B">
        <w:rPr>
          <w:rFonts w:ascii="Arial Narrow" w:hAnsi="Arial Narrow" w:cs="Segoe UI Historic"/>
          <w:color w:val="000000" w:themeColor="text1"/>
          <w:kern w:val="24"/>
          <w:sz w:val="24"/>
          <w:szCs w:val="24"/>
        </w:rPr>
        <w:t>e</w:t>
      </w:r>
      <w:r w:rsidR="000E36AC">
        <w:rPr>
          <w:rFonts w:ascii="Arial Narrow" w:hAnsi="Arial Narrow" w:cs="Segoe UI Historic"/>
          <w:color w:val="000000" w:themeColor="text1"/>
          <w:kern w:val="24"/>
          <w:sz w:val="24"/>
          <w:szCs w:val="24"/>
        </w:rPr>
        <w:t>tait</w:t>
      </w:r>
      <w:proofErr w:type="spellEnd"/>
      <w:r w:rsidRPr="007E7C5B">
        <w:rPr>
          <w:rFonts w:ascii="Arial Narrow" w:hAnsi="Arial Narrow" w:cs="Segoe UI Historic"/>
          <w:color w:val="000000" w:themeColor="text1"/>
          <w:kern w:val="24"/>
          <w:sz w:val="24"/>
          <w:szCs w:val="24"/>
        </w:rPr>
        <w:t xml:space="preserve"> estimée à 1</w:t>
      </w:r>
      <w:r w:rsidR="000E36AC">
        <w:rPr>
          <w:rFonts w:ascii="Arial Narrow" w:hAnsi="Arial Narrow" w:cs="Segoe UI Historic"/>
          <w:color w:val="000000" w:themeColor="text1"/>
          <w:kern w:val="24"/>
          <w:sz w:val="24"/>
          <w:szCs w:val="24"/>
        </w:rPr>
        <w:t>3,6</w:t>
      </w:r>
      <w:r w:rsidRPr="007E7C5B">
        <w:rPr>
          <w:rFonts w:ascii="Arial Narrow" w:hAnsi="Arial Narrow" w:cs="Segoe UI Historic"/>
          <w:color w:val="000000" w:themeColor="text1"/>
          <w:kern w:val="24"/>
          <w:sz w:val="24"/>
          <w:szCs w:val="24"/>
        </w:rPr>
        <w:t xml:space="preserve">%, </w:t>
      </w:r>
      <w:r w:rsidR="000E36AC">
        <w:rPr>
          <w:rFonts w:ascii="Arial Narrow" w:hAnsi="Arial Narrow" w:cs="Segoe UI Historic"/>
          <w:color w:val="000000" w:themeColor="text1"/>
          <w:kern w:val="24"/>
          <w:sz w:val="24"/>
          <w:szCs w:val="24"/>
        </w:rPr>
        <w:t>et</w:t>
      </w:r>
      <w:r w:rsidRPr="007E7C5B">
        <w:rPr>
          <w:rFonts w:ascii="Arial Narrow" w:hAnsi="Arial Narrow" w:cs="Segoe UI Historic"/>
          <w:color w:val="000000" w:themeColor="text1"/>
          <w:kern w:val="24"/>
          <w:sz w:val="24"/>
          <w:szCs w:val="24"/>
        </w:rPr>
        <w:t xml:space="preserve"> celle de l'hépatite virale C (HVC) </w:t>
      </w:r>
      <w:r w:rsidR="000E36AC">
        <w:rPr>
          <w:rFonts w:ascii="Arial Narrow" w:hAnsi="Arial Narrow" w:cs="Segoe UI Historic"/>
          <w:color w:val="000000" w:themeColor="text1"/>
          <w:kern w:val="24"/>
          <w:sz w:val="24"/>
          <w:szCs w:val="24"/>
        </w:rPr>
        <w:t xml:space="preserve">a </w:t>
      </w:r>
      <w:r w:rsidRPr="007E7C5B">
        <w:rPr>
          <w:rFonts w:ascii="Arial Narrow" w:hAnsi="Arial Narrow" w:cs="Segoe UI Historic"/>
          <w:color w:val="000000" w:themeColor="text1"/>
          <w:kern w:val="24"/>
          <w:sz w:val="24"/>
          <w:szCs w:val="24"/>
        </w:rPr>
        <w:t>atteint 3</w:t>
      </w:r>
      <w:r w:rsidR="000E36AC">
        <w:rPr>
          <w:rFonts w:ascii="Arial Narrow" w:hAnsi="Arial Narrow" w:cs="Segoe UI Historic"/>
          <w:color w:val="000000" w:themeColor="text1"/>
          <w:kern w:val="24"/>
          <w:sz w:val="24"/>
          <w:szCs w:val="24"/>
        </w:rPr>
        <w:t>,3</w:t>
      </w:r>
      <w:r w:rsidRPr="007E7C5B">
        <w:rPr>
          <w:rFonts w:ascii="Arial Narrow" w:hAnsi="Arial Narrow" w:cs="Segoe UI Historic"/>
          <w:color w:val="000000" w:themeColor="text1"/>
          <w:kern w:val="24"/>
          <w:sz w:val="24"/>
          <w:szCs w:val="24"/>
        </w:rPr>
        <w:t xml:space="preserve">%. </w:t>
      </w:r>
    </w:p>
    <w:p w14:paraId="38E8EA4D" w14:textId="192B4831" w:rsidR="004479B8" w:rsidRDefault="003E7F09" w:rsidP="003E7F09">
      <w:pPr>
        <w:jc w:val="both"/>
        <w:rPr>
          <w:rFonts w:ascii="Arial Narrow" w:hAnsi="Arial Narrow" w:cs="Segoe UI Historic"/>
          <w:color w:val="000000" w:themeColor="text1"/>
          <w:kern w:val="24"/>
          <w:sz w:val="24"/>
          <w:szCs w:val="24"/>
        </w:rPr>
      </w:pPr>
      <w:r w:rsidRPr="007E7C5B">
        <w:rPr>
          <w:rFonts w:ascii="Arial Narrow" w:hAnsi="Arial Narrow" w:cs="Segoe UI Historic"/>
          <w:color w:val="000000" w:themeColor="text1"/>
          <w:kern w:val="24"/>
          <w:sz w:val="24"/>
          <w:szCs w:val="24"/>
        </w:rPr>
        <w:t xml:space="preserve">Pour obtenir ces résultats, le </w:t>
      </w:r>
      <w:r w:rsidR="00075DC1" w:rsidRPr="007E7C5B">
        <w:rPr>
          <w:rFonts w:ascii="Arial Narrow" w:hAnsi="Arial Narrow" w:cs="Segoe UI Historic"/>
          <w:color w:val="000000" w:themeColor="text1"/>
          <w:kern w:val="24"/>
          <w:sz w:val="24"/>
          <w:szCs w:val="24"/>
        </w:rPr>
        <w:t>MSHPCMU</w:t>
      </w:r>
      <w:r w:rsidRPr="007E7C5B">
        <w:rPr>
          <w:rFonts w:ascii="Arial Narrow" w:hAnsi="Arial Narrow" w:cs="Segoe UI Historic"/>
          <w:color w:val="000000" w:themeColor="text1"/>
          <w:kern w:val="24"/>
          <w:sz w:val="24"/>
          <w:szCs w:val="24"/>
        </w:rPr>
        <w:t xml:space="preserve"> a mis en place diverses actions, incluant des campagnes de dépistage, des programmes de prise en charge des patients, et des sessions de formation pour les professionnels de santé.</w:t>
      </w:r>
      <w:r w:rsidR="00D94E8D">
        <w:rPr>
          <w:rFonts w:ascii="Arial Narrow" w:hAnsi="Arial Narrow" w:cs="Segoe UI Historic"/>
          <w:color w:val="000000" w:themeColor="text1"/>
          <w:kern w:val="24"/>
          <w:sz w:val="24"/>
          <w:szCs w:val="24"/>
        </w:rPr>
        <w:t xml:space="preserve"> Ainsi, </w:t>
      </w:r>
      <w:r w:rsidR="00D94E8D" w:rsidRPr="007A001B">
        <w:rPr>
          <w:rFonts w:ascii="Arial Narrow" w:hAnsi="Arial Narrow" w:cs="Segoe UI Historic"/>
          <w:color w:val="000000" w:themeColor="text1"/>
          <w:kern w:val="24"/>
          <w:sz w:val="24"/>
          <w:szCs w:val="24"/>
        </w:rPr>
        <w:t>en 2022 ,1500 prestataires de soins ont vu leurs capacités renforcées en matière de prise en charge des hépatites virales</w:t>
      </w:r>
      <w:r w:rsidR="005F3D1F">
        <w:rPr>
          <w:rFonts w:ascii="Arial Narrow" w:hAnsi="Arial Narrow" w:cs="Segoe UI Historic"/>
          <w:color w:val="000000" w:themeColor="text1"/>
          <w:kern w:val="24"/>
          <w:sz w:val="24"/>
          <w:szCs w:val="24"/>
        </w:rPr>
        <w:t>.</w:t>
      </w:r>
      <w:r w:rsidR="004479B8">
        <w:rPr>
          <w:rFonts w:ascii="Arial Narrow" w:hAnsi="Arial Narrow" w:cs="Segoe UI Historic"/>
          <w:color w:val="000000" w:themeColor="text1"/>
          <w:kern w:val="24"/>
          <w:sz w:val="24"/>
          <w:szCs w:val="24"/>
        </w:rPr>
        <w:t xml:space="preserve"> </w:t>
      </w:r>
      <w:r w:rsidR="005F3D1F">
        <w:rPr>
          <w:rFonts w:ascii="Arial Narrow" w:hAnsi="Arial Narrow" w:cs="Segoe UI Historic"/>
          <w:color w:val="000000" w:themeColor="text1"/>
          <w:kern w:val="24"/>
          <w:sz w:val="24"/>
          <w:szCs w:val="24"/>
        </w:rPr>
        <w:t>Ces actions ont permis de dépister 7</w:t>
      </w:r>
      <w:r w:rsidRPr="00F40CB4">
        <w:rPr>
          <w:rFonts w:ascii="Arial Narrow" w:hAnsi="Arial Narrow" w:cs="Segoe UI Historic"/>
          <w:color w:val="000000" w:themeColor="text1"/>
          <w:kern w:val="24"/>
          <w:sz w:val="24"/>
          <w:szCs w:val="24"/>
        </w:rPr>
        <w:t xml:space="preserve">000 personnes </w:t>
      </w:r>
      <w:r w:rsidR="005F3D1F">
        <w:rPr>
          <w:rFonts w:ascii="Arial Narrow" w:hAnsi="Arial Narrow" w:cs="Segoe UI Historic"/>
          <w:color w:val="000000" w:themeColor="text1"/>
          <w:kern w:val="24"/>
          <w:sz w:val="24"/>
          <w:szCs w:val="24"/>
        </w:rPr>
        <w:t>en 2023 et 2</w:t>
      </w:r>
      <w:r w:rsidRPr="00F40CB4">
        <w:rPr>
          <w:rFonts w:ascii="Arial Narrow" w:hAnsi="Arial Narrow" w:cs="Segoe UI Historic"/>
          <w:color w:val="000000" w:themeColor="text1"/>
          <w:kern w:val="24"/>
          <w:sz w:val="24"/>
          <w:szCs w:val="24"/>
        </w:rPr>
        <w:t xml:space="preserve">00 patients éligibles </w:t>
      </w:r>
      <w:r w:rsidRPr="007E7C5B">
        <w:rPr>
          <w:rFonts w:ascii="Arial Narrow" w:hAnsi="Arial Narrow" w:cs="Segoe UI Historic"/>
          <w:color w:val="000000" w:themeColor="text1"/>
          <w:kern w:val="24"/>
          <w:sz w:val="24"/>
          <w:szCs w:val="24"/>
        </w:rPr>
        <w:t>ont bénéficié d’une prise en charge gratuite avec des traitements à base d’interféron.</w:t>
      </w:r>
    </w:p>
    <w:p w14:paraId="6551FB0B" w14:textId="2CCF5289" w:rsidR="004479B8" w:rsidRPr="007E7C5B" w:rsidRDefault="004479B8" w:rsidP="007A001B">
      <w:pPr>
        <w:spacing w:line="240" w:lineRule="auto"/>
        <w:jc w:val="both"/>
        <w:rPr>
          <w:rFonts w:ascii="Arial Narrow" w:hAnsi="Arial Narrow" w:cs="Segoe UI Historic"/>
          <w:color w:val="000000" w:themeColor="text1"/>
          <w:kern w:val="24"/>
          <w:sz w:val="24"/>
          <w:szCs w:val="24"/>
        </w:rPr>
      </w:pPr>
      <w:r w:rsidRPr="007A001B">
        <w:rPr>
          <w:rFonts w:ascii="Arial Narrow" w:hAnsi="Arial Narrow" w:cs="Segoe UI Historic"/>
          <w:color w:val="000000" w:themeColor="text1"/>
          <w:kern w:val="24"/>
          <w:sz w:val="24"/>
          <w:szCs w:val="24"/>
        </w:rPr>
        <w:t>Par ailleurs, dans le cadre de la mise en œuvre de la triple élimination transversale du VIH, de la syphilis et de l’Hépatite virale B, les Programmes Nationaux de Lutte contre le Sida (PNLS) et de lutte contre les Hépatites Virales (PNLHV), ont diffusé en Novembre 2024 la note circulaire qui stipule que toute femme enceinte et allaitante devrait subir au moins une fois au cours de sa grossesse le dépistage du VIH, de la syphilis et l’hépatite virale B.</w:t>
      </w:r>
      <w:r>
        <w:rPr>
          <w:rFonts w:ascii="Arial Narrow" w:hAnsi="Arial Narrow" w:cs="Segoe UI Historic"/>
          <w:color w:val="000000" w:themeColor="text1"/>
          <w:kern w:val="24"/>
          <w:sz w:val="24"/>
          <w:szCs w:val="24"/>
        </w:rPr>
        <w:t xml:space="preserve"> </w:t>
      </w:r>
      <w:r w:rsidRPr="007A001B">
        <w:rPr>
          <w:rFonts w:ascii="Arial Narrow" w:hAnsi="Arial Narrow" w:cs="Segoe UI Historic"/>
          <w:color w:val="000000" w:themeColor="text1"/>
          <w:kern w:val="24"/>
          <w:sz w:val="24"/>
          <w:szCs w:val="24"/>
        </w:rPr>
        <w:t xml:space="preserve">L’application rigoureuse de cet algorithme viendra améliorer la prévention mère-enfant de l’hépatite virale B.   </w:t>
      </w:r>
    </w:p>
    <w:p w14:paraId="00850199" w14:textId="7BAE8EB6" w:rsidR="003E7F09" w:rsidRPr="007E7C5B" w:rsidRDefault="009357BB" w:rsidP="00A918AC">
      <w:pPr>
        <w:jc w:val="both"/>
        <w:rPr>
          <w:rFonts w:ascii="Arial Narrow" w:hAnsi="Arial Narrow" w:cs="Segoe UI Historic"/>
          <w:color w:val="000000" w:themeColor="text1"/>
          <w:kern w:val="24"/>
          <w:sz w:val="24"/>
          <w:szCs w:val="24"/>
        </w:rPr>
      </w:pPr>
      <w:r w:rsidRPr="007E7C5B">
        <w:rPr>
          <w:rFonts w:ascii="Arial Narrow" w:hAnsi="Arial Narrow" w:cs="Segoe UI Historic"/>
          <w:color w:val="000000" w:themeColor="text1"/>
          <w:kern w:val="24"/>
          <w:sz w:val="24"/>
          <w:szCs w:val="24"/>
        </w:rPr>
        <w:t>P</w:t>
      </w:r>
      <w:r w:rsidR="003E7F09" w:rsidRPr="007E7C5B">
        <w:rPr>
          <w:rFonts w:ascii="Arial Narrow" w:hAnsi="Arial Narrow" w:cs="Segoe UI Historic"/>
          <w:color w:val="000000" w:themeColor="text1"/>
          <w:kern w:val="24"/>
          <w:sz w:val="24"/>
          <w:szCs w:val="24"/>
        </w:rPr>
        <w:t xml:space="preserve">lusieurs défis demeurent </w:t>
      </w:r>
      <w:r w:rsidR="006147E2" w:rsidRPr="007E7C5B">
        <w:rPr>
          <w:rFonts w:ascii="Arial Narrow" w:hAnsi="Arial Narrow" w:cs="Segoe UI Historic"/>
          <w:color w:val="000000" w:themeColor="text1"/>
          <w:kern w:val="24"/>
          <w:sz w:val="24"/>
          <w:szCs w:val="24"/>
        </w:rPr>
        <w:t>notamment</w:t>
      </w:r>
      <w:r w:rsidR="00287C73" w:rsidRPr="007E7C5B">
        <w:rPr>
          <w:rFonts w:ascii="Arial Narrow" w:hAnsi="Arial Narrow" w:cs="Segoe UI Historic"/>
          <w:color w:val="000000" w:themeColor="text1"/>
          <w:kern w:val="24"/>
          <w:sz w:val="24"/>
          <w:szCs w:val="24"/>
        </w:rPr>
        <w:t xml:space="preserve"> </w:t>
      </w:r>
      <w:r w:rsidR="006739B4" w:rsidRPr="00A918AC">
        <w:rPr>
          <w:rFonts w:ascii="Arial Narrow" w:hAnsi="Arial Narrow" w:cs="Segoe UI Historic"/>
          <w:i/>
          <w:color w:val="000000" w:themeColor="text1"/>
          <w:kern w:val="24"/>
          <w:sz w:val="24"/>
          <w:szCs w:val="24"/>
        </w:rPr>
        <w:t>(</w:t>
      </w:r>
      <w:r w:rsidR="006147E2" w:rsidRPr="00A918AC">
        <w:rPr>
          <w:rFonts w:ascii="Arial Narrow" w:hAnsi="Arial Narrow" w:cs="Segoe UI Historic"/>
          <w:i/>
          <w:color w:val="000000" w:themeColor="text1"/>
          <w:kern w:val="24"/>
          <w:sz w:val="24"/>
          <w:szCs w:val="24"/>
        </w:rPr>
        <w:t>i)</w:t>
      </w:r>
      <w:r w:rsidR="006147E2" w:rsidRPr="007E7C5B">
        <w:rPr>
          <w:rFonts w:ascii="Arial Narrow" w:hAnsi="Arial Narrow" w:cs="Segoe UI Historic"/>
          <w:color w:val="000000" w:themeColor="text1"/>
          <w:kern w:val="24"/>
          <w:sz w:val="24"/>
          <w:szCs w:val="24"/>
        </w:rPr>
        <w:t xml:space="preserve"> l’</w:t>
      </w:r>
      <w:r w:rsidR="006147E2" w:rsidRPr="00A918AC">
        <w:rPr>
          <w:rFonts w:ascii="Arial Narrow" w:hAnsi="Arial Narrow" w:cs="Segoe UI Historic"/>
          <w:color w:val="000000" w:themeColor="text1"/>
          <w:kern w:val="24"/>
          <w:sz w:val="24"/>
          <w:szCs w:val="24"/>
        </w:rPr>
        <w:t>a</w:t>
      </w:r>
      <w:r w:rsidR="003E7F09" w:rsidRPr="00A918AC">
        <w:rPr>
          <w:rFonts w:ascii="Arial Narrow" w:hAnsi="Arial Narrow" w:cs="Segoe UI Historic"/>
          <w:color w:val="000000" w:themeColor="text1"/>
          <w:kern w:val="24"/>
          <w:sz w:val="24"/>
          <w:szCs w:val="24"/>
        </w:rPr>
        <w:t>ccessibilité au traitement</w:t>
      </w:r>
      <w:r w:rsidR="006147E2" w:rsidRPr="007E7C5B">
        <w:rPr>
          <w:rFonts w:ascii="Arial Narrow" w:hAnsi="Arial Narrow" w:cs="Segoe UI Historic"/>
          <w:color w:val="000000" w:themeColor="text1"/>
          <w:kern w:val="24"/>
          <w:sz w:val="24"/>
          <w:szCs w:val="24"/>
        </w:rPr>
        <w:t xml:space="preserve"> ; </w:t>
      </w:r>
      <w:r w:rsidR="006739B4" w:rsidRPr="00A918AC">
        <w:rPr>
          <w:rFonts w:ascii="Arial Narrow" w:hAnsi="Arial Narrow" w:cs="Segoe UI Historic"/>
          <w:i/>
          <w:color w:val="000000" w:themeColor="text1"/>
          <w:kern w:val="24"/>
          <w:sz w:val="24"/>
          <w:szCs w:val="24"/>
        </w:rPr>
        <w:t>(</w:t>
      </w:r>
      <w:r w:rsidR="00B75C13" w:rsidRPr="00A918AC">
        <w:rPr>
          <w:rFonts w:ascii="Arial Narrow" w:hAnsi="Arial Narrow" w:cs="Segoe UI Historic"/>
          <w:i/>
          <w:color w:val="000000" w:themeColor="text1"/>
          <w:kern w:val="24"/>
          <w:sz w:val="24"/>
          <w:szCs w:val="24"/>
        </w:rPr>
        <w:t>ii)</w:t>
      </w:r>
      <w:r w:rsidR="00B75C13" w:rsidRPr="007E7C5B">
        <w:rPr>
          <w:rFonts w:ascii="Arial Narrow" w:hAnsi="Arial Narrow" w:cs="Segoe UI Historic"/>
          <w:color w:val="000000" w:themeColor="text1"/>
          <w:kern w:val="24"/>
          <w:sz w:val="24"/>
          <w:szCs w:val="24"/>
        </w:rPr>
        <w:t xml:space="preserve"> la </w:t>
      </w:r>
      <w:r w:rsidR="00B75C13" w:rsidRPr="00A918AC">
        <w:rPr>
          <w:rFonts w:ascii="Arial Narrow" w:hAnsi="Arial Narrow" w:cs="Segoe UI Historic"/>
          <w:color w:val="000000" w:themeColor="text1"/>
          <w:kern w:val="24"/>
          <w:sz w:val="24"/>
          <w:szCs w:val="24"/>
        </w:rPr>
        <w:t>f</w:t>
      </w:r>
      <w:r w:rsidR="003E7F09" w:rsidRPr="00A918AC">
        <w:rPr>
          <w:rFonts w:ascii="Arial Narrow" w:hAnsi="Arial Narrow" w:cs="Segoe UI Historic"/>
          <w:color w:val="000000" w:themeColor="text1"/>
          <w:kern w:val="24"/>
          <w:sz w:val="24"/>
          <w:szCs w:val="24"/>
        </w:rPr>
        <w:t>ormation du personnel médical</w:t>
      </w:r>
      <w:r w:rsidR="003E7F09" w:rsidRPr="007E7C5B">
        <w:rPr>
          <w:rFonts w:ascii="Arial Narrow" w:hAnsi="Arial Narrow" w:cs="Segoe UI Historic"/>
          <w:b/>
          <w:bCs/>
          <w:color w:val="000000" w:themeColor="text1"/>
          <w:kern w:val="24"/>
          <w:sz w:val="24"/>
          <w:szCs w:val="24"/>
        </w:rPr>
        <w:t xml:space="preserve"> </w:t>
      </w:r>
      <w:r w:rsidR="003E7F09" w:rsidRPr="007E7C5B">
        <w:rPr>
          <w:rFonts w:ascii="Arial Narrow" w:hAnsi="Arial Narrow" w:cs="Segoe UI Historic"/>
          <w:color w:val="000000" w:themeColor="text1"/>
          <w:kern w:val="24"/>
          <w:sz w:val="24"/>
          <w:szCs w:val="24"/>
        </w:rPr>
        <w:t>pour améliorer la détection précoce et la gestion efficace des cas d’hépatite</w:t>
      </w:r>
      <w:r w:rsidR="004758FF" w:rsidRPr="007E7C5B">
        <w:rPr>
          <w:rFonts w:ascii="Arial Narrow" w:hAnsi="Arial Narrow" w:cs="Segoe UI Historic"/>
          <w:color w:val="000000" w:themeColor="text1"/>
          <w:kern w:val="24"/>
          <w:sz w:val="24"/>
          <w:szCs w:val="24"/>
        </w:rPr>
        <w:t xml:space="preserve"> ; </w:t>
      </w:r>
      <w:r w:rsidR="006739B4" w:rsidRPr="00A918AC">
        <w:rPr>
          <w:rFonts w:ascii="Arial Narrow" w:hAnsi="Arial Narrow" w:cs="Segoe UI Historic"/>
          <w:i/>
          <w:color w:val="000000" w:themeColor="text1"/>
          <w:kern w:val="24"/>
          <w:sz w:val="24"/>
          <w:szCs w:val="24"/>
        </w:rPr>
        <w:t>(</w:t>
      </w:r>
      <w:r w:rsidR="004758FF" w:rsidRPr="00A918AC">
        <w:rPr>
          <w:rFonts w:ascii="Arial Narrow" w:hAnsi="Arial Narrow" w:cs="Segoe UI Historic"/>
          <w:i/>
          <w:color w:val="000000" w:themeColor="text1"/>
          <w:kern w:val="24"/>
          <w:sz w:val="24"/>
          <w:szCs w:val="24"/>
        </w:rPr>
        <w:t>iii)</w:t>
      </w:r>
      <w:r w:rsidR="004758FF" w:rsidRPr="007E7C5B">
        <w:rPr>
          <w:rFonts w:ascii="Arial Narrow" w:hAnsi="Arial Narrow" w:cs="Segoe UI Historic"/>
          <w:color w:val="000000" w:themeColor="text1"/>
          <w:kern w:val="24"/>
          <w:sz w:val="24"/>
          <w:szCs w:val="24"/>
        </w:rPr>
        <w:t xml:space="preserve"> </w:t>
      </w:r>
      <w:r w:rsidR="004758FF" w:rsidRPr="00A918AC">
        <w:rPr>
          <w:rFonts w:ascii="Arial Narrow" w:hAnsi="Arial Narrow" w:cs="Segoe UI Historic"/>
          <w:color w:val="000000" w:themeColor="text1"/>
          <w:kern w:val="24"/>
          <w:sz w:val="24"/>
          <w:szCs w:val="24"/>
        </w:rPr>
        <w:t>la</w:t>
      </w:r>
      <w:r w:rsidR="003E7F09" w:rsidRPr="007E7C5B" w:rsidDel="004758FF">
        <w:rPr>
          <w:rFonts w:ascii="Arial Narrow" w:hAnsi="Arial Narrow" w:cs="Segoe UI Historic"/>
          <w:color w:val="000000" w:themeColor="text1"/>
          <w:kern w:val="24"/>
          <w:sz w:val="24"/>
          <w:szCs w:val="24"/>
        </w:rPr>
        <w:t xml:space="preserve"> sensibilisation </w:t>
      </w:r>
      <w:r w:rsidR="003E7F09" w:rsidRPr="00A918AC">
        <w:rPr>
          <w:rFonts w:ascii="Arial Narrow" w:hAnsi="Arial Narrow" w:cs="Segoe UI Historic"/>
          <w:color w:val="000000" w:themeColor="text1"/>
          <w:kern w:val="24"/>
          <w:sz w:val="24"/>
          <w:szCs w:val="24"/>
        </w:rPr>
        <w:t xml:space="preserve">et </w:t>
      </w:r>
      <w:r w:rsidR="004758FF" w:rsidRPr="007E7C5B">
        <w:rPr>
          <w:rFonts w:ascii="Arial Narrow" w:hAnsi="Arial Narrow" w:cs="Segoe UI Historic"/>
          <w:color w:val="000000" w:themeColor="text1"/>
          <w:kern w:val="24"/>
          <w:sz w:val="24"/>
          <w:szCs w:val="24"/>
        </w:rPr>
        <w:t xml:space="preserve">la </w:t>
      </w:r>
      <w:r w:rsidR="003E7F09" w:rsidRPr="00A918AC">
        <w:rPr>
          <w:rFonts w:ascii="Arial Narrow" w:hAnsi="Arial Narrow" w:cs="Segoe UI Historic"/>
          <w:color w:val="000000" w:themeColor="text1"/>
          <w:kern w:val="24"/>
          <w:sz w:val="24"/>
          <w:szCs w:val="24"/>
        </w:rPr>
        <w:t>prévention</w:t>
      </w:r>
      <w:r w:rsidR="004758FF" w:rsidRPr="007E7C5B">
        <w:rPr>
          <w:rFonts w:ascii="Arial Narrow" w:hAnsi="Arial Narrow" w:cs="Segoe UI Historic"/>
          <w:color w:val="000000" w:themeColor="text1"/>
          <w:kern w:val="24"/>
          <w:sz w:val="24"/>
          <w:szCs w:val="24"/>
        </w:rPr>
        <w:t> </w:t>
      </w:r>
      <w:r w:rsidR="006739B4" w:rsidRPr="007E7C5B">
        <w:rPr>
          <w:rFonts w:ascii="Arial Narrow" w:hAnsi="Arial Narrow" w:cs="Segoe UI Historic"/>
          <w:color w:val="000000" w:themeColor="text1"/>
          <w:kern w:val="24"/>
          <w:sz w:val="24"/>
          <w:szCs w:val="24"/>
        </w:rPr>
        <w:t>et</w:t>
      </w:r>
      <w:r w:rsidR="004758FF" w:rsidRPr="007E7C5B">
        <w:rPr>
          <w:rFonts w:ascii="Arial Narrow" w:hAnsi="Arial Narrow" w:cs="Segoe UI Historic"/>
          <w:color w:val="000000" w:themeColor="text1"/>
          <w:kern w:val="24"/>
          <w:sz w:val="24"/>
          <w:szCs w:val="24"/>
        </w:rPr>
        <w:t xml:space="preserve"> </w:t>
      </w:r>
      <w:r w:rsidR="006739B4" w:rsidRPr="00A918AC">
        <w:rPr>
          <w:rFonts w:ascii="Arial Narrow" w:hAnsi="Arial Narrow" w:cs="Segoe UI Historic"/>
          <w:i/>
          <w:color w:val="000000" w:themeColor="text1"/>
          <w:kern w:val="24"/>
          <w:sz w:val="24"/>
          <w:szCs w:val="24"/>
        </w:rPr>
        <w:t>(</w:t>
      </w:r>
      <w:r w:rsidR="004758FF" w:rsidRPr="00A918AC">
        <w:rPr>
          <w:rFonts w:ascii="Arial Narrow" w:hAnsi="Arial Narrow" w:cs="Segoe UI Historic"/>
          <w:i/>
          <w:color w:val="000000" w:themeColor="text1"/>
          <w:kern w:val="24"/>
          <w:sz w:val="24"/>
          <w:szCs w:val="24"/>
        </w:rPr>
        <w:t>iv)</w:t>
      </w:r>
      <w:r w:rsidR="004758FF" w:rsidRPr="007E7C5B">
        <w:rPr>
          <w:rFonts w:ascii="Arial Narrow" w:hAnsi="Arial Narrow" w:cs="Segoe UI Historic"/>
          <w:b/>
          <w:bCs/>
          <w:color w:val="000000" w:themeColor="text1"/>
          <w:kern w:val="24"/>
          <w:sz w:val="24"/>
          <w:szCs w:val="24"/>
        </w:rPr>
        <w:t xml:space="preserve"> </w:t>
      </w:r>
      <w:r w:rsidR="006E1DA5" w:rsidRPr="007E7C5B">
        <w:rPr>
          <w:rFonts w:ascii="Arial Narrow" w:hAnsi="Arial Narrow" w:cs="Segoe UI Historic"/>
          <w:color w:val="000000" w:themeColor="text1"/>
          <w:kern w:val="24"/>
          <w:sz w:val="24"/>
          <w:szCs w:val="24"/>
        </w:rPr>
        <w:t>l</w:t>
      </w:r>
      <w:r w:rsidR="003E7F09" w:rsidRPr="007E7C5B">
        <w:rPr>
          <w:rFonts w:ascii="Arial Narrow" w:hAnsi="Arial Narrow" w:cs="Segoe UI Historic"/>
          <w:color w:val="000000" w:themeColor="text1"/>
          <w:kern w:val="24"/>
          <w:sz w:val="24"/>
          <w:szCs w:val="24"/>
        </w:rPr>
        <w:t>'amélioration des infrastructures sanitaires pour accueillir un plus grand nombre de patients et assurer un suivi optimal des personnes infectées.</w:t>
      </w:r>
    </w:p>
    <w:p w14:paraId="74F067BE" w14:textId="7C23EC06" w:rsidR="00F0208D" w:rsidRPr="007E7C5B" w:rsidRDefault="009A5E95" w:rsidP="00AA7D22">
      <w:pPr>
        <w:pStyle w:val="Titre5"/>
        <w:shd w:val="clear" w:color="auto" w:fill="FBE4D5" w:themeFill="accent2" w:themeFillTint="33"/>
        <w:rPr>
          <w:rFonts w:ascii="Arial Narrow" w:hAnsi="Arial Narrow"/>
          <w:b/>
          <w:color w:val="auto"/>
          <w:sz w:val="24"/>
          <w:szCs w:val="24"/>
        </w:rPr>
      </w:pPr>
      <w:r w:rsidRPr="007E7C5B">
        <w:rPr>
          <w:rFonts w:ascii="Arial Narrow" w:hAnsi="Arial Narrow"/>
          <w:b/>
          <w:color w:val="auto"/>
          <w:sz w:val="24"/>
          <w:szCs w:val="24"/>
        </w:rPr>
        <w:t>M</w:t>
      </w:r>
      <w:r w:rsidR="00F0208D" w:rsidRPr="007E7C5B">
        <w:rPr>
          <w:rFonts w:ascii="Arial Narrow" w:hAnsi="Arial Narrow"/>
          <w:b/>
          <w:color w:val="auto"/>
          <w:sz w:val="24"/>
          <w:szCs w:val="24"/>
        </w:rPr>
        <w:t xml:space="preserve">aladies </w:t>
      </w:r>
      <w:r w:rsidR="00917B01" w:rsidRPr="007E7C5B">
        <w:rPr>
          <w:rFonts w:ascii="Arial Narrow" w:hAnsi="Arial Narrow"/>
          <w:b/>
          <w:color w:val="auto"/>
          <w:sz w:val="24"/>
          <w:szCs w:val="24"/>
        </w:rPr>
        <w:t>T</w:t>
      </w:r>
      <w:r w:rsidR="00F0208D" w:rsidRPr="007E7C5B">
        <w:rPr>
          <w:rFonts w:ascii="Arial Narrow" w:hAnsi="Arial Narrow"/>
          <w:b/>
          <w:color w:val="auto"/>
          <w:sz w:val="24"/>
          <w:szCs w:val="24"/>
        </w:rPr>
        <w:t xml:space="preserve">ropicales </w:t>
      </w:r>
      <w:r w:rsidR="00917B01" w:rsidRPr="007E7C5B">
        <w:rPr>
          <w:rFonts w:ascii="Arial Narrow" w:hAnsi="Arial Narrow"/>
          <w:b/>
          <w:color w:val="auto"/>
          <w:sz w:val="24"/>
          <w:szCs w:val="24"/>
        </w:rPr>
        <w:t>N</w:t>
      </w:r>
      <w:r w:rsidR="00F0208D" w:rsidRPr="007E7C5B">
        <w:rPr>
          <w:rFonts w:ascii="Arial Narrow" w:hAnsi="Arial Narrow"/>
          <w:b/>
          <w:color w:val="auto"/>
          <w:sz w:val="24"/>
          <w:szCs w:val="24"/>
        </w:rPr>
        <w:t>égligées (MTN)</w:t>
      </w:r>
      <w:r w:rsidR="00F0208D" w:rsidRPr="007E7C5B">
        <w:rPr>
          <w:rFonts w:ascii="Arial Narrow" w:hAnsi="Arial Narrow"/>
          <w:b/>
          <w:color w:val="auto"/>
          <w:sz w:val="24"/>
          <w:szCs w:val="24"/>
        </w:rPr>
        <w:tab/>
      </w:r>
    </w:p>
    <w:p w14:paraId="17C1F8AB" w14:textId="100A235F" w:rsidR="00B62725" w:rsidRPr="007E7C5B" w:rsidRDefault="00B62725" w:rsidP="00761F55">
      <w:pPr>
        <w:jc w:val="both"/>
        <w:rPr>
          <w:rFonts w:ascii="Arial Narrow" w:eastAsia="Calibri" w:hAnsi="Arial Narrow" w:cs="Arial"/>
          <w:sz w:val="24"/>
          <w:szCs w:val="24"/>
        </w:rPr>
      </w:pPr>
      <w:r w:rsidRPr="007E7C5B">
        <w:rPr>
          <w:rFonts w:ascii="Arial Narrow" w:eastAsia="Calibri" w:hAnsi="Arial Narrow" w:cs="Arial"/>
          <w:sz w:val="24"/>
          <w:szCs w:val="24"/>
        </w:rPr>
        <w:t>Les Maladies Tropicales Négligés sont reparties en deux grandes catégories à savoir :</w:t>
      </w:r>
      <w:r w:rsidRPr="007E7C5B">
        <w:rPr>
          <w:rFonts w:ascii="Arial Narrow" w:hAnsi="Arial Narrow"/>
          <w:sz w:val="24"/>
          <w:szCs w:val="24"/>
        </w:rPr>
        <w:t xml:space="preserve"> </w:t>
      </w:r>
      <w:r w:rsidR="00394F2F" w:rsidRPr="00A918AC">
        <w:rPr>
          <w:rFonts w:ascii="Arial Narrow" w:hAnsi="Arial Narrow"/>
          <w:i/>
          <w:sz w:val="24"/>
          <w:szCs w:val="24"/>
        </w:rPr>
        <w:t>(</w:t>
      </w:r>
      <w:r w:rsidRPr="00A918AC">
        <w:rPr>
          <w:rFonts w:ascii="Arial Narrow" w:hAnsi="Arial Narrow"/>
          <w:i/>
          <w:sz w:val="24"/>
          <w:szCs w:val="24"/>
        </w:rPr>
        <w:t>i)</w:t>
      </w:r>
      <w:r w:rsidRPr="007E7C5B">
        <w:rPr>
          <w:rFonts w:ascii="Arial Narrow" w:hAnsi="Arial Narrow"/>
          <w:sz w:val="24"/>
          <w:szCs w:val="24"/>
        </w:rPr>
        <w:t xml:space="preserve"> </w:t>
      </w:r>
      <w:r w:rsidRPr="00A918AC">
        <w:rPr>
          <w:rFonts w:ascii="Arial Narrow" w:eastAsia="Calibri" w:hAnsi="Arial Narrow" w:cs="Arial"/>
          <w:sz w:val="24"/>
          <w:szCs w:val="24"/>
        </w:rPr>
        <w:t>les Maladies Tropicales Négligées à Chimiothérapie Préventive (MTNCP) </w:t>
      </w:r>
      <w:r w:rsidRPr="007E7C5B">
        <w:rPr>
          <w:rFonts w:ascii="Arial Narrow" w:eastAsia="Calibri" w:hAnsi="Arial Narrow" w:cs="Arial"/>
          <w:sz w:val="24"/>
          <w:szCs w:val="24"/>
        </w:rPr>
        <w:t xml:space="preserve">: Trachome, Onchocercose, Filariose lymphatique, Géo helminthiases et Schistosomiase et </w:t>
      </w:r>
      <w:r w:rsidR="00394F2F" w:rsidRPr="00A918AC">
        <w:rPr>
          <w:rFonts w:ascii="Arial Narrow" w:eastAsia="Calibri" w:hAnsi="Arial Narrow" w:cs="Arial"/>
          <w:i/>
          <w:sz w:val="24"/>
          <w:szCs w:val="24"/>
        </w:rPr>
        <w:t>(</w:t>
      </w:r>
      <w:r w:rsidRPr="00A918AC">
        <w:rPr>
          <w:rFonts w:ascii="Arial Narrow" w:eastAsia="Calibri" w:hAnsi="Arial Narrow" w:cs="Arial"/>
          <w:i/>
          <w:sz w:val="24"/>
          <w:szCs w:val="24"/>
        </w:rPr>
        <w:t>ii)</w:t>
      </w:r>
      <w:r w:rsidRPr="007E7C5B">
        <w:rPr>
          <w:rFonts w:ascii="Arial Narrow" w:eastAsia="Calibri" w:hAnsi="Arial Narrow" w:cs="Arial"/>
          <w:sz w:val="24"/>
          <w:szCs w:val="24"/>
        </w:rPr>
        <w:t xml:space="preserve"> </w:t>
      </w:r>
      <w:r w:rsidRPr="00A918AC">
        <w:rPr>
          <w:rFonts w:ascii="Arial Narrow" w:eastAsia="Calibri" w:hAnsi="Arial Narrow" w:cs="Arial"/>
          <w:sz w:val="24"/>
          <w:szCs w:val="24"/>
        </w:rPr>
        <w:t>les</w:t>
      </w:r>
      <w:r w:rsidRPr="007E7C5B">
        <w:rPr>
          <w:rFonts w:ascii="Arial Narrow" w:eastAsia="Calibri" w:hAnsi="Arial Narrow" w:cs="Arial"/>
          <w:sz w:val="24"/>
          <w:szCs w:val="24"/>
        </w:rPr>
        <w:t xml:space="preserve"> </w:t>
      </w:r>
      <w:r w:rsidRPr="00A918AC">
        <w:rPr>
          <w:rFonts w:ascii="Arial Narrow" w:eastAsia="Calibri" w:hAnsi="Arial Narrow" w:cs="Arial"/>
          <w:sz w:val="24"/>
          <w:szCs w:val="24"/>
        </w:rPr>
        <w:t>Maladies Tropicales Négligées à prise en charge des cas (MTN-PCC)</w:t>
      </w:r>
      <w:r w:rsidRPr="007E7C5B">
        <w:rPr>
          <w:rFonts w:ascii="Arial Narrow" w:eastAsia="Calibri" w:hAnsi="Arial Narrow" w:cs="Arial"/>
          <w:sz w:val="24"/>
          <w:szCs w:val="24"/>
        </w:rPr>
        <w:t xml:space="preserve"> : Trypanosomiase Humaine Africaine (THA), Lèpre, Ulcère de </w:t>
      </w:r>
      <w:proofErr w:type="spellStart"/>
      <w:r w:rsidRPr="007E7C5B">
        <w:rPr>
          <w:rFonts w:ascii="Arial Narrow" w:eastAsia="Calibri" w:hAnsi="Arial Narrow" w:cs="Arial"/>
          <w:sz w:val="24"/>
          <w:szCs w:val="24"/>
        </w:rPr>
        <w:t>Buruli</w:t>
      </w:r>
      <w:proofErr w:type="spellEnd"/>
      <w:r w:rsidRPr="007E7C5B">
        <w:rPr>
          <w:rFonts w:ascii="Arial Narrow" w:eastAsia="Calibri" w:hAnsi="Arial Narrow" w:cs="Arial"/>
          <w:sz w:val="24"/>
          <w:szCs w:val="24"/>
        </w:rPr>
        <w:t>, Dracunculose (Ver de Guinée) et Pian.</w:t>
      </w:r>
    </w:p>
    <w:p w14:paraId="076D87C6" w14:textId="1A88761C" w:rsidR="00B62725" w:rsidRPr="007E7C5B" w:rsidRDefault="006F12FD" w:rsidP="00761F55">
      <w:pPr>
        <w:jc w:val="both"/>
        <w:rPr>
          <w:rFonts w:ascii="Arial Narrow" w:eastAsia="Calibri" w:hAnsi="Arial Narrow" w:cs="Arial"/>
          <w:sz w:val="24"/>
          <w:szCs w:val="24"/>
        </w:rPr>
      </w:pPr>
      <w:r w:rsidRPr="007E7C5B">
        <w:rPr>
          <w:rFonts w:ascii="Arial Narrow" w:eastAsia="Calibri" w:hAnsi="Arial Narrow" w:cs="Arial"/>
          <w:sz w:val="24"/>
          <w:szCs w:val="24"/>
        </w:rPr>
        <w:t xml:space="preserve">Au </w:t>
      </w:r>
      <w:r w:rsidR="0083225C" w:rsidRPr="007E7C5B">
        <w:rPr>
          <w:rFonts w:ascii="Arial Narrow" w:eastAsia="Calibri" w:hAnsi="Arial Narrow" w:cs="Arial"/>
          <w:sz w:val="24"/>
          <w:szCs w:val="24"/>
        </w:rPr>
        <w:t>titre</w:t>
      </w:r>
      <w:r w:rsidR="00B62725" w:rsidRPr="007E7C5B" w:rsidDel="006F12FD">
        <w:rPr>
          <w:rFonts w:ascii="Arial Narrow" w:eastAsia="Calibri" w:hAnsi="Arial Narrow" w:cs="Arial"/>
          <w:sz w:val="24"/>
          <w:szCs w:val="24"/>
        </w:rPr>
        <w:t xml:space="preserve"> </w:t>
      </w:r>
      <w:r w:rsidR="00B62725" w:rsidRPr="007E7C5B">
        <w:rPr>
          <w:rFonts w:ascii="Arial Narrow" w:eastAsia="Calibri" w:hAnsi="Arial Narrow" w:cs="Arial"/>
          <w:sz w:val="24"/>
          <w:szCs w:val="24"/>
        </w:rPr>
        <w:t>de la lutte contre les MTN</w:t>
      </w:r>
      <w:r w:rsidR="00BE14BA" w:rsidRPr="007E7C5B">
        <w:rPr>
          <w:rFonts w:ascii="Arial Narrow" w:eastAsia="Calibri" w:hAnsi="Arial Narrow" w:cs="Arial"/>
          <w:sz w:val="24"/>
          <w:szCs w:val="24"/>
        </w:rPr>
        <w:t>,</w:t>
      </w:r>
      <w:r w:rsidR="00B62725" w:rsidRPr="007E7C5B">
        <w:rPr>
          <w:rFonts w:ascii="Arial Narrow" w:eastAsia="Calibri" w:hAnsi="Arial Narrow" w:cs="Arial"/>
          <w:sz w:val="24"/>
          <w:szCs w:val="24"/>
        </w:rPr>
        <w:t xml:space="preserve"> </w:t>
      </w:r>
      <w:r w:rsidR="00BE14BA" w:rsidRPr="007E7C5B">
        <w:rPr>
          <w:rFonts w:ascii="Arial Narrow" w:eastAsia="Calibri" w:hAnsi="Arial Narrow" w:cs="Arial"/>
          <w:sz w:val="24"/>
          <w:szCs w:val="24"/>
        </w:rPr>
        <w:t xml:space="preserve">l’objectif </w:t>
      </w:r>
      <w:r w:rsidR="00B62725" w:rsidRPr="007E7C5B">
        <w:rPr>
          <w:rFonts w:ascii="Arial Narrow" w:eastAsia="Calibri" w:hAnsi="Arial Narrow" w:cs="Arial"/>
          <w:sz w:val="24"/>
          <w:szCs w:val="24"/>
        </w:rPr>
        <w:t xml:space="preserve">était de prendre en charge </w:t>
      </w:r>
      <w:r w:rsidR="00D21C4C" w:rsidRPr="007E7C5B">
        <w:rPr>
          <w:rFonts w:ascii="Arial Narrow" w:eastAsia="Calibri" w:hAnsi="Arial Narrow" w:cs="Arial"/>
          <w:sz w:val="24"/>
          <w:szCs w:val="24"/>
        </w:rPr>
        <w:t xml:space="preserve">chaque année </w:t>
      </w:r>
      <w:r w:rsidR="00B62725" w:rsidRPr="007E7C5B">
        <w:rPr>
          <w:rFonts w:ascii="Arial Narrow" w:eastAsia="Calibri" w:hAnsi="Arial Narrow" w:cs="Arial"/>
          <w:sz w:val="24"/>
          <w:szCs w:val="24"/>
        </w:rPr>
        <w:t>100% des patients atteints de Maladies Tropicales Négligé</w:t>
      </w:r>
      <w:r w:rsidR="00FF489B" w:rsidRPr="007E7C5B">
        <w:rPr>
          <w:rFonts w:ascii="Arial Narrow" w:eastAsia="Calibri" w:hAnsi="Arial Narrow" w:cs="Arial"/>
          <w:sz w:val="24"/>
          <w:szCs w:val="24"/>
        </w:rPr>
        <w:t>e</w:t>
      </w:r>
      <w:r w:rsidR="00B62725" w:rsidRPr="007E7C5B">
        <w:rPr>
          <w:rFonts w:ascii="Arial Narrow" w:eastAsia="Calibri" w:hAnsi="Arial Narrow" w:cs="Arial"/>
          <w:sz w:val="24"/>
          <w:szCs w:val="24"/>
        </w:rPr>
        <w:t>s à Prise en charge de Cas (MTN PCC) et 65%</w:t>
      </w:r>
      <w:r w:rsidR="00FF489B" w:rsidRPr="007E7C5B">
        <w:rPr>
          <w:rFonts w:ascii="Arial Narrow" w:eastAsia="Calibri" w:hAnsi="Arial Narrow" w:cs="Arial"/>
          <w:sz w:val="24"/>
          <w:szCs w:val="24"/>
        </w:rPr>
        <w:t xml:space="preserve"> de ceux atteints des</w:t>
      </w:r>
      <w:r w:rsidR="00B62725" w:rsidRPr="007E7C5B">
        <w:rPr>
          <w:rFonts w:ascii="Arial Narrow" w:eastAsia="Calibri" w:hAnsi="Arial Narrow" w:cs="Arial"/>
          <w:sz w:val="24"/>
          <w:szCs w:val="24"/>
        </w:rPr>
        <w:t xml:space="preserve"> Maladies Tropicales Négligés à </w:t>
      </w:r>
      <w:proofErr w:type="spellStart"/>
      <w:r w:rsidR="00B62725" w:rsidRPr="007E7C5B">
        <w:rPr>
          <w:rFonts w:ascii="Arial Narrow" w:eastAsia="Calibri" w:hAnsi="Arial Narrow" w:cs="Arial"/>
          <w:sz w:val="24"/>
          <w:szCs w:val="24"/>
        </w:rPr>
        <w:t>Chimio-Prophylaxie</w:t>
      </w:r>
      <w:proofErr w:type="spellEnd"/>
      <w:r w:rsidR="00B62725" w:rsidRPr="007E7C5B">
        <w:rPr>
          <w:rFonts w:ascii="Arial Narrow" w:eastAsia="Calibri" w:hAnsi="Arial Narrow" w:cs="Arial"/>
          <w:sz w:val="24"/>
          <w:szCs w:val="24"/>
        </w:rPr>
        <w:t xml:space="preserve"> (MTN-CP). </w:t>
      </w:r>
    </w:p>
    <w:p w14:paraId="0FFE6DA1" w14:textId="77777777" w:rsidR="00B62725" w:rsidRPr="007E7C5B" w:rsidRDefault="00B62725" w:rsidP="00761F55">
      <w:pPr>
        <w:spacing w:line="257" w:lineRule="auto"/>
        <w:jc w:val="both"/>
        <w:rPr>
          <w:rFonts w:ascii="Arial Narrow" w:eastAsia="Calibri" w:hAnsi="Arial Narrow" w:cs="Arial"/>
          <w:sz w:val="24"/>
          <w:szCs w:val="24"/>
        </w:rPr>
      </w:pPr>
      <w:r w:rsidRPr="007E7C5B">
        <w:rPr>
          <w:rFonts w:ascii="Arial Narrow" w:eastAsia="Calibri" w:hAnsi="Arial Narrow" w:cs="Arial"/>
          <w:sz w:val="24"/>
          <w:szCs w:val="24"/>
        </w:rPr>
        <w:t xml:space="preserve">Pour ce qui concerne </w:t>
      </w:r>
      <w:r w:rsidRPr="007E7C5B">
        <w:rPr>
          <w:rFonts w:ascii="Arial Narrow" w:eastAsia="Calibri" w:hAnsi="Arial Narrow" w:cs="Arial"/>
          <w:b/>
          <w:bCs/>
          <w:sz w:val="24"/>
          <w:szCs w:val="24"/>
        </w:rPr>
        <w:t>les MTN-CP</w:t>
      </w:r>
      <w:r w:rsidRPr="007E7C5B">
        <w:rPr>
          <w:rFonts w:ascii="Arial Narrow" w:eastAsia="Calibri" w:hAnsi="Arial Narrow" w:cs="Arial"/>
          <w:sz w:val="24"/>
          <w:szCs w:val="24"/>
        </w:rPr>
        <w:t>, les évaluations d’impact dans les 40 districts endémiques au trachome ont mis en évidence une prévalence inférieure à 5% entrainant l’arrêt du traitement de masse dans tous ces districts. Relativement à la filariose lymphatique, tous les 99 districts endémiques ont réussi l’évaluation pour l’arrêt de traitement avec une prévalence finale inférieure à 2%. Ces arrêts de traitement indiquent une bonne avancée dans la lutte contre ces maladies.</w:t>
      </w:r>
    </w:p>
    <w:p w14:paraId="2EC083E5" w14:textId="7DD6A0F9" w:rsidR="00B62725" w:rsidRPr="007E7C5B" w:rsidRDefault="00B62725" w:rsidP="00761F55">
      <w:pPr>
        <w:spacing w:line="257" w:lineRule="auto"/>
        <w:jc w:val="both"/>
        <w:rPr>
          <w:rFonts w:ascii="Arial Narrow" w:eastAsia="Calibri" w:hAnsi="Arial Narrow" w:cs="Arial"/>
          <w:sz w:val="24"/>
          <w:szCs w:val="24"/>
        </w:rPr>
      </w:pPr>
      <w:r w:rsidRPr="009E4305">
        <w:rPr>
          <w:rFonts w:ascii="Arial Narrow" w:eastAsia="Calibri" w:hAnsi="Arial Narrow" w:cs="Arial"/>
          <w:sz w:val="24"/>
          <w:szCs w:val="24"/>
        </w:rPr>
        <w:lastRenderedPageBreak/>
        <w:t>Les traitements de masse conduits de 2021 à ce jour ont obtenu une couverture géographique de 100% et des couvertures thérapeutiques de 202</w:t>
      </w:r>
      <w:r w:rsidRPr="009E4305" w:rsidDel="00025CF1">
        <w:rPr>
          <w:rFonts w:ascii="Arial Narrow" w:eastAsia="Calibri" w:hAnsi="Arial Narrow" w:cs="Arial"/>
          <w:sz w:val="24"/>
          <w:szCs w:val="24"/>
        </w:rPr>
        <w:t>1</w:t>
      </w:r>
      <w:r w:rsidRPr="009E4305">
        <w:rPr>
          <w:rFonts w:ascii="Arial Narrow" w:eastAsia="Calibri" w:hAnsi="Arial Narrow" w:cs="Arial"/>
          <w:sz w:val="24"/>
          <w:szCs w:val="24"/>
        </w:rPr>
        <w:t xml:space="preserve"> à 2023 respectivement : pour le </w:t>
      </w:r>
      <w:r w:rsidR="00F82873" w:rsidRPr="009E4305">
        <w:rPr>
          <w:rFonts w:ascii="Arial Narrow" w:eastAsia="Calibri" w:hAnsi="Arial Narrow" w:cs="Arial"/>
          <w:sz w:val="24"/>
          <w:szCs w:val="24"/>
        </w:rPr>
        <w:t>t</w:t>
      </w:r>
      <w:r w:rsidRPr="009E4305">
        <w:rPr>
          <w:rFonts w:ascii="Arial Narrow" w:eastAsia="Calibri" w:hAnsi="Arial Narrow" w:cs="Arial"/>
          <w:sz w:val="24"/>
          <w:szCs w:val="24"/>
        </w:rPr>
        <w:t xml:space="preserve">rachome de 84,14% à 92,66% ; pour la </w:t>
      </w:r>
      <w:r w:rsidR="00F82873" w:rsidRPr="009E4305">
        <w:rPr>
          <w:rFonts w:ascii="Arial Narrow" w:eastAsia="Calibri" w:hAnsi="Arial Narrow" w:cs="Arial"/>
          <w:sz w:val="24"/>
          <w:szCs w:val="24"/>
        </w:rPr>
        <w:t>f</w:t>
      </w:r>
      <w:r w:rsidRPr="009E4305">
        <w:rPr>
          <w:rFonts w:ascii="Arial Narrow" w:eastAsia="Calibri" w:hAnsi="Arial Narrow" w:cs="Arial"/>
          <w:sz w:val="24"/>
          <w:szCs w:val="24"/>
        </w:rPr>
        <w:t xml:space="preserve">ilariose </w:t>
      </w:r>
      <w:r w:rsidR="00F82873" w:rsidRPr="009E4305">
        <w:rPr>
          <w:rFonts w:ascii="Arial Narrow" w:eastAsia="Calibri" w:hAnsi="Arial Narrow" w:cs="Arial"/>
          <w:sz w:val="24"/>
          <w:szCs w:val="24"/>
        </w:rPr>
        <w:t>l</w:t>
      </w:r>
      <w:r w:rsidRPr="009E4305">
        <w:rPr>
          <w:rFonts w:ascii="Arial Narrow" w:eastAsia="Calibri" w:hAnsi="Arial Narrow" w:cs="Arial"/>
          <w:sz w:val="24"/>
          <w:szCs w:val="24"/>
        </w:rPr>
        <w:t xml:space="preserve">ymphatique de 91,60% à 100,46% ; pour la </w:t>
      </w:r>
      <w:r w:rsidR="00F82873" w:rsidRPr="009E4305">
        <w:rPr>
          <w:rFonts w:ascii="Arial Narrow" w:eastAsia="Calibri" w:hAnsi="Arial Narrow" w:cs="Arial"/>
          <w:sz w:val="24"/>
          <w:szCs w:val="24"/>
        </w:rPr>
        <w:t>s</w:t>
      </w:r>
      <w:r w:rsidRPr="009E4305">
        <w:rPr>
          <w:rFonts w:ascii="Arial Narrow" w:eastAsia="Calibri" w:hAnsi="Arial Narrow" w:cs="Arial"/>
          <w:sz w:val="24"/>
          <w:szCs w:val="24"/>
        </w:rPr>
        <w:t>chistosomiase de 84,73% à 91,09%.</w:t>
      </w:r>
    </w:p>
    <w:p w14:paraId="2A90A9D5" w14:textId="2DEA71C9" w:rsidR="00B62725" w:rsidRPr="007E7C5B" w:rsidRDefault="00B62725" w:rsidP="00761F55">
      <w:pPr>
        <w:spacing w:line="257" w:lineRule="auto"/>
        <w:jc w:val="both"/>
        <w:rPr>
          <w:rFonts w:ascii="Arial Narrow" w:eastAsia="Calibri" w:hAnsi="Arial Narrow" w:cs="Arial"/>
          <w:sz w:val="24"/>
          <w:szCs w:val="24"/>
        </w:rPr>
      </w:pPr>
      <w:r w:rsidRPr="007E7C5B">
        <w:rPr>
          <w:rFonts w:ascii="Arial Narrow" w:eastAsia="Calibri" w:hAnsi="Arial Narrow" w:cs="Arial"/>
          <w:sz w:val="24"/>
          <w:szCs w:val="24"/>
        </w:rPr>
        <w:t xml:space="preserve">Pour la prise en charge des morbidités et la prévention des incapacités liées aux MTN-CP, </w:t>
      </w:r>
      <w:r w:rsidR="00627D0D" w:rsidRPr="007E7C5B">
        <w:rPr>
          <w:rFonts w:ascii="Arial Narrow" w:eastAsia="Calibri" w:hAnsi="Arial Narrow" w:cs="Arial"/>
          <w:sz w:val="24"/>
          <w:szCs w:val="24"/>
        </w:rPr>
        <w:t xml:space="preserve">le </w:t>
      </w:r>
      <w:r w:rsidR="00F905E1" w:rsidRPr="007E7C5B">
        <w:rPr>
          <w:rFonts w:ascii="Arial Narrow" w:eastAsia="Calibri" w:hAnsi="Arial Narrow" w:cs="Arial"/>
          <w:sz w:val="24"/>
          <w:szCs w:val="24"/>
        </w:rPr>
        <w:t>M</w:t>
      </w:r>
      <w:r w:rsidR="00627D0D" w:rsidRPr="007E7C5B">
        <w:rPr>
          <w:rFonts w:ascii="Arial Narrow" w:eastAsia="Calibri" w:hAnsi="Arial Narrow" w:cs="Arial"/>
          <w:sz w:val="24"/>
          <w:szCs w:val="24"/>
        </w:rPr>
        <w:t>inistère</w:t>
      </w:r>
      <w:r w:rsidR="00F905E1" w:rsidRPr="007E7C5B">
        <w:rPr>
          <w:rFonts w:ascii="Arial Narrow" w:eastAsia="Calibri" w:hAnsi="Arial Narrow" w:cs="Arial"/>
          <w:sz w:val="24"/>
          <w:szCs w:val="24"/>
        </w:rPr>
        <w:t xml:space="preserve"> a</w:t>
      </w:r>
      <w:r w:rsidRPr="007E7C5B">
        <w:rPr>
          <w:rFonts w:ascii="Arial Narrow" w:eastAsia="Calibri" w:hAnsi="Arial Narrow" w:cs="Arial"/>
          <w:sz w:val="24"/>
          <w:szCs w:val="24"/>
        </w:rPr>
        <w:t xml:space="preserve"> réalisé la chirurgie de 217 cas d’hydrocèle, le renforcement des capacités des blocs opératoires de 7 hôpitaux généraux en 2022 couplé à la formation de 7 chirurgiens à la stratégie de l’OMS.</w:t>
      </w:r>
    </w:p>
    <w:p w14:paraId="0AD0085B" w14:textId="4950BAAB" w:rsidR="00B62725" w:rsidRPr="007E7C5B" w:rsidRDefault="00B62725" w:rsidP="00761F55">
      <w:pPr>
        <w:spacing w:line="276" w:lineRule="auto"/>
        <w:jc w:val="both"/>
        <w:rPr>
          <w:rFonts w:ascii="Arial Narrow" w:hAnsi="Arial Narrow" w:cs="Arial"/>
          <w:sz w:val="24"/>
          <w:szCs w:val="24"/>
        </w:rPr>
      </w:pPr>
      <w:r w:rsidRPr="00A918AC">
        <w:rPr>
          <w:rFonts w:ascii="Arial Narrow" w:eastAsia="Calibri" w:hAnsi="Arial Narrow" w:cs="Arial"/>
          <w:sz w:val="24"/>
          <w:szCs w:val="24"/>
        </w:rPr>
        <w:t>Quant au MTN-PCC</w:t>
      </w:r>
      <w:r w:rsidRPr="007E7C5B">
        <w:rPr>
          <w:rFonts w:ascii="Arial Narrow" w:eastAsia="Calibri" w:hAnsi="Arial Narrow" w:cs="Arial"/>
          <w:sz w:val="24"/>
          <w:szCs w:val="24"/>
        </w:rPr>
        <w:t xml:space="preserve">, </w:t>
      </w:r>
      <w:r w:rsidRPr="007E7C5B">
        <w:rPr>
          <w:rFonts w:ascii="Arial Narrow" w:hAnsi="Arial Narrow" w:cs="Arial"/>
          <w:sz w:val="24"/>
          <w:szCs w:val="24"/>
        </w:rPr>
        <w:t xml:space="preserve">le bilan du dépistage des cas de lèpre au niveau national sur la période 2021-2023 s’établit comme suit : 1 480 cas de lèpre dépistés </w:t>
      </w:r>
      <w:r w:rsidR="0092446C" w:rsidRPr="007E7C5B">
        <w:rPr>
          <w:rFonts w:ascii="Arial Narrow" w:hAnsi="Arial Narrow" w:cs="Arial"/>
          <w:sz w:val="24"/>
          <w:szCs w:val="24"/>
        </w:rPr>
        <w:t xml:space="preserve">contenant </w:t>
      </w:r>
      <w:r w:rsidRPr="007E7C5B">
        <w:rPr>
          <w:rFonts w:ascii="Arial Narrow" w:hAnsi="Arial Narrow" w:cs="Arial"/>
          <w:sz w:val="24"/>
          <w:szCs w:val="24"/>
        </w:rPr>
        <w:t>332 (22</w:t>
      </w:r>
      <w:r w:rsidR="00BF3D5B" w:rsidRPr="007E7C5B">
        <w:rPr>
          <w:rFonts w:ascii="Arial Narrow" w:hAnsi="Arial Narrow" w:cs="Arial"/>
          <w:sz w:val="24"/>
          <w:szCs w:val="24"/>
        </w:rPr>
        <w:t>,</w:t>
      </w:r>
      <w:r w:rsidRPr="007E7C5B">
        <w:rPr>
          <w:rFonts w:ascii="Arial Narrow" w:hAnsi="Arial Narrow" w:cs="Arial"/>
          <w:sz w:val="24"/>
          <w:szCs w:val="24"/>
        </w:rPr>
        <w:t xml:space="preserve">43%) avec infirmité de degré 2 et 122 </w:t>
      </w:r>
      <w:r w:rsidR="0093223E" w:rsidRPr="007E7C5B">
        <w:rPr>
          <w:rFonts w:ascii="Arial Narrow" w:hAnsi="Arial Narrow" w:cs="Arial"/>
          <w:sz w:val="24"/>
          <w:szCs w:val="24"/>
        </w:rPr>
        <w:t>(</w:t>
      </w:r>
      <w:r w:rsidRPr="007E7C5B">
        <w:rPr>
          <w:rFonts w:ascii="Arial Narrow" w:hAnsi="Arial Narrow" w:cs="Arial"/>
          <w:sz w:val="24"/>
          <w:szCs w:val="24"/>
        </w:rPr>
        <w:t xml:space="preserve">8,24%) enfants de 0 à 14 ans. Pour l’ulcère de </w:t>
      </w:r>
      <w:proofErr w:type="spellStart"/>
      <w:r w:rsidRPr="007E7C5B">
        <w:rPr>
          <w:rFonts w:ascii="Arial Narrow" w:hAnsi="Arial Narrow" w:cs="Arial"/>
          <w:sz w:val="24"/>
          <w:szCs w:val="24"/>
        </w:rPr>
        <w:t>Buruli</w:t>
      </w:r>
      <w:proofErr w:type="spellEnd"/>
      <w:r w:rsidRPr="007E7C5B">
        <w:rPr>
          <w:rFonts w:ascii="Arial Narrow" w:hAnsi="Arial Narrow" w:cs="Arial"/>
          <w:sz w:val="24"/>
          <w:szCs w:val="24"/>
        </w:rPr>
        <w:t xml:space="preserve">, 717 cas ont été dépistés et 279 cas du pian de la période allant de 2021 à 2023. </w:t>
      </w:r>
    </w:p>
    <w:p w14:paraId="69DD3278" w14:textId="1BB3869D" w:rsidR="00B62725" w:rsidRPr="007E7C5B" w:rsidRDefault="00B62725" w:rsidP="00761F55">
      <w:pPr>
        <w:spacing w:line="257" w:lineRule="auto"/>
        <w:jc w:val="both"/>
        <w:rPr>
          <w:rFonts w:ascii="Arial Narrow" w:eastAsia="Calibri" w:hAnsi="Arial Narrow" w:cs="Arial"/>
          <w:sz w:val="24"/>
          <w:szCs w:val="24"/>
        </w:rPr>
      </w:pPr>
      <w:r w:rsidRPr="007E7C5B">
        <w:rPr>
          <w:rFonts w:ascii="Arial Narrow" w:eastAsia="Calibri" w:hAnsi="Arial Narrow" w:cs="Arial"/>
          <w:sz w:val="24"/>
          <w:szCs w:val="24"/>
        </w:rPr>
        <w:t>La couverture thérapeutique pour la lèpre et le pian est restée constante à 100% de 202</w:t>
      </w:r>
      <w:r w:rsidR="003E630D" w:rsidRPr="007E7C5B">
        <w:rPr>
          <w:rFonts w:ascii="Arial Narrow" w:eastAsia="Calibri" w:hAnsi="Arial Narrow" w:cs="Arial"/>
          <w:sz w:val="24"/>
          <w:szCs w:val="24"/>
        </w:rPr>
        <w:t>0</w:t>
      </w:r>
      <w:r w:rsidRPr="007E7C5B">
        <w:rPr>
          <w:rFonts w:ascii="Arial Narrow" w:eastAsia="Calibri" w:hAnsi="Arial Narrow" w:cs="Arial"/>
          <w:sz w:val="24"/>
          <w:szCs w:val="24"/>
        </w:rPr>
        <w:t xml:space="preserve"> à 2023. L</w:t>
      </w:r>
      <w:r w:rsidRPr="007E7C5B">
        <w:rPr>
          <w:rFonts w:ascii="Arial Narrow" w:hAnsi="Arial Narrow" w:cs="Arial"/>
          <w:sz w:val="24"/>
          <w:szCs w:val="24"/>
        </w:rPr>
        <w:t xml:space="preserve">e taux de guérison des cas de lèpre est supérieur à 90%. </w:t>
      </w:r>
      <w:r w:rsidR="00636D3D" w:rsidRPr="007E7C5B">
        <w:rPr>
          <w:rFonts w:ascii="Arial Narrow" w:eastAsia="Calibri" w:hAnsi="Arial Narrow" w:cs="Arial"/>
          <w:sz w:val="24"/>
          <w:szCs w:val="24"/>
        </w:rPr>
        <w:t>Cependant</w:t>
      </w:r>
      <w:r w:rsidRPr="007E7C5B">
        <w:rPr>
          <w:rFonts w:ascii="Arial Narrow" w:eastAsia="Calibri" w:hAnsi="Arial Narrow" w:cs="Arial"/>
          <w:sz w:val="24"/>
          <w:szCs w:val="24"/>
        </w:rPr>
        <w:t xml:space="preserve">, la couverture thérapeutique de l’ulcère de </w:t>
      </w:r>
      <w:proofErr w:type="spellStart"/>
      <w:r w:rsidR="00C069B7" w:rsidRPr="007E7C5B">
        <w:rPr>
          <w:rFonts w:ascii="Arial Narrow" w:eastAsia="Calibri" w:hAnsi="Arial Narrow" w:cs="Arial"/>
          <w:sz w:val="24"/>
          <w:szCs w:val="24"/>
        </w:rPr>
        <w:t>B</w:t>
      </w:r>
      <w:r w:rsidRPr="007E7C5B">
        <w:rPr>
          <w:rFonts w:ascii="Arial Narrow" w:eastAsia="Calibri" w:hAnsi="Arial Narrow" w:cs="Arial"/>
          <w:sz w:val="24"/>
          <w:szCs w:val="24"/>
        </w:rPr>
        <w:t>uruli</w:t>
      </w:r>
      <w:proofErr w:type="spellEnd"/>
      <w:r w:rsidRPr="007E7C5B">
        <w:rPr>
          <w:rFonts w:ascii="Arial Narrow" w:eastAsia="Calibri" w:hAnsi="Arial Narrow" w:cs="Arial"/>
          <w:sz w:val="24"/>
          <w:szCs w:val="24"/>
        </w:rPr>
        <w:t xml:space="preserve"> a évolué en dents de scie entre 2021 (100%) et 2023 (100%) avec une baisse en 2022 (93,73%). Cette baisse s’explique par une rupture en rifampicine en 2022.</w:t>
      </w:r>
    </w:p>
    <w:p w14:paraId="1A01A279" w14:textId="513FF7CC" w:rsidR="00786CE4" w:rsidRPr="007E7C5B" w:rsidRDefault="00786CE4" w:rsidP="00761F55">
      <w:pPr>
        <w:spacing w:line="257" w:lineRule="auto"/>
        <w:jc w:val="both"/>
        <w:rPr>
          <w:rFonts w:ascii="Arial Narrow" w:eastAsia="Calibri" w:hAnsi="Arial Narrow" w:cs="Arial"/>
          <w:sz w:val="24"/>
          <w:szCs w:val="24"/>
        </w:rPr>
      </w:pPr>
      <w:r w:rsidRPr="007E7C5B">
        <w:rPr>
          <w:rFonts w:ascii="Arial Narrow" w:eastAsia="Calibri" w:hAnsi="Arial Narrow" w:cs="Arial"/>
          <w:sz w:val="24"/>
          <w:szCs w:val="24"/>
        </w:rPr>
        <w:t xml:space="preserve">Ces </w:t>
      </w:r>
      <w:r w:rsidR="009970FC" w:rsidRPr="007E7C5B">
        <w:rPr>
          <w:rFonts w:ascii="Arial Narrow" w:eastAsia="Calibri" w:hAnsi="Arial Narrow" w:cs="Arial"/>
          <w:sz w:val="24"/>
          <w:szCs w:val="24"/>
        </w:rPr>
        <w:t>résultats</w:t>
      </w:r>
      <w:r w:rsidRPr="007E7C5B">
        <w:rPr>
          <w:rFonts w:ascii="Arial Narrow" w:eastAsia="Calibri" w:hAnsi="Arial Narrow" w:cs="Arial"/>
          <w:sz w:val="24"/>
          <w:szCs w:val="24"/>
        </w:rPr>
        <w:t xml:space="preserve"> sont possibles </w:t>
      </w:r>
      <w:r w:rsidR="00C069B7" w:rsidRPr="007E7C5B">
        <w:rPr>
          <w:rFonts w:ascii="Arial Narrow" w:eastAsia="Calibri" w:hAnsi="Arial Narrow" w:cs="Arial"/>
          <w:sz w:val="24"/>
          <w:szCs w:val="24"/>
        </w:rPr>
        <w:t>grâce</w:t>
      </w:r>
      <w:r w:rsidRPr="007E7C5B">
        <w:rPr>
          <w:rFonts w:ascii="Arial Narrow" w:eastAsia="Calibri" w:hAnsi="Arial Narrow" w:cs="Arial"/>
          <w:sz w:val="24"/>
          <w:szCs w:val="24"/>
        </w:rPr>
        <w:t xml:space="preserve"> à la </w:t>
      </w:r>
      <w:r w:rsidR="00C069B7" w:rsidRPr="007E7C5B">
        <w:rPr>
          <w:rFonts w:ascii="Arial Narrow" w:eastAsia="Calibri" w:hAnsi="Arial Narrow" w:cs="Arial"/>
          <w:sz w:val="24"/>
          <w:szCs w:val="24"/>
        </w:rPr>
        <w:t>réalisation</w:t>
      </w:r>
      <w:r w:rsidRPr="007E7C5B">
        <w:rPr>
          <w:rFonts w:ascii="Arial Narrow" w:eastAsia="Calibri" w:hAnsi="Arial Narrow" w:cs="Arial"/>
          <w:sz w:val="24"/>
          <w:szCs w:val="24"/>
        </w:rPr>
        <w:t xml:space="preserve"> </w:t>
      </w:r>
      <w:r w:rsidR="00C360EF" w:rsidRPr="007E7C5B">
        <w:rPr>
          <w:rFonts w:ascii="Arial Narrow" w:eastAsia="Calibri" w:hAnsi="Arial Narrow" w:cs="Arial"/>
          <w:sz w:val="24"/>
          <w:szCs w:val="24"/>
        </w:rPr>
        <w:t>d’</w:t>
      </w:r>
      <w:r w:rsidRPr="007E7C5B">
        <w:rPr>
          <w:rFonts w:ascii="Arial Narrow" w:eastAsia="Calibri" w:hAnsi="Arial Narrow" w:cs="Arial"/>
          <w:sz w:val="24"/>
          <w:szCs w:val="24"/>
        </w:rPr>
        <w:t>interventions</w:t>
      </w:r>
      <w:r w:rsidR="00C360EF" w:rsidRPr="007E7C5B">
        <w:rPr>
          <w:rFonts w:ascii="Arial Narrow" w:eastAsia="Calibri" w:hAnsi="Arial Narrow" w:cs="Arial"/>
          <w:sz w:val="24"/>
          <w:szCs w:val="24"/>
        </w:rPr>
        <w:t xml:space="preserve"> dans plusieurs domaines</w:t>
      </w:r>
      <w:r w:rsidR="006022D4" w:rsidRPr="007E7C5B">
        <w:rPr>
          <w:rFonts w:ascii="Arial Narrow" w:eastAsia="Calibri" w:hAnsi="Arial Narrow" w:cs="Arial"/>
          <w:sz w:val="24"/>
          <w:szCs w:val="24"/>
        </w:rPr>
        <w:t>.</w:t>
      </w:r>
      <w:r w:rsidR="0099219C" w:rsidRPr="007E7C5B">
        <w:rPr>
          <w:rFonts w:ascii="Arial Narrow" w:eastAsia="Calibri" w:hAnsi="Arial Narrow" w:cs="Arial"/>
          <w:sz w:val="24"/>
          <w:szCs w:val="24"/>
        </w:rPr>
        <w:t xml:space="preserve"> </w:t>
      </w:r>
    </w:p>
    <w:p w14:paraId="34C92493" w14:textId="2FD1DA20" w:rsidR="006879DC" w:rsidRPr="007E7C5B" w:rsidRDefault="006879DC" w:rsidP="006879DC">
      <w:pPr>
        <w:spacing w:line="257" w:lineRule="auto"/>
        <w:jc w:val="both"/>
        <w:rPr>
          <w:rFonts w:ascii="Arial Narrow" w:eastAsia="Calibri" w:hAnsi="Arial Narrow" w:cs="Arial"/>
          <w:sz w:val="24"/>
          <w:szCs w:val="24"/>
        </w:rPr>
      </w:pPr>
      <w:r w:rsidRPr="007E7C5B">
        <w:rPr>
          <w:rFonts w:ascii="Arial Narrow" w:eastAsia="Calibri" w:hAnsi="Arial Narrow" w:cs="Arial"/>
          <w:b/>
          <w:bCs/>
          <w:i/>
          <w:iCs/>
          <w:sz w:val="24"/>
          <w:szCs w:val="24"/>
        </w:rPr>
        <w:t>Pour la coordination de la lutte contre les MTN</w:t>
      </w:r>
      <w:r w:rsidRPr="007E7C5B">
        <w:rPr>
          <w:rFonts w:ascii="Arial Narrow" w:eastAsia="Calibri" w:hAnsi="Arial Narrow" w:cs="Arial"/>
          <w:sz w:val="24"/>
          <w:szCs w:val="24"/>
        </w:rPr>
        <w:t xml:space="preserve">, </w:t>
      </w:r>
      <w:r w:rsidR="0057154B">
        <w:rPr>
          <w:rFonts w:ascii="Arial Narrow" w:eastAsia="Calibri" w:hAnsi="Arial Narrow" w:cs="Arial"/>
          <w:sz w:val="24"/>
          <w:szCs w:val="24"/>
        </w:rPr>
        <w:t xml:space="preserve">des </w:t>
      </w:r>
      <w:r w:rsidRPr="007E7C5B">
        <w:rPr>
          <w:rFonts w:ascii="Arial Narrow" w:eastAsia="Calibri" w:hAnsi="Arial Narrow" w:cs="Arial"/>
          <w:sz w:val="24"/>
          <w:szCs w:val="24"/>
        </w:rPr>
        <w:t>documents normatifs sous-sectoriels santé ont été élaborés. Il s’agit entre autres de la feuille de route 2021-2030 de lutte contre la lèpre, du plan directeur 2021-2025 de lutte contre les MTN, du plan de travail pluriannuel 2023-2025 de lutte contre les MTN-MC, du plan stratégique 2021-2023 de prise en charge des morbidités et de prévention des incapacités liées aux MTNCP et du plan de durabilité 2021-2023.</w:t>
      </w:r>
    </w:p>
    <w:p w14:paraId="65E61443" w14:textId="4F9AF241" w:rsidR="00B62725" w:rsidRPr="007E7C5B" w:rsidRDefault="00B62725" w:rsidP="00761F55">
      <w:pPr>
        <w:spacing w:line="257" w:lineRule="auto"/>
        <w:jc w:val="both"/>
        <w:rPr>
          <w:rFonts w:ascii="Arial Narrow" w:eastAsia="Calibri" w:hAnsi="Arial Narrow" w:cs="Arial"/>
          <w:sz w:val="24"/>
          <w:szCs w:val="24"/>
        </w:rPr>
      </w:pPr>
      <w:r w:rsidRPr="00A918AC">
        <w:rPr>
          <w:rFonts w:ascii="Arial Narrow" w:eastAsia="Calibri" w:hAnsi="Arial Narrow" w:cs="Arial"/>
          <w:b/>
          <w:i/>
          <w:sz w:val="24"/>
          <w:szCs w:val="24"/>
        </w:rPr>
        <w:t>Sur la question de la</w:t>
      </w:r>
      <w:r w:rsidRPr="007E7C5B">
        <w:rPr>
          <w:rFonts w:ascii="Arial Narrow" w:eastAsia="Calibri" w:hAnsi="Arial Narrow" w:cs="Arial"/>
          <w:b/>
          <w:bCs/>
          <w:i/>
          <w:iCs/>
          <w:sz w:val="24"/>
          <w:szCs w:val="24"/>
        </w:rPr>
        <w:t xml:space="preserve"> </w:t>
      </w:r>
      <w:r w:rsidRPr="00A918AC">
        <w:rPr>
          <w:rFonts w:ascii="Arial Narrow" w:eastAsia="Calibri" w:hAnsi="Arial Narrow" w:cs="Arial"/>
          <w:b/>
          <w:i/>
          <w:sz w:val="24"/>
          <w:szCs w:val="24"/>
        </w:rPr>
        <w:t>construction et réhabilitation de structures spécialisées dans la prise en charge des MTN</w:t>
      </w:r>
      <w:r w:rsidRPr="00A918AC">
        <w:rPr>
          <w:rFonts w:ascii="Arial Narrow" w:eastAsia="Calibri" w:hAnsi="Arial Narrow" w:cs="Arial"/>
          <w:sz w:val="24"/>
          <w:szCs w:val="24"/>
        </w:rPr>
        <w:t xml:space="preserve">, l’on note </w:t>
      </w:r>
      <w:r w:rsidR="00F45DDF" w:rsidRPr="007E7C5B">
        <w:rPr>
          <w:rFonts w:ascii="Arial Narrow" w:eastAsia="Calibri" w:hAnsi="Arial Narrow" w:cs="Arial"/>
          <w:sz w:val="24"/>
          <w:szCs w:val="24"/>
        </w:rPr>
        <w:t xml:space="preserve">i) </w:t>
      </w:r>
      <w:r w:rsidRPr="00A918AC">
        <w:rPr>
          <w:rFonts w:ascii="Arial Narrow" w:eastAsia="Calibri" w:hAnsi="Arial Narrow" w:cs="Arial"/>
          <w:sz w:val="24"/>
          <w:szCs w:val="24"/>
        </w:rPr>
        <w:t>la c</w:t>
      </w:r>
      <w:r w:rsidRPr="007E7C5B">
        <w:rPr>
          <w:rFonts w:ascii="Arial Narrow" w:eastAsia="Calibri" w:hAnsi="Arial Narrow" w:cs="Arial"/>
          <w:sz w:val="24"/>
          <w:szCs w:val="24"/>
        </w:rPr>
        <w:t xml:space="preserve">onstruction et l’équipement des centres d’orientation et de référence (COR) au sein de l’Hôpital Général de </w:t>
      </w:r>
      <w:proofErr w:type="spellStart"/>
      <w:r w:rsidRPr="007E7C5B">
        <w:rPr>
          <w:rFonts w:ascii="Arial Narrow" w:eastAsia="Calibri" w:hAnsi="Arial Narrow" w:cs="Arial"/>
          <w:sz w:val="24"/>
          <w:szCs w:val="24"/>
        </w:rPr>
        <w:t>Zouan-Hounien</w:t>
      </w:r>
      <w:proofErr w:type="spellEnd"/>
      <w:r w:rsidRPr="007E7C5B" w:rsidDel="00244225">
        <w:rPr>
          <w:rFonts w:ascii="Arial Narrow" w:eastAsia="Calibri" w:hAnsi="Arial Narrow" w:cs="Arial"/>
          <w:sz w:val="24"/>
          <w:szCs w:val="24"/>
        </w:rPr>
        <w:t xml:space="preserve"> </w:t>
      </w:r>
      <w:r w:rsidRPr="007E7C5B">
        <w:rPr>
          <w:rFonts w:ascii="Arial Narrow" w:eastAsia="Calibri" w:hAnsi="Arial Narrow" w:cs="Arial"/>
          <w:sz w:val="24"/>
          <w:szCs w:val="24"/>
        </w:rPr>
        <w:t xml:space="preserve">et </w:t>
      </w:r>
      <w:r w:rsidR="00CB0939" w:rsidRPr="007E7C5B">
        <w:rPr>
          <w:rFonts w:ascii="Arial Narrow" w:eastAsia="Calibri" w:hAnsi="Arial Narrow" w:cs="Arial"/>
          <w:sz w:val="24"/>
          <w:szCs w:val="24"/>
        </w:rPr>
        <w:t xml:space="preserve">du </w:t>
      </w:r>
      <w:r w:rsidRPr="007E7C5B">
        <w:rPr>
          <w:rFonts w:ascii="Arial Narrow" w:eastAsia="Calibri" w:hAnsi="Arial Narrow" w:cs="Arial"/>
          <w:sz w:val="24"/>
          <w:szCs w:val="24"/>
        </w:rPr>
        <w:t>pavillon de prise en charge des MTN à San Pedro</w:t>
      </w:r>
      <w:r w:rsidR="009670A0" w:rsidRPr="007E7C5B">
        <w:rPr>
          <w:rFonts w:ascii="Arial Narrow" w:eastAsia="Calibri" w:hAnsi="Arial Narrow" w:cs="Arial"/>
          <w:sz w:val="24"/>
          <w:szCs w:val="24"/>
        </w:rPr>
        <w:t> ;</w:t>
      </w:r>
      <w:r w:rsidR="009F2A8D" w:rsidRPr="007E7C5B">
        <w:rPr>
          <w:rFonts w:ascii="Arial Narrow" w:eastAsia="Calibri" w:hAnsi="Arial Narrow" w:cs="Arial"/>
          <w:sz w:val="24"/>
          <w:szCs w:val="24"/>
        </w:rPr>
        <w:t xml:space="preserve"> ii)</w:t>
      </w:r>
      <w:r w:rsidRPr="007E7C5B">
        <w:rPr>
          <w:rFonts w:ascii="Arial Narrow" w:eastAsia="Calibri" w:hAnsi="Arial Narrow" w:cs="Arial"/>
          <w:sz w:val="24"/>
          <w:szCs w:val="24"/>
        </w:rPr>
        <w:t xml:space="preserve"> la réhabilitation et l’équipement d’un bâtiment</w:t>
      </w:r>
      <w:r w:rsidR="00FA1CD5" w:rsidRPr="007E7C5B">
        <w:rPr>
          <w:rFonts w:ascii="Arial Narrow" w:eastAsia="Calibri" w:hAnsi="Arial Narrow" w:cs="Arial"/>
          <w:sz w:val="24"/>
          <w:szCs w:val="24"/>
        </w:rPr>
        <w:t xml:space="preserve"> </w:t>
      </w:r>
      <w:r w:rsidR="002C1B73" w:rsidRPr="007E7C5B">
        <w:rPr>
          <w:rFonts w:ascii="Arial Narrow" w:eastAsia="Calibri" w:hAnsi="Arial Narrow" w:cs="Arial"/>
          <w:sz w:val="24"/>
          <w:szCs w:val="24"/>
        </w:rPr>
        <w:t xml:space="preserve">de l’IRFCI </w:t>
      </w:r>
      <w:r w:rsidR="00CF048E" w:rsidRPr="007E7C5B">
        <w:rPr>
          <w:rFonts w:ascii="Arial Narrow" w:eastAsia="Calibri" w:hAnsi="Arial Narrow" w:cs="Arial"/>
          <w:sz w:val="24"/>
          <w:szCs w:val="24"/>
        </w:rPr>
        <w:t>(</w:t>
      </w:r>
      <w:r w:rsidR="002C1B73" w:rsidRPr="007E7C5B">
        <w:rPr>
          <w:rFonts w:ascii="Arial Narrow" w:eastAsia="Calibri" w:hAnsi="Arial Narrow" w:cs="Arial"/>
          <w:sz w:val="24"/>
          <w:szCs w:val="24"/>
        </w:rPr>
        <w:t xml:space="preserve">antenne </w:t>
      </w:r>
      <w:proofErr w:type="spellStart"/>
      <w:r w:rsidR="002C1B73" w:rsidRPr="007E7C5B">
        <w:rPr>
          <w:rFonts w:ascii="Arial Narrow" w:eastAsia="Calibri" w:hAnsi="Arial Narrow" w:cs="Arial"/>
          <w:sz w:val="24"/>
          <w:szCs w:val="24"/>
        </w:rPr>
        <w:t>Manikro</w:t>
      </w:r>
      <w:proofErr w:type="spellEnd"/>
      <w:r w:rsidR="002C1B73" w:rsidRPr="007E7C5B">
        <w:rPr>
          <w:rFonts w:ascii="Arial Narrow" w:eastAsia="Calibri" w:hAnsi="Arial Narrow" w:cs="Arial"/>
          <w:sz w:val="24"/>
          <w:szCs w:val="24"/>
        </w:rPr>
        <w:t>)</w:t>
      </w:r>
      <w:r w:rsidRPr="007E7C5B" w:rsidDel="002C1B73">
        <w:rPr>
          <w:rFonts w:ascii="Arial Narrow" w:eastAsia="Calibri" w:hAnsi="Arial Narrow" w:cs="Arial"/>
          <w:sz w:val="24"/>
          <w:szCs w:val="24"/>
        </w:rPr>
        <w:t xml:space="preserve"> </w:t>
      </w:r>
      <w:r w:rsidR="009670A0" w:rsidRPr="007E7C5B">
        <w:rPr>
          <w:rFonts w:ascii="Arial Narrow" w:eastAsia="Calibri" w:hAnsi="Arial Narrow" w:cs="Arial"/>
          <w:sz w:val="24"/>
          <w:szCs w:val="24"/>
        </w:rPr>
        <w:t>et</w:t>
      </w:r>
      <w:r w:rsidR="00A66237" w:rsidRPr="007E7C5B">
        <w:rPr>
          <w:rFonts w:ascii="Arial Narrow" w:eastAsia="Calibri" w:hAnsi="Arial Narrow" w:cs="Arial"/>
          <w:sz w:val="24"/>
          <w:szCs w:val="24"/>
        </w:rPr>
        <w:t xml:space="preserve"> i</w:t>
      </w:r>
      <w:r w:rsidR="009670A0" w:rsidRPr="007E7C5B">
        <w:rPr>
          <w:rFonts w:ascii="Arial Narrow" w:eastAsia="Calibri" w:hAnsi="Arial Narrow" w:cs="Arial"/>
          <w:sz w:val="24"/>
          <w:szCs w:val="24"/>
        </w:rPr>
        <w:t>ii</w:t>
      </w:r>
      <w:r w:rsidR="00A66237" w:rsidRPr="007E7C5B">
        <w:rPr>
          <w:rFonts w:ascii="Arial Narrow" w:eastAsia="Calibri" w:hAnsi="Arial Narrow" w:cs="Arial"/>
          <w:sz w:val="24"/>
          <w:szCs w:val="24"/>
        </w:rPr>
        <w:t xml:space="preserve">) la construction </w:t>
      </w:r>
      <w:r w:rsidR="007D448B" w:rsidRPr="007E7C5B">
        <w:rPr>
          <w:rFonts w:ascii="Arial Narrow" w:eastAsia="Calibri" w:hAnsi="Arial Narrow" w:cs="Arial"/>
          <w:sz w:val="24"/>
          <w:szCs w:val="24"/>
        </w:rPr>
        <w:t>d’</w:t>
      </w:r>
      <w:r w:rsidRPr="007E7C5B">
        <w:rPr>
          <w:rFonts w:ascii="Arial Narrow" w:eastAsia="Calibri" w:hAnsi="Arial Narrow" w:cs="Arial"/>
          <w:sz w:val="24"/>
          <w:szCs w:val="24"/>
        </w:rPr>
        <w:t xml:space="preserve">un château d’eau et de latrines à </w:t>
      </w:r>
      <w:proofErr w:type="spellStart"/>
      <w:r w:rsidR="002A26F6" w:rsidRPr="007E7C5B">
        <w:rPr>
          <w:rFonts w:ascii="Arial Narrow" w:eastAsia="Calibri" w:hAnsi="Arial Narrow" w:cs="Arial"/>
          <w:sz w:val="24"/>
          <w:szCs w:val="24"/>
        </w:rPr>
        <w:t>Ottewa</w:t>
      </w:r>
      <w:proofErr w:type="spellEnd"/>
      <w:r w:rsidR="002A26F6" w:rsidRPr="007E7C5B">
        <w:rPr>
          <w:rFonts w:ascii="Arial Narrow" w:eastAsia="Calibri" w:hAnsi="Arial Narrow" w:cs="Arial"/>
          <w:sz w:val="24"/>
          <w:szCs w:val="24"/>
        </w:rPr>
        <w:t xml:space="preserve"> </w:t>
      </w:r>
      <w:r w:rsidRPr="007E7C5B">
        <w:rPr>
          <w:rFonts w:ascii="Arial Narrow" w:eastAsia="Calibri" w:hAnsi="Arial Narrow" w:cs="Arial"/>
          <w:sz w:val="24"/>
          <w:szCs w:val="24"/>
        </w:rPr>
        <w:t>(DS Gagnoa).</w:t>
      </w:r>
    </w:p>
    <w:p w14:paraId="46A4330B" w14:textId="7D48ABA2" w:rsidR="00B62725" w:rsidRPr="007E7C5B" w:rsidRDefault="00B62725" w:rsidP="00761F55">
      <w:pPr>
        <w:spacing w:line="257" w:lineRule="auto"/>
        <w:jc w:val="both"/>
        <w:rPr>
          <w:rFonts w:ascii="Arial Narrow" w:eastAsia="Calibri" w:hAnsi="Arial Narrow" w:cs="Arial"/>
          <w:sz w:val="24"/>
          <w:szCs w:val="24"/>
        </w:rPr>
      </w:pPr>
      <w:r w:rsidRPr="00A918AC">
        <w:rPr>
          <w:rFonts w:ascii="Arial Narrow" w:eastAsia="Calibri" w:hAnsi="Arial Narrow" w:cs="Arial"/>
          <w:b/>
          <w:i/>
          <w:sz w:val="24"/>
          <w:szCs w:val="24"/>
        </w:rPr>
        <w:t>En ce qui concerne l’approvisionnement</w:t>
      </w:r>
      <w:r w:rsidRPr="007E7C5B">
        <w:rPr>
          <w:rFonts w:ascii="Arial Narrow" w:eastAsia="Calibri" w:hAnsi="Arial Narrow" w:cs="Arial"/>
          <w:sz w:val="24"/>
          <w:szCs w:val="24"/>
        </w:rPr>
        <w:t xml:space="preserve">, </w:t>
      </w:r>
      <w:r w:rsidR="004C5E45" w:rsidRPr="007E7C5B">
        <w:rPr>
          <w:rFonts w:ascii="Arial Narrow" w:eastAsia="Calibri" w:hAnsi="Arial Narrow" w:cs="Arial"/>
          <w:sz w:val="24"/>
          <w:szCs w:val="24"/>
        </w:rPr>
        <w:t xml:space="preserve">89 </w:t>
      </w:r>
      <w:r w:rsidRPr="007E7C5B">
        <w:rPr>
          <w:rFonts w:ascii="Arial Narrow" w:eastAsia="Calibri" w:hAnsi="Arial Narrow" w:cs="Arial"/>
          <w:sz w:val="24"/>
          <w:szCs w:val="24"/>
        </w:rPr>
        <w:t xml:space="preserve">districts sanitaires </w:t>
      </w:r>
      <w:r w:rsidR="00831945" w:rsidRPr="007E7C5B">
        <w:rPr>
          <w:rFonts w:ascii="Arial Narrow" w:eastAsia="Calibri" w:hAnsi="Arial Narrow" w:cs="Arial"/>
          <w:sz w:val="24"/>
          <w:szCs w:val="24"/>
        </w:rPr>
        <w:t xml:space="preserve">ont été dotés en </w:t>
      </w:r>
      <w:r w:rsidRPr="007E7C5B">
        <w:rPr>
          <w:rFonts w:ascii="Arial Narrow" w:eastAsia="Calibri" w:hAnsi="Arial Narrow" w:cs="Arial"/>
          <w:sz w:val="24"/>
          <w:szCs w:val="24"/>
        </w:rPr>
        <w:t xml:space="preserve">Poly-Chimio-Thérapie (PCT) pour la prise en charge de tous les nouveaux cas dépistés (1 480), </w:t>
      </w:r>
      <w:r w:rsidR="00971CCE" w:rsidRPr="007E7C5B">
        <w:rPr>
          <w:rFonts w:ascii="Arial Narrow" w:eastAsia="Calibri" w:hAnsi="Arial Narrow" w:cs="Arial"/>
          <w:sz w:val="24"/>
          <w:szCs w:val="24"/>
        </w:rPr>
        <w:t>et</w:t>
      </w:r>
      <w:r w:rsidRPr="007E7C5B">
        <w:rPr>
          <w:rFonts w:ascii="Arial Narrow" w:eastAsia="Calibri" w:hAnsi="Arial Narrow" w:cs="Arial"/>
          <w:sz w:val="24"/>
          <w:szCs w:val="24"/>
        </w:rPr>
        <w:t xml:space="preserve"> cinq (05) centres de référence en médicaments non spécifiques.</w:t>
      </w:r>
    </w:p>
    <w:p w14:paraId="24470BA2" w14:textId="4C9CE7E4" w:rsidR="00B62725" w:rsidRPr="007E7C5B" w:rsidRDefault="00B62725" w:rsidP="00761F55">
      <w:pPr>
        <w:spacing w:line="257" w:lineRule="auto"/>
        <w:jc w:val="both"/>
        <w:rPr>
          <w:rFonts w:ascii="Arial Narrow" w:eastAsia="Calibri" w:hAnsi="Arial Narrow" w:cs="Arial"/>
          <w:sz w:val="24"/>
          <w:szCs w:val="24"/>
        </w:rPr>
      </w:pPr>
      <w:r w:rsidRPr="00A918AC">
        <w:rPr>
          <w:rFonts w:ascii="Arial Narrow" w:eastAsia="Calibri" w:hAnsi="Arial Narrow" w:cs="Arial"/>
          <w:b/>
          <w:i/>
          <w:sz w:val="24"/>
          <w:szCs w:val="24"/>
        </w:rPr>
        <w:t>Pour ce qui est du renforcement des capacités des acteurs</w:t>
      </w:r>
      <w:r w:rsidRPr="007E7C5B">
        <w:rPr>
          <w:rFonts w:ascii="Arial Narrow" w:eastAsia="Calibri" w:hAnsi="Arial Narrow" w:cs="Arial"/>
          <w:b/>
          <w:bCs/>
          <w:sz w:val="24"/>
          <w:szCs w:val="24"/>
        </w:rPr>
        <w:t>,</w:t>
      </w:r>
      <w:r w:rsidRPr="007E7C5B">
        <w:rPr>
          <w:rFonts w:ascii="Arial Narrow" w:eastAsia="Calibri" w:hAnsi="Arial Narrow" w:cs="Arial"/>
          <w:b/>
          <w:sz w:val="24"/>
          <w:szCs w:val="24"/>
        </w:rPr>
        <w:t xml:space="preserve"> </w:t>
      </w:r>
      <w:r w:rsidRPr="007E7C5B">
        <w:rPr>
          <w:rFonts w:ascii="Arial Narrow" w:eastAsia="Calibri" w:hAnsi="Arial Narrow" w:cs="Arial"/>
          <w:sz w:val="24"/>
          <w:szCs w:val="24"/>
        </w:rPr>
        <w:t>le</w:t>
      </w:r>
      <w:r w:rsidRPr="007E7C5B" w:rsidDel="009F0A90">
        <w:rPr>
          <w:rFonts w:ascii="Arial Narrow" w:eastAsia="Calibri" w:hAnsi="Arial Narrow" w:cs="Arial"/>
          <w:sz w:val="24"/>
          <w:szCs w:val="24"/>
        </w:rPr>
        <w:t xml:space="preserve"> </w:t>
      </w:r>
      <w:r w:rsidRPr="007E7C5B">
        <w:rPr>
          <w:rFonts w:ascii="Arial Narrow" w:eastAsia="Calibri" w:hAnsi="Arial Narrow" w:cs="Arial"/>
          <w:sz w:val="24"/>
          <w:szCs w:val="24"/>
        </w:rPr>
        <w:t>projet d'intégration des modules MTN dans le curricula de formation de l'INFAS est en cours de mise en œuvre. Ainsi, en collaboration avec l’INFAS</w:t>
      </w:r>
      <w:r w:rsidR="0018474B" w:rsidRPr="007E7C5B">
        <w:rPr>
          <w:rFonts w:ascii="Arial Narrow" w:eastAsia="Calibri" w:hAnsi="Arial Narrow" w:cs="Arial"/>
          <w:sz w:val="24"/>
          <w:szCs w:val="24"/>
        </w:rPr>
        <w:t>,</w:t>
      </w:r>
      <w:r w:rsidRPr="007E7C5B">
        <w:rPr>
          <w:rFonts w:ascii="Arial Narrow" w:eastAsia="Calibri" w:hAnsi="Arial Narrow" w:cs="Arial"/>
          <w:sz w:val="24"/>
          <w:szCs w:val="24"/>
        </w:rPr>
        <w:t xml:space="preserve"> 39 modules de formation sur 12 MTN ont été élaborés en 2023. Aussi, il convient de noter que 50 </w:t>
      </w:r>
      <w:r w:rsidR="00EE4582">
        <w:rPr>
          <w:rFonts w:ascii="Arial Narrow" w:eastAsia="Calibri" w:hAnsi="Arial Narrow" w:cs="Arial"/>
          <w:sz w:val="24"/>
          <w:szCs w:val="24"/>
        </w:rPr>
        <w:t>a</w:t>
      </w:r>
      <w:r w:rsidRPr="007E7C5B">
        <w:rPr>
          <w:rFonts w:ascii="Arial Narrow" w:eastAsia="Calibri" w:hAnsi="Arial Narrow" w:cs="Arial"/>
          <w:sz w:val="24"/>
          <w:szCs w:val="24"/>
        </w:rPr>
        <w:t xml:space="preserve">gents de santé et médecins ont été formés à la télédermatologie dans le cadre </w:t>
      </w:r>
      <w:r w:rsidRPr="00DE0C04">
        <w:rPr>
          <w:rFonts w:ascii="Arial Narrow" w:eastAsia="Calibri" w:hAnsi="Arial Narrow" w:cs="Arial"/>
          <w:sz w:val="24"/>
          <w:szCs w:val="24"/>
        </w:rPr>
        <w:t xml:space="preserve">du projet </w:t>
      </w:r>
      <w:r w:rsidRPr="007E7C5B">
        <w:rPr>
          <w:rFonts w:ascii="Arial Narrow" w:eastAsia="Calibri" w:hAnsi="Arial Narrow" w:cs="Arial"/>
          <w:sz w:val="24"/>
          <w:szCs w:val="24"/>
        </w:rPr>
        <w:t xml:space="preserve">pilote dans 5 districts sanitaires </w:t>
      </w:r>
      <w:r w:rsidR="00CD134D" w:rsidRPr="007E7C5B">
        <w:rPr>
          <w:rFonts w:ascii="Arial Narrow" w:eastAsia="Calibri" w:hAnsi="Arial Narrow" w:cs="Arial"/>
          <w:sz w:val="24"/>
          <w:szCs w:val="24"/>
        </w:rPr>
        <w:t xml:space="preserve">de 2022 à 2023 </w:t>
      </w:r>
      <w:r w:rsidRPr="007E7C5B">
        <w:rPr>
          <w:rFonts w:ascii="Arial Narrow" w:eastAsia="Calibri" w:hAnsi="Arial Narrow" w:cs="Arial"/>
          <w:sz w:val="24"/>
          <w:szCs w:val="24"/>
        </w:rPr>
        <w:t xml:space="preserve">(Bouaflé, </w:t>
      </w:r>
      <w:proofErr w:type="spellStart"/>
      <w:r w:rsidRPr="007E7C5B">
        <w:rPr>
          <w:rFonts w:ascii="Arial Narrow" w:eastAsia="Calibri" w:hAnsi="Arial Narrow" w:cs="Arial"/>
          <w:sz w:val="24"/>
          <w:szCs w:val="24"/>
        </w:rPr>
        <w:t>Sinfra</w:t>
      </w:r>
      <w:proofErr w:type="spellEnd"/>
      <w:r w:rsidRPr="007E7C5B">
        <w:rPr>
          <w:rFonts w:ascii="Arial Narrow" w:eastAsia="Calibri" w:hAnsi="Arial Narrow" w:cs="Arial"/>
          <w:sz w:val="24"/>
          <w:szCs w:val="24"/>
        </w:rPr>
        <w:t>, Yopougon Ouest, Yopougon Est, Cocody Bingerville).</w:t>
      </w:r>
      <w:r w:rsidR="00E33227">
        <w:rPr>
          <w:rFonts w:ascii="Arial Narrow" w:eastAsia="Calibri" w:hAnsi="Arial Narrow" w:cs="Arial"/>
          <w:sz w:val="24"/>
          <w:szCs w:val="24"/>
        </w:rPr>
        <w:t xml:space="preserve"> </w:t>
      </w:r>
      <w:r w:rsidRPr="007E7C5B">
        <w:rPr>
          <w:rFonts w:ascii="Arial Narrow" w:eastAsia="Calibri" w:hAnsi="Arial Narrow" w:cs="Arial"/>
          <w:sz w:val="24"/>
          <w:szCs w:val="24"/>
        </w:rPr>
        <w:t xml:space="preserve">Pour la recherche active des cas des MTN (ulcère de </w:t>
      </w:r>
      <w:proofErr w:type="spellStart"/>
      <w:r w:rsidRPr="007E7C5B">
        <w:rPr>
          <w:rFonts w:ascii="Arial Narrow" w:eastAsia="Calibri" w:hAnsi="Arial Narrow" w:cs="Arial"/>
          <w:sz w:val="24"/>
          <w:szCs w:val="24"/>
        </w:rPr>
        <w:t>Buruli</w:t>
      </w:r>
      <w:proofErr w:type="spellEnd"/>
      <w:r w:rsidRPr="007E7C5B">
        <w:rPr>
          <w:rFonts w:ascii="Arial Narrow" w:eastAsia="Calibri" w:hAnsi="Arial Narrow" w:cs="Arial"/>
          <w:sz w:val="24"/>
          <w:szCs w:val="24"/>
        </w:rPr>
        <w:t>, trypanosomiase humaine africaine, lèpre, leishmaniose, pian</w:t>
      </w:r>
      <w:r w:rsidR="003650CB" w:rsidRPr="007E7C5B">
        <w:rPr>
          <w:rFonts w:ascii="Arial Narrow" w:eastAsia="Calibri" w:hAnsi="Arial Narrow" w:cs="Arial"/>
          <w:sz w:val="24"/>
          <w:szCs w:val="24"/>
        </w:rPr>
        <w:t>) et</w:t>
      </w:r>
      <w:r w:rsidRPr="007E7C5B">
        <w:rPr>
          <w:rFonts w:ascii="Arial Narrow" w:eastAsia="Calibri" w:hAnsi="Arial Narrow" w:cs="Arial"/>
          <w:sz w:val="24"/>
          <w:szCs w:val="24"/>
        </w:rPr>
        <w:t xml:space="preserve"> des complications de la filariose lymphatique et du trachome dans les districts </w:t>
      </w:r>
      <w:r w:rsidRPr="007E7C5B" w:rsidDel="003650CB">
        <w:rPr>
          <w:rFonts w:ascii="Arial Narrow" w:eastAsia="Calibri" w:hAnsi="Arial Narrow" w:cs="Arial"/>
          <w:sz w:val="24"/>
          <w:szCs w:val="24"/>
        </w:rPr>
        <w:t>C</w:t>
      </w:r>
      <w:r w:rsidRPr="007E7C5B" w:rsidDel="00F604F3">
        <w:rPr>
          <w:rFonts w:ascii="Arial Narrow" w:eastAsia="Calibri" w:hAnsi="Arial Narrow" w:cs="Arial"/>
          <w:sz w:val="24"/>
          <w:szCs w:val="24"/>
        </w:rPr>
        <w:t>o</w:t>
      </w:r>
      <w:r w:rsidRPr="007E7C5B" w:rsidDel="00DF0A60">
        <w:rPr>
          <w:rFonts w:ascii="Arial Narrow" w:eastAsia="Calibri" w:hAnsi="Arial Narrow" w:cs="Arial"/>
          <w:sz w:val="24"/>
          <w:szCs w:val="24"/>
        </w:rPr>
        <w:t xml:space="preserve"> </w:t>
      </w:r>
      <w:r w:rsidRPr="007E7C5B" w:rsidDel="00F604F3">
        <w:rPr>
          <w:rFonts w:ascii="Arial Narrow" w:eastAsia="Calibri" w:hAnsi="Arial Narrow" w:cs="Arial"/>
          <w:sz w:val="24"/>
          <w:szCs w:val="24"/>
        </w:rPr>
        <w:t>endémiques</w:t>
      </w:r>
      <w:r w:rsidRPr="007E7C5B">
        <w:rPr>
          <w:rFonts w:ascii="Arial Narrow" w:eastAsia="Calibri" w:hAnsi="Arial Narrow" w:cs="Arial"/>
          <w:sz w:val="24"/>
          <w:szCs w:val="24"/>
        </w:rPr>
        <w:t xml:space="preserve"> à ces MTN</w:t>
      </w:r>
      <w:r w:rsidR="003650CB" w:rsidRPr="007E7C5B">
        <w:rPr>
          <w:rFonts w:ascii="Arial Narrow" w:eastAsia="Calibri" w:hAnsi="Arial Narrow" w:cs="Arial"/>
          <w:sz w:val="24"/>
          <w:szCs w:val="24"/>
        </w:rPr>
        <w:t>,</w:t>
      </w:r>
      <w:r w:rsidRPr="007E7C5B">
        <w:rPr>
          <w:rFonts w:ascii="Arial Narrow" w:eastAsia="Calibri" w:hAnsi="Arial Narrow" w:cs="Arial"/>
          <w:sz w:val="24"/>
          <w:szCs w:val="24"/>
        </w:rPr>
        <w:t xml:space="preserve"> 178 IDE/SFDE ont été formés dans 3 districts sanitaires (Gagnoa en 2023, Soubré </w:t>
      </w:r>
      <w:r w:rsidR="00BE1B85" w:rsidRPr="007E7C5B">
        <w:rPr>
          <w:rFonts w:ascii="Arial Narrow" w:eastAsia="Calibri" w:hAnsi="Arial Narrow" w:cs="Arial"/>
          <w:sz w:val="24"/>
          <w:szCs w:val="24"/>
        </w:rPr>
        <w:t xml:space="preserve">et Daloa </w:t>
      </w:r>
      <w:r w:rsidRPr="007E7C5B" w:rsidDel="00BE1B85">
        <w:rPr>
          <w:rFonts w:ascii="Arial Narrow" w:eastAsia="Calibri" w:hAnsi="Arial Narrow" w:cs="Arial"/>
          <w:sz w:val="24"/>
          <w:szCs w:val="24"/>
        </w:rPr>
        <w:t>en 2024</w:t>
      </w:r>
      <w:r w:rsidRPr="007E7C5B">
        <w:rPr>
          <w:rFonts w:ascii="Arial Narrow" w:eastAsia="Calibri" w:hAnsi="Arial Narrow" w:cs="Arial"/>
          <w:sz w:val="24"/>
          <w:szCs w:val="24"/>
        </w:rPr>
        <w:t xml:space="preserve">). De plus, 16 formateurs de l’INFAS et 18 encadreurs de stage pratique des étudiants spécialistes ont vu leur compétence renforcée sur les MTN </w:t>
      </w:r>
      <w:r w:rsidR="00B56BE7" w:rsidRPr="007E7C5B">
        <w:rPr>
          <w:rFonts w:ascii="Arial Narrow" w:eastAsia="Calibri" w:hAnsi="Arial Narrow" w:cs="Arial"/>
          <w:sz w:val="24"/>
          <w:szCs w:val="24"/>
        </w:rPr>
        <w:t xml:space="preserve">en </w:t>
      </w:r>
      <w:r w:rsidRPr="007E7C5B">
        <w:rPr>
          <w:rFonts w:ascii="Arial Narrow" w:eastAsia="Calibri" w:hAnsi="Arial Narrow" w:cs="Arial"/>
          <w:sz w:val="24"/>
          <w:szCs w:val="24"/>
        </w:rPr>
        <w:t>2024.</w:t>
      </w:r>
    </w:p>
    <w:p w14:paraId="54960923" w14:textId="03E259D9" w:rsidR="00B62725" w:rsidRPr="007E7C5B" w:rsidRDefault="00B62725" w:rsidP="00761F55">
      <w:pPr>
        <w:spacing w:line="257" w:lineRule="auto"/>
        <w:jc w:val="both"/>
        <w:rPr>
          <w:rFonts w:ascii="Arial Narrow" w:eastAsia="Calibri" w:hAnsi="Arial Narrow" w:cs="Arial"/>
          <w:sz w:val="24"/>
          <w:szCs w:val="24"/>
        </w:rPr>
      </w:pPr>
      <w:r w:rsidRPr="00A918AC">
        <w:rPr>
          <w:rFonts w:ascii="Arial Narrow" w:eastAsia="Calibri" w:hAnsi="Arial Narrow" w:cs="Arial"/>
          <w:b/>
          <w:i/>
          <w:sz w:val="24"/>
          <w:szCs w:val="24"/>
        </w:rPr>
        <w:t>Dans le cadre de l’Initiation du traitement préventif des sujets contacts des cas de lèpre multi bacillaire</w:t>
      </w:r>
      <w:r w:rsidR="004E67BA" w:rsidRPr="007E7C5B">
        <w:rPr>
          <w:rFonts w:ascii="Arial Narrow" w:eastAsia="Calibri" w:hAnsi="Arial Narrow" w:cs="Arial"/>
          <w:b/>
          <w:bCs/>
          <w:i/>
          <w:iCs/>
          <w:sz w:val="24"/>
          <w:szCs w:val="24"/>
        </w:rPr>
        <w:t>,</w:t>
      </w:r>
      <w:r w:rsidRPr="007E7C5B">
        <w:rPr>
          <w:rFonts w:ascii="Arial Narrow" w:eastAsia="Calibri" w:hAnsi="Arial Narrow" w:cs="Arial"/>
          <w:b/>
          <w:bCs/>
          <w:sz w:val="24"/>
          <w:szCs w:val="24"/>
        </w:rPr>
        <w:t xml:space="preserve"> </w:t>
      </w:r>
      <w:r w:rsidRPr="007E7C5B">
        <w:rPr>
          <w:rFonts w:ascii="Arial Narrow" w:eastAsia="Calibri" w:hAnsi="Arial Narrow" w:cs="Arial"/>
          <w:sz w:val="24"/>
          <w:szCs w:val="24"/>
        </w:rPr>
        <w:t>la dose unique de Rifampicine (DUR) a été administrée à 4</w:t>
      </w:r>
      <w:r w:rsidR="00D2653C" w:rsidRPr="007E7C5B">
        <w:rPr>
          <w:rFonts w:ascii="Arial Narrow" w:eastAsia="Calibri" w:hAnsi="Arial Narrow" w:cs="Arial"/>
          <w:sz w:val="24"/>
          <w:szCs w:val="24"/>
        </w:rPr>
        <w:t xml:space="preserve"> </w:t>
      </w:r>
      <w:r w:rsidRPr="007E7C5B">
        <w:rPr>
          <w:rFonts w:ascii="Arial Narrow" w:eastAsia="Calibri" w:hAnsi="Arial Narrow" w:cs="Arial"/>
          <w:sz w:val="24"/>
          <w:szCs w:val="24"/>
        </w:rPr>
        <w:t>534 sujets contact de 57 cas index à Gagnoa (2023-2024).</w:t>
      </w:r>
      <w:r w:rsidR="00DB1E56" w:rsidRPr="007E7C5B">
        <w:rPr>
          <w:rFonts w:ascii="Arial Narrow" w:eastAsia="Calibri" w:hAnsi="Arial Narrow" w:cs="Arial"/>
          <w:sz w:val="24"/>
          <w:szCs w:val="24"/>
        </w:rPr>
        <w:t xml:space="preserve"> </w:t>
      </w:r>
    </w:p>
    <w:p w14:paraId="228EE5C1" w14:textId="6E811C23" w:rsidR="00AB4C18" w:rsidRPr="007E7C5B" w:rsidRDefault="00AB4C18" w:rsidP="00AB4C18">
      <w:pPr>
        <w:jc w:val="both"/>
        <w:rPr>
          <w:rFonts w:ascii="Arial Narrow" w:hAnsi="Arial Narrow"/>
          <w:sz w:val="24"/>
          <w:szCs w:val="24"/>
        </w:rPr>
      </w:pPr>
      <w:r w:rsidRPr="007E7C5B">
        <w:rPr>
          <w:rFonts w:ascii="Arial Narrow" w:hAnsi="Arial Narrow"/>
          <w:sz w:val="24"/>
          <w:szCs w:val="24"/>
        </w:rPr>
        <w:lastRenderedPageBreak/>
        <w:t xml:space="preserve">Bien que des progrès importants aient été réalisés, des défis restent à surmonter pour atteindre les objectifs fixés d'ici 2025. </w:t>
      </w:r>
      <w:r w:rsidR="009803CB" w:rsidRPr="007E7C5B">
        <w:rPr>
          <w:rFonts w:ascii="Arial Narrow" w:hAnsi="Arial Narrow"/>
          <w:sz w:val="24"/>
          <w:szCs w:val="24"/>
        </w:rPr>
        <w:t xml:space="preserve">Ce sont entre autres : </w:t>
      </w:r>
      <w:r w:rsidR="00A6159A" w:rsidRPr="00A918AC">
        <w:rPr>
          <w:rFonts w:ascii="Arial Narrow" w:hAnsi="Arial Narrow"/>
          <w:i/>
          <w:sz w:val="24"/>
          <w:szCs w:val="24"/>
        </w:rPr>
        <w:t>(</w:t>
      </w:r>
      <w:r w:rsidR="009803CB" w:rsidRPr="00A918AC">
        <w:rPr>
          <w:rFonts w:ascii="Arial Narrow" w:hAnsi="Arial Narrow"/>
          <w:i/>
          <w:sz w:val="24"/>
          <w:szCs w:val="24"/>
        </w:rPr>
        <w:t>i)</w:t>
      </w:r>
      <w:r w:rsidR="009803CB" w:rsidRPr="007E7C5B">
        <w:rPr>
          <w:rFonts w:ascii="Arial Narrow" w:hAnsi="Arial Narrow"/>
          <w:sz w:val="24"/>
          <w:szCs w:val="24"/>
        </w:rPr>
        <w:t xml:space="preserve"> </w:t>
      </w:r>
      <w:r w:rsidRPr="007E7C5B">
        <w:rPr>
          <w:rFonts w:ascii="Arial Narrow" w:hAnsi="Arial Narrow"/>
          <w:sz w:val="24"/>
          <w:szCs w:val="24"/>
        </w:rPr>
        <w:t>la mise en place d'un système routinier de collecte de données pour les Maladies Tropicales Négligées (MTN), ainsi que pour les dossiers d’élimination de la filariose lymphatique et du trachome</w:t>
      </w:r>
      <w:r w:rsidR="00A6159A" w:rsidRPr="007E7C5B">
        <w:rPr>
          <w:rFonts w:ascii="Arial Narrow" w:hAnsi="Arial Narrow"/>
          <w:sz w:val="24"/>
          <w:szCs w:val="24"/>
        </w:rPr>
        <w:t xml:space="preserve"> ; </w:t>
      </w:r>
      <w:r w:rsidR="00A6159A" w:rsidRPr="007E7C5B">
        <w:rPr>
          <w:rFonts w:ascii="Arial Narrow" w:hAnsi="Arial Narrow"/>
          <w:i/>
          <w:iCs/>
          <w:sz w:val="24"/>
          <w:szCs w:val="24"/>
        </w:rPr>
        <w:t>(ii)</w:t>
      </w:r>
      <w:r w:rsidR="00A6159A" w:rsidRPr="007E7C5B">
        <w:rPr>
          <w:rFonts w:ascii="Arial Narrow" w:hAnsi="Arial Narrow"/>
          <w:sz w:val="24"/>
          <w:szCs w:val="24"/>
        </w:rPr>
        <w:t xml:space="preserve"> l</w:t>
      </w:r>
      <w:r w:rsidR="00256B75" w:rsidRPr="007E7C5B">
        <w:rPr>
          <w:rFonts w:ascii="Arial Narrow" w:hAnsi="Arial Narrow"/>
          <w:sz w:val="24"/>
          <w:szCs w:val="24"/>
        </w:rPr>
        <w:t xml:space="preserve">a </w:t>
      </w:r>
      <w:r w:rsidRPr="007E7C5B">
        <w:rPr>
          <w:rFonts w:ascii="Arial Narrow" w:hAnsi="Arial Narrow"/>
          <w:sz w:val="24"/>
          <w:szCs w:val="24"/>
        </w:rPr>
        <w:t>pérenni</w:t>
      </w:r>
      <w:r w:rsidR="00351E1F" w:rsidRPr="007E7C5B">
        <w:rPr>
          <w:rFonts w:ascii="Arial Narrow" w:hAnsi="Arial Narrow"/>
          <w:sz w:val="24"/>
          <w:szCs w:val="24"/>
        </w:rPr>
        <w:t>sation</w:t>
      </w:r>
      <w:r w:rsidR="004B1E8C" w:rsidRPr="007E7C5B">
        <w:rPr>
          <w:rFonts w:ascii="Arial Narrow" w:hAnsi="Arial Narrow"/>
          <w:sz w:val="24"/>
          <w:szCs w:val="24"/>
        </w:rPr>
        <w:t xml:space="preserve"> d</w:t>
      </w:r>
      <w:r w:rsidRPr="007E7C5B">
        <w:rPr>
          <w:rFonts w:ascii="Arial Narrow" w:hAnsi="Arial Narrow"/>
          <w:sz w:val="24"/>
          <w:szCs w:val="24"/>
        </w:rPr>
        <w:t>es acquis des programmes en cours</w:t>
      </w:r>
      <w:r w:rsidR="00A6159A" w:rsidRPr="007E7C5B">
        <w:rPr>
          <w:rFonts w:ascii="Arial Narrow" w:hAnsi="Arial Narrow"/>
          <w:sz w:val="24"/>
          <w:szCs w:val="24"/>
        </w:rPr>
        <w:t xml:space="preserve"> ; </w:t>
      </w:r>
      <w:r w:rsidR="00A6159A" w:rsidRPr="007E7C5B">
        <w:rPr>
          <w:rFonts w:ascii="Arial Narrow" w:hAnsi="Arial Narrow"/>
          <w:i/>
          <w:iCs/>
          <w:sz w:val="24"/>
          <w:szCs w:val="24"/>
        </w:rPr>
        <w:t>(iii)</w:t>
      </w:r>
      <w:r w:rsidR="00353311">
        <w:rPr>
          <w:rFonts w:ascii="Arial Narrow" w:hAnsi="Arial Narrow"/>
          <w:sz w:val="24"/>
          <w:szCs w:val="24"/>
        </w:rPr>
        <w:t> </w:t>
      </w:r>
      <w:r w:rsidR="00A6159A" w:rsidRPr="007E7C5B">
        <w:rPr>
          <w:rFonts w:ascii="Arial Narrow" w:hAnsi="Arial Narrow"/>
          <w:sz w:val="24"/>
          <w:szCs w:val="24"/>
        </w:rPr>
        <w:t>l</w:t>
      </w:r>
      <w:r w:rsidRPr="007E7C5B">
        <w:rPr>
          <w:rFonts w:ascii="Arial Narrow" w:hAnsi="Arial Narrow"/>
          <w:sz w:val="24"/>
          <w:szCs w:val="24"/>
        </w:rPr>
        <w:t>’obtention d'une ligne budgétaire dédiée à l'acheminement des médicaments</w:t>
      </w:r>
      <w:r w:rsidR="00A6159A" w:rsidRPr="007E7C5B">
        <w:rPr>
          <w:rFonts w:ascii="Arial Narrow" w:hAnsi="Arial Narrow"/>
          <w:sz w:val="24"/>
          <w:szCs w:val="24"/>
        </w:rPr>
        <w:t xml:space="preserve"> et </w:t>
      </w:r>
      <w:r w:rsidR="00A6159A" w:rsidRPr="007E7C5B">
        <w:rPr>
          <w:rFonts w:ascii="Arial Narrow" w:hAnsi="Arial Narrow"/>
          <w:i/>
          <w:iCs/>
          <w:sz w:val="24"/>
          <w:szCs w:val="24"/>
        </w:rPr>
        <w:t>(iv)</w:t>
      </w:r>
      <w:r w:rsidR="00A6159A" w:rsidRPr="007E7C5B">
        <w:rPr>
          <w:rFonts w:ascii="Arial Narrow" w:hAnsi="Arial Narrow"/>
          <w:sz w:val="24"/>
          <w:szCs w:val="24"/>
        </w:rPr>
        <w:t xml:space="preserve"> la disponibilité d</w:t>
      </w:r>
      <w:r w:rsidRPr="007E7C5B">
        <w:rPr>
          <w:rFonts w:ascii="Arial Narrow" w:hAnsi="Arial Narrow"/>
          <w:sz w:val="24"/>
          <w:szCs w:val="24"/>
        </w:rPr>
        <w:t xml:space="preserve">es intrants médicaux nécessaires à la lutte contre les MTN, notamment la rifampicine et la clarithromycine. </w:t>
      </w:r>
    </w:p>
    <w:p w14:paraId="3EC8D8D8" w14:textId="077EE37B" w:rsidR="001B4F77" w:rsidRPr="007E7C5B" w:rsidRDefault="001B4F77" w:rsidP="00AA7D22">
      <w:pPr>
        <w:pStyle w:val="Titre5"/>
        <w:shd w:val="clear" w:color="auto" w:fill="FBE4D5" w:themeFill="accent2" w:themeFillTint="33"/>
        <w:rPr>
          <w:rFonts w:ascii="Arial Narrow" w:hAnsi="Arial Narrow"/>
          <w:color w:val="FF0000"/>
          <w:sz w:val="24"/>
          <w:szCs w:val="24"/>
        </w:rPr>
      </w:pPr>
      <w:r w:rsidRPr="007E7C5B">
        <w:rPr>
          <w:rFonts w:ascii="Arial Narrow" w:hAnsi="Arial Narrow"/>
          <w:b/>
          <w:color w:val="auto"/>
          <w:sz w:val="24"/>
          <w:szCs w:val="24"/>
        </w:rPr>
        <w:t>Maladies Non</w:t>
      </w:r>
      <w:r w:rsidR="00C62871" w:rsidRPr="007E7C5B">
        <w:rPr>
          <w:rFonts w:ascii="Arial Narrow" w:hAnsi="Arial Narrow"/>
          <w:b/>
          <w:color w:val="auto"/>
          <w:sz w:val="24"/>
          <w:szCs w:val="24"/>
        </w:rPr>
        <w:t>-</w:t>
      </w:r>
      <w:r w:rsidRPr="007E7C5B">
        <w:rPr>
          <w:rFonts w:ascii="Arial Narrow" w:hAnsi="Arial Narrow"/>
          <w:b/>
          <w:color w:val="auto"/>
          <w:sz w:val="24"/>
          <w:szCs w:val="24"/>
        </w:rPr>
        <w:t>Transmissibles</w:t>
      </w:r>
      <w:r w:rsidRPr="007E7C5B">
        <w:rPr>
          <w:rFonts w:ascii="Arial Narrow" w:hAnsi="Arial Narrow"/>
          <w:color w:val="FF0000"/>
          <w:sz w:val="24"/>
          <w:szCs w:val="24"/>
        </w:rPr>
        <w:tab/>
      </w:r>
    </w:p>
    <w:p w14:paraId="3A339E67" w14:textId="7C43E09E" w:rsidR="001B4F77" w:rsidRPr="007E7C5B" w:rsidRDefault="001B4F77" w:rsidP="00761F55">
      <w:pPr>
        <w:spacing w:before="100" w:beforeAutospacing="1" w:after="100" w:afterAutospacing="1"/>
        <w:jc w:val="both"/>
        <w:rPr>
          <w:rFonts w:ascii="Arial Narrow" w:eastAsia="Times New Roman" w:hAnsi="Arial Narrow" w:cs="Arial"/>
          <w:kern w:val="0"/>
          <w:sz w:val="24"/>
          <w:szCs w:val="24"/>
          <w:lang w:eastAsia="fr-FR"/>
          <w14:ligatures w14:val="none"/>
        </w:rPr>
      </w:pPr>
      <w:r w:rsidRPr="007E7C5B">
        <w:rPr>
          <w:rFonts w:ascii="Arial Narrow" w:eastAsia="Times New Roman" w:hAnsi="Arial Narrow" w:cs="Arial"/>
          <w:kern w:val="0"/>
          <w:sz w:val="24"/>
          <w:szCs w:val="24"/>
          <w:lang w:eastAsia="fr-FR"/>
          <w14:ligatures w14:val="none"/>
        </w:rPr>
        <w:t>Dans le cadre de la lutte contre les maladies non transmissibles (MNT), plusieurs actions stratégiques ont été prévues dans le PNDS 2021-2025 à l’effet d’améliorer les indicateurs de santé à l’échelle nationale notamment pour la santé bucco-dentaire, la santé oculaire, la santé mentale, la lutte contre les maladies métaboliques, le tabagisme et les autres addictions, les affections rénales, les maladies cardiovasculaires et le cancer.</w:t>
      </w:r>
    </w:p>
    <w:p w14:paraId="69509747" w14:textId="77777777" w:rsidR="001B4F77" w:rsidRPr="007E7C5B" w:rsidRDefault="001B4F77" w:rsidP="00761F55">
      <w:pPr>
        <w:spacing w:before="100" w:beforeAutospacing="1" w:after="100" w:afterAutospacing="1"/>
        <w:jc w:val="both"/>
        <w:rPr>
          <w:rFonts w:ascii="Arial Narrow" w:eastAsia="Times New Roman" w:hAnsi="Arial Narrow" w:cs="Arial"/>
          <w:kern w:val="0"/>
          <w:sz w:val="24"/>
          <w:szCs w:val="24"/>
          <w:lang w:eastAsia="fr-FR"/>
          <w14:ligatures w14:val="none"/>
        </w:rPr>
      </w:pPr>
      <w:r w:rsidRPr="007E7C5B">
        <w:rPr>
          <w:rFonts w:ascii="Arial Narrow" w:eastAsia="Times New Roman" w:hAnsi="Arial Narrow" w:cs="Arial"/>
          <w:b/>
          <w:kern w:val="0"/>
          <w:sz w:val="24"/>
          <w:szCs w:val="24"/>
          <w:u w:val="single"/>
          <w:lang w:eastAsia="fr-FR"/>
          <w14:ligatures w14:val="none"/>
        </w:rPr>
        <w:t>Santé Bucco-dentaire</w:t>
      </w:r>
      <w:r w:rsidRPr="007E7C5B">
        <w:rPr>
          <w:rFonts w:ascii="Arial Narrow" w:eastAsia="Times New Roman" w:hAnsi="Arial Narrow" w:cs="Arial"/>
          <w:b/>
          <w:kern w:val="0"/>
          <w:sz w:val="24"/>
          <w:szCs w:val="24"/>
          <w:lang w:eastAsia="fr-FR"/>
          <w14:ligatures w14:val="none"/>
        </w:rPr>
        <w:t xml:space="preserve"> :</w:t>
      </w:r>
      <w:r w:rsidRPr="007E7C5B">
        <w:rPr>
          <w:rFonts w:ascii="Arial Narrow" w:eastAsia="Times New Roman" w:hAnsi="Arial Narrow" w:cs="Arial"/>
          <w:kern w:val="0"/>
          <w:sz w:val="24"/>
          <w:szCs w:val="24"/>
          <w:lang w:eastAsia="fr-FR"/>
          <w14:ligatures w14:val="none"/>
        </w:rPr>
        <w:t xml:space="preserve"> </w:t>
      </w:r>
    </w:p>
    <w:p w14:paraId="53EF39B8" w14:textId="3227106D" w:rsidR="00761BA6" w:rsidRPr="007E7C5B" w:rsidRDefault="00761BA6" w:rsidP="00761BA6">
      <w:pPr>
        <w:spacing w:before="100" w:beforeAutospacing="1" w:after="100" w:afterAutospacing="1"/>
        <w:jc w:val="both"/>
        <w:rPr>
          <w:rFonts w:ascii="Arial Narrow" w:eastAsia="Times New Roman" w:hAnsi="Arial Narrow" w:cs="Arial"/>
          <w:kern w:val="0"/>
          <w:sz w:val="24"/>
          <w:szCs w:val="24"/>
          <w:lang w:eastAsia="fr-FR"/>
          <w14:ligatures w14:val="none"/>
        </w:rPr>
      </w:pPr>
      <w:r w:rsidRPr="007E7C5B">
        <w:rPr>
          <w:rFonts w:ascii="Arial Narrow" w:eastAsia="Times New Roman" w:hAnsi="Arial Narrow" w:cs="Arial"/>
          <w:kern w:val="0"/>
          <w:sz w:val="24"/>
          <w:szCs w:val="24"/>
          <w:lang w:eastAsia="fr-FR"/>
          <w14:ligatures w14:val="none"/>
        </w:rPr>
        <w:t>S’agissant de la santé bucco</w:t>
      </w:r>
      <w:r w:rsidR="006B1B2B" w:rsidRPr="007E7C5B">
        <w:rPr>
          <w:rFonts w:ascii="Arial Narrow" w:eastAsia="Times New Roman" w:hAnsi="Arial Narrow" w:cs="Arial"/>
          <w:kern w:val="0"/>
          <w:sz w:val="24"/>
          <w:szCs w:val="24"/>
          <w:lang w:eastAsia="fr-FR"/>
          <w14:ligatures w14:val="none"/>
        </w:rPr>
        <w:t>-</w:t>
      </w:r>
      <w:r w:rsidRPr="007E7C5B">
        <w:rPr>
          <w:rFonts w:ascii="Arial Narrow" w:eastAsia="Times New Roman" w:hAnsi="Arial Narrow" w:cs="Arial"/>
          <w:kern w:val="0"/>
          <w:sz w:val="24"/>
          <w:szCs w:val="24"/>
          <w:lang w:eastAsia="fr-FR"/>
          <w14:ligatures w14:val="none"/>
        </w:rPr>
        <w:t>dentaire, l’objectif national était de réduire l’impact des affections bucco</w:t>
      </w:r>
      <w:r w:rsidR="0054181E" w:rsidRPr="007E7C5B">
        <w:rPr>
          <w:rFonts w:ascii="Arial Narrow" w:eastAsia="Times New Roman" w:hAnsi="Arial Narrow" w:cs="Arial"/>
          <w:kern w:val="0"/>
          <w:sz w:val="24"/>
          <w:szCs w:val="24"/>
          <w:lang w:eastAsia="fr-FR"/>
          <w14:ligatures w14:val="none"/>
        </w:rPr>
        <w:t>-</w:t>
      </w:r>
      <w:r w:rsidRPr="007E7C5B">
        <w:rPr>
          <w:rFonts w:ascii="Arial Narrow" w:eastAsia="Times New Roman" w:hAnsi="Arial Narrow" w:cs="Arial"/>
          <w:kern w:val="0"/>
          <w:sz w:val="24"/>
          <w:szCs w:val="24"/>
          <w:lang w:eastAsia="fr-FR"/>
          <w14:ligatures w14:val="none"/>
        </w:rPr>
        <w:t>dentaires sur la santé de la population à la fin de la période de mise en œuvre du PNDS. Ces changements majeurs passeraient par les actions : i) de sensibilisation à la bonne pratique de l’hygiène bucco</w:t>
      </w:r>
      <w:r w:rsidR="0054181E" w:rsidRPr="007E7C5B">
        <w:rPr>
          <w:rFonts w:ascii="Arial Narrow" w:eastAsia="Times New Roman" w:hAnsi="Arial Narrow" w:cs="Arial"/>
          <w:kern w:val="0"/>
          <w:sz w:val="24"/>
          <w:szCs w:val="24"/>
          <w:lang w:eastAsia="fr-FR"/>
          <w14:ligatures w14:val="none"/>
        </w:rPr>
        <w:t>-</w:t>
      </w:r>
      <w:r w:rsidRPr="007E7C5B">
        <w:rPr>
          <w:rFonts w:ascii="Arial Narrow" w:eastAsia="Times New Roman" w:hAnsi="Arial Narrow" w:cs="Arial"/>
          <w:kern w:val="0"/>
          <w:sz w:val="24"/>
          <w:szCs w:val="24"/>
          <w:lang w:eastAsia="fr-FR"/>
          <w14:ligatures w14:val="none"/>
        </w:rPr>
        <w:t>dentaire</w:t>
      </w:r>
      <w:r w:rsidR="00353311">
        <w:rPr>
          <w:rFonts w:ascii="Arial Narrow" w:eastAsia="Times New Roman" w:hAnsi="Arial Narrow" w:cs="Arial"/>
          <w:kern w:val="0"/>
          <w:sz w:val="24"/>
          <w:szCs w:val="24"/>
          <w:lang w:eastAsia="fr-FR"/>
          <w14:ligatures w14:val="none"/>
        </w:rPr>
        <w:t xml:space="preserve"> </w:t>
      </w:r>
      <w:r w:rsidRPr="007E7C5B">
        <w:rPr>
          <w:rFonts w:ascii="Arial Narrow" w:eastAsia="Times New Roman" w:hAnsi="Arial Narrow" w:cs="Arial"/>
          <w:kern w:val="0"/>
          <w:sz w:val="24"/>
          <w:szCs w:val="24"/>
          <w:lang w:eastAsia="fr-FR"/>
          <w14:ligatures w14:val="none"/>
        </w:rPr>
        <w:t xml:space="preserve">; ii) de prise en charge des patients ; iii) de distribution de kits dentaires </w:t>
      </w:r>
      <w:r w:rsidR="00EE0524" w:rsidRPr="007E7C5B">
        <w:rPr>
          <w:rFonts w:ascii="Arial Narrow" w:eastAsia="Times New Roman" w:hAnsi="Arial Narrow" w:cs="Arial"/>
          <w:kern w:val="0"/>
          <w:sz w:val="24"/>
          <w:szCs w:val="24"/>
          <w:lang w:eastAsia="fr-FR"/>
          <w14:ligatures w14:val="none"/>
        </w:rPr>
        <w:t>et</w:t>
      </w:r>
      <w:r w:rsidRPr="007E7C5B">
        <w:rPr>
          <w:rFonts w:ascii="Arial Narrow" w:eastAsia="Times New Roman" w:hAnsi="Arial Narrow" w:cs="Arial"/>
          <w:kern w:val="0"/>
          <w:sz w:val="24"/>
          <w:szCs w:val="24"/>
          <w:lang w:eastAsia="fr-FR"/>
          <w14:ligatures w14:val="none"/>
        </w:rPr>
        <w:t xml:space="preserve"> iv) de pose de prothèses dentaires</w:t>
      </w:r>
      <w:r w:rsidR="00EE0524" w:rsidRPr="007E7C5B">
        <w:rPr>
          <w:rFonts w:ascii="Arial Narrow" w:eastAsia="Times New Roman" w:hAnsi="Arial Narrow" w:cs="Arial"/>
          <w:kern w:val="0"/>
          <w:sz w:val="24"/>
          <w:szCs w:val="24"/>
          <w:lang w:eastAsia="fr-FR"/>
          <w14:ligatures w14:val="none"/>
        </w:rPr>
        <w:t>.</w:t>
      </w:r>
    </w:p>
    <w:p w14:paraId="1B862DD3" w14:textId="20FA2771" w:rsidR="00761BA6" w:rsidRPr="007E7C5B" w:rsidRDefault="00761BA6" w:rsidP="00761BA6">
      <w:pPr>
        <w:spacing w:before="100" w:beforeAutospacing="1" w:after="100" w:afterAutospacing="1"/>
        <w:jc w:val="both"/>
        <w:rPr>
          <w:rFonts w:ascii="Arial Narrow" w:eastAsia="Times New Roman" w:hAnsi="Arial Narrow" w:cs="Arial"/>
          <w:kern w:val="0"/>
          <w:sz w:val="24"/>
          <w:szCs w:val="24"/>
          <w:lang w:eastAsia="fr-FR"/>
          <w14:ligatures w14:val="none"/>
        </w:rPr>
      </w:pPr>
      <w:r w:rsidRPr="007E7C5B">
        <w:rPr>
          <w:rFonts w:ascii="Arial Narrow" w:eastAsia="Times New Roman" w:hAnsi="Arial Narrow" w:cs="Arial"/>
          <w:kern w:val="0"/>
          <w:sz w:val="24"/>
          <w:szCs w:val="24"/>
          <w:lang w:eastAsia="fr-FR"/>
          <w14:ligatures w14:val="none"/>
        </w:rPr>
        <w:t>A cet effet, un plan national stratégique de la santé bucco</w:t>
      </w:r>
      <w:r w:rsidR="0054181E" w:rsidRPr="007E7C5B">
        <w:rPr>
          <w:rFonts w:ascii="Arial Narrow" w:eastAsia="Times New Roman" w:hAnsi="Arial Narrow" w:cs="Arial"/>
          <w:kern w:val="0"/>
          <w:sz w:val="24"/>
          <w:szCs w:val="24"/>
          <w:lang w:eastAsia="fr-FR"/>
          <w14:ligatures w14:val="none"/>
        </w:rPr>
        <w:t>-</w:t>
      </w:r>
      <w:r w:rsidRPr="007E7C5B">
        <w:rPr>
          <w:rFonts w:ascii="Arial Narrow" w:eastAsia="Times New Roman" w:hAnsi="Arial Narrow" w:cs="Arial"/>
          <w:kern w:val="0"/>
          <w:sz w:val="24"/>
          <w:szCs w:val="24"/>
          <w:lang w:eastAsia="fr-FR"/>
          <w14:ligatures w14:val="none"/>
        </w:rPr>
        <w:t xml:space="preserve">dentaire 2023-2025 a été élaboré, ouvrant la voie à une série d'initiatives visant à sensibiliser les populations, notamment les plus jeunes, à l’importance de l’hygiène bucco-dentaire. </w:t>
      </w:r>
    </w:p>
    <w:p w14:paraId="0598B34D" w14:textId="77777777" w:rsidR="00761BA6" w:rsidRPr="007E7C5B" w:rsidRDefault="00761BA6" w:rsidP="00761BA6">
      <w:pPr>
        <w:spacing w:before="100" w:beforeAutospacing="1" w:after="100" w:afterAutospacing="1"/>
        <w:jc w:val="both"/>
        <w:rPr>
          <w:rFonts w:ascii="Arial Narrow" w:eastAsia="Times New Roman" w:hAnsi="Arial Narrow" w:cs="Arial"/>
          <w:kern w:val="0"/>
          <w:sz w:val="24"/>
          <w:szCs w:val="24"/>
          <w:lang w:eastAsia="fr-FR"/>
          <w14:ligatures w14:val="none"/>
        </w:rPr>
      </w:pPr>
      <w:r w:rsidRPr="00A918AC">
        <w:rPr>
          <w:rFonts w:ascii="Arial Narrow" w:eastAsia="Times New Roman" w:hAnsi="Arial Narrow" w:cs="Arial"/>
          <w:b/>
          <w:i/>
          <w:kern w:val="0"/>
          <w:sz w:val="24"/>
          <w:szCs w:val="24"/>
          <w:lang w:eastAsia="fr-FR"/>
          <w14:ligatures w14:val="none"/>
        </w:rPr>
        <w:t>En matière de prévention</w:t>
      </w:r>
      <w:r w:rsidRPr="007E7C5B">
        <w:rPr>
          <w:rFonts w:ascii="Arial Narrow" w:eastAsia="Times New Roman" w:hAnsi="Arial Narrow" w:cs="Arial"/>
          <w:kern w:val="0"/>
          <w:sz w:val="24"/>
          <w:szCs w:val="24"/>
          <w:lang w:eastAsia="fr-FR"/>
          <w14:ligatures w14:val="none"/>
        </w:rPr>
        <w:t xml:space="preserve">, 15 300 enfants âgés de 6 à 9 ans ont été sensibilisés en milieu scolaire, via des campagnes de communication comprenant la distribution de flyers, de T-shirts et d'affiches. Par ailleurs, 1 009 adolescents et jeunes ont également été sensibilisés, et au total 17 000 </w:t>
      </w:r>
      <w:bookmarkStart w:id="81" w:name="_Hlk189553569"/>
      <w:r w:rsidRPr="007E7C5B">
        <w:rPr>
          <w:rFonts w:ascii="Arial Narrow" w:eastAsia="Times New Roman" w:hAnsi="Arial Narrow" w:cs="Arial"/>
          <w:kern w:val="0"/>
          <w:sz w:val="24"/>
          <w:szCs w:val="24"/>
          <w:lang w:eastAsia="fr-FR"/>
          <w14:ligatures w14:val="none"/>
        </w:rPr>
        <w:t xml:space="preserve">kits de brossage </w:t>
      </w:r>
      <w:bookmarkEnd w:id="81"/>
      <w:r w:rsidRPr="007E7C5B">
        <w:rPr>
          <w:rFonts w:ascii="Arial Narrow" w:eastAsia="Times New Roman" w:hAnsi="Arial Narrow" w:cs="Arial"/>
          <w:kern w:val="0"/>
          <w:sz w:val="24"/>
          <w:szCs w:val="24"/>
          <w:lang w:eastAsia="fr-FR"/>
          <w14:ligatures w14:val="none"/>
        </w:rPr>
        <w:t xml:space="preserve">ont été distribués dans le cadre de ces campagnes. En parallèle, trois campagnes intégrées de sensibilisation et de prise en charge des affections cardio-métaboliques et bucco-dentaires ont été organisées. </w:t>
      </w:r>
    </w:p>
    <w:p w14:paraId="4E233490" w14:textId="37B2B21B" w:rsidR="00761BA6" w:rsidRPr="007E7C5B" w:rsidRDefault="00761BA6" w:rsidP="00761BA6">
      <w:pPr>
        <w:spacing w:before="100" w:beforeAutospacing="1" w:after="100" w:afterAutospacing="1"/>
        <w:jc w:val="both"/>
        <w:rPr>
          <w:rFonts w:ascii="Arial Narrow" w:eastAsia="Times New Roman" w:hAnsi="Arial Narrow" w:cs="Arial"/>
          <w:kern w:val="0"/>
          <w:sz w:val="24"/>
          <w:szCs w:val="24"/>
          <w:lang w:eastAsia="fr-FR"/>
          <w14:ligatures w14:val="none"/>
        </w:rPr>
      </w:pPr>
      <w:r w:rsidRPr="00A918AC">
        <w:rPr>
          <w:rFonts w:ascii="Arial Narrow" w:eastAsia="Times New Roman" w:hAnsi="Arial Narrow" w:cs="Arial"/>
          <w:b/>
          <w:i/>
          <w:kern w:val="0"/>
          <w:sz w:val="24"/>
          <w:szCs w:val="24"/>
          <w:lang w:eastAsia="fr-FR"/>
          <w14:ligatures w14:val="none"/>
        </w:rPr>
        <w:t xml:space="preserve">Afin de lutter contre le </w:t>
      </w:r>
      <w:proofErr w:type="spellStart"/>
      <w:r w:rsidR="00353311">
        <w:rPr>
          <w:rFonts w:ascii="Arial Narrow" w:eastAsia="Times New Roman" w:hAnsi="Arial Narrow" w:cs="Arial"/>
          <w:b/>
          <w:i/>
          <w:kern w:val="0"/>
          <w:sz w:val="24"/>
          <w:szCs w:val="24"/>
          <w:lang w:eastAsia="fr-FR"/>
          <w14:ligatures w14:val="none"/>
        </w:rPr>
        <w:t>N</w:t>
      </w:r>
      <w:r w:rsidRPr="00A918AC">
        <w:rPr>
          <w:rFonts w:ascii="Arial Narrow" w:eastAsia="Times New Roman" w:hAnsi="Arial Narrow" w:cs="Arial"/>
          <w:b/>
          <w:i/>
          <w:kern w:val="0"/>
          <w:sz w:val="24"/>
          <w:szCs w:val="24"/>
          <w:lang w:eastAsia="fr-FR"/>
          <w14:ligatures w14:val="none"/>
        </w:rPr>
        <w:t>oma</w:t>
      </w:r>
      <w:proofErr w:type="spellEnd"/>
      <w:r w:rsidRPr="007E7C5B">
        <w:rPr>
          <w:rFonts w:ascii="Arial Narrow" w:eastAsia="Times New Roman" w:hAnsi="Arial Narrow" w:cs="Arial"/>
          <w:kern w:val="0"/>
          <w:sz w:val="24"/>
          <w:szCs w:val="24"/>
          <w:lang w:eastAsia="fr-FR"/>
          <w14:ligatures w14:val="none"/>
        </w:rPr>
        <w:t>, une maladie sévère affectant la cavité buccale</w:t>
      </w:r>
      <w:r w:rsidR="00DE0C04">
        <w:rPr>
          <w:rFonts w:ascii="Arial Narrow" w:eastAsia="Times New Roman" w:hAnsi="Arial Narrow" w:cs="Arial"/>
          <w:kern w:val="0"/>
          <w:sz w:val="24"/>
          <w:szCs w:val="24"/>
          <w:lang w:eastAsia="fr-FR"/>
          <w14:ligatures w14:val="none"/>
        </w:rPr>
        <w:t>,</w:t>
      </w:r>
      <w:r w:rsidRPr="007E7C5B">
        <w:rPr>
          <w:rFonts w:ascii="Arial Narrow" w:eastAsia="Times New Roman" w:hAnsi="Arial Narrow" w:cs="Arial"/>
          <w:kern w:val="0"/>
          <w:sz w:val="24"/>
          <w:szCs w:val="24"/>
          <w:lang w:eastAsia="fr-FR"/>
          <w14:ligatures w14:val="none"/>
        </w:rPr>
        <w:t xml:space="preserve"> 542 Agents de Santé Communautaires (ASC), 50 points focaux constitués d’IDE et de SFDE, ainsi que 13 pools de formateurs ont été formés dans les régions du Sud-Comoé, Haut-Sassandra et Loh-</w:t>
      </w:r>
      <w:proofErr w:type="spellStart"/>
      <w:r w:rsidRPr="007E7C5B">
        <w:rPr>
          <w:rFonts w:ascii="Arial Narrow" w:eastAsia="Times New Roman" w:hAnsi="Arial Narrow" w:cs="Arial"/>
          <w:kern w:val="0"/>
          <w:sz w:val="24"/>
          <w:szCs w:val="24"/>
          <w:lang w:eastAsia="fr-FR"/>
          <w14:ligatures w14:val="none"/>
        </w:rPr>
        <w:t>Djiboua</w:t>
      </w:r>
      <w:proofErr w:type="spellEnd"/>
      <w:r w:rsidRPr="007E7C5B">
        <w:rPr>
          <w:rFonts w:ascii="Arial Narrow" w:eastAsia="Times New Roman" w:hAnsi="Arial Narrow" w:cs="Arial"/>
          <w:kern w:val="0"/>
          <w:sz w:val="24"/>
          <w:szCs w:val="24"/>
          <w:lang w:eastAsia="fr-FR"/>
          <w14:ligatures w14:val="none"/>
        </w:rPr>
        <w:t>.</w:t>
      </w:r>
    </w:p>
    <w:p w14:paraId="4E739444" w14:textId="2562C19D" w:rsidR="001B4F77" w:rsidRPr="007E7C5B" w:rsidRDefault="00761BA6" w:rsidP="00761BA6">
      <w:pPr>
        <w:spacing w:before="100" w:beforeAutospacing="1" w:after="100" w:afterAutospacing="1"/>
        <w:jc w:val="both"/>
        <w:rPr>
          <w:rFonts w:ascii="Arial Narrow" w:eastAsia="Times New Roman" w:hAnsi="Arial Narrow" w:cs="Arial"/>
          <w:kern w:val="0"/>
          <w:sz w:val="24"/>
          <w:szCs w:val="24"/>
          <w:lang w:eastAsia="fr-FR"/>
          <w14:ligatures w14:val="none"/>
        </w:rPr>
      </w:pPr>
      <w:r w:rsidRPr="007E7C5B">
        <w:rPr>
          <w:rFonts w:ascii="Arial Narrow" w:eastAsia="Times New Roman" w:hAnsi="Arial Narrow" w:cs="Arial"/>
          <w:kern w:val="0"/>
          <w:sz w:val="24"/>
          <w:szCs w:val="24"/>
          <w:lang w:eastAsia="fr-FR"/>
          <w14:ligatures w14:val="none"/>
        </w:rPr>
        <w:t>Ces réalisations ont permis de faire comprendre à la population la nécessité d’avoir une bonne hygiène dentaire et les maladies liées au non-respect des bonnes pratiques</w:t>
      </w:r>
      <w:r w:rsidR="00263FDE" w:rsidRPr="007E7C5B">
        <w:rPr>
          <w:rFonts w:ascii="Arial Narrow" w:eastAsia="Times New Roman" w:hAnsi="Arial Narrow" w:cs="Arial"/>
          <w:kern w:val="0"/>
          <w:sz w:val="24"/>
          <w:szCs w:val="24"/>
          <w:lang w:eastAsia="fr-FR"/>
          <w14:ligatures w14:val="none"/>
        </w:rPr>
        <w:t>.</w:t>
      </w:r>
      <w:r w:rsidR="009D0166">
        <w:rPr>
          <w:rFonts w:ascii="Arial Narrow" w:eastAsia="Times New Roman" w:hAnsi="Arial Narrow" w:cs="Arial"/>
          <w:kern w:val="0"/>
          <w:sz w:val="24"/>
          <w:szCs w:val="24"/>
          <w:lang w:eastAsia="fr-FR"/>
          <w14:ligatures w14:val="none"/>
        </w:rPr>
        <w:t xml:space="preserve"> </w:t>
      </w:r>
      <w:r w:rsidRPr="007E7C5B">
        <w:rPr>
          <w:rFonts w:ascii="Arial Narrow" w:eastAsia="Times New Roman" w:hAnsi="Arial Narrow" w:cs="Arial"/>
          <w:kern w:val="0"/>
          <w:sz w:val="24"/>
          <w:szCs w:val="24"/>
          <w:lang w:eastAsia="fr-FR"/>
          <w14:ligatures w14:val="none"/>
        </w:rPr>
        <w:t>Malgré les progrès accomplis en matière de santé bucco</w:t>
      </w:r>
      <w:r w:rsidR="00174746" w:rsidRPr="007E7C5B">
        <w:rPr>
          <w:rFonts w:ascii="Arial Narrow" w:eastAsia="Times New Roman" w:hAnsi="Arial Narrow" w:cs="Arial"/>
          <w:kern w:val="0"/>
          <w:sz w:val="24"/>
          <w:szCs w:val="24"/>
          <w:lang w:eastAsia="fr-FR"/>
          <w14:ligatures w14:val="none"/>
        </w:rPr>
        <w:t>-</w:t>
      </w:r>
      <w:r w:rsidRPr="007E7C5B">
        <w:rPr>
          <w:rFonts w:ascii="Arial Narrow" w:eastAsia="Times New Roman" w:hAnsi="Arial Narrow" w:cs="Arial"/>
          <w:kern w:val="0"/>
          <w:sz w:val="24"/>
          <w:szCs w:val="24"/>
          <w:lang w:eastAsia="fr-FR"/>
          <w14:ligatures w14:val="none"/>
        </w:rPr>
        <w:t>dentaire, certain</w:t>
      </w:r>
      <w:r w:rsidR="005E56D4" w:rsidRPr="007E7C5B">
        <w:rPr>
          <w:rFonts w:ascii="Arial Narrow" w:eastAsia="Times New Roman" w:hAnsi="Arial Narrow" w:cs="Arial"/>
          <w:kern w:val="0"/>
          <w:sz w:val="24"/>
          <w:szCs w:val="24"/>
          <w:lang w:eastAsia="fr-FR"/>
          <w14:ligatures w14:val="none"/>
        </w:rPr>
        <w:t xml:space="preserve">s défis </w:t>
      </w:r>
      <w:r w:rsidR="00051522" w:rsidRPr="007E7C5B">
        <w:rPr>
          <w:rFonts w:ascii="Arial Narrow" w:eastAsia="Times New Roman" w:hAnsi="Arial Narrow" w:cs="Arial"/>
          <w:kern w:val="0"/>
          <w:sz w:val="24"/>
          <w:szCs w:val="24"/>
          <w:lang w:eastAsia="fr-FR"/>
          <w14:ligatures w14:val="none"/>
        </w:rPr>
        <w:t xml:space="preserve">sont à </w:t>
      </w:r>
      <w:r w:rsidR="006D0CBC" w:rsidRPr="007E7C5B">
        <w:rPr>
          <w:rFonts w:ascii="Arial Narrow" w:eastAsia="Times New Roman" w:hAnsi="Arial Narrow" w:cs="Arial"/>
          <w:kern w:val="0"/>
          <w:sz w:val="24"/>
          <w:szCs w:val="24"/>
          <w:lang w:eastAsia="fr-FR"/>
          <w14:ligatures w14:val="none"/>
        </w:rPr>
        <w:t>relev</w:t>
      </w:r>
      <w:r w:rsidR="00051522" w:rsidRPr="007E7C5B">
        <w:rPr>
          <w:rFonts w:ascii="Arial Narrow" w:eastAsia="Times New Roman" w:hAnsi="Arial Narrow" w:cs="Arial"/>
          <w:kern w:val="0"/>
          <w:sz w:val="24"/>
          <w:szCs w:val="24"/>
          <w:lang w:eastAsia="fr-FR"/>
          <w14:ligatures w14:val="none"/>
        </w:rPr>
        <w:t>er</w:t>
      </w:r>
      <w:r w:rsidRPr="007E7C5B">
        <w:rPr>
          <w:rFonts w:ascii="Arial Narrow" w:eastAsia="Times New Roman" w:hAnsi="Arial Narrow" w:cs="Arial"/>
          <w:kern w:val="0"/>
          <w:sz w:val="24"/>
          <w:szCs w:val="24"/>
          <w:lang w:eastAsia="fr-FR"/>
          <w14:ligatures w14:val="none"/>
        </w:rPr>
        <w:t xml:space="preserve"> sur la période de la revue notamment</w:t>
      </w:r>
      <w:r w:rsidRPr="007E7C5B">
        <w:rPr>
          <w:rFonts w:ascii="Arial" w:eastAsia="Times New Roman" w:hAnsi="Arial" w:cs="Arial"/>
          <w:kern w:val="0"/>
          <w:sz w:val="24"/>
          <w:szCs w:val="24"/>
          <w:lang w:eastAsia="fr-FR"/>
          <w14:ligatures w14:val="none"/>
        </w:rPr>
        <w:t> </w:t>
      </w:r>
      <w:r w:rsidRPr="007E7C5B">
        <w:rPr>
          <w:rFonts w:ascii="Arial Narrow" w:eastAsia="Times New Roman" w:hAnsi="Arial Narrow" w:cs="Arial"/>
          <w:kern w:val="0"/>
          <w:sz w:val="24"/>
          <w:szCs w:val="24"/>
          <w:lang w:eastAsia="fr-FR"/>
          <w14:ligatures w14:val="none"/>
        </w:rPr>
        <w:t xml:space="preserve">: i) </w:t>
      </w:r>
      <w:r w:rsidR="006457EF" w:rsidRPr="007E7C5B">
        <w:rPr>
          <w:rFonts w:ascii="Arial Narrow" w:eastAsia="Times New Roman" w:hAnsi="Arial Narrow" w:cs="Arial"/>
          <w:kern w:val="0"/>
          <w:sz w:val="24"/>
          <w:szCs w:val="24"/>
          <w:lang w:eastAsia="fr-FR"/>
          <w14:ligatures w14:val="none"/>
        </w:rPr>
        <w:t xml:space="preserve">la maintenance </w:t>
      </w:r>
      <w:r w:rsidRPr="007E7C5B">
        <w:rPr>
          <w:rFonts w:ascii="Arial Narrow" w:eastAsia="Times New Roman" w:hAnsi="Arial Narrow" w:cs="Arial"/>
          <w:kern w:val="0"/>
          <w:sz w:val="24"/>
          <w:szCs w:val="24"/>
          <w:lang w:eastAsia="fr-FR"/>
          <w14:ligatures w14:val="none"/>
        </w:rPr>
        <w:t>des services dentaires ; ii) l</w:t>
      </w:r>
      <w:r w:rsidRPr="007E7C5B">
        <w:rPr>
          <w:rFonts w:ascii="Arial Narrow" w:eastAsia="Times New Roman" w:hAnsi="Arial Narrow" w:cs="Arial Narrow"/>
          <w:kern w:val="0"/>
          <w:sz w:val="24"/>
          <w:szCs w:val="24"/>
          <w:lang w:eastAsia="fr-FR"/>
          <w14:ligatures w14:val="none"/>
        </w:rPr>
        <w:t>’</w:t>
      </w:r>
      <w:r w:rsidRPr="007E7C5B">
        <w:rPr>
          <w:rFonts w:ascii="Arial Narrow" w:eastAsia="Times New Roman" w:hAnsi="Arial Narrow" w:cs="Arial"/>
          <w:kern w:val="0"/>
          <w:sz w:val="24"/>
          <w:szCs w:val="24"/>
          <w:lang w:eastAsia="fr-FR"/>
          <w14:ligatures w14:val="none"/>
        </w:rPr>
        <w:t>accessibilit</w:t>
      </w:r>
      <w:r w:rsidRPr="007E7C5B">
        <w:rPr>
          <w:rFonts w:ascii="Arial Narrow" w:eastAsia="Times New Roman" w:hAnsi="Arial Narrow" w:cs="Arial Narrow"/>
          <w:kern w:val="0"/>
          <w:sz w:val="24"/>
          <w:szCs w:val="24"/>
          <w:lang w:eastAsia="fr-FR"/>
          <w14:ligatures w14:val="none"/>
        </w:rPr>
        <w:t>é</w:t>
      </w:r>
      <w:r w:rsidRPr="007E7C5B">
        <w:rPr>
          <w:rFonts w:ascii="Arial Narrow" w:eastAsia="Times New Roman" w:hAnsi="Arial Narrow" w:cs="Arial"/>
          <w:kern w:val="0"/>
          <w:sz w:val="24"/>
          <w:szCs w:val="24"/>
          <w:lang w:eastAsia="fr-FR"/>
          <w14:ligatures w14:val="none"/>
        </w:rPr>
        <w:t xml:space="preserve"> des </w:t>
      </w:r>
      <w:r w:rsidR="008F3B99" w:rsidRPr="007E7C5B">
        <w:rPr>
          <w:rFonts w:ascii="Arial Narrow" w:eastAsia="Times New Roman" w:hAnsi="Arial Narrow" w:cs="Arial"/>
          <w:kern w:val="0"/>
          <w:sz w:val="24"/>
          <w:szCs w:val="24"/>
          <w:lang w:eastAsia="fr-FR"/>
          <w14:ligatures w14:val="none"/>
        </w:rPr>
        <w:t>patients aux</w:t>
      </w:r>
      <w:r w:rsidRPr="007E7C5B">
        <w:rPr>
          <w:rFonts w:ascii="Arial Narrow" w:eastAsia="Times New Roman" w:hAnsi="Arial Narrow" w:cs="Arial"/>
          <w:kern w:val="0"/>
          <w:sz w:val="24"/>
          <w:szCs w:val="24"/>
          <w:lang w:eastAsia="fr-FR"/>
          <w14:ligatures w14:val="none"/>
        </w:rPr>
        <w:t xml:space="preserve"> services dentaires.</w:t>
      </w:r>
    </w:p>
    <w:p w14:paraId="0425254B" w14:textId="77777777" w:rsidR="00D3250B" w:rsidRPr="007E7C5B" w:rsidRDefault="00D3250B" w:rsidP="00D3250B">
      <w:pPr>
        <w:jc w:val="both"/>
        <w:rPr>
          <w:rFonts w:ascii="Arial Narrow" w:eastAsia="Times New Roman" w:hAnsi="Arial Narrow" w:cs="Arial"/>
          <w:b/>
          <w:kern w:val="0"/>
          <w:sz w:val="24"/>
          <w:szCs w:val="24"/>
          <w:u w:val="single"/>
          <w:lang w:eastAsia="fr-FR"/>
          <w14:ligatures w14:val="none"/>
        </w:rPr>
      </w:pPr>
      <w:r w:rsidRPr="007E7C5B">
        <w:rPr>
          <w:rFonts w:ascii="Arial Narrow" w:eastAsia="Times New Roman" w:hAnsi="Arial Narrow" w:cs="Arial"/>
          <w:b/>
          <w:kern w:val="0"/>
          <w:sz w:val="24"/>
          <w:szCs w:val="24"/>
          <w:u w:val="single"/>
          <w:lang w:eastAsia="fr-FR"/>
          <w14:ligatures w14:val="none"/>
        </w:rPr>
        <w:t>Santé oculaire</w:t>
      </w:r>
    </w:p>
    <w:p w14:paraId="47B3D65D" w14:textId="6BAC7221" w:rsidR="00D3250B" w:rsidRPr="007E7C5B" w:rsidRDefault="00D3250B" w:rsidP="00D3250B">
      <w:pPr>
        <w:spacing w:before="100" w:beforeAutospacing="1" w:after="100" w:afterAutospacing="1"/>
        <w:jc w:val="both"/>
        <w:rPr>
          <w:rFonts w:ascii="Arial Narrow" w:eastAsia="Times New Roman" w:hAnsi="Arial Narrow" w:cs="Arial"/>
          <w:kern w:val="0"/>
          <w:sz w:val="24"/>
          <w:szCs w:val="24"/>
          <w:lang w:eastAsia="fr-FR"/>
          <w14:ligatures w14:val="none"/>
        </w:rPr>
      </w:pPr>
      <w:r w:rsidRPr="007E7C5B">
        <w:rPr>
          <w:rFonts w:ascii="Arial Narrow" w:eastAsia="Times New Roman" w:hAnsi="Arial Narrow" w:cs="Arial"/>
          <w:kern w:val="0"/>
          <w:sz w:val="24"/>
          <w:szCs w:val="24"/>
          <w:lang w:eastAsia="fr-FR"/>
          <w14:ligatures w14:val="none"/>
        </w:rPr>
        <w:t xml:space="preserve">S’agissant de la santé oculaire, un Plan Stratégique Santé Oculaire 2021-2025 a été rendu disponible, fournissant une feuille de route pour la prise en charge des affections visuelles à travers le pays. </w:t>
      </w:r>
    </w:p>
    <w:p w14:paraId="4E6729EB" w14:textId="005A14E7" w:rsidR="00D3250B" w:rsidRPr="007E7C5B" w:rsidRDefault="00D3250B" w:rsidP="00D3250B">
      <w:pPr>
        <w:spacing w:before="100" w:beforeAutospacing="1" w:after="100" w:afterAutospacing="1"/>
        <w:jc w:val="both"/>
        <w:rPr>
          <w:rFonts w:ascii="Arial Narrow" w:eastAsia="Times New Roman" w:hAnsi="Arial Narrow" w:cs="Arial"/>
          <w:kern w:val="0"/>
          <w:sz w:val="24"/>
          <w:szCs w:val="24"/>
          <w:lang w:eastAsia="fr-FR"/>
          <w14:ligatures w14:val="none"/>
        </w:rPr>
      </w:pPr>
      <w:r w:rsidRPr="007E7C5B">
        <w:rPr>
          <w:rFonts w:ascii="Arial Narrow" w:eastAsia="Times New Roman" w:hAnsi="Arial Narrow" w:cs="Arial"/>
          <w:b/>
          <w:i/>
          <w:kern w:val="0"/>
          <w:sz w:val="24"/>
          <w:szCs w:val="24"/>
          <w:lang w:eastAsia="fr-FR"/>
          <w14:ligatures w14:val="none"/>
        </w:rPr>
        <w:lastRenderedPageBreak/>
        <w:t>Ainsi, pour le dépistage oculaire</w:t>
      </w:r>
      <w:r w:rsidRPr="007E7C5B">
        <w:rPr>
          <w:rFonts w:ascii="Arial Narrow" w:eastAsia="Times New Roman" w:hAnsi="Arial Narrow" w:cs="Arial"/>
          <w:kern w:val="0"/>
          <w:sz w:val="24"/>
          <w:szCs w:val="24"/>
          <w:lang w:eastAsia="fr-FR"/>
          <w14:ligatures w14:val="none"/>
        </w:rPr>
        <w:t xml:space="preserve">, à ce jour, </w:t>
      </w:r>
      <w:r w:rsidRPr="007E7C5B">
        <w:rPr>
          <w:rFonts w:ascii="Arial Narrow" w:hAnsi="Arial Narrow" w:cs="Arial"/>
          <w:sz w:val="24"/>
          <w:szCs w:val="24"/>
        </w:rPr>
        <w:t xml:space="preserve">70 agents de santé et </w:t>
      </w:r>
      <w:r w:rsidRPr="007E7C5B">
        <w:rPr>
          <w:rFonts w:ascii="Arial Narrow" w:eastAsia="Times New Roman" w:hAnsi="Arial Narrow" w:cs="Arial"/>
          <w:kern w:val="0"/>
          <w:sz w:val="24"/>
          <w:szCs w:val="24"/>
          <w:lang w:eastAsia="fr-FR"/>
          <w14:ligatures w14:val="none"/>
        </w:rPr>
        <w:t xml:space="preserve">90 volontaires communautaires ont été formés pour le dépistage des affections oculaires et l’orientation des patients vers des services de pédiatrie spécialisés. Ces services, situés à Bouaké et à Korhogo, ont été construits dans le cadre du projet </w:t>
      </w:r>
      <w:r w:rsidRPr="007E7C5B">
        <w:rPr>
          <w:rFonts w:ascii="Arial Narrow" w:eastAsia="Times New Roman" w:hAnsi="Arial Narrow" w:cs="Arial"/>
          <w:b/>
          <w:kern w:val="0"/>
          <w:sz w:val="24"/>
          <w:szCs w:val="24"/>
          <w:lang w:eastAsia="fr-FR"/>
          <w14:ligatures w14:val="none"/>
        </w:rPr>
        <w:t>Child Eye Care</w:t>
      </w:r>
      <w:r w:rsidRPr="007E7C5B">
        <w:rPr>
          <w:rFonts w:ascii="Arial Narrow" w:eastAsia="Times New Roman" w:hAnsi="Arial Narrow" w:cs="Arial"/>
          <w:kern w:val="0"/>
          <w:sz w:val="24"/>
          <w:szCs w:val="24"/>
          <w:lang w:eastAsia="fr-FR"/>
          <w14:ligatures w14:val="none"/>
        </w:rPr>
        <w:t xml:space="preserve"> lancé en 2019, visant à améliorer les soins oculaires des enfants dans les régions du </w:t>
      </w:r>
      <w:proofErr w:type="spellStart"/>
      <w:r w:rsidRPr="007E7C5B">
        <w:rPr>
          <w:rFonts w:ascii="Arial Narrow" w:eastAsia="Times New Roman" w:hAnsi="Arial Narrow" w:cs="Arial"/>
          <w:kern w:val="0"/>
          <w:sz w:val="24"/>
          <w:szCs w:val="24"/>
          <w:lang w:eastAsia="fr-FR"/>
          <w14:ligatures w14:val="none"/>
        </w:rPr>
        <w:t>Poro</w:t>
      </w:r>
      <w:proofErr w:type="spellEnd"/>
      <w:r w:rsidRPr="007E7C5B">
        <w:rPr>
          <w:rFonts w:ascii="Arial Narrow" w:eastAsia="Times New Roman" w:hAnsi="Arial Narrow" w:cs="Arial"/>
          <w:kern w:val="0"/>
          <w:sz w:val="24"/>
          <w:szCs w:val="24"/>
          <w:lang w:eastAsia="fr-FR"/>
          <w14:ligatures w14:val="none"/>
        </w:rPr>
        <w:t xml:space="preserve"> et du </w:t>
      </w:r>
      <w:proofErr w:type="spellStart"/>
      <w:r w:rsidRPr="007E7C5B">
        <w:rPr>
          <w:rFonts w:ascii="Arial Narrow" w:eastAsia="Times New Roman" w:hAnsi="Arial Narrow" w:cs="Arial"/>
          <w:kern w:val="0"/>
          <w:sz w:val="24"/>
          <w:szCs w:val="24"/>
          <w:lang w:eastAsia="fr-FR"/>
          <w14:ligatures w14:val="none"/>
        </w:rPr>
        <w:t>Gbêkê</w:t>
      </w:r>
      <w:proofErr w:type="spellEnd"/>
      <w:r w:rsidRPr="007E7C5B">
        <w:rPr>
          <w:rFonts w:ascii="Arial Narrow" w:eastAsia="Times New Roman" w:hAnsi="Arial Narrow" w:cs="Arial"/>
          <w:kern w:val="0"/>
          <w:sz w:val="24"/>
          <w:szCs w:val="24"/>
          <w:lang w:eastAsia="fr-FR"/>
          <w14:ligatures w14:val="none"/>
        </w:rPr>
        <w:t xml:space="preserve">. Cela a permis à </w:t>
      </w:r>
      <w:r w:rsidRPr="00F40CB4">
        <w:rPr>
          <w:rFonts w:ascii="Arial Narrow" w:eastAsia="Times New Roman" w:hAnsi="Arial Narrow" w:cs="Arial"/>
          <w:kern w:val="0"/>
          <w:sz w:val="24"/>
          <w:szCs w:val="24"/>
          <w:lang w:eastAsia="fr-FR"/>
          <w14:ligatures w14:val="none"/>
        </w:rPr>
        <w:t>334 275 personnes, dont 27 707 adultes et 277 750 enfants de 0 à 18 ans</w:t>
      </w:r>
      <w:r w:rsidRPr="007E7C5B">
        <w:rPr>
          <w:rFonts w:ascii="Arial Narrow" w:eastAsia="Times New Roman" w:hAnsi="Arial Narrow" w:cs="Arial"/>
          <w:kern w:val="0"/>
          <w:sz w:val="24"/>
          <w:szCs w:val="24"/>
          <w:lang w:eastAsia="fr-FR"/>
          <w14:ligatures w14:val="none"/>
        </w:rPr>
        <w:t xml:space="preserve">, de bénéficier d’un dépistage oculaire. Parmi eux, 28 818 enfants d'âge scolaire ont bénéficié de ces dépistages dans 7 régions. </w:t>
      </w:r>
    </w:p>
    <w:p w14:paraId="79DE8184" w14:textId="179EE057" w:rsidR="001B4F77" w:rsidRPr="007E7C5B" w:rsidRDefault="00D3250B" w:rsidP="00761F55">
      <w:pPr>
        <w:spacing w:before="100" w:beforeAutospacing="1" w:after="100" w:afterAutospacing="1"/>
        <w:jc w:val="both"/>
        <w:rPr>
          <w:rFonts w:ascii="Arial Narrow" w:eastAsia="Times New Roman" w:hAnsi="Arial Narrow" w:cs="Arial"/>
          <w:kern w:val="0"/>
          <w:sz w:val="24"/>
          <w:szCs w:val="24"/>
          <w:lang w:eastAsia="fr-FR"/>
          <w14:ligatures w14:val="none"/>
        </w:rPr>
      </w:pPr>
      <w:r w:rsidRPr="007E7C5B">
        <w:rPr>
          <w:rFonts w:ascii="Arial Narrow" w:eastAsia="Times New Roman" w:hAnsi="Arial Narrow" w:cs="Arial"/>
          <w:b/>
          <w:i/>
          <w:kern w:val="0"/>
          <w:sz w:val="24"/>
          <w:szCs w:val="24"/>
          <w:lang w:eastAsia="fr-FR"/>
          <w14:ligatures w14:val="none"/>
        </w:rPr>
        <w:t>Pour la prise en charge</w:t>
      </w:r>
      <w:r w:rsidRPr="007E7C5B">
        <w:rPr>
          <w:rFonts w:ascii="Arial Narrow" w:eastAsia="Times New Roman" w:hAnsi="Arial Narrow" w:cs="Arial"/>
          <w:kern w:val="0"/>
          <w:sz w:val="24"/>
          <w:szCs w:val="24"/>
          <w:lang w:eastAsia="fr-FR"/>
          <w14:ligatures w14:val="none"/>
        </w:rPr>
        <w:t xml:space="preserve">, </w:t>
      </w:r>
      <w:r w:rsidRPr="00A918AC">
        <w:rPr>
          <w:rFonts w:ascii="Arial Narrow" w:eastAsia="Times New Roman" w:hAnsi="Arial Narrow" w:cs="Arial"/>
          <w:kern w:val="0"/>
          <w:sz w:val="24"/>
          <w:szCs w:val="24"/>
          <w:lang w:eastAsia="fr-FR"/>
          <w14:ligatures w14:val="none"/>
        </w:rPr>
        <w:t>7 302 personnes</w:t>
      </w:r>
      <w:r w:rsidRPr="007E7C5B">
        <w:rPr>
          <w:rFonts w:ascii="Arial Narrow" w:eastAsia="Times New Roman" w:hAnsi="Arial Narrow" w:cs="Arial"/>
          <w:kern w:val="0"/>
          <w:sz w:val="24"/>
          <w:szCs w:val="24"/>
          <w:lang w:eastAsia="fr-FR"/>
          <w14:ligatures w14:val="none"/>
        </w:rPr>
        <w:t xml:space="preserve"> ont </w:t>
      </w:r>
      <w:r w:rsidRPr="007E7C5B">
        <w:rPr>
          <w:rFonts w:ascii="Arial Narrow" w:eastAsia="Times New Roman" w:hAnsi="Arial Narrow" w:cs="Arial"/>
          <w:bCs/>
          <w:kern w:val="0"/>
          <w:sz w:val="24"/>
          <w:szCs w:val="24"/>
          <w:lang w:eastAsia="fr-FR"/>
          <w14:ligatures w14:val="none"/>
        </w:rPr>
        <w:t>bénéfici</w:t>
      </w:r>
      <w:r w:rsidR="00E21F38" w:rsidRPr="007E7C5B">
        <w:rPr>
          <w:rFonts w:ascii="Arial Narrow" w:eastAsia="Times New Roman" w:hAnsi="Arial Narrow" w:cs="Arial"/>
          <w:bCs/>
          <w:kern w:val="0"/>
          <w:sz w:val="24"/>
          <w:szCs w:val="24"/>
          <w:lang w:eastAsia="fr-FR"/>
          <w14:ligatures w14:val="none"/>
        </w:rPr>
        <w:t>é</w:t>
      </w:r>
      <w:r w:rsidRPr="007E7C5B">
        <w:rPr>
          <w:rFonts w:ascii="Arial Narrow" w:eastAsia="Times New Roman" w:hAnsi="Arial Narrow" w:cs="Arial"/>
          <w:kern w:val="0"/>
          <w:sz w:val="24"/>
          <w:szCs w:val="24"/>
          <w:lang w:eastAsia="fr-FR"/>
          <w14:ligatures w14:val="none"/>
        </w:rPr>
        <w:t xml:space="preserve"> d'une chirurgie gratuite de la cataracte dans les régions</w:t>
      </w:r>
      <w:r w:rsidR="008C17A1" w:rsidRPr="007E7C5B">
        <w:rPr>
          <w:rFonts w:ascii="Arial Narrow" w:eastAsia="Times New Roman" w:hAnsi="Arial Narrow" w:cs="Arial"/>
          <w:bCs/>
          <w:kern w:val="0"/>
          <w:sz w:val="24"/>
          <w:szCs w:val="24"/>
          <w:lang w:eastAsia="fr-FR"/>
          <w14:ligatures w14:val="none"/>
        </w:rPr>
        <w:t xml:space="preserve"> </w:t>
      </w:r>
      <w:r w:rsidR="004255B9" w:rsidRPr="007E7C5B">
        <w:rPr>
          <w:rFonts w:ascii="Arial Narrow" w:eastAsia="Times New Roman" w:hAnsi="Arial Narrow" w:cs="Arial"/>
          <w:bCs/>
          <w:kern w:val="0"/>
          <w:sz w:val="24"/>
          <w:szCs w:val="24"/>
          <w:lang w:eastAsia="fr-FR"/>
          <w14:ligatures w14:val="none"/>
        </w:rPr>
        <w:t>sus-évoquées</w:t>
      </w:r>
      <w:r w:rsidR="005F4AD9" w:rsidRPr="007E7C5B">
        <w:rPr>
          <w:rFonts w:ascii="Arial Narrow" w:eastAsia="Times New Roman" w:hAnsi="Arial Narrow" w:cs="Arial"/>
          <w:bCs/>
          <w:kern w:val="0"/>
          <w:sz w:val="24"/>
          <w:szCs w:val="24"/>
          <w:lang w:eastAsia="fr-FR"/>
          <w14:ligatures w14:val="none"/>
        </w:rPr>
        <w:t>.</w:t>
      </w:r>
      <w:r w:rsidRPr="007E7C5B">
        <w:rPr>
          <w:rFonts w:ascii="Arial Narrow" w:eastAsia="Times New Roman" w:hAnsi="Arial Narrow" w:cs="Arial"/>
          <w:kern w:val="0"/>
          <w:sz w:val="24"/>
          <w:szCs w:val="24"/>
          <w:lang w:eastAsia="fr-FR"/>
          <w14:ligatures w14:val="none"/>
        </w:rPr>
        <w:t xml:space="preserve"> </w:t>
      </w:r>
      <w:r w:rsidRPr="00A918AC">
        <w:rPr>
          <w:rFonts w:ascii="Arial Narrow" w:eastAsia="Times New Roman" w:hAnsi="Arial Narrow" w:cs="Arial"/>
          <w:kern w:val="0"/>
          <w:sz w:val="24"/>
          <w:szCs w:val="24"/>
          <w:lang w:eastAsia="fr-FR"/>
          <w14:ligatures w14:val="none"/>
        </w:rPr>
        <w:t>2 480 paires de lunettes de correction</w:t>
      </w:r>
      <w:r w:rsidRPr="007E7C5B">
        <w:rPr>
          <w:rFonts w:ascii="Arial Narrow" w:eastAsia="Times New Roman" w:hAnsi="Arial Narrow" w:cs="Arial"/>
          <w:kern w:val="0"/>
          <w:sz w:val="24"/>
          <w:szCs w:val="24"/>
          <w:lang w:eastAsia="fr-FR"/>
          <w14:ligatures w14:val="none"/>
        </w:rPr>
        <w:t xml:space="preserve"> ont été distribuées dans les régions d’Abidjan 2, du </w:t>
      </w:r>
      <w:proofErr w:type="spellStart"/>
      <w:r w:rsidRPr="007E7C5B">
        <w:rPr>
          <w:rFonts w:ascii="Arial Narrow" w:eastAsia="Times New Roman" w:hAnsi="Arial Narrow" w:cs="Arial"/>
          <w:kern w:val="0"/>
          <w:sz w:val="24"/>
          <w:szCs w:val="24"/>
          <w:lang w:eastAsia="fr-FR"/>
          <w14:ligatures w14:val="none"/>
        </w:rPr>
        <w:t>Poro</w:t>
      </w:r>
      <w:proofErr w:type="spellEnd"/>
      <w:r w:rsidRPr="007E7C5B">
        <w:rPr>
          <w:rFonts w:ascii="Arial Narrow" w:eastAsia="Times New Roman" w:hAnsi="Arial Narrow" w:cs="Arial"/>
          <w:kern w:val="0"/>
          <w:sz w:val="24"/>
          <w:szCs w:val="24"/>
          <w:lang w:eastAsia="fr-FR"/>
          <w14:ligatures w14:val="none"/>
        </w:rPr>
        <w:t xml:space="preserve"> et du </w:t>
      </w:r>
      <w:proofErr w:type="spellStart"/>
      <w:r w:rsidRPr="007E7C5B">
        <w:rPr>
          <w:rFonts w:ascii="Arial Narrow" w:eastAsia="Times New Roman" w:hAnsi="Arial Narrow" w:cs="Arial"/>
          <w:kern w:val="0"/>
          <w:sz w:val="24"/>
          <w:szCs w:val="24"/>
          <w:lang w:eastAsia="fr-FR"/>
          <w14:ligatures w14:val="none"/>
        </w:rPr>
        <w:t>Gbêkê</w:t>
      </w:r>
      <w:proofErr w:type="spellEnd"/>
      <w:r w:rsidRPr="007E7C5B">
        <w:rPr>
          <w:rFonts w:ascii="Arial Narrow" w:eastAsia="Times New Roman" w:hAnsi="Arial Narrow" w:cs="Arial"/>
          <w:kern w:val="0"/>
          <w:sz w:val="24"/>
          <w:szCs w:val="24"/>
          <w:lang w:eastAsia="fr-FR"/>
          <w14:ligatures w14:val="none"/>
        </w:rPr>
        <w:t xml:space="preserve">. En outre, </w:t>
      </w:r>
      <w:r w:rsidRPr="007E7C5B">
        <w:rPr>
          <w:rFonts w:ascii="Arial Narrow" w:hAnsi="Arial Narrow" w:cs="Arial"/>
          <w:sz w:val="24"/>
          <w:szCs w:val="24"/>
        </w:rPr>
        <w:t>le CHR de Korhogo et le CHU de Bouaké ont été équipés en plateaux techniques pour la prise en charge des basses visions</w:t>
      </w:r>
      <w:r w:rsidR="00CB08E7" w:rsidRPr="007E7C5B">
        <w:rPr>
          <w:rFonts w:ascii="Arial Narrow" w:hAnsi="Arial Narrow" w:cs="Arial"/>
          <w:sz w:val="24"/>
          <w:szCs w:val="24"/>
        </w:rPr>
        <w:t>.</w:t>
      </w:r>
      <w:r w:rsidRPr="007E7C5B">
        <w:rPr>
          <w:rFonts w:ascii="Arial Narrow" w:hAnsi="Arial Narrow" w:cs="Arial"/>
          <w:sz w:val="24"/>
          <w:szCs w:val="24"/>
        </w:rPr>
        <w:t xml:space="preserve"> </w:t>
      </w:r>
      <w:r w:rsidR="0069002F" w:rsidRPr="007E7C5B">
        <w:rPr>
          <w:rFonts w:ascii="Arial Narrow" w:hAnsi="Arial Narrow" w:cs="Arial"/>
          <w:sz w:val="24"/>
          <w:szCs w:val="24"/>
        </w:rPr>
        <w:t>L</w:t>
      </w:r>
      <w:r w:rsidRPr="007E7C5B">
        <w:rPr>
          <w:rFonts w:ascii="Arial Narrow" w:hAnsi="Arial Narrow" w:cs="Arial"/>
          <w:sz w:val="24"/>
          <w:szCs w:val="24"/>
        </w:rPr>
        <w:t>e CHU de Bouaké a</w:t>
      </w:r>
      <w:r w:rsidR="004258F6" w:rsidRPr="007E7C5B">
        <w:rPr>
          <w:rFonts w:ascii="Arial Narrow" w:hAnsi="Arial Narrow" w:cs="Arial"/>
          <w:sz w:val="24"/>
          <w:szCs w:val="24"/>
        </w:rPr>
        <w:t xml:space="preserve"> </w:t>
      </w:r>
      <w:r w:rsidR="001C31FF" w:rsidRPr="007E7C5B">
        <w:rPr>
          <w:rFonts w:ascii="Arial Narrow" w:hAnsi="Arial Narrow" w:cs="Arial"/>
          <w:sz w:val="24"/>
          <w:szCs w:val="24"/>
        </w:rPr>
        <w:t>également</w:t>
      </w:r>
      <w:r w:rsidRPr="007E7C5B">
        <w:rPr>
          <w:rFonts w:ascii="Arial Narrow" w:hAnsi="Arial Narrow" w:cs="Arial"/>
          <w:sz w:val="24"/>
          <w:szCs w:val="24"/>
        </w:rPr>
        <w:t xml:space="preserve"> été équipé en </w:t>
      </w:r>
      <w:r w:rsidR="0053203C" w:rsidRPr="007E7C5B">
        <w:rPr>
          <w:rFonts w:ascii="Arial Narrow" w:hAnsi="Arial Narrow" w:cs="Arial"/>
          <w:sz w:val="24"/>
          <w:szCs w:val="24"/>
        </w:rPr>
        <w:t>c</w:t>
      </w:r>
      <w:r w:rsidRPr="007E7C5B">
        <w:rPr>
          <w:rFonts w:ascii="Arial Narrow" w:hAnsi="Arial Narrow" w:cs="Arial"/>
          <w:sz w:val="24"/>
          <w:szCs w:val="24"/>
        </w:rPr>
        <w:t xml:space="preserve">hamp visuel et en </w:t>
      </w:r>
      <w:proofErr w:type="spellStart"/>
      <w:r w:rsidR="0053203C" w:rsidRPr="007E7C5B">
        <w:rPr>
          <w:rFonts w:ascii="Arial Narrow" w:hAnsi="Arial Narrow" w:cs="Arial"/>
          <w:sz w:val="24"/>
          <w:szCs w:val="24"/>
        </w:rPr>
        <w:t>p</w:t>
      </w:r>
      <w:r w:rsidRPr="007E7C5B">
        <w:rPr>
          <w:rFonts w:ascii="Arial Narrow" w:hAnsi="Arial Narrow" w:cs="Arial"/>
          <w:sz w:val="24"/>
          <w:szCs w:val="24"/>
        </w:rPr>
        <w:t>hacoémulsificateur</w:t>
      </w:r>
      <w:proofErr w:type="spellEnd"/>
      <w:r w:rsidRPr="007E7C5B">
        <w:rPr>
          <w:rFonts w:ascii="Arial Narrow" w:hAnsi="Arial Narrow" w:cs="Arial"/>
          <w:sz w:val="24"/>
          <w:szCs w:val="24"/>
        </w:rPr>
        <w:t xml:space="preserve"> pour la réalisation de la chirurgie de la cataracte. Aussi, </w:t>
      </w:r>
      <w:r w:rsidR="00BA7847" w:rsidRPr="007E7C5B">
        <w:rPr>
          <w:rFonts w:ascii="Arial Narrow" w:hAnsi="Arial Narrow" w:cs="Arial"/>
          <w:sz w:val="24"/>
          <w:szCs w:val="24"/>
        </w:rPr>
        <w:t xml:space="preserve">02 ophtalmologistes ont vu </w:t>
      </w:r>
      <w:r w:rsidR="0045695B" w:rsidRPr="007E7C5B">
        <w:rPr>
          <w:rFonts w:ascii="Arial Narrow" w:hAnsi="Arial Narrow" w:cs="Arial"/>
          <w:sz w:val="24"/>
          <w:szCs w:val="24"/>
        </w:rPr>
        <w:t>leurs capacités renforcées</w:t>
      </w:r>
      <w:r w:rsidRPr="007E7C5B">
        <w:rPr>
          <w:rFonts w:ascii="Arial Narrow" w:hAnsi="Arial Narrow" w:cs="Arial"/>
          <w:sz w:val="24"/>
          <w:szCs w:val="24"/>
        </w:rPr>
        <w:t xml:space="preserve"> en rétinoscopie et réfraction.</w:t>
      </w:r>
    </w:p>
    <w:p w14:paraId="35BAA79B" w14:textId="779C86C5" w:rsidR="001B4F77" w:rsidRPr="007E7C5B" w:rsidRDefault="001B4F77" w:rsidP="00761F55">
      <w:pPr>
        <w:jc w:val="both"/>
        <w:rPr>
          <w:rFonts w:ascii="Arial Narrow" w:eastAsia="Times New Roman" w:hAnsi="Arial Narrow" w:cs="Arial"/>
          <w:b/>
          <w:kern w:val="0"/>
          <w:sz w:val="24"/>
          <w:szCs w:val="24"/>
          <w:u w:val="single"/>
          <w:lang w:eastAsia="fr-FR"/>
          <w14:ligatures w14:val="none"/>
        </w:rPr>
      </w:pPr>
      <w:r w:rsidRPr="007E7C5B">
        <w:rPr>
          <w:rFonts w:ascii="Arial Narrow" w:eastAsia="Times New Roman" w:hAnsi="Arial Narrow" w:cs="Arial"/>
          <w:b/>
          <w:kern w:val="0"/>
          <w:sz w:val="24"/>
          <w:szCs w:val="24"/>
          <w:u w:val="single"/>
          <w:lang w:eastAsia="fr-FR"/>
          <w14:ligatures w14:val="none"/>
        </w:rPr>
        <w:t xml:space="preserve">Santé </w:t>
      </w:r>
      <w:r w:rsidR="00A312A7" w:rsidRPr="007E7C5B">
        <w:rPr>
          <w:rFonts w:ascii="Arial Narrow" w:eastAsia="Times New Roman" w:hAnsi="Arial Narrow" w:cs="Arial"/>
          <w:b/>
          <w:kern w:val="0"/>
          <w:sz w:val="24"/>
          <w:szCs w:val="24"/>
          <w:u w:val="single"/>
          <w:lang w:eastAsia="fr-FR"/>
          <w14:ligatures w14:val="none"/>
        </w:rPr>
        <w:t>m</w:t>
      </w:r>
      <w:r w:rsidRPr="007E7C5B">
        <w:rPr>
          <w:rFonts w:ascii="Arial Narrow" w:eastAsia="Times New Roman" w:hAnsi="Arial Narrow" w:cs="Arial"/>
          <w:b/>
          <w:kern w:val="0"/>
          <w:sz w:val="24"/>
          <w:szCs w:val="24"/>
          <w:u w:val="single"/>
          <w:lang w:eastAsia="fr-FR"/>
          <w14:ligatures w14:val="none"/>
        </w:rPr>
        <w:t>entale</w:t>
      </w:r>
    </w:p>
    <w:p w14:paraId="53141366" w14:textId="77777777" w:rsidR="0057154B" w:rsidRPr="00D15AE6" w:rsidRDefault="0057154B" w:rsidP="0057154B">
      <w:pPr>
        <w:jc w:val="both"/>
        <w:rPr>
          <w:rFonts w:ascii="Arial Narrow" w:eastAsia="Times New Roman" w:hAnsi="Arial Narrow" w:cs="Arial"/>
          <w:kern w:val="0"/>
          <w:sz w:val="24"/>
          <w:szCs w:val="24"/>
          <w:lang w:eastAsia="fr-FR"/>
          <w14:ligatures w14:val="none"/>
        </w:rPr>
      </w:pPr>
      <w:r w:rsidRPr="00D15AE6">
        <w:rPr>
          <w:rFonts w:ascii="Arial Narrow" w:eastAsia="Times New Roman" w:hAnsi="Arial Narrow" w:cs="Arial"/>
          <w:b/>
          <w:kern w:val="0"/>
          <w:sz w:val="24"/>
          <w:szCs w:val="24"/>
          <w:lang w:eastAsia="fr-FR"/>
          <w14:ligatures w14:val="none"/>
        </w:rPr>
        <w:t>En</w:t>
      </w:r>
      <w:r>
        <w:rPr>
          <w:rFonts w:ascii="Arial Narrow" w:eastAsia="Times New Roman" w:hAnsi="Arial Narrow" w:cs="Arial"/>
          <w:b/>
          <w:kern w:val="0"/>
          <w:sz w:val="24"/>
          <w:szCs w:val="24"/>
          <w:lang w:eastAsia="fr-FR"/>
          <w14:ligatures w14:val="none"/>
        </w:rPr>
        <w:t xml:space="preserve"> matière</w:t>
      </w:r>
      <w:r w:rsidRPr="00D15AE6">
        <w:rPr>
          <w:rFonts w:ascii="Arial Narrow" w:eastAsia="Times New Roman" w:hAnsi="Arial Narrow" w:cs="Arial"/>
          <w:b/>
          <w:kern w:val="0"/>
          <w:sz w:val="24"/>
          <w:szCs w:val="24"/>
          <w:lang w:eastAsia="fr-FR"/>
          <w14:ligatures w14:val="none"/>
        </w:rPr>
        <w:t xml:space="preserve"> de gouvernance</w:t>
      </w:r>
      <w:r w:rsidRPr="00D15AE6">
        <w:rPr>
          <w:rFonts w:ascii="Arial Narrow" w:eastAsia="Times New Roman" w:hAnsi="Arial Narrow" w:cs="Arial"/>
          <w:kern w:val="0"/>
          <w:sz w:val="24"/>
          <w:szCs w:val="24"/>
          <w:lang w:eastAsia="fr-FR"/>
          <w14:ligatures w14:val="none"/>
        </w:rPr>
        <w:t>, le ministère en charge de la santé s’est doté d’un plan national stratégique pour la santé mentale 2023-2025, marquant un engagement renforcé envers la gestion des troubles mentaux dans le pays. Également, des directives spécifiques ont été élaborées pour la prise en charge de la santé mentale au travail, ainsi que pour l’autisme et les troubles neurodéveloppementaux</w:t>
      </w:r>
      <w:r>
        <w:rPr>
          <w:rFonts w:ascii="Arial Narrow" w:eastAsia="Times New Roman" w:hAnsi="Arial Narrow" w:cs="Arial"/>
          <w:kern w:val="0"/>
          <w:sz w:val="24"/>
          <w:szCs w:val="24"/>
          <w:lang w:eastAsia="fr-FR"/>
          <w14:ligatures w14:val="none"/>
        </w:rPr>
        <w:t>.</w:t>
      </w:r>
    </w:p>
    <w:p w14:paraId="4439150F" w14:textId="2592A590" w:rsidR="0057154B" w:rsidRPr="0044167B" w:rsidRDefault="0057154B" w:rsidP="0057154B">
      <w:pPr>
        <w:spacing w:before="100" w:beforeAutospacing="1" w:after="100" w:afterAutospacing="1"/>
        <w:jc w:val="both"/>
        <w:rPr>
          <w:rFonts w:ascii="Arial Narrow" w:eastAsia="Times New Roman" w:hAnsi="Arial Narrow" w:cs="Arial"/>
          <w:color w:val="FF0000"/>
          <w:kern w:val="0"/>
          <w:sz w:val="24"/>
          <w:szCs w:val="24"/>
          <w:lang w:eastAsia="fr-FR"/>
          <w14:ligatures w14:val="none"/>
        </w:rPr>
      </w:pPr>
      <w:r>
        <w:rPr>
          <w:rFonts w:ascii="Arial Narrow" w:eastAsia="Times New Roman" w:hAnsi="Arial Narrow" w:cs="Arial"/>
          <w:b/>
          <w:bCs/>
          <w:kern w:val="0"/>
          <w:sz w:val="24"/>
          <w:szCs w:val="24"/>
          <w:lang w:eastAsia="fr-FR"/>
          <w14:ligatures w14:val="none"/>
        </w:rPr>
        <w:t>En ce qui concerne</w:t>
      </w:r>
      <w:r w:rsidRPr="003E14DD">
        <w:rPr>
          <w:rFonts w:ascii="Arial Narrow" w:eastAsia="Times New Roman" w:hAnsi="Arial Narrow" w:cs="Arial"/>
          <w:b/>
          <w:bCs/>
          <w:kern w:val="0"/>
          <w:sz w:val="24"/>
          <w:szCs w:val="24"/>
          <w:lang w:eastAsia="fr-FR"/>
          <w14:ligatures w14:val="none"/>
        </w:rPr>
        <w:t xml:space="preserve"> la</w:t>
      </w:r>
      <w:r>
        <w:rPr>
          <w:rFonts w:ascii="Arial Narrow" w:eastAsia="Times New Roman" w:hAnsi="Arial Narrow" w:cs="Arial"/>
          <w:b/>
          <w:bCs/>
          <w:kern w:val="0"/>
          <w:sz w:val="24"/>
          <w:szCs w:val="24"/>
          <w:lang w:eastAsia="fr-FR"/>
          <w14:ligatures w14:val="none"/>
        </w:rPr>
        <w:t xml:space="preserve"> </w:t>
      </w:r>
      <w:r w:rsidRPr="002E1FD3">
        <w:rPr>
          <w:rFonts w:ascii="Arial Narrow" w:eastAsia="Times New Roman" w:hAnsi="Arial Narrow" w:cs="Arial"/>
          <w:b/>
          <w:bCs/>
          <w:kern w:val="0"/>
          <w:sz w:val="24"/>
          <w:szCs w:val="24"/>
          <w:lang w:eastAsia="fr-FR"/>
          <w14:ligatures w14:val="none"/>
        </w:rPr>
        <w:t>disponibilité</w:t>
      </w:r>
      <w:r w:rsidR="00F21C7B">
        <w:rPr>
          <w:rFonts w:ascii="Arial Narrow" w:eastAsia="Times New Roman" w:hAnsi="Arial Narrow" w:cs="Arial"/>
          <w:b/>
          <w:bCs/>
          <w:kern w:val="0"/>
          <w:sz w:val="24"/>
          <w:szCs w:val="24"/>
          <w:lang w:eastAsia="fr-FR"/>
          <w14:ligatures w14:val="none"/>
        </w:rPr>
        <w:t xml:space="preserve"> des services</w:t>
      </w:r>
      <w:r w:rsidRPr="003E14DD">
        <w:rPr>
          <w:rFonts w:ascii="Arial Narrow" w:eastAsia="Times New Roman" w:hAnsi="Arial Narrow" w:cs="Arial"/>
          <w:bCs/>
          <w:kern w:val="0"/>
          <w:sz w:val="24"/>
          <w:szCs w:val="24"/>
          <w:lang w:eastAsia="fr-FR"/>
          <w14:ligatures w14:val="none"/>
        </w:rPr>
        <w:t>,</w:t>
      </w:r>
      <w:r w:rsidR="001C029E">
        <w:rPr>
          <w:rFonts w:ascii="Arial Narrow" w:eastAsia="Times New Roman" w:hAnsi="Arial Narrow" w:cs="Arial"/>
          <w:bCs/>
          <w:kern w:val="0"/>
          <w:sz w:val="24"/>
          <w:szCs w:val="24"/>
          <w:lang w:eastAsia="fr-FR"/>
          <w14:ligatures w14:val="none"/>
        </w:rPr>
        <w:t xml:space="preserve"> sur</w:t>
      </w:r>
      <w:r w:rsidR="001C029E" w:rsidRPr="00C4153B">
        <w:rPr>
          <w:rFonts w:ascii="Arial Narrow" w:eastAsia="Times New Roman" w:hAnsi="Arial Narrow" w:cs="Arial"/>
          <w:color w:val="FF0000"/>
          <w:kern w:val="0"/>
          <w:sz w:val="24"/>
          <w:szCs w:val="24"/>
          <w:lang w:eastAsia="fr-FR"/>
          <w14:ligatures w14:val="none"/>
        </w:rPr>
        <w:t xml:space="preserve"> </w:t>
      </w:r>
      <w:r w:rsidR="001C029E" w:rsidRPr="0044167B">
        <w:rPr>
          <w:rFonts w:ascii="Arial Narrow" w:eastAsia="Times New Roman" w:hAnsi="Arial Narrow" w:cs="Arial"/>
          <w:kern w:val="0"/>
          <w:sz w:val="24"/>
          <w:szCs w:val="24"/>
          <w:lang w:eastAsia="fr-FR"/>
          <w14:ligatures w14:val="none"/>
        </w:rPr>
        <w:t xml:space="preserve">60 services de santé mentale </w:t>
      </w:r>
      <w:r w:rsidR="001C029E" w:rsidRPr="00F21C7B">
        <w:rPr>
          <w:rFonts w:ascii="Arial Narrow" w:eastAsia="Times New Roman" w:hAnsi="Arial Narrow" w:cs="Arial"/>
          <w:bCs/>
          <w:kern w:val="0"/>
          <w:sz w:val="24"/>
          <w:szCs w:val="24"/>
          <w:lang w:eastAsia="fr-FR"/>
          <w14:ligatures w14:val="none"/>
        </w:rPr>
        <w:t>repartis sur l’ensemble des 10 PRES</w:t>
      </w:r>
      <w:r w:rsidR="001C029E" w:rsidRPr="0044167B">
        <w:rPr>
          <w:rFonts w:ascii="Arial Narrow" w:eastAsia="Times New Roman" w:hAnsi="Arial Narrow" w:cs="Arial"/>
          <w:kern w:val="0"/>
          <w:sz w:val="24"/>
          <w:szCs w:val="24"/>
          <w:lang w:eastAsia="fr-FR"/>
          <w14:ligatures w14:val="none"/>
        </w:rPr>
        <w:t xml:space="preserve">, </w:t>
      </w:r>
      <w:proofErr w:type="gramStart"/>
      <w:r w:rsidR="001C029E" w:rsidRPr="0044167B">
        <w:rPr>
          <w:rFonts w:ascii="Arial Narrow" w:eastAsia="Times New Roman" w:hAnsi="Arial Narrow" w:cs="Arial"/>
          <w:kern w:val="0"/>
          <w:sz w:val="24"/>
          <w:szCs w:val="24"/>
          <w:lang w:eastAsia="fr-FR"/>
          <w14:ligatures w14:val="none"/>
        </w:rPr>
        <w:t>le PRES d’Abidjan</w:t>
      </w:r>
      <w:proofErr w:type="gramEnd"/>
      <w:r w:rsidR="001C029E" w:rsidRPr="0044167B">
        <w:rPr>
          <w:rFonts w:ascii="Arial Narrow" w:eastAsia="Times New Roman" w:hAnsi="Arial Narrow" w:cs="Arial"/>
          <w:kern w:val="0"/>
          <w:sz w:val="24"/>
          <w:szCs w:val="24"/>
          <w:lang w:eastAsia="fr-FR"/>
          <w14:ligatures w14:val="none"/>
        </w:rPr>
        <w:t xml:space="preserve"> en compte 39 soit 65% suivi du PRES de Yamoussoukro 10% et du PRES de Bouaké 5%.</w:t>
      </w:r>
      <w:r w:rsidR="00F21C7B" w:rsidRPr="0044167B">
        <w:rPr>
          <w:rFonts w:ascii="Arial Narrow" w:eastAsia="Times New Roman" w:hAnsi="Arial Narrow" w:cs="Arial"/>
          <w:kern w:val="0"/>
          <w:sz w:val="24"/>
          <w:szCs w:val="24"/>
          <w:lang w:eastAsia="fr-FR"/>
          <w14:ligatures w14:val="none"/>
        </w:rPr>
        <w:t xml:space="preserve"> Pour ce qui est des </w:t>
      </w:r>
      <w:r w:rsidRPr="00F21C7B">
        <w:rPr>
          <w:rFonts w:ascii="Arial Narrow" w:eastAsia="Times New Roman" w:hAnsi="Arial Narrow" w:cs="Arial"/>
          <w:bCs/>
          <w:iCs/>
          <w:kern w:val="0"/>
          <w:sz w:val="24"/>
          <w:szCs w:val="24"/>
          <w:lang w:eastAsia="fr-FR"/>
          <w14:ligatures w14:val="none"/>
        </w:rPr>
        <w:t>structures non conventionnelles</w:t>
      </w:r>
      <w:r w:rsidR="009F797B">
        <w:rPr>
          <w:rStyle w:val="Appelnotedebasdep"/>
          <w:rFonts w:ascii="Arial Narrow" w:eastAsia="Times New Roman" w:hAnsi="Arial Narrow" w:cs="Arial"/>
          <w:bCs/>
          <w:iCs/>
          <w:kern w:val="0"/>
          <w:sz w:val="24"/>
          <w:szCs w:val="24"/>
          <w:lang w:eastAsia="fr-FR"/>
          <w14:ligatures w14:val="none"/>
        </w:rPr>
        <w:footnoteReference w:id="23"/>
      </w:r>
      <w:r w:rsidR="00F21C7B" w:rsidRPr="0044167B">
        <w:rPr>
          <w:rFonts w:ascii="Arial Narrow" w:eastAsia="Times New Roman" w:hAnsi="Arial Narrow" w:cs="Arial"/>
          <w:bCs/>
          <w:kern w:val="0"/>
          <w:sz w:val="24"/>
          <w:szCs w:val="24"/>
          <w:lang w:eastAsia="fr-FR"/>
          <w14:ligatures w14:val="none"/>
        </w:rPr>
        <w:t>,</w:t>
      </w:r>
      <w:r w:rsidR="00F21C7B" w:rsidRPr="0044167B">
        <w:rPr>
          <w:rFonts w:ascii="Arial Narrow" w:eastAsia="Times New Roman" w:hAnsi="Arial Narrow" w:cs="Arial"/>
          <w:bCs/>
          <w:iCs/>
          <w:kern w:val="0"/>
          <w:sz w:val="24"/>
          <w:szCs w:val="24"/>
          <w:lang w:eastAsia="fr-FR"/>
          <w14:ligatures w14:val="none"/>
        </w:rPr>
        <w:t xml:space="preserve"> </w:t>
      </w:r>
      <w:r w:rsidR="00F21C7B" w:rsidRPr="00F21C7B">
        <w:rPr>
          <w:rFonts w:ascii="Arial Narrow" w:eastAsia="Times New Roman" w:hAnsi="Arial Narrow" w:cs="Arial"/>
          <w:bCs/>
          <w:iCs/>
          <w:kern w:val="0"/>
          <w:sz w:val="24"/>
          <w:szCs w:val="24"/>
          <w:lang w:eastAsia="fr-FR"/>
          <w14:ligatures w14:val="none"/>
        </w:rPr>
        <w:t xml:space="preserve">541 </w:t>
      </w:r>
      <w:r w:rsidRPr="00D15AE6">
        <w:rPr>
          <w:rFonts w:ascii="Arial Narrow" w:eastAsia="Times New Roman" w:hAnsi="Arial Narrow" w:cs="Arial"/>
          <w:bCs/>
          <w:iCs/>
          <w:kern w:val="0"/>
          <w:sz w:val="24"/>
          <w:szCs w:val="24"/>
          <w:lang w:eastAsia="fr-FR"/>
          <w14:ligatures w14:val="none"/>
        </w:rPr>
        <w:t>offrent les services de santé mentale en Côte d’Ivoire.</w:t>
      </w:r>
      <w:r>
        <w:rPr>
          <w:rFonts w:ascii="Arial Narrow" w:eastAsia="Times New Roman" w:hAnsi="Arial Narrow" w:cs="Arial"/>
          <w:bCs/>
          <w:iCs/>
          <w:kern w:val="0"/>
          <w:sz w:val="24"/>
          <w:szCs w:val="24"/>
          <w:lang w:eastAsia="fr-FR"/>
          <w14:ligatures w14:val="none"/>
        </w:rPr>
        <w:t xml:space="preserve"> </w:t>
      </w:r>
      <w:r>
        <w:rPr>
          <w:rFonts w:ascii="Arial Narrow" w:eastAsia="Times New Roman" w:hAnsi="Arial Narrow" w:cs="Arial"/>
          <w:kern w:val="0"/>
          <w:sz w:val="24"/>
          <w:szCs w:val="24"/>
          <w:lang w:eastAsia="fr-FR"/>
          <w14:ligatures w14:val="none"/>
        </w:rPr>
        <w:t>Aussi, o</w:t>
      </w:r>
      <w:r w:rsidRPr="00D15AE6">
        <w:rPr>
          <w:rFonts w:ascii="Arial Narrow" w:eastAsia="Times New Roman" w:hAnsi="Arial Narrow" w:cs="Arial"/>
          <w:kern w:val="0"/>
          <w:sz w:val="24"/>
          <w:szCs w:val="24"/>
          <w:lang w:eastAsia="fr-FR"/>
          <w14:ligatures w14:val="none"/>
        </w:rPr>
        <w:t>n dénombre environ 110 spécialistes en santé mentale avec une concentration dans le PRES d’Abidjan (65%)</w:t>
      </w:r>
      <w:r>
        <w:rPr>
          <w:rFonts w:ascii="Arial Narrow" w:eastAsia="Times New Roman" w:hAnsi="Arial Narrow" w:cs="Arial"/>
          <w:kern w:val="0"/>
          <w:sz w:val="24"/>
          <w:szCs w:val="24"/>
          <w:lang w:eastAsia="fr-FR"/>
          <w14:ligatures w14:val="none"/>
        </w:rPr>
        <w:t>.</w:t>
      </w:r>
      <w:r>
        <w:rPr>
          <w:rFonts w:ascii="Arial Narrow" w:eastAsia="Times New Roman" w:hAnsi="Arial Narrow" w:cs="Arial"/>
          <w:bCs/>
          <w:iCs/>
          <w:kern w:val="0"/>
          <w:sz w:val="24"/>
          <w:szCs w:val="24"/>
          <w:lang w:eastAsia="fr-FR"/>
          <w14:ligatures w14:val="none"/>
        </w:rPr>
        <w:t xml:space="preserve"> D</w:t>
      </w:r>
      <w:r w:rsidRPr="00DE2833">
        <w:rPr>
          <w:rFonts w:ascii="Arial Narrow" w:eastAsia="Times New Roman" w:hAnsi="Arial Narrow" w:cs="Arial"/>
          <w:kern w:val="0"/>
          <w:sz w:val="24"/>
          <w:szCs w:val="24"/>
          <w:lang w:eastAsia="fr-FR"/>
          <w14:ligatures w14:val="none"/>
        </w:rPr>
        <w:t xml:space="preserve">es actions menées par le programme ont permis d’intégrer la profession d’Orthophoniste à la fonction publique. Au titre de l’année 2023, on dénombre </w:t>
      </w:r>
      <w:r w:rsidRPr="00DE2833">
        <w:rPr>
          <w:rFonts w:ascii="Arial Narrow" w:eastAsia="Times New Roman" w:hAnsi="Arial Narrow" w:cs="Arial"/>
          <w:bCs/>
          <w:kern w:val="0"/>
          <w:sz w:val="24"/>
          <w:szCs w:val="24"/>
          <w:lang w:eastAsia="fr-FR"/>
          <w14:ligatures w14:val="none"/>
        </w:rPr>
        <w:t>23 Orthophonistes</w:t>
      </w:r>
      <w:r w:rsidRPr="00DE2833">
        <w:rPr>
          <w:rFonts w:ascii="Arial Narrow" w:eastAsia="Times New Roman" w:hAnsi="Arial Narrow" w:cs="Arial"/>
          <w:kern w:val="0"/>
          <w:sz w:val="24"/>
          <w:szCs w:val="24"/>
          <w:lang w:eastAsia="fr-FR"/>
          <w14:ligatures w14:val="none"/>
        </w:rPr>
        <w:t xml:space="preserve"> à avoir intégrer la fonction publique.</w:t>
      </w:r>
      <w:r>
        <w:rPr>
          <w:rFonts w:ascii="Arial Narrow" w:eastAsia="Times New Roman" w:hAnsi="Arial Narrow" w:cs="Arial"/>
          <w:kern w:val="0"/>
          <w:sz w:val="24"/>
          <w:szCs w:val="24"/>
          <w:lang w:eastAsia="fr-FR"/>
          <w14:ligatures w14:val="none"/>
        </w:rPr>
        <w:t xml:space="preserve"> </w:t>
      </w:r>
      <w:r w:rsidRPr="00943815">
        <w:rPr>
          <w:rFonts w:ascii="Arial Narrow" w:eastAsia="Times New Roman" w:hAnsi="Arial Narrow" w:cs="Arial"/>
          <w:kern w:val="0"/>
          <w:sz w:val="24"/>
          <w:szCs w:val="24"/>
          <w:lang w:eastAsia="fr-FR"/>
          <w14:ligatures w14:val="none"/>
        </w:rPr>
        <w:t xml:space="preserve">Toutes ces actions </w:t>
      </w:r>
      <w:r>
        <w:rPr>
          <w:rFonts w:ascii="Arial Narrow" w:eastAsia="Times New Roman" w:hAnsi="Arial Narrow" w:cs="Arial"/>
          <w:kern w:val="0"/>
          <w:sz w:val="24"/>
          <w:szCs w:val="24"/>
          <w:lang w:eastAsia="fr-FR"/>
          <w14:ligatures w14:val="none"/>
        </w:rPr>
        <w:t xml:space="preserve">ont permis de </w:t>
      </w:r>
      <w:r w:rsidRPr="00943815">
        <w:rPr>
          <w:rFonts w:ascii="Arial Narrow" w:eastAsia="Times New Roman" w:hAnsi="Arial Narrow" w:cs="Arial"/>
          <w:kern w:val="0"/>
          <w:sz w:val="24"/>
          <w:szCs w:val="24"/>
          <w:lang w:eastAsia="fr-FR"/>
          <w14:ligatures w14:val="none"/>
        </w:rPr>
        <w:t xml:space="preserve">renforcer la </w:t>
      </w:r>
      <w:proofErr w:type="spellStart"/>
      <w:r w:rsidRPr="00943815">
        <w:rPr>
          <w:rFonts w:ascii="Arial Narrow" w:eastAsia="Times New Roman" w:hAnsi="Arial Narrow" w:cs="Arial"/>
          <w:kern w:val="0"/>
          <w:sz w:val="24"/>
          <w:szCs w:val="24"/>
          <w:lang w:eastAsia="fr-FR"/>
          <w14:ligatures w14:val="none"/>
        </w:rPr>
        <w:t>disponibilté</w:t>
      </w:r>
      <w:proofErr w:type="spellEnd"/>
      <w:r w:rsidRPr="00943815">
        <w:rPr>
          <w:rFonts w:ascii="Arial Narrow" w:eastAsia="Times New Roman" w:hAnsi="Arial Narrow" w:cs="Arial"/>
          <w:kern w:val="0"/>
          <w:sz w:val="24"/>
          <w:szCs w:val="24"/>
          <w:lang w:eastAsia="fr-FR"/>
          <w14:ligatures w14:val="none"/>
        </w:rPr>
        <w:t xml:space="preserve"> de l’offre aux services de santé mentale.</w:t>
      </w:r>
    </w:p>
    <w:p w14:paraId="281B2C93" w14:textId="2C7D2FFB" w:rsidR="003D0F59" w:rsidRPr="007A001B" w:rsidRDefault="0057154B" w:rsidP="003D0F59">
      <w:pPr>
        <w:spacing w:before="100" w:beforeAutospacing="1" w:after="100" w:afterAutospacing="1"/>
        <w:jc w:val="both"/>
        <w:rPr>
          <w:rFonts w:ascii="Arial Narrow" w:eastAsia="Times New Roman" w:hAnsi="Arial Narrow" w:cs="Arial"/>
          <w:kern w:val="0"/>
          <w:sz w:val="24"/>
          <w:szCs w:val="24"/>
          <w:lang w:eastAsia="fr-FR"/>
          <w14:ligatures w14:val="none"/>
        </w:rPr>
      </w:pPr>
      <w:r>
        <w:rPr>
          <w:rFonts w:ascii="Arial Narrow" w:eastAsia="Times New Roman" w:hAnsi="Arial Narrow" w:cs="Arial"/>
          <w:b/>
          <w:bCs/>
          <w:kern w:val="0"/>
          <w:sz w:val="24"/>
          <w:szCs w:val="24"/>
          <w:lang w:eastAsia="fr-FR"/>
          <w14:ligatures w14:val="none"/>
        </w:rPr>
        <w:t>Pour ce qui est de</w:t>
      </w:r>
      <w:r w:rsidRPr="00D15AE6">
        <w:rPr>
          <w:rFonts w:ascii="Arial Narrow" w:eastAsia="Times New Roman" w:hAnsi="Arial Narrow" w:cs="Arial"/>
          <w:b/>
          <w:bCs/>
          <w:kern w:val="0"/>
          <w:sz w:val="24"/>
          <w:szCs w:val="24"/>
          <w:lang w:eastAsia="fr-FR"/>
          <w14:ligatures w14:val="none"/>
        </w:rPr>
        <w:t xml:space="preserve"> la prise en charge, </w:t>
      </w:r>
      <w:r w:rsidRPr="00D15AE6">
        <w:rPr>
          <w:rFonts w:ascii="Arial Narrow" w:eastAsia="Times New Roman" w:hAnsi="Arial Narrow" w:cs="Arial"/>
          <w:kern w:val="0"/>
          <w:sz w:val="24"/>
          <w:szCs w:val="24"/>
          <w:lang w:eastAsia="fr-FR"/>
          <w14:ligatures w14:val="none"/>
        </w:rPr>
        <w:t xml:space="preserve">une intégration des services la santé mentale a été faite dans 16 districts sanitaires par la formation de Médecins généralistes, Infirmiers et Sage-femmes et des agents de santé communautaires (ASC). Ainsi, </w:t>
      </w:r>
      <w:r w:rsidRPr="00D15AE6">
        <w:rPr>
          <w:rFonts w:ascii="Arial Narrow" w:eastAsia="Times New Roman" w:hAnsi="Arial Narrow" w:cs="Arial"/>
          <w:bCs/>
          <w:kern w:val="0"/>
          <w:sz w:val="24"/>
          <w:szCs w:val="24"/>
          <w:lang w:eastAsia="fr-FR"/>
          <w14:ligatures w14:val="none"/>
        </w:rPr>
        <w:t>03 Unités de développement</w:t>
      </w:r>
      <w:r w:rsidRPr="00D15AE6">
        <w:rPr>
          <w:rFonts w:ascii="Arial Narrow" w:eastAsia="Times New Roman" w:hAnsi="Arial Narrow" w:cs="Arial"/>
          <w:kern w:val="0"/>
          <w:sz w:val="24"/>
          <w:szCs w:val="24"/>
          <w:lang w:eastAsia="fr-FR"/>
          <w14:ligatures w14:val="none"/>
        </w:rPr>
        <w:t xml:space="preserve"> de la petite enfance ont été mis en place dans 03 districts sanitaires afin de rapprocher les soins du développement du jeune enfant (0-5ans) de la communauté. Ces actions ont permis à environ 28 753 personnes de bénéficier d’une prise en charge (6 270 personnes de </w:t>
      </w:r>
      <w:r w:rsidR="009F797B" w:rsidRPr="00D15AE6">
        <w:rPr>
          <w:rFonts w:ascii="Arial Narrow" w:eastAsia="Times New Roman" w:hAnsi="Arial Narrow" w:cs="Arial"/>
          <w:kern w:val="0"/>
          <w:sz w:val="24"/>
          <w:szCs w:val="24"/>
          <w:lang w:eastAsia="fr-FR"/>
          <w14:ligatures w14:val="none"/>
        </w:rPr>
        <w:t>dépression</w:t>
      </w:r>
      <w:r w:rsidRPr="00D15AE6">
        <w:rPr>
          <w:rFonts w:ascii="Arial Narrow" w:eastAsia="Times New Roman" w:hAnsi="Arial Narrow" w:cs="Arial"/>
          <w:kern w:val="0"/>
          <w:sz w:val="24"/>
          <w:szCs w:val="24"/>
          <w:lang w:eastAsia="fr-FR"/>
          <w14:ligatures w14:val="none"/>
        </w:rPr>
        <w:t xml:space="preserve">, 8 240 personnes de Psychose, 6 117 personnes de Schizophrénie, 4 897 personnes d’Epilepsie et 3 229 enfants d’Autisme). De plus, dans le cadre du retour des migrants en Côte d’Ivoire, environ </w:t>
      </w:r>
      <w:r w:rsidRPr="00D15AE6">
        <w:rPr>
          <w:rFonts w:ascii="Arial Narrow" w:eastAsia="Times New Roman" w:hAnsi="Arial Narrow" w:cs="Arial"/>
          <w:bCs/>
          <w:iCs/>
          <w:kern w:val="0"/>
          <w:sz w:val="24"/>
          <w:szCs w:val="24"/>
          <w:lang w:eastAsia="fr-FR"/>
          <w14:ligatures w14:val="none"/>
        </w:rPr>
        <w:t>700 migrants</w:t>
      </w:r>
      <w:r w:rsidRPr="00D15AE6">
        <w:rPr>
          <w:rFonts w:ascii="Arial Narrow" w:eastAsia="Times New Roman" w:hAnsi="Arial Narrow" w:cs="Arial"/>
          <w:kern w:val="0"/>
          <w:sz w:val="24"/>
          <w:szCs w:val="24"/>
          <w:lang w:eastAsia="fr-FR"/>
          <w14:ligatures w14:val="none"/>
        </w:rPr>
        <w:t xml:space="preserve"> ont bénéficié d’une prise en charge psychologique d’urgence et des activités de développement du jeune enfant </w:t>
      </w:r>
      <w:r w:rsidRPr="00D15AE6">
        <w:rPr>
          <w:rFonts w:ascii="Arial Narrow" w:eastAsia="Times New Roman" w:hAnsi="Arial Narrow" w:cs="Arial"/>
          <w:bCs/>
          <w:iCs/>
          <w:kern w:val="0"/>
          <w:sz w:val="24"/>
          <w:szCs w:val="24"/>
          <w:lang w:eastAsia="fr-FR"/>
          <w14:ligatures w14:val="none"/>
        </w:rPr>
        <w:t>ont permis la prise en charge 313 enfants dépistés à risques de Troubles du Neuro développement (</w:t>
      </w:r>
      <w:r w:rsidRPr="00FF2546">
        <w:rPr>
          <w:rFonts w:ascii="Arial Narrow" w:eastAsia="Times New Roman" w:hAnsi="Arial Narrow" w:cs="Arial"/>
          <w:bCs/>
          <w:iCs/>
          <w:kern w:val="0"/>
          <w:sz w:val="24"/>
          <w:szCs w:val="24"/>
          <w:lang w:eastAsia="fr-FR"/>
          <w14:ligatures w14:val="none"/>
        </w:rPr>
        <w:t>TND).</w:t>
      </w:r>
      <w:r w:rsidR="003D0F59" w:rsidRPr="00FF2546">
        <w:rPr>
          <w:rFonts w:ascii="Arial Narrow" w:eastAsia="Times New Roman" w:hAnsi="Arial Narrow" w:cs="Arial"/>
          <w:b/>
          <w:bCs/>
          <w:i/>
          <w:iCs/>
          <w:color w:val="FF0000"/>
          <w:kern w:val="0"/>
          <w:sz w:val="24"/>
          <w:szCs w:val="24"/>
          <w:lang w:eastAsia="fr-FR"/>
          <w14:ligatures w14:val="none"/>
        </w:rPr>
        <w:t xml:space="preserve"> </w:t>
      </w:r>
      <w:r w:rsidR="003D0F59" w:rsidRPr="007A001B">
        <w:rPr>
          <w:rFonts w:ascii="Arial Narrow" w:eastAsia="Times New Roman" w:hAnsi="Arial Narrow" w:cs="Arial"/>
          <w:kern w:val="0"/>
          <w:sz w:val="24"/>
          <w:szCs w:val="24"/>
          <w:lang w:eastAsia="fr-FR"/>
          <w14:ligatures w14:val="none"/>
        </w:rPr>
        <w:t>En 2023, le taux de disponibilité des psychotropes (médicaments essentiels) a été de 22%, au-dessus de la cible (10%).</w:t>
      </w:r>
    </w:p>
    <w:p w14:paraId="0CC20463" w14:textId="1A040D8F" w:rsidR="0057154B" w:rsidRPr="00D15AE6" w:rsidRDefault="0057154B" w:rsidP="0057154B">
      <w:pPr>
        <w:spacing w:before="100" w:beforeAutospacing="1" w:after="100" w:afterAutospacing="1"/>
        <w:jc w:val="both"/>
        <w:rPr>
          <w:rFonts w:ascii="Arial Narrow" w:eastAsia="Times New Roman" w:hAnsi="Arial Narrow" w:cs="Arial"/>
          <w:color w:val="FF0000"/>
          <w:kern w:val="0"/>
          <w:sz w:val="24"/>
          <w:szCs w:val="24"/>
          <w:lang w:eastAsia="fr-FR"/>
          <w14:ligatures w14:val="none"/>
        </w:rPr>
      </w:pPr>
      <w:r w:rsidRPr="00D15AE6">
        <w:rPr>
          <w:rFonts w:ascii="Arial Narrow" w:eastAsia="Times New Roman" w:hAnsi="Arial Narrow" w:cs="Arial"/>
          <w:kern w:val="0"/>
          <w:sz w:val="24"/>
          <w:szCs w:val="24"/>
          <w:lang w:eastAsia="fr-FR"/>
          <w14:ligatures w14:val="none"/>
        </w:rPr>
        <w:t xml:space="preserve">Dans l’optique d’améliorer la qualité des services de santé mentale, </w:t>
      </w:r>
      <w:r w:rsidRPr="00D15AE6">
        <w:rPr>
          <w:rFonts w:ascii="Arial Narrow" w:eastAsia="Times New Roman" w:hAnsi="Arial Narrow" w:cs="Arial"/>
          <w:bCs/>
          <w:kern w:val="0"/>
          <w:sz w:val="24"/>
          <w:szCs w:val="24"/>
          <w:lang w:eastAsia="fr-FR"/>
          <w14:ligatures w14:val="none"/>
        </w:rPr>
        <w:t xml:space="preserve">500 acteurs (médecins, infirmiers, </w:t>
      </w:r>
      <w:proofErr w:type="spellStart"/>
      <w:r w:rsidRPr="00D15AE6">
        <w:rPr>
          <w:rFonts w:ascii="Arial Narrow" w:eastAsia="Times New Roman" w:hAnsi="Arial Narrow" w:cs="Arial"/>
          <w:bCs/>
          <w:kern w:val="0"/>
          <w:sz w:val="24"/>
          <w:szCs w:val="24"/>
          <w:lang w:eastAsia="fr-FR"/>
          <w14:ligatures w14:val="none"/>
        </w:rPr>
        <w:t>sage</w:t>
      </w:r>
      <w:r>
        <w:rPr>
          <w:rFonts w:ascii="Arial Narrow" w:eastAsia="Times New Roman" w:hAnsi="Arial Narrow" w:cs="Arial"/>
          <w:bCs/>
          <w:kern w:val="0"/>
          <w:sz w:val="24"/>
          <w:szCs w:val="24"/>
          <w:lang w:eastAsia="fr-FR"/>
          <w14:ligatures w14:val="none"/>
        </w:rPr>
        <w:t>s</w:t>
      </w:r>
      <w:r w:rsidRPr="00D15AE6">
        <w:rPr>
          <w:rFonts w:ascii="Arial Narrow" w:eastAsia="Times New Roman" w:hAnsi="Arial Narrow" w:cs="Arial"/>
          <w:bCs/>
          <w:kern w:val="0"/>
          <w:sz w:val="24"/>
          <w:szCs w:val="24"/>
          <w:lang w:eastAsia="fr-FR"/>
          <w14:ligatures w14:val="none"/>
        </w:rPr>
        <w:t>-femmes</w:t>
      </w:r>
      <w:proofErr w:type="spellEnd"/>
      <w:r w:rsidRPr="00D15AE6">
        <w:rPr>
          <w:rFonts w:ascii="Arial Narrow" w:eastAsia="Times New Roman" w:hAnsi="Arial Narrow" w:cs="Arial"/>
          <w:bCs/>
          <w:kern w:val="0"/>
          <w:sz w:val="24"/>
          <w:szCs w:val="24"/>
          <w:lang w:eastAsia="fr-FR"/>
          <w14:ligatures w14:val="none"/>
        </w:rPr>
        <w:t xml:space="preserve">, agents de santé communautaires, travailleurs sociaux et psychologues) </w:t>
      </w:r>
      <w:r w:rsidRPr="00D15AE6">
        <w:rPr>
          <w:rFonts w:ascii="Arial Narrow" w:eastAsia="Times New Roman" w:hAnsi="Arial Narrow" w:cs="Arial"/>
          <w:kern w:val="0"/>
          <w:sz w:val="24"/>
          <w:szCs w:val="24"/>
          <w:lang w:eastAsia="fr-FR"/>
          <w14:ligatures w14:val="none"/>
        </w:rPr>
        <w:t xml:space="preserve">ont bénéficié de renforcement de capacité sur la santé mentale et le soutien psychosocial (SMSPS) à tous les niveaux </w:t>
      </w:r>
      <w:r w:rsidRPr="00D15AE6">
        <w:rPr>
          <w:rFonts w:ascii="Arial Narrow" w:eastAsia="Times New Roman" w:hAnsi="Arial Narrow" w:cs="Arial"/>
          <w:kern w:val="0"/>
          <w:sz w:val="24"/>
          <w:szCs w:val="24"/>
          <w:lang w:eastAsia="fr-FR"/>
          <w14:ligatures w14:val="none"/>
        </w:rPr>
        <w:lastRenderedPageBreak/>
        <w:t xml:space="preserve">de la pyramide sanitaire y compris le niveau communautaire et les autres ministères. De plus, des plateformes de formations en ligne ont été créées en occurrence la plateforme </w:t>
      </w:r>
      <w:r w:rsidRPr="00D15AE6">
        <w:rPr>
          <w:rFonts w:ascii="Arial Narrow" w:eastAsia="Times New Roman" w:hAnsi="Arial Narrow" w:cs="Arial"/>
          <w:bCs/>
          <w:kern w:val="0"/>
          <w:sz w:val="24"/>
          <w:szCs w:val="24"/>
          <w:lang w:eastAsia="fr-FR"/>
          <w14:ligatures w14:val="none"/>
        </w:rPr>
        <w:t>« ECHO Autisme »</w:t>
      </w:r>
      <w:r w:rsidRPr="00D15AE6">
        <w:rPr>
          <w:rFonts w:ascii="Arial Narrow" w:eastAsia="Times New Roman" w:hAnsi="Arial Narrow" w:cs="Arial"/>
          <w:kern w:val="0"/>
          <w:sz w:val="24"/>
          <w:szCs w:val="24"/>
          <w:lang w:eastAsia="fr-FR"/>
          <w14:ligatures w14:val="none"/>
        </w:rPr>
        <w:t xml:space="preserve"> sur le projet </w:t>
      </w:r>
      <w:r w:rsidRPr="00D15AE6">
        <w:rPr>
          <w:rFonts w:ascii="Arial Narrow" w:eastAsia="Times New Roman" w:hAnsi="Arial Narrow" w:cs="Arial"/>
          <w:bCs/>
          <w:kern w:val="0"/>
          <w:sz w:val="24"/>
          <w:szCs w:val="24"/>
          <w:lang w:eastAsia="fr-FR"/>
          <w14:ligatures w14:val="none"/>
        </w:rPr>
        <w:t>« ECHO »</w:t>
      </w:r>
      <w:r w:rsidRPr="00D15AE6">
        <w:rPr>
          <w:rFonts w:ascii="Arial Narrow" w:eastAsia="Times New Roman" w:hAnsi="Arial Narrow" w:cs="Arial"/>
          <w:kern w:val="0"/>
          <w:sz w:val="24"/>
          <w:szCs w:val="24"/>
          <w:lang w:eastAsia="fr-FR"/>
          <w14:ligatures w14:val="none"/>
        </w:rPr>
        <w:t xml:space="preserve"> de l’INSP et la plateforme de formation certifiante «</w:t>
      </w:r>
      <w:r w:rsidRPr="00D15AE6">
        <w:rPr>
          <w:rFonts w:ascii="Arial Narrow" w:eastAsia="Times New Roman" w:hAnsi="Arial Narrow" w:cs="Arial"/>
          <w:bCs/>
          <w:kern w:val="0"/>
          <w:sz w:val="24"/>
          <w:szCs w:val="24"/>
          <w:lang w:eastAsia="fr-FR"/>
          <w14:ligatures w14:val="none"/>
        </w:rPr>
        <w:t xml:space="preserve"> e-santé sur la santé mentale ». </w:t>
      </w:r>
      <w:r w:rsidRPr="00D15AE6">
        <w:rPr>
          <w:rFonts w:ascii="Arial Narrow" w:eastAsia="Times New Roman" w:hAnsi="Arial Narrow" w:cs="Arial"/>
          <w:kern w:val="0"/>
          <w:sz w:val="24"/>
          <w:szCs w:val="24"/>
          <w:lang w:eastAsia="fr-FR"/>
          <w14:ligatures w14:val="none"/>
        </w:rPr>
        <w:t xml:space="preserve">Cette plateforme, a pour objectif de former </w:t>
      </w:r>
      <w:r w:rsidRPr="00D15AE6">
        <w:rPr>
          <w:rFonts w:ascii="Arial Narrow" w:eastAsia="Times New Roman" w:hAnsi="Arial Narrow" w:cs="Arial"/>
          <w:bCs/>
          <w:kern w:val="0"/>
          <w:sz w:val="24"/>
          <w:szCs w:val="24"/>
          <w:lang w:eastAsia="fr-FR"/>
          <w14:ligatures w14:val="none"/>
        </w:rPr>
        <w:t>1 000 travailleurs sociaux sur la santé et le soutien psychologique de base</w:t>
      </w:r>
      <w:r w:rsidRPr="00D15AE6">
        <w:rPr>
          <w:rFonts w:ascii="Arial Narrow" w:eastAsia="Times New Roman" w:hAnsi="Arial Narrow" w:cs="Arial"/>
          <w:kern w:val="0"/>
          <w:sz w:val="24"/>
          <w:szCs w:val="24"/>
          <w:lang w:eastAsia="fr-FR"/>
          <w14:ligatures w14:val="none"/>
        </w:rPr>
        <w:t xml:space="preserve">. </w:t>
      </w:r>
    </w:p>
    <w:p w14:paraId="0A2F034A" w14:textId="59A68227" w:rsidR="0057154B" w:rsidRDefault="0057154B" w:rsidP="0057154B">
      <w:pPr>
        <w:pStyle w:val="Paragraphedeliste"/>
        <w:spacing w:before="100" w:beforeAutospacing="1" w:after="100" w:afterAutospacing="1"/>
        <w:ind w:left="0"/>
        <w:jc w:val="both"/>
        <w:rPr>
          <w:rFonts w:ascii="Arial Narrow" w:eastAsia="Times New Roman" w:hAnsi="Arial Narrow" w:cs="Arial"/>
          <w:kern w:val="0"/>
          <w:sz w:val="24"/>
          <w:szCs w:val="24"/>
          <w:lang w:eastAsia="fr-FR"/>
          <w14:ligatures w14:val="none"/>
        </w:rPr>
      </w:pPr>
      <w:r>
        <w:rPr>
          <w:rFonts w:ascii="Arial Narrow" w:eastAsia="Times New Roman" w:hAnsi="Arial Narrow" w:cs="Arial"/>
          <w:b/>
          <w:bCs/>
          <w:kern w:val="0"/>
          <w:sz w:val="24"/>
          <w:szCs w:val="24"/>
          <w:lang w:eastAsia="fr-FR"/>
          <w14:ligatures w14:val="none"/>
        </w:rPr>
        <w:t xml:space="preserve">En termes de </w:t>
      </w:r>
      <w:r w:rsidR="00E41973">
        <w:rPr>
          <w:rFonts w:ascii="Arial Narrow" w:eastAsia="Times New Roman" w:hAnsi="Arial Narrow" w:cs="Arial"/>
          <w:b/>
          <w:bCs/>
          <w:kern w:val="0"/>
          <w:sz w:val="24"/>
          <w:szCs w:val="24"/>
          <w:lang w:eastAsia="fr-FR"/>
          <w14:ligatures w14:val="none"/>
        </w:rPr>
        <w:t>p</w:t>
      </w:r>
      <w:r w:rsidRPr="007D39C3">
        <w:rPr>
          <w:rFonts w:ascii="Arial Narrow" w:eastAsia="Times New Roman" w:hAnsi="Arial Narrow" w:cs="Arial"/>
          <w:b/>
          <w:bCs/>
          <w:kern w:val="0"/>
          <w:sz w:val="24"/>
          <w:szCs w:val="24"/>
          <w:lang w:eastAsia="fr-FR"/>
          <w14:ligatures w14:val="none"/>
        </w:rPr>
        <w:t xml:space="preserve">romotion, prévention et communication en santé mentale, </w:t>
      </w:r>
      <w:r w:rsidRPr="007D39C3">
        <w:rPr>
          <w:rFonts w:ascii="Arial Narrow" w:eastAsia="Times New Roman" w:hAnsi="Arial Narrow" w:cs="Arial"/>
          <w:kern w:val="0"/>
          <w:sz w:val="24"/>
          <w:szCs w:val="24"/>
          <w:lang w:eastAsia="fr-FR"/>
          <w14:ligatures w14:val="none"/>
        </w:rPr>
        <w:t xml:space="preserve">des Journées commémoratives ont été réalisées notamment la Journée Mondiale de sensibilisation et de dépistage précoce de l’autisme </w:t>
      </w:r>
      <w:r w:rsidRPr="00E443B5">
        <w:rPr>
          <w:rFonts w:ascii="Arial Narrow" w:eastAsia="Times New Roman" w:hAnsi="Arial Narrow" w:cs="Arial"/>
          <w:kern w:val="0"/>
          <w:sz w:val="24"/>
          <w:szCs w:val="24"/>
          <w:lang w:eastAsia="fr-FR"/>
          <w14:ligatures w14:val="none"/>
        </w:rPr>
        <w:t xml:space="preserve">dénommée </w:t>
      </w:r>
      <w:r w:rsidRPr="00D15AE6">
        <w:rPr>
          <w:rFonts w:ascii="Arial Narrow" w:eastAsia="Times New Roman" w:hAnsi="Arial Narrow" w:cs="Arial"/>
          <w:bCs/>
          <w:kern w:val="0"/>
          <w:sz w:val="24"/>
          <w:szCs w:val="24"/>
          <w:lang w:eastAsia="fr-FR"/>
          <w14:ligatures w14:val="none"/>
        </w:rPr>
        <w:t>« </w:t>
      </w:r>
      <w:r w:rsidRPr="00D15AE6">
        <w:rPr>
          <w:rFonts w:ascii="Arial Narrow" w:eastAsia="Times New Roman" w:hAnsi="Arial Narrow" w:cs="Arial"/>
          <w:bCs/>
          <w:i/>
          <w:kern w:val="0"/>
          <w:sz w:val="24"/>
          <w:szCs w:val="24"/>
          <w:lang w:eastAsia="fr-FR"/>
          <w14:ligatures w14:val="none"/>
        </w:rPr>
        <w:t>avril bleu</w:t>
      </w:r>
      <w:r w:rsidRPr="00D15AE6">
        <w:rPr>
          <w:rFonts w:ascii="Arial Narrow" w:eastAsia="Times New Roman" w:hAnsi="Arial Narrow" w:cs="Arial"/>
          <w:bCs/>
          <w:kern w:val="0"/>
          <w:sz w:val="24"/>
          <w:szCs w:val="24"/>
          <w:lang w:eastAsia="fr-FR"/>
          <w14:ligatures w14:val="none"/>
        </w:rPr>
        <w:t xml:space="preserve"> » </w:t>
      </w:r>
      <w:r w:rsidRPr="00E443B5">
        <w:rPr>
          <w:rFonts w:ascii="Arial Narrow" w:eastAsia="Times New Roman" w:hAnsi="Arial Narrow" w:cs="Arial"/>
          <w:bCs/>
          <w:kern w:val="0"/>
          <w:sz w:val="24"/>
          <w:szCs w:val="24"/>
          <w:lang w:eastAsia="fr-FR"/>
          <w14:ligatures w14:val="none"/>
        </w:rPr>
        <w:t>et</w:t>
      </w:r>
      <w:r w:rsidRPr="00D15AE6">
        <w:rPr>
          <w:rFonts w:ascii="Arial Narrow" w:eastAsia="Times New Roman" w:hAnsi="Arial Narrow" w:cs="Arial"/>
          <w:bCs/>
          <w:kern w:val="0"/>
          <w:sz w:val="24"/>
          <w:szCs w:val="24"/>
          <w:lang w:eastAsia="fr-FR"/>
          <w14:ligatures w14:val="none"/>
        </w:rPr>
        <w:t xml:space="preserve"> </w:t>
      </w:r>
      <w:r w:rsidRPr="00E443B5">
        <w:rPr>
          <w:rFonts w:ascii="Arial Narrow" w:eastAsia="Times New Roman" w:hAnsi="Arial Narrow" w:cs="Arial"/>
          <w:kern w:val="0"/>
          <w:sz w:val="24"/>
          <w:szCs w:val="24"/>
          <w:lang w:eastAsia="fr-FR"/>
          <w14:ligatures w14:val="none"/>
        </w:rPr>
        <w:t xml:space="preserve">la Journée Mondiale de la santé mentale dénommée </w:t>
      </w:r>
      <w:r w:rsidRPr="00D15AE6">
        <w:rPr>
          <w:rFonts w:ascii="Arial Narrow" w:eastAsia="Times New Roman" w:hAnsi="Arial Narrow" w:cs="Arial"/>
          <w:bCs/>
          <w:kern w:val="0"/>
          <w:sz w:val="24"/>
          <w:szCs w:val="24"/>
          <w:lang w:eastAsia="fr-FR"/>
          <w14:ligatures w14:val="none"/>
        </w:rPr>
        <w:t xml:space="preserve">« </w:t>
      </w:r>
      <w:r w:rsidRPr="00D15AE6">
        <w:rPr>
          <w:rFonts w:ascii="Arial Narrow" w:eastAsia="Times New Roman" w:hAnsi="Arial Narrow" w:cs="Arial"/>
          <w:bCs/>
          <w:i/>
          <w:kern w:val="0"/>
          <w:sz w:val="24"/>
          <w:szCs w:val="24"/>
          <w:lang w:eastAsia="fr-FR"/>
          <w14:ligatures w14:val="none"/>
        </w:rPr>
        <w:t>Forum National de la Santé Mentale</w:t>
      </w:r>
      <w:r w:rsidRPr="00D15AE6">
        <w:rPr>
          <w:rFonts w:ascii="Arial Narrow" w:eastAsia="Times New Roman" w:hAnsi="Arial Narrow" w:cs="Arial"/>
          <w:bCs/>
          <w:kern w:val="0"/>
          <w:sz w:val="24"/>
          <w:szCs w:val="24"/>
          <w:lang w:eastAsia="fr-FR"/>
          <w14:ligatures w14:val="none"/>
        </w:rPr>
        <w:t> ».</w:t>
      </w:r>
      <w:r w:rsidRPr="007D39C3">
        <w:rPr>
          <w:rFonts w:ascii="Arial Narrow" w:eastAsia="Times New Roman" w:hAnsi="Arial Narrow" w:cs="Arial"/>
          <w:b/>
          <w:bCs/>
          <w:kern w:val="0"/>
          <w:sz w:val="24"/>
          <w:szCs w:val="24"/>
          <w:lang w:eastAsia="fr-FR"/>
          <w14:ligatures w14:val="none"/>
        </w:rPr>
        <w:t xml:space="preserve"> </w:t>
      </w:r>
      <w:r w:rsidRPr="007D39C3">
        <w:rPr>
          <w:rFonts w:ascii="Arial Narrow" w:eastAsia="Times New Roman" w:hAnsi="Arial Narrow" w:cs="Arial"/>
          <w:bCs/>
          <w:kern w:val="0"/>
          <w:sz w:val="24"/>
          <w:szCs w:val="24"/>
          <w:lang w:eastAsia="fr-FR"/>
          <w14:ligatures w14:val="none"/>
        </w:rPr>
        <w:t>Ces activités ont permis la sensibilisation d’</w:t>
      </w:r>
      <w:r w:rsidRPr="007D39C3">
        <w:rPr>
          <w:rFonts w:ascii="Arial Narrow" w:eastAsia="Times New Roman" w:hAnsi="Arial Narrow" w:cs="Arial"/>
          <w:kern w:val="0"/>
          <w:sz w:val="24"/>
          <w:szCs w:val="24"/>
          <w:lang w:eastAsia="fr-FR"/>
          <w14:ligatures w14:val="none"/>
        </w:rPr>
        <w:t xml:space="preserve">environ </w:t>
      </w:r>
      <w:r w:rsidRPr="007D39C3">
        <w:rPr>
          <w:rFonts w:ascii="Arial Narrow" w:eastAsia="Times New Roman" w:hAnsi="Arial Narrow" w:cs="Arial"/>
          <w:bCs/>
          <w:kern w:val="0"/>
          <w:sz w:val="24"/>
          <w:szCs w:val="24"/>
          <w:lang w:eastAsia="fr-FR"/>
          <w14:ligatures w14:val="none"/>
        </w:rPr>
        <w:t>32 000 ménages</w:t>
      </w:r>
      <w:r w:rsidRPr="007D39C3">
        <w:rPr>
          <w:rFonts w:ascii="Arial Narrow" w:eastAsia="Times New Roman" w:hAnsi="Arial Narrow" w:cs="Arial"/>
          <w:kern w:val="0"/>
          <w:sz w:val="24"/>
          <w:szCs w:val="24"/>
          <w:lang w:eastAsia="fr-FR"/>
          <w14:ligatures w14:val="none"/>
        </w:rPr>
        <w:t xml:space="preserve"> sur les troubles du neuro développement dans 03 districts sanitaires (Bouaké Nord-ouest</w:t>
      </w:r>
      <w:r w:rsidRPr="007D39C3">
        <w:rPr>
          <w:rFonts w:ascii="Arial Narrow" w:eastAsia="Times New Roman" w:hAnsi="Arial Narrow" w:cs="Arial"/>
          <w:b/>
          <w:bCs/>
          <w:kern w:val="0"/>
          <w:sz w:val="24"/>
          <w:szCs w:val="24"/>
          <w:lang w:eastAsia="fr-FR"/>
          <w14:ligatures w14:val="none"/>
        </w:rPr>
        <w:t>,</w:t>
      </w:r>
      <w:r w:rsidRPr="007D39C3">
        <w:rPr>
          <w:rFonts w:ascii="Arial Narrow" w:eastAsia="Times New Roman" w:hAnsi="Arial Narrow" w:cs="Arial"/>
          <w:kern w:val="0"/>
          <w:sz w:val="24"/>
          <w:szCs w:val="24"/>
          <w:lang w:eastAsia="fr-FR"/>
          <w14:ligatures w14:val="none"/>
        </w:rPr>
        <w:t xml:space="preserve"> Korhogo 1 et Agboville)</w:t>
      </w:r>
      <w:r>
        <w:rPr>
          <w:rFonts w:ascii="Arial Narrow" w:eastAsia="Times New Roman" w:hAnsi="Arial Narrow" w:cs="Arial"/>
          <w:kern w:val="0"/>
          <w:sz w:val="24"/>
          <w:szCs w:val="24"/>
          <w:lang w:eastAsia="fr-FR"/>
          <w14:ligatures w14:val="none"/>
        </w:rPr>
        <w:t xml:space="preserve"> et </w:t>
      </w:r>
      <w:r w:rsidRPr="007D39C3">
        <w:rPr>
          <w:rFonts w:ascii="Arial Narrow" w:eastAsia="Times New Roman" w:hAnsi="Arial Narrow" w:cs="Arial"/>
          <w:kern w:val="0"/>
          <w:sz w:val="24"/>
          <w:szCs w:val="24"/>
          <w:lang w:eastAsia="fr-FR"/>
          <w14:ligatures w14:val="none"/>
        </w:rPr>
        <w:t xml:space="preserve">d’environ </w:t>
      </w:r>
      <w:r w:rsidRPr="007D39C3">
        <w:rPr>
          <w:rFonts w:ascii="Arial Narrow" w:eastAsia="Times New Roman" w:hAnsi="Arial Narrow" w:cs="Arial"/>
          <w:bCs/>
          <w:kern w:val="0"/>
          <w:sz w:val="24"/>
          <w:szCs w:val="24"/>
          <w:lang w:eastAsia="fr-FR"/>
          <w14:ligatures w14:val="none"/>
        </w:rPr>
        <w:t>40 000 personnes</w:t>
      </w:r>
      <w:r w:rsidRPr="007D39C3">
        <w:rPr>
          <w:rFonts w:ascii="Arial Narrow" w:eastAsia="Times New Roman" w:hAnsi="Arial Narrow" w:cs="Arial"/>
          <w:kern w:val="0"/>
          <w:sz w:val="24"/>
          <w:szCs w:val="24"/>
          <w:lang w:eastAsia="fr-FR"/>
          <w14:ligatures w14:val="none"/>
        </w:rPr>
        <w:t xml:space="preserve"> (étudiants, travailleurs, institutions, OSC, ONG, entreprises, etc.) sur l’importance de l’intégration de la santé mentale dans la couverture sanitaire universelle pour l’atteinte des Objectifs du Développement Durable en Côte d’Ivoire. </w:t>
      </w:r>
    </w:p>
    <w:p w14:paraId="05F92B09" w14:textId="77777777" w:rsidR="00A44364" w:rsidRDefault="00A44364" w:rsidP="0057154B">
      <w:pPr>
        <w:pStyle w:val="Paragraphedeliste"/>
        <w:spacing w:before="100" w:beforeAutospacing="1" w:after="100" w:afterAutospacing="1"/>
        <w:ind w:left="0"/>
        <w:jc w:val="both"/>
        <w:rPr>
          <w:rFonts w:ascii="Arial Narrow" w:eastAsia="Times New Roman" w:hAnsi="Arial Narrow" w:cs="Arial"/>
          <w:kern w:val="0"/>
          <w:sz w:val="24"/>
          <w:szCs w:val="24"/>
          <w:lang w:eastAsia="fr-FR"/>
          <w14:ligatures w14:val="none"/>
        </w:rPr>
      </w:pPr>
    </w:p>
    <w:p w14:paraId="4EEEB774" w14:textId="67AA73A2" w:rsidR="00A44364" w:rsidRDefault="0057154B" w:rsidP="0057154B">
      <w:pPr>
        <w:pStyle w:val="Paragraphedeliste"/>
        <w:spacing w:before="100" w:beforeAutospacing="1" w:after="100" w:afterAutospacing="1"/>
        <w:ind w:left="0"/>
        <w:jc w:val="both"/>
        <w:rPr>
          <w:rFonts w:ascii="Arial Narrow" w:eastAsia="Times New Roman" w:hAnsi="Arial Narrow" w:cs="Arial"/>
          <w:kern w:val="0"/>
          <w:sz w:val="24"/>
          <w:szCs w:val="24"/>
          <w:lang w:eastAsia="fr-FR"/>
          <w14:ligatures w14:val="none"/>
        </w:rPr>
      </w:pPr>
      <w:r w:rsidRPr="00D15AE6">
        <w:rPr>
          <w:rFonts w:ascii="Arial Narrow" w:eastAsia="Times New Roman" w:hAnsi="Arial Narrow" w:cs="Arial"/>
          <w:bCs/>
          <w:kern w:val="0"/>
          <w:sz w:val="24"/>
          <w:szCs w:val="24"/>
          <w:lang w:eastAsia="fr-FR"/>
          <w14:ligatures w14:val="none"/>
        </w:rPr>
        <w:t xml:space="preserve">La participation </w:t>
      </w:r>
      <w:r w:rsidR="00A44364">
        <w:rPr>
          <w:rFonts w:ascii="Arial Narrow" w:eastAsia="Times New Roman" w:hAnsi="Arial Narrow" w:cs="Arial"/>
          <w:bCs/>
          <w:kern w:val="0"/>
          <w:sz w:val="24"/>
          <w:szCs w:val="24"/>
          <w:lang w:eastAsia="fr-FR"/>
          <w14:ligatures w14:val="none"/>
        </w:rPr>
        <w:t xml:space="preserve">aux </w:t>
      </w:r>
      <w:r w:rsidRPr="00D15AE6">
        <w:rPr>
          <w:rFonts w:ascii="Arial Narrow" w:eastAsia="Times New Roman" w:hAnsi="Arial Narrow" w:cs="Arial"/>
          <w:bCs/>
          <w:kern w:val="0"/>
          <w:sz w:val="24"/>
          <w:szCs w:val="24"/>
          <w:lang w:eastAsia="fr-FR"/>
          <w14:ligatures w14:val="none"/>
        </w:rPr>
        <w:t>programme</w:t>
      </w:r>
      <w:r w:rsidR="00A44364">
        <w:rPr>
          <w:rFonts w:ascii="Arial Narrow" w:eastAsia="Times New Roman" w:hAnsi="Arial Narrow" w:cs="Arial"/>
          <w:bCs/>
          <w:kern w:val="0"/>
          <w:sz w:val="24"/>
          <w:szCs w:val="24"/>
          <w:lang w:eastAsia="fr-FR"/>
          <w14:ligatures w14:val="none"/>
        </w:rPr>
        <w:t>s</w:t>
      </w:r>
      <w:r w:rsidRPr="00D15AE6">
        <w:rPr>
          <w:rFonts w:ascii="Arial Narrow" w:eastAsia="Times New Roman" w:hAnsi="Arial Narrow" w:cs="Arial"/>
          <w:bCs/>
          <w:kern w:val="0"/>
          <w:sz w:val="24"/>
          <w:szCs w:val="24"/>
          <w:lang w:eastAsia="fr-FR"/>
          <w14:ligatures w14:val="none"/>
        </w:rPr>
        <w:t xml:space="preserve"> </w:t>
      </w:r>
      <w:r w:rsidRPr="0044167B">
        <w:rPr>
          <w:rFonts w:ascii="Arial Narrow" w:eastAsia="Times New Roman" w:hAnsi="Arial Narrow" w:cs="Arial"/>
          <w:bCs/>
          <w:kern w:val="0"/>
          <w:sz w:val="24"/>
          <w:szCs w:val="24"/>
          <w:lang w:eastAsia="fr-FR"/>
          <w14:ligatures w14:val="none"/>
        </w:rPr>
        <w:t xml:space="preserve">de loisirs </w:t>
      </w:r>
      <w:r w:rsidR="00A44364">
        <w:rPr>
          <w:rFonts w:ascii="Arial Narrow" w:eastAsia="Times New Roman" w:hAnsi="Arial Narrow" w:cs="Arial"/>
          <w:bCs/>
          <w:kern w:val="0"/>
          <w:sz w:val="24"/>
          <w:szCs w:val="24"/>
          <w:lang w:eastAsia="fr-FR"/>
          <w14:ligatures w14:val="none"/>
        </w:rPr>
        <w:t>rassemblant un nombre important de</w:t>
      </w:r>
      <w:r w:rsidRPr="0044167B">
        <w:rPr>
          <w:rFonts w:ascii="Arial Narrow" w:eastAsia="Times New Roman" w:hAnsi="Arial Narrow" w:cs="Arial"/>
          <w:bCs/>
          <w:kern w:val="0"/>
          <w:sz w:val="24"/>
          <w:szCs w:val="24"/>
          <w:lang w:eastAsia="fr-FR"/>
          <w14:ligatures w14:val="none"/>
        </w:rPr>
        <w:t xml:space="preserve"> jeunes </w:t>
      </w:r>
      <w:r w:rsidRPr="00A44364">
        <w:rPr>
          <w:rFonts w:ascii="Arial Narrow" w:eastAsia="Times New Roman" w:hAnsi="Arial Narrow" w:cs="Arial"/>
          <w:bCs/>
          <w:kern w:val="0"/>
          <w:sz w:val="24"/>
          <w:szCs w:val="24"/>
          <w:lang w:eastAsia="fr-FR"/>
          <w14:ligatures w14:val="none"/>
        </w:rPr>
        <w:t>a permis la sensibilisation de 1 000 adolescents et jeunes</w:t>
      </w:r>
      <w:r w:rsidRPr="00A44364">
        <w:rPr>
          <w:rFonts w:ascii="Arial Narrow" w:eastAsia="Times New Roman" w:hAnsi="Arial Narrow" w:cs="Arial"/>
          <w:kern w:val="0"/>
          <w:sz w:val="24"/>
          <w:szCs w:val="24"/>
          <w:lang w:eastAsia="fr-FR"/>
          <w14:ligatures w14:val="none"/>
        </w:rPr>
        <w:t xml:space="preserve"> </w:t>
      </w:r>
      <w:r w:rsidR="00A44364">
        <w:rPr>
          <w:rFonts w:ascii="Arial Narrow" w:eastAsia="Times New Roman" w:hAnsi="Arial Narrow" w:cs="Arial"/>
          <w:kern w:val="0"/>
          <w:sz w:val="24"/>
          <w:szCs w:val="24"/>
          <w:lang w:eastAsia="fr-FR"/>
          <w14:ligatures w14:val="none"/>
        </w:rPr>
        <w:t>ainsi que</w:t>
      </w:r>
      <w:r w:rsidRPr="00A44364">
        <w:rPr>
          <w:rFonts w:ascii="Arial Narrow" w:eastAsia="Times New Roman" w:hAnsi="Arial Narrow" w:cs="Arial"/>
          <w:kern w:val="0"/>
          <w:sz w:val="24"/>
          <w:szCs w:val="24"/>
          <w:lang w:eastAsia="fr-FR"/>
          <w14:ligatures w14:val="none"/>
        </w:rPr>
        <w:t xml:space="preserve"> </w:t>
      </w:r>
      <w:r w:rsidRPr="00A44364">
        <w:rPr>
          <w:rFonts w:ascii="Arial Narrow" w:eastAsia="Times New Roman" w:hAnsi="Arial Narrow" w:cs="Arial"/>
          <w:bCs/>
          <w:kern w:val="0"/>
          <w:sz w:val="24"/>
          <w:szCs w:val="24"/>
          <w:lang w:eastAsia="fr-FR"/>
          <w14:ligatures w14:val="none"/>
        </w:rPr>
        <w:t xml:space="preserve">1825 </w:t>
      </w:r>
      <w:r w:rsidR="00A44364">
        <w:rPr>
          <w:rFonts w:ascii="Arial Narrow" w:eastAsia="Times New Roman" w:hAnsi="Arial Narrow" w:cs="Arial"/>
          <w:bCs/>
          <w:kern w:val="0"/>
          <w:sz w:val="24"/>
          <w:szCs w:val="24"/>
          <w:lang w:eastAsia="fr-FR"/>
          <w14:ligatures w14:val="none"/>
        </w:rPr>
        <w:t>j</w:t>
      </w:r>
      <w:r w:rsidRPr="00A44364">
        <w:rPr>
          <w:rFonts w:ascii="Arial Narrow" w:eastAsia="Times New Roman" w:hAnsi="Arial Narrow" w:cs="Arial"/>
          <w:bCs/>
          <w:kern w:val="0"/>
          <w:sz w:val="24"/>
          <w:szCs w:val="24"/>
          <w:lang w:eastAsia="fr-FR"/>
          <w14:ligatures w14:val="none"/>
        </w:rPr>
        <w:t>eunes enfants</w:t>
      </w:r>
      <w:r w:rsidRPr="00A44364">
        <w:rPr>
          <w:rFonts w:ascii="Arial Narrow" w:eastAsia="Times New Roman" w:hAnsi="Arial Narrow" w:cs="Arial"/>
          <w:b/>
          <w:bCs/>
          <w:kern w:val="0"/>
          <w:sz w:val="24"/>
          <w:szCs w:val="24"/>
          <w:lang w:eastAsia="fr-FR"/>
          <w14:ligatures w14:val="none"/>
        </w:rPr>
        <w:t xml:space="preserve"> </w:t>
      </w:r>
      <w:r w:rsidRPr="00A44364">
        <w:rPr>
          <w:rFonts w:ascii="Arial Narrow" w:eastAsia="Times New Roman" w:hAnsi="Arial Narrow" w:cs="Arial"/>
          <w:kern w:val="0"/>
          <w:sz w:val="24"/>
          <w:szCs w:val="24"/>
          <w:lang w:eastAsia="fr-FR"/>
          <w14:ligatures w14:val="none"/>
        </w:rPr>
        <w:t>sur des thématiques</w:t>
      </w:r>
      <w:r w:rsidRPr="00D15AE6">
        <w:rPr>
          <w:rFonts w:ascii="Arial Narrow" w:eastAsia="Times New Roman" w:hAnsi="Arial Narrow" w:cs="Arial"/>
          <w:kern w:val="0"/>
          <w:sz w:val="24"/>
          <w:szCs w:val="24"/>
          <w:lang w:eastAsia="fr-FR"/>
          <w14:ligatures w14:val="none"/>
        </w:rPr>
        <w:t xml:space="preserve"> telles que : l’</w:t>
      </w:r>
      <w:r w:rsidR="00A44364">
        <w:rPr>
          <w:rFonts w:ascii="Arial Narrow" w:eastAsia="Times New Roman" w:hAnsi="Arial Narrow" w:cs="Arial"/>
          <w:kern w:val="0"/>
          <w:sz w:val="24"/>
          <w:szCs w:val="24"/>
          <w:lang w:eastAsia="fr-FR"/>
          <w14:ligatures w14:val="none"/>
        </w:rPr>
        <w:t>h</w:t>
      </w:r>
      <w:r w:rsidRPr="00D15AE6">
        <w:rPr>
          <w:rFonts w:ascii="Arial Narrow" w:eastAsia="Times New Roman" w:hAnsi="Arial Narrow" w:cs="Arial"/>
          <w:kern w:val="0"/>
          <w:sz w:val="24"/>
          <w:szCs w:val="24"/>
          <w:lang w:eastAsia="fr-FR"/>
          <w14:ligatures w14:val="none"/>
        </w:rPr>
        <w:t xml:space="preserve">ygiène santé mentale, la gestion du </w:t>
      </w:r>
      <w:r w:rsidR="00A44364">
        <w:rPr>
          <w:rFonts w:ascii="Arial Narrow" w:eastAsia="Times New Roman" w:hAnsi="Arial Narrow" w:cs="Arial"/>
          <w:kern w:val="0"/>
          <w:sz w:val="24"/>
          <w:szCs w:val="24"/>
          <w:lang w:eastAsia="fr-FR"/>
          <w14:ligatures w14:val="none"/>
        </w:rPr>
        <w:t>s</w:t>
      </w:r>
      <w:r w:rsidRPr="00D15AE6">
        <w:rPr>
          <w:rFonts w:ascii="Arial Narrow" w:eastAsia="Times New Roman" w:hAnsi="Arial Narrow" w:cs="Arial"/>
          <w:kern w:val="0"/>
          <w:sz w:val="24"/>
          <w:szCs w:val="24"/>
          <w:lang w:eastAsia="fr-FR"/>
          <w14:ligatures w14:val="none"/>
        </w:rPr>
        <w:t xml:space="preserve">tress lié à la compétition lors des jeux de la CAN 2023, les </w:t>
      </w:r>
      <w:r w:rsidR="00A44364">
        <w:rPr>
          <w:rFonts w:ascii="Arial Narrow" w:eastAsia="Times New Roman" w:hAnsi="Arial Narrow" w:cs="Arial"/>
          <w:kern w:val="0"/>
          <w:sz w:val="24"/>
          <w:szCs w:val="24"/>
          <w:lang w:eastAsia="fr-FR"/>
          <w14:ligatures w14:val="none"/>
        </w:rPr>
        <w:t>t</w:t>
      </w:r>
      <w:r w:rsidRPr="00D15AE6">
        <w:rPr>
          <w:rFonts w:ascii="Arial Narrow" w:eastAsia="Times New Roman" w:hAnsi="Arial Narrow" w:cs="Arial"/>
          <w:kern w:val="0"/>
          <w:sz w:val="24"/>
          <w:szCs w:val="24"/>
          <w:lang w:eastAsia="fr-FR"/>
          <w14:ligatures w14:val="none"/>
        </w:rPr>
        <w:t>roubles de l’autisme, les addictions et</w:t>
      </w:r>
      <w:r w:rsidR="00A44364">
        <w:rPr>
          <w:rFonts w:ascii="Arial Narrow" w:eastAsia="Times New Roman" w:hAnsi="Arial Narrow" w:cs="Arial"/>
          <w:kern w:val="0"/>
          <w:sz w:val="24"/>
          <w:szCs w:val="24"/>
          <w:lang w:eastAsia="fr-FR"/>
          <w14:ligatures w14:val="none"/>
        </w:rPr>
        <w:t xml:space="preserve"> p</w:t>
      </w:r>
      <w:r w:rsidRPr="00D15AE6">
        <w:rPr>
          <w:rFonts w:ascii="Arial Narrow" w:eastAsia="Times New Roman" w:hAnsi="Arial Narrow" w:cs="Arial"/>
          <w:kern w:val="0"/>
          <w:sz w:val="24"/>
          <w:szCs w:val="24"/>
          <w:lang w:eastAsia="fr-FR"/>
          <w14:ligatures w14:val="none"/>
        </w:rPr>
        <w:t xml:space="preserve">révention du </w:t>
      </w:r>
      <w:r w:rsidR="00A44364">
        <w:rPr>
          <w:rFonts w:ascii="Arial Narrow" w:eastAsia="Times New Roman" w:hAnsi="Arial Narrow" w:cs="Arial"/>
          <w:kern w:val="0"/>
          <w:sz w:val="24"/>
          <w:szCs w:val="24"/>
          <w:lang w:eastAsia="fr-FR"/>
          <w14:ligatures w14:val="none"/>
        </w:rPr>
        <w:t>s</w:t>
      </w:r>
      <w:r w:rsidRPr="00D15AE6">
        <w:rPr>
          <w:rFonts w:ascii="Arial Narrow" w:eastAsia="Times New Roman" w:hAnsi="Arial Narrow" w:cs="Arial"/>
          <w:kern w:val="0"/>
          <w:sz w:val="24"/>
          <w:szCs w:val="24"/>
          <w:lang w:eastAsia="fr-FR"/>
          <w14:ligatures w14:val="none"/>
        </w:rPr>
        <w:t xml:space="preserve">uicide, la santé mentale, réalités des jeunes et communautés virtuelles chez les enfants. </w:t>
      </w:r>
    </w:p>
    <w:p w14:paraId="7B2BA11C" w14:textId="77777777" w:rsidR="00EE3BE8" w:rsidRDefault="00EE3BE8" w:rsidP="0057154B">
      <w:pPr>
        <w:pStyle w:val="Paragraphedeliste"/>
        <w:spacing w:before="100" w:beforeAutospacing="1" w:after="100" w:afterAutospacing="1"/>
        <w:ind w:left="0"/>
        <w:jc w:val="both"/>
        <w:rPr>
          <w:rFonts w:ascii="Arial Narrow" w:eastAsia="Times New Roman" w:hAnsi="Arial Narrow" w:cs="Arial"/>
          <w:kern w:val="0"/>
          <w:sz w:val="24"/>
          <w:szCs w:val="24"/>
          <w:lang w:eastAsia="fr-FR"/>
          <w14:ligatures w14:val="none"/>
        </w:rPr>
      </w:pPr>
    </w:p>
    <w:p w14:paraId="27D82619" w14:textId="1E49B13B" w:rsidR="00EE3BE8" w:rsidRPr="0044167B" w:rsidRDefault="00EE3BE8" w:rsidP="0057154B">
      <w:pPr>
        <w:pStyle w:val="Paragraphedeliste"/>
        <w:spacing w:before="100" w:beforeAutospacing="1" w:after="100" w:afterAutospacing="1"/>
        <w:ind w:left="0"/>
        <w:jc w:val="both"/>
        <w:rPr>
          <w:rFonts w:ascii="Arial Narrow" w:eastAsia="Times New Roman" w:hAnsi="Arial Narrow" w:cs="Arial"/>
          <w:kern w:val="0"/>
          <w:sz w:val="24"/>
          <w:szCs w:val="24"/>
          <w:lang w:eastAsia="fr-FR"/>
          <w14:ligatures w14:val="none"/>
        </w:rPr>
      </w:pPr>
      <w:r w:rsidRPr="00EE3BE8">
        <w:rPr>
          <w:rFonts w:ascii="Arial Narrow" w:eastAsia="Times New Roman" w:hAnsi="Arial Narrow" w:cs="Arial"/>
          <w:kern w:val="0"/>
          <w:sz w:val="24"/>
          <w:szCs w:val="24"/>
          <w:lang w:eastAsia="fr-FR"/>
          <w14:ligatures w14:val="none"/>
        </w:rPr>
        <w:t xml:space="preserve">La prise en charge des troubles mentaux reste un défi majeur, entravée par la stigmatisation, les mythes, les tabous et une couverture médicale insuffisante, ce qui réduit l’accès aux soins. </w:t>
      </w:r>
    </w:p>
    <w:p w14:paraId="2A4701F4" w14:textId="77777777" w:rsidR="001B4F77" w:rsidRPr="007E7C5B" w:rsidRDefault="001B4F77" w:rsidP="00761F55">
      <w:pPr>
        <w:jc w:val="both"/>
        <w:rPr>
          <w:rFonts w:ascii="Arial Narrow" w:eastAsia="Times New Roman" w:hAnsi="Arial Narrow" w:cs="Arial"/>
          <w:b/>
          <w:kern w:val="0"/>
          <w:sz w:val="24"/>
          <w:szCs w:val="24"/>
          <w:u w:val="single"/>
          <w:lang w:eastAsia="fr-FR"/>
          <w14:ligatures w14:val="none"/>
        </w:rPr>
      </w:pPr>
      <w:r w:rsidRPr="007E7C5B">
        <w:rPr>
          <w:rFonts w:ascii="Arial Narrow" w:eastAsia="Times New Roman" w:hAnsi="Arial Narrow" w:cs="Arial"/>
          <w:b/>
          <w:kern w:val="0"/>
          <w:sz w:val="24"/>
          <w:szCs w:val="24"/>
          <w:u w:val="single"/>
          <w:lang w:eastAsia="fr-FR"/>
          <w14:ligatures w14:val="none"/>
        </w:rPr>
        <w:t>Maladies métaboliques</w:t>
      </w:r>
    </w:p>
    <w:p w14:paraId="23FB6DD3" w14:textId="7D786940" w:rsidR="00F85FB4" w:rsidRPr="007E7C5B" w:rsidRDefault="00981BCF" w:rsidP="00F85FB4">
      <w:pPr>
        <w:shd w:val="clear" w:color="auto" w:fill="FFFFFF" w:themeFill="background1"/>
        <w:spacing w:before="100" w:beforeAutospacing="1" w:after="100" w:afterAutospacing="1"/>
        <w:jc w:val="both"/>
        <w:rPr>
          <w:rFonts w:ascii="Arial Narrow" w:eastAsia="Times New Roman" w:hAnsi="Arial Narrow" w:cs="Arial"/>
          <w:kern w:val="0"/>
          <w:sz w:val="24"/>
          <w:szCs w:val="24"/>
          <w:lang w:eastAsia="fr-FR"/>
          <w14:ligatures w14:val="none"/>
        </w:rPr>
      </w:pPr>
      <w:r w:rsidRPr="007E7C5B">
        <w:rPr>
          <w:rFonts w:ascii="Arial Narrow" w:eastAsia="Times New Roman" w:hAnsi="Arial Narrow" w:cs="Arial"/>
          <w:kern w:val="0"/>
          <w:sz w:val="24"/>
          <w:szCs w:val="24"/>
          <w:lang w:eastAsia="fr-FR"/>
          <w14:ligatures w14:val="none"/>
        </w:rPr>
        <w:t>Concernant les maladies métaboliques, l’objectif était</w:t>
      </w:r>
      <w:r w:rsidR="00F85FB4">
        <w:rPr>
          <w:rFonts w:ascii="Arial Narrow" w:eastAsia="Times New Roman" w:hAnsi="Arial Narrow" w:cs="Arial"/>
          <w:kern w:val="0"/>
          <w:sz w:val="24"/>
          <w:szCs w:val="24"/>
          <w:lang w:eastAsia="fr-FR"/>
          <w14:ligatures w14:val="none"/>
        </w:rPr>
        <w:t xml:space="preserve"> de </w:t>
      </w:r>
      <w:r w:rsidRPr="007E7C5B">
        <w:rPr>
          <w:rFonts w:ascii="Arial Narrow" w:eastAsia="Times New Roman" w:hAnsi="Arial Narrow" w:cs="Arial"/>
          <w:kern w:val="0"/>
          <w:sz w:val="24"/>
          <w:szCs w:val="24"/>
          <w:lang w:eastAsia="fr-FR"/>
          <w14:ligatures w14:val="none"/>
        </w:rPr>
        <w:t>faire passer les</w:t>
      </w:r>
      <w:r w:rsidRPr="007E7C5B" w:rsidDel="002F7661">
        <w:rPr>
          <w:rFonts w:ascii="Arial Narrow" w:eastAsia="Times New Roman" w:hAnsi="Arial Narrow" w:cs="Arial"/>
          <w:kern w:val="0"/>
          <w:sz w:val="24"/>
          <w:szCs w:val="24"/>
          <w:lang w:eastAsia="fr-FR"/>
          <w14:ligatures w14:val="none"/>
        </w:rPr>
        <w:t xml:space="preserve"> </w:t>
      </w:r>
      <w:r w:rsidRPr="007E7C5B">
        <w:rPr>
          <w:rFonts w:ascii="Arial Narrow" w:eastAsia="Times New Roman" w:hAnsi="Arial Narrow" w:cs="Arial"/>
          <w:kern w:val="0"/>
          <w:sz w:val="24"/>
          <w:szCs w:val="24"/>
          <w:lang w:eastAsia="fr-FR"/>
          <w14:ligatures w14:val="none"/>
        </w:rPr>
        <w:t>prévalences de l’HTA et du diabète respectivement de 39,92% et 6,20% en 2020 à 35% et 5,60% en 2023.</w:t>
      </w:r>
      <w:r w:rsidR="00E33227">
        <w:rPr>
          <w:rFonts w:ascii="Arial Narrow" w:eastAsia="Times New Roman" w:hAnsi="Arial Narrow" w:cs="Arial"/>
          <w:kern w:val="0"/>
          <w:sz w:val="24"/>
          <w:szCs w:val="24"/>
          <w:lang w:eastAsia="fr-FR"/>
          <w14:ligatures w14:val="none"/>
        </w:rPr>
        <w:t xml:space="preserve"> </w:t>
      </w:r>
      <w:r w:rsidR="00F85FB4" w:rsidRPr="007E7C5B">
        <w:rPr>
          <w:rFonts w:ascii="Arial Narrow" w:eastAsia="Times New Roman" w:hAnsi="Arial Narrow" w:cs="Arial"/>
          <w:kern w:val="0"/>
          <w:sz w:val="24"/>
          <w:szCs w:val="24"/>
          <w:lang w:eastAsia="fr-FR"/>
          <w14:ligatures w14:val="none"/>
        </w:rPr>
        <w:t>Pour ce faire, plusieurs initiatives ont été réalisées dans le but de renforcer la promotion et la</w:t>
      </w:r>
      <w:r w:rsidR="00F85FB4" w:rsidRPr="007E7C5B" w:rsidDel="002F7661">
        <w:rPr>
          <w:rFonts w:ascii="Arial Narrow" w:eastAsia="Times New Roman" w:hAnsi="Arial Narrow" w:cs="Arial"/>
          <w:kern w:val="0"/>
          <w:sz w:val="24"/>
          <w:szCs w:val="24"/>
          <w:lang w:eastAsia="fr-FR"/>
          <w14:ligatures w14:val="none"/>
        </w:rPr>
        <w:t xml:space="preserve"> </w:t>
      </w:r>
      <w:r w:rsidR="00F85FB4" w:rsidRPr="007E7C5B">
        <w:rPr>
          <w:rFonts w:ascii="Arial Narrow" w:eastAsia="Times New Roman" w:hAnsi="Arial Narrow" w:cs="Arial"/>
          <w:kern w:val="0"/>
          <w:sz w:val="24"/>
          <w:szCs w:val="24"/>
          <w:lang w:eastAsia="fr-FR"/>
          <w14:ligatures w14:val="none"/>
        </w:rPr>
        <w:t>sensibilisation sur les facteurs de risque du diabète et de l’hypertension artérielle.</w:t>
      </w:r>
    </w:p>
    <w:p w14:paraId="7FB10E1E" w14:textId="77777777" w:rsidR="00F85FB4" w:rsidRPr="007E7C5B" w:rsidRDefault="00F85FB4" w:rsidP="00F85FB4">
      <w:pPr>
        <w:spacing w:before="100" w:beforeAutospacing="1" w:after="100" w:afterAutospacing="1"/>
        <w:jc w:val="both"/>
        <w:rPr>
          <w:rFonts w:ascii="Arial Narrow" w:eastAsia="Times New Roman" w:hAnsi="Arial Narrow" w:cs="Arial"/>
          <w:kern w:val="0"/>
          <w:sz w:val="24"/>
          <w:szCs w:val="24"/>
          <w:lang w:eastAsia="fr-FR"/>
          <w14:ligatures w14:val="none"/>
        </w:rPr>
      </w:pPr>
      <w:r w:rsidRPr="00A918AC">
        <w:rPr>
          <w:rFonts w:ascii="Arial Narrow" w:eastAsia="Times New Roman" w:hAnsi="Arial Narrow" w:cs="Arial"/>
          <w:b/>
          <w:bCs/>
          <w:i/>
          <w:iCs/>
          <w:kern w:val="0"/>
          <w:sz w:val="24"/>
          <w:szCs w:val="24"/>
          <w:lang w:eastAsia="fr-FR"/>
          <w14:ligatures w14:val="none"/>
        </w:rPr>
        <w:t>Sur</w:t>
      </w:r>
      <w:r w:rsidRPr="00A918AC">
        <w:rPr>
          <w:rFonts w:ascii="Arial Narrow" w:eastAsia="Times New Roman" w:hAnsi="Arial Narrow" w:cs="Arial"/>
          <w:b/>
          <w:i/>
          <w:kern w:val="0"/>
          <w:sz w:val="24"/>
          <w:szCs w:val="24"/>
          <w:lang w:eastAsia="fr-FR"/>
          <w14:ligatures w14:val="none"/>
        </w:rPr>
        <w:t xml:space="preserve"> le plan de la gouvernance</w:t>
      </w:r>
      <w:r w:rsidRPr="007E7C5B">
        <w:rPr>
          <w:rFonts w:ascii="Arial Narrow" w:eastAsia="Times New Roman" w:hAnsi="Arial Narrow" w:cs="Arial"/>
          <w:kern w:val="0"/>
          <w:sz w:val="24"/>
          <w:szCs w:val="24"/>
          <w:lang w:eastAsia="fr-FR"/>
          <w14:ligatures w14:val="none"/>
        </w:rPr>
        <w:t xml:space="preserve">, en vue d’aligner la lutte contre les MNT aux orientations du plan d'action mondial et d'adresser de manière efficiente les indicateurs sur lesquels le pays sera également évalué, un plan stratégique intégré national pour les MNT 2022-2025 a été élaboré en 2022. Les directives nationales de prise en charge du diabète et de l’HTA ont également été révisées en 2023, avec une mise à jour des recommandations sur la pratique régulière de l’activité physique pour la santé. En outre, le plan national de développement de la réadaptation et des technologies d’assistance 2022-2025 a été élaboré dès 2021, avec une évaluation systématique de la situation de la réadaptation (STARS) réalisée en Côte d’Ivoire. </w:t>
      </w:r>
    </w:p>
    <w:p w14:paraId="46778644" w14:textId="215C0B3C" w:rsidR="00F85FB4" w:rsidRDefault="00F85FB4" w:rsidP="00F85FB4">
      <w:pPr>
        <w:spacing w:before="100" w:beforeAutospacing="1"/>
        <w:jc w:val="both"/>
        <w:rPr>
          <w:rFonts w:ascii="Arial Narrow" w:eastAsia="Times New Roman" w:hAnsi="Arial Narrow" w:cs="Arial"/>
          <w:kern w:val="0"/>
          <w:sz w:val="24"/>
          <w:szCs w:val="24"/>
          <w:lang w:val="fr-CI" w:eastAsia="fr-FR"/>
          <w14:ligatures w14:val="none"/>
        </w:rPr>
      </w:pPr>
      <w:r w:rsidRPr="00ED73EA">
        <w:rPr>
          <w:rFonts w:ascii="Arial Narrow" w:eastAsia="Times New Roman" w:hAnsi="Arial Narrow" w:cs="Arial"/>
          <w:b/>
          <w:i/>
          <w:kern w:val="0"/>
          <w:sz w:val="24"/>
          <w:szCs w:val="24"/>
          <w:lang w:val="fr-CI" w:eastAsia="fr-FR"/>
          <w14:ligatures w14:val="none"/>
        </w:rPr>
        <w:t>Concernant la prévention et la prise en charge</w:t>
      </w:r>
      <w:r w:rsidRPr="00ED73EA">
        <w:rPr>
          <w:rFonts w:ascii="Arial Narrow" w:eastAsia="Times New Roman" w:hAnsi="Arial Narrow" w:cs="Arial"/>
          <w:iCs/>
          <w:kern w:val="0"/>
          <w:sz w:val="24"/>
          <w:szCs w:val="24"/>
          <w:lang w:val="fr-CI" w:eastAsia="fr-FR"/>
          <w14:ligatures w14:val="none"/>
        </w:rPr>
        <w:t>,</w:t>
      </w:r>
      <w:r w:rsidRPr="00ED73EA">
        <w:rPr>
          <w:rFonts w:ascii="Arial Narrow" w:eastAsia="Times New Roman" w:hAnsi="Arial Narrow" w:cs="Arial"/>
          <w:kern w:val="0"/>
          <w:sz w:val="24"/>
          <w:szCs w:val="24"/>
          <w:lang w:val="fr-CI" w:eastAsia="fr-FR"/>
          <w14:ligatures w14:val="none"/>
        </w:rPr>
        <w:t xml:space="preserve"> à travers l’initiative Villes-Santé, six plateformes multipartites ont été créées en 2022 dans les communes de Boundiali, Odienné, Abengourou, Bondoukou, et </w:t>
      </w:r>
      <w:proofErr w:type="spellStart"/>
      <w:r w:rsidRPr="00ED73EA">
        <w:rPr>
          <w:rFonts w:ascii="Arial Narrow" w:eastAsia="Times New Roman" w:hAnsi="Arial Narrow" w:cs="Arial"/>
          <w:kern w:val="0"/>
          <w:sz w:val="24"/>
          <w:szCs w:val="24"/>
          <w:lang w:val="fr-CI" w:eastAsia="fr-FR"/>
          <w14:ligatures w14:val="none"/>
        </w:rPr>
        <w:t>Maféré</w:t>
      </w:r>
      <w:proofErr w:type="spellEnd"/>
      <w:r w:rsidRPr="00ED73EA">
        <w:rPr>
          <w:rFonts w:ascii="Arial Narrow" w:eastAsia="Times New Roman" w:hAnsi="Arial Narrow" w:cs="Arial"/>
          <w:kern w:val="0"/>
          <w:sz w:val="24"/>
          <w:szCs w:val="24"/>
          <w:lang w:val="fr-CI" w:eastAsia="fr-FR"/>
          <w14:ligatures w14:val="none"/>
        </w:rPr>
        <w:t>, favorisant une approche collaborative pour la lutte contre les MNT à l’échelle locale. Aussi, les campagnes de sensibilisation ont permis à 72</w:t>
      </w:r>
      <w:r w:rsidR="003D0F59">
        <w:rPr>
          <w:rFonts w:ascii="Arial Narrow" w:eastAsia="Times New Roman" w:hAnsi="Arial Narrow" w:cs="Arial"/>
          <w:kern w:val="0"/>
          <w:sz w:val="24"/>
          <w:szCs w:val="24"/>
          <w:lang w:val="fr-CI" w:eastAsia="fr-FR"/>
          <w14:ligatures w14:val="none"/>
        </w:rPr>
        <w:t xml:space="preserve"> </w:t>
      </w:r>
      <w:r w:rsidRPr="00ED73EA">
        <w:rPr>
          <w:rFonts w:ascii="Arial Narrow" w:eastAsia="Times New Roman" w:hAnsi="Arial Narrow" w:cs="Arial"/>
          <w:kern w:val="0"/>
          <w:sz w:val="24"/>
          <w:szCs w:val="24"/>
          <w:lang w:val="fr-CI" w:eastAsia="fr-FR"/>
          <w14:ligatures w14:val="none"/>
        </w:rPr>
        <w:t>101 personnes de bénéficier de sensibilisation et de dépistage de 2021 à 2023 dans 9 PRES (Yamoussoukro, Korhogo, Daloa, Abidjan, Odienné, Bouaké, Man, San Pedro, Abengourou).</w:t>
      </w:r>
    </w:p>
    <w:p w14:paraId="2796159F" w14:textId="2C6A0AAB" w:rsidR="00F85FB4" w:rsidRPr="0044167B" w:rsidRDefault="00F85FB4" w:rsidP="0044167B">
      <w:pPr>
        <w:jc w:val="both"/>
        <w:rPr>
          <w:rFonts w:ascii="Arial Narrow" w:hAnsi="Arial Narrow" w:cstheme="minorHAnsi"/>
          <w:sz w:val="24"/>
          <w:szCs w:val="24"/>
        </w:rPr>
      </w:pPr>
      <w:r w:rsidRPr="007E7C5B">
        <w:rPr>
          <w:rFonts w:ascii="Arial Narrow" w:hAnsi="Arial Narrow" w:cstheme="minorHAnsi"/>
          <w:sz w:val="24"/>
          <w:szCs w:val="24"/>
        </w:rPr>
        <w:lastRenderedPageBreak/>
        <w:t xml:space="preserve">Au titre des 3 premières années de mise en œuvre du PNDS 2021-2025, </w:t>
      </w:r>
      <w:r w:rsidRPr="00A918AC">
        <w:rPr>
          <w:rFonts w:ascii="Arial Narrow" w:hAnsi="Arial Narrow" w:cstheme="minorHAnsi"/>
          <w:sz w:val="24"/>
          <w:szCs w:val="24"/>
        </w:rPr>
        <w:t>les efforts de dépistage du diabète se sont globalement intensifiés.</w:t>
      </w:r>
      <w:r w:rsidRPr="007E7C5B">
        <w:rPr>
          <w:rFonts w:ascii="Arial Narrow" w:hAnsi="Arial Narrow" w:cstheme="minorHAnsi"/>
          <w:sz w:val="24"/>
          <w:szCs w:val="24"/>
        </w:rPr>
        <w:t xml:space="preserve"> On note ainsi dans la région du </w:t>
      </w:r>
      <w:proofErr w:type="spellStart"/>
      <w:r w:rsidRPr="00A918AC">
        <w:rPr>
          <w:rFonts w:ascii="Arial Narrow" w:hAnsi="Arial Narrow" w:cstheme="minorHAnsi"/>
          <w:sz w:val="24"/>
          <w:szCs w:val="24"/>
        </w:rPr>
        <w:t>N’zi</w:t>
      </w:r>
      <w:proofErr w:type="spellEnd"/>
      <w:r w:rsidRPr="007E7C5B">
        <w:rPr>
          <w:rFonts w:ascii="Arial Narrow" w:hAnsi="Arial Narrow" w:cstheme="minorHAnsi"/>
          <w:sz w:val="24"/>
          <w:szCs w:val="24"/>
        </w:rPr>
        <w:t xml:space="preserve"> le passage du nombre de patients dépistés de 326 en 2021 à 366 en 2023 et de de 83 en 2021 à 518 en 2023 dans la </w:t>
      </w:r>
      <w:proofErr w:type="spellStart"/>
      <w:r w:rsidRPr="007E7C5B">
        <w:rPr>
          <w:rFonts w:ascii="Arial Narrow" w:hAnsi="Arial Narrow" w:cstheme="minorHAnsi"/>
          <w:sz w:val="24"/>
          <w:szCs w:val="24"/>
        </w:rPr>
        <w:t>Marahoue</w:t>
      </w:r>
      <w:proofErr w:type="spellEnd"/>
      <w:r w:rsidRPr="007E7C5B">
        <w:rPr>
          <w:rFonts w:ascii="Arial Narrow" w:hAnsi="Arial Narrow" w:cstheme="minorHAnsi"/>
          <w:sz w:val="24"/>
          <w:szCs w:val="24"/>
        </w:rPr>
        <w:t>. Cette performance a été atteinte grâce à l'appui de l'ONG LUDITA et ASAPSU par la sensibilisation et le dépistage gratuit.</w:t>
      </w:r>
    </w:p>
    <w:p w14:paraId="7266B1CC" w14:textId="19CDA185" w:rsidR="00F85FB4" w:rsidRPr="0044167B" w:rsidRDefault="00F85FB4" w:rsidP="0044167B">
      <w:pPr>
        <w:jc w:val="both"/>
        <w:rPr>
          <w:rFonts w:ascii="Arial Narrow" w:hAnsi="Arial Narrow" w:cstheme="minorHAnsi"/>
          <w:sz w:val="24"/>
          <w:szCs w:val="24"/>
        </w:rPr>
      </w:pPr>
      <w:r w:rsidRPr="00ED73EA">
        <w:rPr>
          <w:rFonts w:ascii="Arial Narrow" w:eastAsia="Times New Roman" w:hAnsi="Arial Narrow" w:cs="Arial"/>
          <w:kern w:val="0"/>
          <w:sz w:val="24"/>
          <w:szCs w:val="24"/>
          <w:lang w:val="fr-CI" w:eastAsia="fr-FR"/>
          <w14:ligatures w14:val="none"/>
        </w:rPr>
        <w:t xml:space="preserve">  En 2023, les capacités de 100 ASC ont été renforcées dans la prise en charge communautaire et la sensibilisation sur les facteurs de risque du diabète et de l’HTA dans les régions à forte prévalence et concernant cette activité, </w:t>
      </w:r>
      <w:r w:rsidRPr="00D15AE6">
        <w:rPr>
          <w:rFonts w:ascii="Arial Narrow" w:eastAsia="Times New Roman" w:hAnsi="Arial Narrow" w:cs="Arial"/>
          <w:kern w:val="0"/>
          <w:sz w:val="24"/>
          <w:szCs w:val="24"/>
          <w:lang w:val="fr-CI" w:eastAsia="fr-FR"/>
          <w14:ligatures w14:val="none"/>
        </w:rPr>
        <w:t>le défi majeur reste la mise à disposition des intrants de dépistage</w:t>
      </w:r>
      <w:r w:rsidRPr="00ED73EA">
        <w:rPr>
          <w:rFonts w:ascii="Arial Narrow" w:eastAsia="Times New Roman" w:hAnsi="Arial Narrow" w:cs="Arial"/>
          <w:kern w:val="0"/>
          <w:sz w:val="24"/>
          <w:szCs w:val="24"/>
          <w:lang w:val="fr-CI" w:eastAsia="fr-FR"/>
          <w14:ligatures w14:val="none"/>
        </w:rPr>
        <w:t>. De plus, 4 nouvelles unités de prise en charge (UPEC) du diabète et de l’HTA ont été installées et équipées dans les districts sanitaires (</w:t>
      </w:r>
      <w:r w:rsidRPr="00ED73EA" w:rsidDel="00C30F69">
        <w:rPr>
          <w:rFonts w:ascii="Arial Narrow" w:eastAsia="Times New Roman" w:hAnsi="Arial Narrow" w:cs="Arial"/>
          <w:kern w:val="0"/>
          <w:sz w:val="24"/>
          <w:szCs w:val="24"/>
          <w:lang w:val="fr-CI" w:eastAsia="fr-FR"/>
          <w14:ligatures w14:val="none"/>
        </w:rPr>
        <w:t>D</w:t>
      </w:r>
      <w:r w:rsidRPr="00ED73EA">
        <w:rPr>
          <w:rFonts w:ascii="Arial Narrow" w:eastAsia="Times New Roman" w:hAnsi="Arial Narrow" w:cs="Arial"/>
          <w:kern w:val="0"/>
          <w:sz w:val="24"/>
          <w:szCs w:val="24"/>
          <w:lang w:val="fr-CI" w:eastAsia="fr-FR"/>
          <w14:ligatures w14:val="none"/>
        </w:rPr>
        <w:t xml:space="preserve">S) de Yopougon-Est, Marcory-Treichville, Dabou et </w:t>
      </w:r>
      <w:proofErr w:type="spellStart"/>
      <w:r w:rsidRPr="00ED73EA">
        <w:rPr>
          <w:rFonts w:ascii="Arial Narrow" w:eastAsia="Times New Roman" w:hAnsi="Arial Narrow" w:cs="Arial"/>
          <w:kern w:val="0"/>
          <w:sz w:val="24"/>
          <w:szCs w:val="24"/>
          <w:lang w:val="fr-CI" w:eastAsia="fr-FR"/>
          <w14:ligatures w14:val="none"/>
        </w:rPr>
        <w:t>Adiaké</w:t>
      </w:r>
      <w:proofErr w:type="spellEnd"/>
      <w:r w:rsidRPr="00ED73EA">
        <w:rPr>
          <w:rFonts w:ascii="Arial Narrow" w:eastAsia="Times New Roman" w:hAnsi="Arial Narrow" w:cs="Arial"/>
          <w:kern w:val="0"/>
          <w:sz w:val="24"/>
          <w:szCs w:val="24"/>
          <w:lang w:val="fr-CI" w:eastAsia="fr-FR"/>
          <w14:ligatures w14:val="none"/>
        </w:rPr>
        <w:t>, renforçant</w:t>
      </w:r>
      <w:r w:rsidRPr="007E7C5B">
        <w:rPr>
          <w:rFonts w:ascii="Arial Narrow" w:eastAsia="Times New Roman" w:hAnsi="Arial Narrow" w:cs="Arial"/>
          <w:kern w:val="0"/>
          <w:sz w:val="24"/>
          <w:szCs w:val="24"/>
          <w:lang w:val="fr-CI" w:eastAsia="fr-FR"/>
          <w14:ligatures w14:val="none"/>
        </w:rPr>
        <w:t xml:space="preserve"> ainsi l’accès aux soins spécialisés. </w:t>
      </w:r>
      <w:r w:rsidRPr="007E7C5B">
        <w:rPr>
          <w:rFonts w:ascii="Arial Narrow" w:eastAsia="Times New Roman" w:hAnsi="Arial Narrow" w:cs="Arial"/>
          <w:kern w:val="0"/>
          <w:sz w:val="24"/>
          <w:szCs w:val="24"/>
          <w:lang w:eastAsia="fr-FR"/>
          <w14:ligatures w14:val="none"/>
        </w:rPr>
        <w:t>Enfin, les médicaments pour la prise en charge du diabète et de l’hypertension artérielle non compliqués ont été intégrés dans le panier de soins de la Couverture Maladie Universelle (CMU).</w:t>
      </w:r>
      <w:r>
        <w:rPr>
          <w:rFonts w:ascii="Arial Narrow" w:eastAsia="Times New Roman" w:hAnsi="Arial Narrow" w:cs="Arial"/>
          <w:kern w:val="0"/>
          <w:sz w:val="24"/>
          <w:szCs w:val="24"/>
          <w:lang w:eastAsia="fr-FR"/>
          <w14:ligatures w14:val="none"/>
        </w:rPr>
        <w:t xml:space="preserve">  </w:t>
      </w:r>
    </w:p>
    <w:p w14:paraId="68BFC9CE" w14:textId="77777777" w:rsidR="00F85FB4" w:rsidRPr="007E7C5B" w:rsidRDefault="00F85FB4" w:rsidP="00F85FB4">
      <w:pPr>
        <w:shd w:val="clear" w:color="auto" w:fill="FFFFFF" w:themeFill="background1"/>
        <w:spacing w:before="100" w:beforeAutospacing="1" w:after="100" w:afterAutospacing="1"/>
        <w:jc w:val="both"/>
        <w:rPr>
          <w:rFonts w:ascii="Arial Narrow" w:eastAsia="Times New Roman" w:hAnsi="Arial Narrow" w:cs="Arial"/>
          <w:kern w:val="0"/>
          <w:sz w:val="24"/>
          <w:szCs w:val="24"/>
          <w:lang w:eastAsia="fr-FR"/>
          <w14:ligatures w14:val="none"/>
        </w:rPr>
      </w:pPr>
      <w:r w:rsidRPr="007E7C5B">
        <w:rPr>
          <w:rFonts w:ascii="Arial Narrow" w:eastAsia="Times New Roman" w:hAnsi="Arial Narrow" w:cs="Arial"/>
          <w:kern w:val="0"/>
          <w:sz w:val="24"/>
          <w:szCs w:val="24"/>
          <w:lang w:eastAsia="fr-FR"/>
          <w14:ligatures w14:val="none"/>
        </w:rPr>
        <w:t xml:space="preserve">Ces réalisations ont permis de </w:t>
      </w:r>
      <w:r w:rsidRPr="00A918AC">
        <w:rPr>
          <w:rFonts w:ascii="Arial Narrow" w:eastAsia="Times New Roman" w:hAnsi="Arial Narrow" w:cs="Arial"/>
          <w:i/>
          <w:kern w:val="0"/>
          <w:sz w:val="24"/>
          <w:szCs w:val="24"/>
          <w:lang w:eastAsia="fr-FR"/>
          <w14:ligatures w14:val="none"/>
        </w:rPr>
        <w:t>(i)</w:t>
      </w:r>
      <w:r w:rsidRPr="007E7C5B">
        <w:rPr>
          <w:rFonts w:ascii="Arial Narrow" w:eastAsia="Times New Roman" w:hAnsi="Arial Narrow" w:cs="Arial"/>
          <w:kern w:val="0"/>
          <w:sz w:val="24"/>
          <w:szCs w:val="24"/>
          <w:lang w:eastAsia="fr-FR"/>
          <w14:ligatures w14:val="none"/>
        </w:rPr>
        <w:t xml:space="preserve"> faire passer la proportion de régions sanitaires disposant d’une unité de prise en charge (UPEC) du diabète et de l’HTA de 54,5% en 2020 à 66,67% en 2023 ; </w:t>
      </w:r>
      <w:r w:rsidRPr="00A918AC">
        <w:rPr>
          <w:rFonts w:ascii="Arial Narrow" w:eastAsia="Times New Roman" w:hAnsi="Arial Narrow" w:cs="Arial"/>
          <w:i/>
          <w:kern w:val="0"/>
          <w:sz w:val="24"/>
          <w:szCs w:val="24"/>
          <w:lang w:eastAsia="fr-FR"/>
          <w14:ligatures w14:val="none"/>
        </w:rPr>
        <w:t>(ii)</w:t>
      </w:r>
      <w:r w:rsidRPr="007E7C5B">
        <w:rPr>
          <w:rFonts w:ascii="Arial Narrow" w:eastAsia="Times New Roman" w:hAnsi="Arial Narrow" w:cs="Arial"/>
          <w:kern w:val="0"/>
          <w:sz w:val="24"/>
          <w:szCs w:val="24"/>
          <w:lang w:eastAsia="fr-FR"/>
          <w14:ligatures w14:val="none"/>
        </w:rPr>
        <w:t xml:space="preserve"> réduire les coûts des médicaments anti diabétiques et antihypertenseurs pour l’amélioration de l’accessibilité aux soins.</w:t>
      </w:r>
    </w:p>
    <w:p w14:paraId="20ADD6DA" w14:textId="77777777" w:rsidR="00F85FB4" w:rsidRPr="007E7C5B" w:rsidRDefault="00F85FB4" w:rsidP="00F85FB4">
      <w:pPr>
        <w:pStyle w:val="NormalWeb"/>
        <w:shd w:val="clear" w:color="auto" w:fill="FFFFFF" w:themeFill="background1"/>
        <w:jc w:val="both"/>
        <w:rPr>
          <w:rFonts w:ascii="Arial Narrow" w:hAnsi="Arial Narrow" w:cs="Arial"/>
          <w:lang w:val="fr-CI" w:eastAsia="fr-FR"/>
        </w:rPr>
      </w:pPr>
      <w:r w:rsidRPr="007E7C5B">
        <w:rPr>
          <w:rFonts w:ascii="Arial Narrow" w:hAnsi="Arial Narrow" w:cs="Arial"/>
          <w:lang w:val="fr-CI" w:eastAsia="fr-FR"/>
        </w:rPr>
        <w:t xml:space="preserve">Outre les activités concernant le diabète et l’HTA, un plan national stratégique de lutte contre la drépanocytose (PNS </w:t>
      </w:r>
      <w:proofErr w:type="spellStart"/>
      <w:r w:rsidRPr="007E7C5B">
        <w:rPr>
          <w:rFonts w:ascii="Arial Narrow" w:hAnsi="Arial Narrow" w:cs="Arial"/>
          <w:lang w:val="fr-CI" w:eastAsia="fr-FR"/>
        </w:rPr>
        <w:t>Drepa</w:t>
      </w:r>
      <w:proofErr w:type="spellEnd"/>
      <w:r w:rsidRPr="007E7C5B">
        <w:rPr>
          <w:rFonts w:ascii="Arial Narrow" w:hAnsi="Arial Narrow" w:cs="Arial"/>
          <w:lang w:val="fr-CI" w:eastAsia="fr-FR"/>
        </w:rPr>
        <w:t xml:space="preserve"> 2023-2025) a été élaboré en 2023.</w:t>
      </w:r>
    </w:p>
    <w:p w14:paraId="7B815C1B" w14:textId="648D7509" w:rsidR="00F85FB4" w:rsidRPr="007E7C5B" w:rsidRDefault="00F85FB4" w:rsidP="00F85FB4">
      <w:pPr>
        <w:pStyle w:val="NormalWeb"/>
        <w:shd w:val="clear" w:color="auto" w:fill="FFFFFF" w:themeFill="background1"/>
        <w:spacing w:after="240" w:afterAutospacing="0"/>
        <w:jc w:val="both"/>
        <w:rPr>
          <w:rFonts w:ascii="Arial Narrow" w:hAnsi="Arial Narrow" w:cs="Arial"/>
          <w:lang w:val="fr-CI" w:eastAsia="fr-FR"/>
        </w:rPr>
      </w:pPr>
      <w:r w:rsidRPr="007E7C5B">
        <w:rPr>
          <w:rFonts w:ascii="Arial Narrow" w:hAnsi="Arial Narrow" w:cs="Arial"/>
          <w:lang w:val="fr-CI" w:eastAsia="fr-FR"/>
        </w:rPr>
        <w:t xml:space="preserve">Malgré les progrès accomplis en matière de lutte contre les maladies métaboliques, le défi majeur concerne la disponibilité des évidences pour les maladies métaboliques. </w:t>
      </w:r>
    </w:p>
    <w:p w14:paraId="2D901648" w14:textId="63DC076E" w:rsidR="00981BCF" w:rsidRPr="007E7C5B" w:rsidRDefault="00981BCF" w:rsidP="00981BCF">
      <w:pPr>
        <w:pStyle w:val="NormalWeb"/>
        <w:jc w:val="both"/>
        <w:rPr>
          <w:rFonts w:ascii="Arial Narrow" w:hAnsi="Arial Narrow" w:cs="Arial"/>
          <w:u w:val="single"/>
        </w:rPr>
      </w:pPr>
      <w:r w:rsidRPr="007E7C5B">
        <w:rPr>
          <w:rStyle w:val="lev"/>
          <w:rFonts w:ascii="Arial Narrow" w:eastAsiaTheme="majorEastAsia" w:hAnsi="Arial Narrow" w:cs="Arial"/>
          <w:u w:val="single"/>
        </w:rPr>
        <w:t xml:space="preserve">Lutte contre le </w:t>
      </w:r>
      <w:r w:rsidR="00E827ED">
        <w:rPr>
          <w:rStyle w:val="lev"/>
          <w:rFonts w:ascii="Arial Narrow" w:eastAsiaTheme="majorEastAsia" w:hAnsi="Arial Narrow" w:cs="Arial"/>
          <w:u w:val="single"/>
        </w:rPr>
        <w:t>c</w:t>
      </w:r>
      <w:r w:rsidRPr="007E7C5B">
        <w:rPr>
          <w:rStyle w:val="lev"/>
          <w:rFonts w:ascii="Arial Narrow" w:eastAsiaTheme="majorEastAsia" w:hAnsi="Arial Narrow" w:cs="Arial"/>
          <w:u w:val="single"/>
        </w:rPr>
        <w:t>ancer</w:t>
      </w:r>
    </w:p>
    <w:p w14:paraId="4353C1FE" w14:textId="3B5FE8BE" w:rsidR="00BC4E95" w:rsidRPr="007E7C5B" w:rsidRDefault="00BC4E95" w:rsidP="00BC4E95">
      <w:pPr>
        <w:pStyle w:val="NormalWeb"/>
        <w:jc w:val="both"/>
        <w:rPr>
          <w:rFonts w:ascii="Arial Narrow" w:hAnsi="Arial Narrow" w:cs="Arial"/>
          <w:lang w:eastAsia="fr-FR"/>
        </w:rPr>
      </w:pPr>
      <w:r w:rsidRPr="007E7C5B">
        <w:rPr>
          <w:rFonts w:ascii="Arial Narrow" w:hAnsi="Arial Narrow" w:cs="Arial"/>
          <w:lang w:eastAsia="fr-FR"/>
        </w:rPr>
        <w:t xml:space="preserve">Dans le cadre de la lutte contre les cancers, en particulier le cancer du col de l’utérus, l’objectif était de faire passer la </w:t>
      </w:r>
      <w:r w:rsidR="006E636B" w:rsidRPr="007E7C5B">
        <w:rPr>
          <w:rFonts w:ascii="Arial Narrow" w:hAnsi="Arial Narrow" w:cs="Arial"/>
          <w:lang w:eastAsia="fr-FR"/>
        </w:rPr>
        <w:t>p</w:t>
      </w:r>
      <w:r w:rsidRPr="007E7C5B">
        <w:rPr>
          <w:rFonts w:ascii="Arial Narrow" w:hAnsi="Arial Narrow" w:cs="Arial"/>
          <w:lang w:eastAsia="fr-FR"/>
        </w:rPr>
        <w:t xml:space="preserve">roportion de structures sanitaires offrant le service de dépistage du cancer du col de l'utérus de 7% en 2020 à 22% en 2023, et à 32% en fin de mise en œuvre du PNDS. Aussi, la proportion de femmes dépistées positives a l'IVA </w:t>
      </w:r>
      <w:r w:rsidR="006E636B" w:rsidRPr="007E7C5B">
        <w:rPr>
          <w:rFonts w:ascii="Arial Narrow" w:hAnsi="Arial Narrow" w:cs="Arial"/>
          <w:lang w:eastAsia="fr-FR"/>
        </w:rPr>
        <w:t>ayant bénéficié</w:t>
      </w:r>
      <w:r w:rsidRPr="007E7C5B">
        <w:rPr>
          <w:rFonts w:ascii="Arial Narrow" w:hAnsi="Arial Narrow" w:cs="Arial"/>
          <w:lang w:eastAsia="fr-FR"/>
        </w:rPr>
        <w:t xml:space="preserve"> </w:t>
      </w:r>
      <w:r w:rsidR="006E636B" w:rsidRPr="007E7C5B">
        <w:rPr>
          <w:rFonts w:ascii="Arial Narrow" w:hAnsi="Arial Narrow" w:cs="Arial"/>
          <w:lang w:eastAsia="fr-FR"/>
        </w:rPr>
        <w:t>d’</w:t>
      </w:r>
      <w:r w:rsidRPr="007E7C5B">
        <w:rPr>
          <w:rFonts w:ascii="Arial Narrow" w:hAnsi="Arial Narrow" w:cs="Arial"/>
          <w:lang w:eastAsia="fr-FR"/>
        </w:rPr>
        <w:t xml:space="preserve">un traitement devait passer de </w:t>
      </w:r>
      <w:r w:rsidR="008E7E17" w:rsidRPr="007E7C5B">
        <w:rPr>
          <w:rFonts w:ascii="Arial Narrow" w:hAnsi="Arial Narrow" w:cs="Arial"/>
          <w:lang w:eastAsia="fr-FR"/>
        </w:rPr>
        <w:t xml:space="preserve">13% en 2020, à </w:t>
      </w:r>
      <w:r w:rsidRPr="007E7C5B">
        <w:rPr>
          <w:rFonts w:ascii="Arial Narrow" w:hAnsi="Arial Narrow" w:cs="Arial"/>
          <w:lang w:eastAsia="fr-FR"/>
        </w:rPr>
        <w:t xml:space="preserve">59,70% </w:t>
      </w:r>
      <w:r w:rsidR="008E7E17" w:rsidRPr="007E7C5B">
        <w:rPr>
          <w:rFonts w:ascii="Arial Narrow" w:hAnsi="Arial Narrow" w:cs="Arial"/>
          <w:lang w:eastAsia="fr-FR"/>
        </w:rPr>
        <w:t>en 2</w:t>
      </w:r>
      <w:r w:rsidR="001D59CA" w:rsidRPr="007E7C5B">
        <w:rPr>
          <w:rFonts w:ascii="Arial Narrow" w:hAnsi="Arial Narrow" w:cs="Arial"/>
          <w:lang w:eastAsia="fr-FR"/>
        </w:rPr>
        <w:t>0</w:t>
      </w:r>
      <w:r w:rsidR="008E7E17" w:rsidRPr="007E7C5B">
        <w:rPr>
          <w:rFonts w:ascii="Arial Narrow" w:hAnsi="Arial Narrow" w:cs="Arial"/>
          <w:lang w:eastAsia="fr-FR"/>
        </w:rPr>
        <w:t xml:space="preserve">23 puis </w:t>
      </w:r>
      <w:r w:rsidRPr="007E7C5B">
        <w:rPr>
          <w:rFonts w:ascii="Arial Narrow" w:hAnsi="Arial Narrow" w:cs="Arial"/>
          <w:lang w:eastAsia="fr-FR"/>
        </w:rPr>
        <w:t xml:space="preserve">à 70% </w:t>
      </w:r>
      <w:r w:rsidR="008E7E17" w:rsidRPr="007E7C5B">
        <w:rPr>
          <w:rFonts w:ascii="Arial Narrow" w:hAnsi="Arial Narrow" w:cs="Arial"/>
          <w:lang w:eastAsia="fr-FR"/>
        </w:rPr>
        <w:t>en</w:t>
      </w:r>
      <w:r w:rsidRPr="007E7C5B">
        <w:rPr>
          <w:rFonts w:ascii="Arial Narrow" w:hAnsi="Arial Narrow" w:cs="Arial"/>
          <w:lang w:eastAsia="fr-FR"/>
        </w:rPr>
        <w:t xml:space="preserve"> 2025.</w:t>
      </w:r>
    </w:p>
    <w:p w14:paraId="7F45FDBE" w14:textId="5AE22431" w:rsidR="00BC4E95" w:rsidRPr="007E7C5B" w:rsidRDefault="00BC4E95" w:rsidP="00BC4E95">
      <w:pPr>
        <w:pStyle w:val="NormalWeb"/>
        <w:jc w:val="both"/>
        <w:rPr>
          <w:rFonts w:ascii="Arial Narrow" w:hAnsi="Arial Narrow" w:cs="Arial"/>
        </w:rPr>
      </w:pPr>
      <w:r w:rsidRPr="007E7C5B">
        <w:rPr>
          <w:rFonts w:ascii="Arial Narrow" w:hAnsi="Arial Narrow" w:cs="Arial"/>
        </w:rPr>
        <w:t>A l’effet d’atteindre ces objectifs, un p</w:t>
      </w:r>
      <w:r w:rsidRPr="00A918AC">
        <w:rPr>
          <w:rStyle w:val="lev"/>
          <w:rFonts w:ascii="Arial Narrow" w:eastAsiaTheme="majorEastAsia" w:hAnsi="Arial Narrow" w:cs="Arial"/>
          <w:b w:val="0"/>
        </w:rPr>
        <w:t>lan stratégique national de lutte contre le cancer 2022-2025</w:t>
      </w:r>
      <w:r w:rsidRPr="007E7C5B">
        <w:rPr>
          <w:rFonts w:ascii="Arial Narrow" w:hAnsi="Arial Narrow" w:cs="Arial"/>
        </w:rPr>
        <w:t xml:space="preserve"> a été élaboré, établissant une feuille de route pour coordonner et intensifier les efforts de lutte contre le cancer au niveau national. Un document de directives pour la prise en charge du cancer du col de l'utérus a été élaboré et mis à disposition pour guider les professionnels de santé dans le traitement de cette maladie. De plus, le plan stratégique national d’accélération de l’élimination du cancer du col de l’utérus 2025-2030 a été élaboré en 2024.</w:t>
      </w:r>
      <w:r w:rsidR="00E33227">
        <w:rPr>
          <w:rFonts w:ascii="Arial Narrow" w:hAnsi="Arial Narrow" w:cs="Arial"/>
        </w:rPr>
        <w:t xml:space="preserve"> </w:t>
      </w:r>
      <w:r w:rsidRPr="007E7C5B">
        <w:rPr>
          <w:rFonts w:ascii="Arial Narrow" w:hAnsi="Arial Narrow" w:cs="Arial"/>
        </w:rPr>
        <w:t>A cela s’ajoute la signature de deux conventions de partenariat public-privé avec la Banque Atlantique Côte d'Ivoire (BACI) et la Conférence des Entreprises de Côte d'Ivoire (CECI), renforçant ainsi la collaboration entre les secteurs public et privé dans la lutte contre le cancer.</w:t>
      </w:r>
      <w:r w:rsidR="00303A66" w:rsidRPr="007E7C5B">
        <w:rPr>
          <w:rFonts w:ascii="Arial Narrow" w:hAnsi="Arial Narrow" w:cs="Arial"/>
        </w:rPr>
        <w:t xml:space="preserve"> L’Etat de Côte d’Ivoire a également signé une convention avec ROCHE.</w:t>
      </w:r>
    </w:p>
    <w:p w14:paraId="3B246560" w14:textId="33B3C947" w:rsidR="00BC4E95" w:rsidRPr="007E7C5B" w:rsidRDefault="00BC4E95" w:rsidP="00BC4E95">
      <w:pPr>
        <w:pStyle w:val="NormalWeb"/>
        <w:jc w:val="both"/>
        <w:rPr>
          <w:rFonts w:ascii="Arial Narrow" w:hAnsi="Arial Narrow" w:cs="Arial"/>
          <w:iCs/>
        </w:rPr>
      </w:pPr>
      <w:r w:rsidRPr="007E7C5B">
        <w:rPr>
          <w:rFonts w:ascii="Arial Narrow" w:hAnsi="Arial Narrow" w:cs="Arial"/>
          <w:b/>
          <w:iCs/>
        </w:rPr>
        <w:t>En matière de sensibilisation</w:t>
      </w:r>
      <w:r w:rsidRPr="007E7C5B">
        <w:rPr>
          <w:rFonts w:ascii="Arial Narrow" w:hAnsi="Arial Narrow" w:cs="Arial"/>
          <w:iCs/>
        </w:rPr>
        <w:t>, six</w:t>
      </w:r>
      <w:r w:rsidRPr="007E7C5B">
        <w:rPr>
          <w:rFonts w:ascii="Arial Narrow" w:hAnsi="Arial Narrow"/>
          <w:iCs/>
        </w:rPr>
        <w:t xml:space="preserve"> </w:t>
      </w:r>
      <w:r w:rsidRPr="007E7C5B">
        <w:rPr>
          <w:rFonts w:ascii="Arial Narrow" w:hAnsi="Arial Narrow" w:cs="Arial"/>
          <w:iCs/>
        </w:rPr>
        <w:t>campagnes de sensibilisation des cancers dont trois dédiées</w:t>
      </w:r>
      <w:r w:rsidR="00155212" w:rsidRPr="007E7C5B">
        <w:rPr>
          <w:rFonts w:ascii="Arial Narrow" w:hAnsi="Arial Narrow" w:cs="Arial"/>
          <w:iCs/>
        </w:rPr>
        <w:t xml:space="preserve"> </w:t>
      </w:r>
      <w:r w:rsidRPr="007E7C5B">
        <w:rPr>
          <w:rFonts w:ascii="Arial Narrow" w:hAnsi="Arial Narrow" w:cs="Arial"/>
          <w:iCs/>
        </w:rPr>
        <w:t xml:space="preserve">principalement à la lutte contre le cancer du sein, baptisées "Octobre Rose", ont été organisées et trois campagnes dédiées aux autres types de cancers, notamment le cancer du col de l'utérus, de la prostate et du côlon-rectum. Ces initiatives ont permis de mobiliser les communautés et d'encourager les consultations médicales précoces. En outre, plusieurs leaders communautaires et religieux ont été formés pour promouvoir une meilleure utilisation des services de prévention secondaire, comme le </w:t>
      </w:r>
      <w:r w:rsidRPr="007E7C5B">
        <w:rPr>
          <w:rFonts w:ascii="Arial Narrow" w:hAnsi="Arial Narrow" w:cs="Arial"/>
          <w:iCs/>
        </w:rPr>
        <w:lastRenderedPageBreak/>
        <w:t xml:space="preserve">dépistage et le traitement des lésions précancéreuses, au sein de leurs communautés respectives. Ce sont au total, 16 290 919 personnes qui ont été touchées par la sensibilisation, à travers la communication digitale, la presse audiovisuelle, l’envoi massif de SMS invitant à l’adoption de comportements de santé et à la détection précoce et les différents lancements de campagne en 2022, et 17 370 077 en 2023, dans toutes les régions du pays. </w:t>
      </w:r>
    </w:p>
    <w:p w14:paraId="37E73410" w14:textId="77777777" w:rsidR="00EE3BE8" w:rsidRDefault="00BC4E95" w:rsidP="00BC4E95">
      <w:pPr>
        <w:pStyle w:val="NormalWeb"/>
        <w:jc w:val="both"/>
        <w:rPr>
          <w:rFonts w:ascii="Arial Narrow" w:hAnsi="Arial Narrow" w:cs="Arial"/>
          <w:iCs/>
        </w:rPr>
      </w:pPr>
      <w:r w:rsidRPr="007E7C5B">
        <w:rPr>
          <w:rFonts w:ascii="Arial Narrow" w:hAnsi="Arial Narrow" w:cs="Arial"/>
          <w:b/>
          <w:iCs/>
        </w:rPr>
        <w:t>S’agissant du dépistage, de la détection précoce et de la prise en charge</w:t>
      </w:r>
      <w:r w:rsidRPr="007E7C5B">
        <w:rPr>
          <w:rFonts w:ascii="Arial Narrow" w:hAnsi="Arial Narrow" w:cs="Arial"/>
          <w:iCs/>
        </w:rPr>
        <w:t xml:space="preserve">, une approche innovante a été introduite avec le </w:t>
      </w:r>
      <w:r w:rsidRPr="00A918AC">
        <w:rPr>
          <w:rStyle w:val="lev"/>
          <w:rFonts w:ascii="Arial Narrow" w:eastAsiaTheme="majorEastAsia" w:hAnsi="Arial Narrow" w:cs="Arial"/>
          <w:b w:val="0"/>
        </w:rPr>
        <w:t>dépistage par test HPV</w:t>
      </w:r>
      <w:r w:rsidRPr="007E7C5B">
        <w:rPr>
          <w:rFonts w:ascii="Arial Narrow" w:hAnsi="Arial Narrow" w:cs="Arial"/>
          <w:iCs/>
        </w:rPr>
        <w:t xml:space="preserve"> (Virus du papillome humain) et le </w:t>
      </w:r>
      <w:r w:rsidRPr="00A918AC">
        <w:rPr>
          <w:rStyle w:val="lev"/>
          <w:rFonts w:ascii="Arial Narrow" w:eastAsiaTheme="majorEastAsia" w:hAnsi="Arial Narrow" w:cs="Arial"/>
          <w:b w:val="0"/>
        </w:rPr>
        <w:t>traitement par thermoablation</w:t>
      </w:r>
      <w:r w:rsidRPr="007E7C5B">
        <w:rPr>
          <w:rFonts w:ascii="Arial Narrow" w:hAnsi="Arial Narrow" w:cs="Arial"/>
          <w:iCs/>
        </w:rPr>
        <w:t>, à travers les projets SUCCESS et CCU. Quarante-trois sites de dépistage ont été approvisionnés en kits de prélèvement et/ou détection HPV, et</w:t>
      </w:r>
      <w:r w:rsidR="00E33227">
        <w:rPr>
          <w:rFonts w:ascii="Arial Narrow" w:hAnsi="Arial Narrow" w:cs="Arial"/>
          <w:iCs/>
        </w:rPr>
        <w:t xml:space="preserve"> </w:t>
      </w:r>
      <w:r w:rsidRPr="007E7C5B">
        <w:rPr>
          <w:rFonts w:ascii="Arial Narrow" w:hAnsi="Arial Narrow" w:cs="Arial"/>
          <w:iCs/>
        </w:rPr>
        <w:t xml:space="preserve">d'appareils de thermoablation dans trois régions (7 dans le Haut-Sassandra, 11 dans le </w:t>
      </w:r>
      <w:proofErr w:type="spellStart"/>
      <w:r w:rsidRPr="007E7C5B">
        <w:rPr>
          <w:rFonts w:ascii="Arial Narrow" w:hAnsi="Arial Narrow" w:cs="Arial"/>
          <w:iCs/>
        </w:rPr>
        <w:t>Gbêkê</w:t>
      </w:r>
      <w:proofErr w:type="spellEnd"/>
      <w:r w:rsidRPr="007E7C5B">
        <w:rPr>
          <w:rFonts w:ascii="Arial Narrow" w:hAnsi="Arial Narrow" w:cs="Arial"/>
          <w:iCs/>
        </w:rPr>
        <w:t xml:space="preserve">, et 25 à Abidjan 1 et Abidjan 2). Quatre structures sanitaires supplémentaires ont été dotées d’appareils de résection à l’anse diathermique, une technologie permettant de traiter les lésions précancéreuses étendues et non éligible à la thermoablation. Ce sont près de 44 000 femmes dépistées dans 43 structures sanitaires, soit dans 14 districts sanitaires. La forte acceptabilité de ces nouvelles approches (plus de 90%) et le taux élevé de traitement (94%) ont motivé la mise à jour des directives de nationales de 2013 en les y intégrant formellement. Toutefois, l’accroissement attendu des centres de dépistage quel que soit la méthode (IVA ou test HPV) n’a pas été atteint (moins de 10% des établissements sanitaires couverts par le dépistage du cancer du col de l’utérus). </w:t>
      </w:r>
    </w:p>
    <w:p w14:paraId="7E51D762" w14:textId="40E1F7AB" w:rsidR="00BC4E95" w:rsidRPr="007E7C5B" w:rsidRDefault="00BC4E95" w:rsidP="00BC4E95">
      <w:pPr>
        <w:pStyle w:val="NormalWeb"/>
        <w:jc w:val="both"/>
        <w:rPr>
          <w:rFonts w:ascii="Arial Narrow" w:hAnsi="Arial Narrow" w:cs="Arial"/>
          <w:iCs/>
        </w:rPr>
      </w:pPr>
      <w:r w:rsidRPr="007E7C5B">
        <w:rPr>
          <w:rFonts w:ascii="Arial Narrow" w:hAnsi="Arial Narrow" w:cs="Arial"/>
          <w:iCs/>
        </w:rPr>
        <w:t>Aussi, un processus de renforcement des structures de détection précoce et de prise en charge des cancers a été initié. A cet effet, 09 structures sanitaires (les CHU de Cocody et d’Angré, les HG d’Anyama et d’Abobo, l’INSP, les CHR de Yamoussoukro, d’Aboisso, d’Adzopé et de San Pedro) ont été équipées en mammographes, facilitant ainsi le dépistage et/ou la détection précoce des cancers du sein et permettant un référencement plus rapide en vue d’une initiation précoce de la prise en charge des patientes. En outre, le laboratoire d'anatomopathologie du CHU de Cocody a été équipé d’un appareil et fournis en réactifs d’immunohistochimie, d’un apport important dans la précision diagnostique et la décision thérapeutique chez les patients atteints de cancer du sein et d’autres cancers. Les laboratoires de biochimie et d'immunologie du CHU de Bouaké et du CNRAO ont été équipés en appareil et réactifs d’immunologie.</w:t>
      </w:r>
    </w:p>
    <w:p w14:paraId="71DA0EE3" w14:textId="2249CC6D" w:rsidR="00E26DFA" w:rsidRPr="007E7C5B" w:rsidRDefault="00E26DFA" w:rsidP="00E26DFA">
      <w:pPr>
        <w:pStyle w:val="NormalWeb"/>
        <w:jc w:val="both"/>
        <w:rPr>
          <w:rFonts w:ascii="Arial Narrow" w:hAnsi="Arial Narrow" w:cs="Arial"/>
          <w:iCs/>
        </w:rPr>
      </w:pPr>
      <w:r w:rsidRPr="007E7C5B">
        <w:rPr>
          <w:rFonts w:ascii="Arial Narrow" w:hAnsi="Arial Narrow" w:cs="Arial"/>
          <w:iCs/>
        </w:rPr>
        <w:t xml:space="preserve">Le dépistage du cancer du col de l’utérus s’est intensifié au niveau national. Dans les régions du </w:t>
      </w:r>
      <w:proofErr w:type="spellStart"/>
      <w:r w:rsidRPr="007E7C5B">
        <w:rPr>
          <w:rFonts w:ascii="Arial Narrow" w:hAnsi="Arial Narrow" w:cs="Arial"/>
          <w:iCs/>
        </w:rPr>
        <w:t>Poro</w:t>
      </w:r>
      <w:proofErr w:type="spellEnd"/>
      <w:r w:rsidRPr="007E7C5B">
        <w:rPr>
          <w:rFonts w:ascii="Arial Narrow" w:hAnsi="Arial Narrow" w:cs="Arial"/>
          <w:iCs/>
        </w:rPr>
        <w:t xml:space="preserve"> et du </w:t>
      </w:r>
      <w:proofErr w:type="spellStart"/>
      <w:r w:rsidRPr="007E7C5B">
        <w:rPr>
          <w:rFonts w:ascii="Arial Narrow" w:hAnsi="Arial Narrow" w:cs="Arial"/>
          <w:iCs/>
        </w:rPr>
        <w:t>Tchologo</w:t>
      </w:r>
      <w:proofErr w:type="spellEnd"/>
      <w:r w:rsidRPr="007E7C5B">
        <w:rPr>
          <w:rFonts w:ascii="Arial Narrow" w:hAnsi="Arial Narrow" w:cs="Arial"/>
          <w:iCs/>
        </w:rPr>
        <w:t xml:space="preserve">, le nombre de femmes dépistées pour le cancer du col de l’utérus par l’IVA est passé respectivement de 1 708 en 2021 à 2 224 en 2023 et de 451 en 2021 à 460 en 2023. Cela est dû au renforcement des capacités des SFDE sur les sites de la ville de </w:t>
      </w:r>
      <w:r w:rsidR="00F82873" w:rsidRPr="007E7C5B">
        <w:rPr>
          <w:rFonts w:ascii="Arial Narrow" w:hAnsi="Arial Narrow" w:cs="Arial"/>
          <w:iCs/>
        </w:rPr>
        <w:t>Korhogo, M'</w:t>
      </w:r>
      <w:proofErr w:type="spellStart"/>
      <w:r w:rsidR="00F82873" w:rsidRPr="007E7C5B">
        <w:rPr>
          <w:rFonts w:ascii="Arial Narrow" w:hAnsi="Arial Narrow" w:cs="Arial"/>
          <w:iCs/>
        </w:rPr>
        <w:t>bengue</w:t>
      </w:r>
      <w:proofErr w:type="spellEnd"/>
      <w:r w:rsidRPr="007E7C5B">
        <w:rPr>
          <w:rFonts w:ascii="Arial Narrow" w:hAnsi="Arial Narrow" w:cs="Arial"/>
          <w:iCs/>
        </w:rPr>
        <w:t>.</w:t>
      </w:r>
    </w:p>
    <w:p w14:paraId="77AB3988" w14:textId="4159B680" w:rsidR="0068306B" w:rsidRPr="007E7C5B" w:rsidRDefault="0068306B" w:rsidP="00E26DFA">
      <w:pPr>
        <w:pStyle w:val="NormalWeb"/>
        <w:jc w:val="both"/>
        <w:rPr>
          <w:rFonts w:ascii="Arial Narrow" w:hAnsi="Arial Narrow" w:cs="Arial"/>
          <w:iCs/>
        </w:rPr>
      </w:pPr>
      <w:r w:rsidRPr="007E7C5B">
        <w:rPr>
          <w:rFonts w:ascii="Arial Narrow" w:hAnsi="Arial Narrow" w:cs="Arial"/>
          <w:iCs/>
        </w:rPr>
        <w:t>On note également une amélioration de la disponibilité des médicaments essentiels pour la chimiothérapie et la gratuité pour certains médicaments de gratuité ciblée. A cet effet, 684 patientes atteintes de cancer du sein ont bénéficié gratuitement de thérapie ciblée et de chirurgie mammaire</w:t>
      </w:r>
      <w:r w:rsidR="00F82873" w:rsidRPr="007E7C5B">
        <w:rPr>
          <w:rFonts w:ascii="Arial Narrow" w:hAnsi="Arial Narrow" w:cs="Arial"/>
          <w:iCs/>
        </w:rPr>
        <w:t xml:space="preserve"> en 2023</w:t>
      </w:r>
      <w:r w:rsidRPr="007E7C5B">
        <w:rPr>
          <w:rFonts w:ascii="Arial Narrow" w:hAnsi="Arial Narrow" w:cs="Arial"/>
          <w:iCs/>
        </w:rPr>
        <w:t>.</w:t>
      </w:r>
    </w:p>
    <w:p w14:paraId="24C0BDB2" w14:textId="77777777" w:rsidR="00BC4E95" w:rsidRPr="007E7C5B" w:rsidRDefault="00BC4E95" w:rsidP="00BC4E95">
      <w:pPr>
        <w:pStyle w:val="NormalWeb"/>
        <w:jc w:val="both"/>
        <w:rPr>
          <w:rFonts w:ascii="Arial Narrow" w:hAnsi="Arial Narrow" w:cs="Arial"/>
          <w:iCs/>
        </w:rPr>
      </w:pPr>
      <w:r w:rsidRPr="007E7C5B">
        <w:rPr>
          <w:rFonts w:ascii="Arial Narrow" w:hAnsi="Arial Narrow" w:cs="Arial"/>
          <w:iCs/>
        </w:rPr>
        <w:t>De 2017 au 30 juin 2024, le CNRAO qui est le premier centre public uniquement destiné à la prise en charge du cancer a enregistré 12 160 nouveaux patients dont certains provenant des pays de la sous-région, 63 873 consultations réalisées, 3 204 traitements par radiothérapie, 29 461 cures de chimiothérapie et traitements assimilés, 162 581 analyses biologiques réalisées, ainsi que 7876 participations aux différentes activités d’accompagnement. Ces interventions ont permis d’accroitre le d’améliorer la survie des patients, plus particulièrement le taux de survie après cinq ans pour les femmes touchées par le cancer du sein qui est passé de 30% en 2017 à 63% en 2023. Il atteint 85% lorsque la maladie est dépistée tôt et correctement prise en charge. Il est à noter également l’ouverture en 2022 d’une unité d’oncologie médicale au CHU de Bouaké, augmentant les capacités de traitement du cancer dans le pays et réduisant les évacuations sanitaires dans le grand Abidjan</w:t>
      </w:r>
    </w:p>
    <w:p w14:paraId="113A0925" w14:textId="77777777" w:rsidR="00BC4E95" w:rsidRPr="007E7C5B" w:rsidRDefault="00BC4E95" w:rsidP="00BC4E95">
      <w:pPr>
        <w:pStyle w:val="NormalWeb"/>
        <w:jc w:val="both"/>
        <w:rPr>
          <w:rFonts w:ascii="Arial Narrow" w:hAnsi="Arial Narrow" w:cs="Arial"/>
        </w:rPr>
      </w:pPr>
      <w:r w:rsidRPr="007E7C5B">
        <w:rPr>
          <w:rFonts w:ascii="Arial Narrow" w:hAnsi="Arial Narrow" w:cs="Arial"/>
        </w:rPr>
        <w:lastRenderedPageBreak/>
        <w:t xml:space="preserve">Pour ce qui est de la formation, un total de 195 prestataires de soins ont été formés pour renforcer la capacité de détection et de traitement des cancers. Parmi eux, 85 ont été formés au dépistage précoce du cancer du sein, 60 pour le dépistage du cancer du col de l'utérus et du sein, et 50 pour le cancer colorectal. Aussi, plusieurs prestataires ont été formés via le Projet ECHO Cancer, un programme qui utilise des technologies innovantes pour offrir des formations continues et partager des expériences de pratique aux professionnels de santé dans la gestion du cancer. En parallèle, 154 Agents de Santé Communautaires (ASC) et Educateurs Pairs des 05 districts de la région du </w:t>
      </w:r>
      <w:proofErr w:type="spellStart"/>
      <w:r w:rsidRPr="007E7C5B">
        <w:rPr>
          <w:rFonts w:ascii="Arial Narrow" w:hAnsi="Arial Narrow" w:cs="Arial"/>
        </w:rPr>
        <w:t>Poro</w:t>
      </w:r>
      <w:proofErr w:type="spellEnd"/>
      <w:r w:rsidRPr="007E7C5B">
        <w:rPr>
          <w:rFonts w:ascii="Arial Narrow" w:hAnsi="Arial Narrow" w:cs="Arial"/>
        </w:rPr>
        <w:t xml:space="preserve"> ont été formés pour sensibiliser la population et orienter les personnes vers les services de dépistage et de soins. Aussi, 10 Points Focaux Médecine Traditionnelle de districts sanitaires et 79 Praticiens de Médecine Traditionnelle ont été formés sur la détection précoce et la référence des cas suspects des cancers du sein, du col de l’utérus et de l’enfant dans 03 Régions (Abidjan 1, Abidjan 2 et </w:t>
      </w:r>
      <w:proofErr w:type="spellStart"/>
      <w:r w:rsidRPr="007E7C5B">
        <w:rPr>
          <w:rFonts w:ascii="Arial Narrow" w:hAnsi="Arial Narrow" w:cs="Arial"/>
        </w:rPr>
        <w:t>Gbêkê</w:t>
      </w:r>
      <w:proofErr w:type="spellEnd"/>
      <w:r w:rsidRPr="007E7C5B">
        <w:rPr>
          <w:rFonts w:ascii="Arial Narrow" w:hAnsi="Arial Narrow" w:cs="Arial"/>
        </w:rPr>
        <w:t>) en 2023. Ces réalisations ont permis l’implication des Praticiens de Médecine Traditionnelle dans la lutte contre les cancers du sein, du col de l’utérus et de l’enfant.</w:t>
      </w:r>
    </w:p>
    <w:p w14:paraId="7E69981A" w14:textId="08F600CB" w:rsidR="00BC4E95" w:rsidRPr="007E7C5B" w:rsidRDefault="00BC4E95" w:rsidP="00BC4E95">
      <w:pPr>
        <w:pStyle w:val="NormalWeb"/>
        <w:jc w:val="both"/>
        <w:rPr>
          <w:rFonts w:ascii="Arial Narrow" w:hAnsi="Arial Narrow" w:cs="Arial"/>
          <w:lang w:eastAsia="fr-FR"/>
        </w:rPr>
      </w:pPr>
      <w:r w:rsidRPr="007E7C5B">
        <w:rPr>
          <w:rFonts w:ascii="Arial Narrow" w:hAnsi="Arial Narrow" w:cs="Arial"/>
        </w:rPr>
        <w:t>Ces initiatives témoignent de la volonté de la Côte d'Ivoire d'améliorer la lutte contre le cancer.</w:t>
      </w:r>
      <w:r w:rsidR="001D59CA" w:rsidRPr="007E7C5B">
        <w:rPr>
          <w:rFonts w:ascii="Arial Narrow" w:hAnsi="Arial Narrow" w:cs="Arial"/>
        </w:rPr>
        <w:t xml:space="preserve"> </w:t>
      </w:r>
      <w:r w:rsidR="00E621FA" w:rsidRPr="007E7C5B">
        <w:rPr>
          <w:rFonts w:ascii="Arial Narrow" w:hAnsi="Arial Narrow" w:cs="Arial"/>
        </w:rPr>
        <w:t>Dans ce sens</w:t>
      </w:r>
      <w:r w:rsidR="0060173F" w:rsidRPr="007E7C5B">
        <w:rPr>
          <w:rFonts w:ascii="Arial Narrow" w:hAnsi="Arial Narrow" w:cs="Arial"/>
        </w:rPr>
        <w:t xml:space="preserve">, </w:t>
      </w:r>
      <w:r w:rsidR="003E5DC2" w:rsidRPr="007E7C5B">
        <w:rPr>
          <w:rFonts w:ascii="Arial Narrow" w:hAnsi="Arial Narrow" w:cs="Arial"/>
          <w:lang w:eastAsia="fr-FR"/>
        </w:rPr>
        <w:t>le nombre de structures sanitaires offrant le service de dépistage du cancer du col de l'utérus est passée de 186 à 242 entre 2021 et 2023</w:t>
      </w:r>
      <w:r w:rsidR="00C60206" w:rsidRPr="007E7C5B">
        <w:rPr>
          <w:rFonts w:ascii="Arial Narrow" w:hAnsi="Arial Narrow" w:cs="Arial"/>
          <w:lang w:eastAsia="fr-FR"/>
        </w:rPr>
        <w:t xml:space="preserve"> avec 65 </w:t>
      </w:r>
      <w:r w:rsidR="00F82873" w:rsidRPr="007E7C5B">
        <w:rPr>
          <w:rFonts w:ascii="Arial Narrow" w:hAnsi="Arial Narrow" w:cs="Arial"/>
          <w:lang w:eastAsia="fr-FR"/>
        </w:rPr>
        <w:t>centres offrant le traitement des lésions précancéreuses par cryothérapie ou résection à l’anse diathermique (RAD)</w:t>
      </w:r>
      <w:r w:rsidR="003E5DC2" w:rsidRPr="007E7C5B">
        <w:rPr>
          <w:rFonts w:ascii="Arial Narrow" w:hAnsi="Arial Narrow" w:cs="Arial"/>
          <w:lang w:eastAsia="fr-FR"/>
        </w:rPr>
        <w:t xml:space="preserve">. </w:t>
      </w:r>
      <w:r w:rsidR="008758E6">
        <w:rPr>
          <w:rFonts w:ascii="Arial Narrow" w:hAnsi="Arial Narrow" w:cs="Arial"/>
          <w:lang w:eastAsia="fr-FR"/>
        </w:rPr>
        <w:t xml:space="preserve">De 2021 à 2023, </w:t>
      </w:r>
      <w:r w:rsidR="008758E6" w:rsidRPr="008758E6">
        <w:rPr>
          <w:rFonts w:ascii="Arial Narrow" w:hAnsi="Arial Narrow" w:cs="Arial"/>
          <w:lang w:eastAsia="fr-FR"/>
        </w:rPr>
        <w:t>138</w:t>
      </w:r>
      <w:r w:rsidR="008758E6" w:rsidRPr="008758E6">
        <w:rPr>
          <w:rFonts w:ascii="Arial" w:hAnsi="Arial" w:cs="Arial"/>
          <w:lang w:eastAsia="fr-FR"/>
        </w:rPr>
        <w:t> </w:t>
      </w:r>
      <w:r w:rsidR="008758E6" w:rsidRPr="008758E6">
        <w:rPr>
          <w:rFonts w:ascii="Arial Narrow" w:hAnsi="Arial Narrow" w:cs="Arial"/>
          <w:lang w:eastAsia="fr-FR"/>
        </w:rPr>
        <w:t>162 femmes âgées de 25 à 49 an</w:t>
      </w:r>
      <w:r w:rsidR="008758E6">
        <w:rPr>
          <w:rFonts w:ascii="Arial Narrow" w:hAnsi="Arial Narrow" w:cs="Arial"/>
          <w:lang w:eastAsia="fr-FR"/>
        </w:rPr>
        <w:t>s ont été</w:t>
      </w:r>
      <w:r w:rsidR="008758E6" w:rsidRPr="008758E6">
        <w:rPr>
          <w:rFonts w:ascii="Arial Narrow" w:hAnsi="Arial Narrow" w:cs="Arial"/>
          <w:lang w:eastAsia="fr-FR"/>
        </w:rPr>
        <w:t xml:space="preserve"> dépistées du cancer du col de l’utérus par IVA</w:t>
      </w:r>
      <w:r w:rsidR="008758E6">
        <w:rPr>
          <w:rFonts w:ascii="Arial Narrow" w:hAnsi="Arial Narrow" w:cs="Arial"/>
          <w:lang w:eastAsia="fr-FR"/>
        </w:rPr>
        <w:t xml:space="preserve">. </w:t>
      </w:r>
      <w:r w:rsidR="00EE3BE8">
        <w:rPr>
          <w:rFonts w:ascii="Arial Narrow" w:hAnsi="Arial Narrow" w:cs="Arial"/>
          <w:lang w:eastAsia="fr-FR"/>
        </w:rPr>
        <w:t>Parmi elles</w:t>
      </w:r>
      <w:r w:rsidR="008758E6">
        <w:rPr>
          <w:rFonts w:ascii="Arial Narrow" w:hAnsi="Arial Narrow" w:cs="Arial"/>
          <w:lang w:eastAsia="fr-FR"/>
        </w:rPr>
        <w:t xml:space="preserve">, </w:t>
      </w:r>
      <w:r w:rsidR="003E5DC2" w:rsidRPr="007E7C5B">
        <w:rPr>
          <w:rFonts w:ascii="Arial Narrow" w:hAnsi="Arial Narrow" w:cs="Arial"/>
        </w:rPr>
        <w:t xml:space="preserve">la </w:t>
      </w:r>
      <w:r w:rsidR="003E5DC2" w:rsidRPr="007E7C5B">
        <w:rPr>
          <w:rFonts w:ascii="Arial Narrow" w:hAnsi="Arial Narrow" w:cs="Arial"/>
          <w:lang w:eastAsia="fr-FR"/>
        </w:rPr>
        <w:t xml:space="preserve">proportion de femmes dépistées positives à l'IVA ayant bénéficié d’un traitement </w:t>
      </w:r>
      <w:r w:rsidR="008758E6">
        <w:rPr>
          <w:rFonts w:ascii="Arial Narrow" w:hAnsi="Arial Narrow" w:cs="Arial"/>
          <w:lang w:eastAsia="fr-FR"/>
        </w:rPr>
        <w:t>est de 66,7</w:t>
      </w:r>
      <w:r w:rsidR="003E5DC2" w:rsidRPr="007E7C5B">
        <w:rPr>
          <w:rFonts w:ascii="Arial Narrow" w:hAnsi="Arial Narrow" w:cs="Arial"/>
          <w:lang w:eastAsia="fr-FR"/>
        </w:rPr>
        <w:t>%.</w:t>
      </w:r>
    </w:p>
    <w:p w14:paraId="019A0944" w14:textId="26928AB8" w:rsidR="00981BCF" w:rsidRPr="007E7C5B" w:rsidRDefault="00981BCF" w:rsidP="00981BCF">
      <w:pPr>
        <w:jc w:val="both"/>
        <w:rPr>
          <w:rFonts w:ascii="Arial Narrow" w:hAnsi="Arial Narrow" w:cs="Arial"/>
          <w:b/>
          <w:sz w:val="24"/>
          <w:szCs w:val="24"/>
          <w:u w:val="single"/>
        </w:rPr>
      </w:pPr>
      <w:r w:rsidRPr="00A918AC" w:rsidDel="005B4111">
        <w:rPr>
          <w:rFonts w:ascii="Arial Narrow" w:eastAsia="Times New Roman" w:hAnsi="Arial Narrow" w:cs="Arial"/>
          <w:b/>
          <w:kern w:val="0"/>
          <w:sz w:val="24"/>
          <w:szCs w:val="24"/>
          <w:u w:val="single"/>
          <w:lang w:eastAsia="fr-FR"/>
          <w14:ligatures w14:val="none"/>
        </w:rPr>
        <w:t>M</w:t>
      </w:r>
      <w:r w:rsidRPr="007E7C5B">
        <w:rPr>
          <w:rFonts w:ascii="Arial Narrow" w:hAnsi="Arial Narrow" w:cs="Arial"/>
          <w:b/>
          <w:bCs/>
          <w:sz w:val="24"/>
          <w:szCs w:val="24"/>
          <w:u w:val="single"/>
        </w:rPr>
        <w:t>a</w:t>
      </w:r>
      <w:r w:rsidRPr="007E7C5B">
        <w:rPr>
          <w:rFonts w:ascii="Arial Narrow" w:hAnsi="Arial Narrow" w:cs="Arial"/>
          <w:b/>
          <w:sz w:val="24"/>
          <w:szCs w:val="24"/>
          <w:u w:val="single"/>
        </w:rPr>
        <w:t>ladies cardiovasculaires</w:t>
      </w:r>
    </w:p>
    <w:p w14:paraId="0D621600" w14:textId="34C84793" w:rsidR="00981BCF" w:rsidRPr="007E7C5B" w:rsidRDefault="00981BCF" w:rsidP="00981BCF">
      <w:pPr>
        <w:spacing w:after="0" w:line="276" w:lineRule="auto"/>
        <w:ind w:right="74"/>
        <w:jc w:val="both"/>
        <w:rPr>
          <w:rFonts w:ascii="Arial Narrow" w:hAnsi="Arial Narrow"/>
          <w:sz w:val="24"/>
          <w:szCs w:val="24"/>
        </w:rPr>
      </w:pPr>
      <w:r w:rsidRPr="007E7C5B">
        <w:rPr>
          <w:rFonts w:ascii="Arial Narrow" w:hAnsi="Arial Narrow"/>
          <w:sz w:val="24"/>
          <w:szCs w:val="24"/>
        </w:rPr>
        <w:t>Dans l’ordre d’occurrence</w:t>
      </w:r>
      <w:r w:rsidR="004E2AFB" w:rsidRPr="007E7C5B">
        <w:rPr>
          <w:rFonts w:ascii="Arial Narrow" w:hAnsi="Arial Narrow"/>
          <w:sz w:val="24"/>
          <w:szCs w:val="24"/>
        </w:rPr>
        <w:t>,</w:t>
      </w:r>
      <w:r w:rsidRPr="007E7C5B">
        <w:rPr>
          <w:rFonts w:ascii="Arial Narrow" w:hAnsi="Arial Narrow"/>
          <w:sz w:val="24"/>
          <w:szCs w:val="24"/>
        </w:rPr>
        <w:t xml:space="preserve"> les maladies cardiovasculaires les plus diagnostiquées en 2020 sont l’HTA, les cardiopathies congénitales, la cardiomyopathie dilatée représentant respectivement 56%, 6% et 6% d’un total de 2242 cas. Dans le souci de réduire les taux de ces maladies, le </w:t>
      </w:r>
      <w:r w:rsidR="00B2120F" w:rsidRPr="007E7C5B">
        <w:rPr>
          <w:rFonts w:ascii="Arial Narrow" w:hAnsi="Arial Narrow"/>
          <w:sz w:val="24"/>
          <w:szCs w:val="24"/>
        </w:rPr>
        <w:t>MSHPCMU</w:t>
      </w:r>
      <w:r w:rsidRPr="007E7C5B">
        <w:rPr>
          <w:rFonts w:ascii="Arial Narrow" w:hAnsi="Arial Narrow"/>
          <w:sz w:val="24"/>
          <w:szCs w:val="24"/>
        </w:rPr>
        <w:t xml:space="preserve"> a entrepris plusieurs actions. </w:t>
      </w:r>
    </w:p>
    <w:p w14:paraId="686F3612" w14:textId="77777777" w:rsidR="00682BC3" w:rsidRPr="007E7C5B" w:rsidRDefault="00682BC3" w:rsidP="00981BCF">
      <w:pPr>
        <w:spacing w:after="0" w:line="276" w:lineRule="auto"/>
        <w:ind w:right="74"/>
        <w:jc w:val="both"/>
        <w:rPr>
          <w:rFonts w:ascii="Arial Narrow" w:hAnsi="Arial Narrow"/>
          <w:sz w:val="24"/>
          <w:szCs w:val="24"/>
        </w:rPr>
      </w:pPr>
    </w:p>
    <w:p w14:paraId="172A8F02" w14:textId="30715C7F" w:rsidR="00981BCF" w:rsidRPr="007E7C5B" w:rsidRDefault="00981BCF" w:rsidP="00A918AC">
      <w:pPr>
        <w:spacing w:after="0" w:line="276" w:lineRule="auto"/>
        <w:jc w:val="both"/>
        <w:rPr>
          <w:rFonts w:ascii="Arial Narrow" w:hAnsi="Arial Narrow"/>
          <w:sz w:val="24"/>
          <w:szCs w:val="24"/>
        </w:rPr>
      </w:pPr>
      <w:r w:rsidRPr="00A918AC">
        <w:rPr>
          <w:rFonts w:ascii="Arial Narrow" w:hAnsi="Arial Narrow"/>
          <w:b/>
          <w:i/>
          <w:sz w:val="24"/>
          <w:szCs w:val="24"/>
        </w:rPr>
        <w:t>S’agissant d’éducation sanitaire et de médecine préventive</w:t>
      </w:r>
      <w:r w:rsidRPr="00A918AC" w:rsidDel="00C3398A">
        <w:rPr>
          <w:rFonts w:ascii="Arial Narrow" w:hAnsi="Arial Narrow"/>
          <w:b/>
          <w:i/>
          <w:sz w:val="24"/>
          <w:szCs w:val="24"/>
        </w:rPr>
        <w:t>,</w:t>
      </w:r>
      <w:r w:rsidRPr="007E7C5B" w:rsidDel="00C3398A">
        <w:rPr>
          <w:rFonts w:ascii="Arial Narrow" w:hAnsi="Arial Narrow"/>
          <w:sz w:val="24"/>
          <w:szCs w:val="24"/>
        </w:rPr>
        <w:t xml:space="preserve"> </w:t>
      </w:r>
      <w:r w:rsidRPr="007E7C5B">
        <w:rPr>
          <w:rFonts w:ascii="Arial Narrow" w:hAnsi="Arial Narrow"/>
          <w:sz w:val="24"/>
          <w:szCs w:val="24"/>
        </w:rPr>
        <w:t xml:space="preserve">13 campagnes de prévention ont été réalisées à </w:t>
      </w:r>
      <w:proofErr w:type="spellStart"/>
      <w:r w:rsidRPr="007E7C5B">
        <w:rPr>
          <w:rFonts w:ascii="Arial Narrow" w:hAnsi="Arial Narrow"/>
          <w:sz w:val="24"/>
          <w:szCs w:val="24"/>
        </w:rPr>
        <w:t>Port-Bouet</w:t>
      </w:r>
      <w:proofErr w:type="spellEnd"/>
      <w:r w:rsidRPr="007E7C5B">
        <w:rPr>
          <w:rFonts w:ascii="Arial Narrow" w:hAnsi="Arial Narrow"/>
          <w:sz w:val="24"/>
          <w:szCs w:val="24"/>
        </w:rPr>
        <w:t>, Koumassi, Treichville, INSP d’Adjamé, Yopougon, San</w:t>
      </w:r>
      <w:r w:rsidR="00732666" w:rsidRPr="007E7C5B">
        <w:rPr>
          <w:rFonts w:ascii="Arial Narrow" w:hAnsi="Arial Narrow"/>
          <w:sz w:val="24"/>
          <w:szCs w:val="24"/>
        </w:rPr>
        <w:t xml:space="preserve"> Pe</w:t>
      </w:r>
      <w:r w:rsidRPr="007E7C5B">
        <w:rPr>
          <w:rFonts w:ascii="Arial Narrow" w:hAnsi="Arial Narrow"/>
          <w:sz w:val="24"/>
          <w:szCs w:val="24"/>
        </w:rPr>
        <w:t>dro, Adzopé et Korhogo. Ces activités</w:t>
      </w:r>
      <w:r w:rsidRPr="007E7C5B" w:rsidDel="007631C8">
        <w:rPr>
          <w:rFonts w:ascii="Arial Narrow" w:hAnsi="Arial Narrow"/>
          <w:sz w:val="24"/>
          <w:szCs w:val="24"/>
        </w:rPr>
        <w:t xml:space="preserve"> </w:t>
      </w:r>
      <w:r w:rsidRPr="007E7C5B">
        <w:rPr>
          <w:rFonts w:ascii="Arial Narrow" w:hAnsi="Arial Narrow"/>
          <w:sz w:val="24"/>
          <w:szCs w:val="24"/>
        </w:rPr>
        <w:t xml:space="preserve">ont permis d’enregistrer 7 965 personnes sensibilisées et dépistées puis référées en consultation médicale pour une meilleure prise en charge. </w:t>
      </w:r>
    </w:p>
    <w:p w14:paraId="56BD0BAA" w14:textId="77777777" w:rsidR="00981BCF" w:rsidRPr="007E7C5B" w:rsidRDefault="00981BCF" w:rsidP="00981BCF">
      <w:pPr>
        <w:spacing w:after="0" w:line="276" w:lineRule="auto"/>
        <w:ind w:left="60" w:hanging="60"/>
        <w:jc w:val="both"/>
        <w:rPr>
          <w:rFonts w:ascii="Arial Narrow" w:hAnsi="Arial Narrow"/>
          <w:sz w:val="24"/>
          <w:szCs w:val="24"/>
        </w:rPr>
      </w:pPr>
    </w:p>
    <w:p w14:paraId="3A9E0A10" w14:textId="18BA38F6" w:rsidR="00D07EA2" w:rsidRPr="00A918AC" w:rsidRDefault="00981BCF" w:rsidP="004860C2">
      <w:pPr>
        <w:spacing w:after="0" w:line="268" w:lineRule="auto"/>
        <w:jc w:val="both"/>
        <w:rPr>
          <w:rFonts w:ascii="Arial Narrow" w:hAnsi="Arial Narrow" w:cs="Arial"/>
          <w:sz w:val="24"/>
          <w:szCs w:val="24"/>
        </w:rPr>
      </w:pPr>
      <w:r w:rsidRPr="00A918AC">
        <w:rPr>
          <w:rFonts w:ascii="Arial Narrow" w:hAnsi="Arial Narrow"/>
          <w:b/>
          <w:i/>
          <w:sz w:val="24"/>
          <w:szCs w:val="24"/>
        </w:rPr>
        <w:t>Pour ce qui est de l’enseignement</w:t>
      </w:r>
      <w:r w:rsidR="00D07EA2" w:rsidRPr="007E7C5B">
        <w:rPr>
          <w:rFonts w:ascii="Arial Narrow" w:hAnsi="Arial Narrow"/>
          <w:b/>
          <w:i/>
          <w:sz w:val="24"/>
          <w:szCs w:val="24"/>
        </w:rPr>
        <w:t xml:space="preserve"> et de la recherche</w:t>
      </w:r>
      <w:r w:rsidRPr="00A918AC" w:rsidDel="00DA0C34">
        <w:rPr>
          <w:rFonts w:ascii="Arial Narrow" w:hAnsi="Arial Narrow"/>
          <w:b/>
          <w:i/>
          <w:sz w:val="24"/>
          <w:szCs w:val="24"/>
        </w:rPr>
        <w:t xml:space="preserve">, </w:t>
      </w:r>
      <w:r w:rsidR="00246C8D" w:rsidRPr="007E7C5B">
        <w:rPr>
          <w:rFonts w:ascii="Arial Narrow" w:hAnsi="Arial Narrow"/>
          <w:sz w:val="24"/>
          <w:szCs w:val="24"/>
        </w:rPr>
        <w:t>l</w:t>
      </w:r>
      <w:r w:rsidR="0002047A" w:rsidRPr="007E7C5B">
        <w:rPr>
          <w:rFonts w:ascii="Arial Narrow" w:hAnsi="Arial Narrow"/>
          <w:sz w:val="24"/>
          <w:szCs w:val="24"/>
        </w:rPr>
        <w:t>’ICA est le centre de référence sous régional en matière de formation de spécialistes en cardiologie.</w:t>
      </w:r>
      <w:r w:rsidR="00246C8D" w:rsidRPr="007E7C5B">
        <w:rPr>
          <w:rFonts w:ascii="Arial Narrow" w:hAnsi="Arial Narrow"/>
          <w:sz w:val="24"/>
          <w:szCs w:val="24"/>
        </w:rPr>
        <w:t xml:space="preserve"> De 2021 à 2023</w:t>
      </w:r>
      <w:r w:rsidR="00214EC6" w:rsidRPr="007E7C5B">
        <w:rPr>
          <w:rFonts w:ascii="Arial Narrow" w:hAnsi="Arial Narrow"/>
          <w:sz w:val="24"/>
          <w:szCs w:val="24"/>
        </w:rPr>
        <w:t>,</w:t>
      </w:r>
      <w:r w:rsidR="00246C8D" w:rsidRPr="007E7C5B">
        <w:rPr>
          <w:rFonts w:ascii="Arial Narrow" w:hAnsi="Arial Narrow"/>
          <w:sz w:val="24"/>
          <w:szCs w:val="24"/>
        </w:rPr>
        <w:t xml:space="preserve"> 58 médecins cardiologues de 10</w:t>
      </w:r>
      <w:r w:rsidR="007D1B83" w:rsidRPr="007E7C5B">
        <w:rPr>
          <w:rFonts w:ascii="Arial Narrow" w:hAnsi="Arial Narrow"/>
          <w:sz w:val="24"/>
          <w:szCs w:val="24"/>
        </w:rPr>
        <w:t xml:space="preserve"> </w:t>
      </w:r>
      <w:r w:rsidR="00246C8D" w:rsidRPr="007E7C5B">
        <w:rPr>
          <w:rFonts w:ascii="Arial Narrow" w:hAnsi="Arial Narrow"/>
          <w:sz w:val="24"/>
          <w:szCs w:val="24"/>
        </w:rPr>
        <w:t>nationalités différentes</w:t>
      </w:r>
      <w:r w:rsidR="007D1B83" w:rsidRPr="007E7C5B">
        <w:rPr>
          <w:rFonts w:ascii="Arial Narrow" w:hAnsi="Arial Narrow"/>
          <w:sz w:val="24"/>
          <w:szCs w:val="24"/>
        </w:rPr>
        <w:t>,</w:t>
      </w:r>
      <w:r w:rsidR="00246C8D" w:rsidRPr="007E7C5B">
        <w:rPr>
          <w:rFonts w:ascii="Arial Narrow" w:hAnsi="Arial Narrow"/>
          <w:sz w:val="24"/>
          <w:szCs w:val="24"/>
        </w:rPr>
        <w:t xml:space="preserve"> dont 39 </w:t>
      </w:r>
      <w:r w:rsidR="00BF055E" w:rsidRPr="007E7C5B">
        <w:rPr>
          <w:rFonts w:ascii="Arial Narrow" w:hAnsi="Arial Narrow"/>
          <w:sz w:val="24"/>
          <w:szCs w:val="24"/>
        </w:rPr>
        <w:t>i</w:t>
      </w:r>
      <w:r w:rsidR="00246C8D" w:rsidRPr="007E7C5B">
        <w:rPr>
          <w:rFonts w:ascii="Arial Narrow" w:hAnsi="Arial Narrow"/>
          <w:sz w:val="24"/>
          <w:szCs w:val="24"/>
        </w:rPr>
        <w:t>voiriens ont été formés.</w:t>
      </w:r>
      <w:r w:rsidR="0002047A" w:rsidRPr="007E7C5B">
        <w:rPr>
          <w:rFonts w:ascii="Arial Narrow" w:hAnsi="Arial Narrow"/>
          <w:sz w:val="24"/>
          <w:szCs w:val="24"/>
        </w:rPr>
        <w:t xml:space="preserve"> </w:t>
      </w:r>
      <w:r w:rsidR="00D07EA2" w:rsidRPr="007E7C5B">
        <w:rPr>
          <w:rFonts w:ascii="Arial Narrow" w:hAnsi="Arial Narrow"/>
          <w:sz w:val="24"/>
          <w:szCs w:val="24"/>
        </w:rPr>
        <w:t>Par ailleurs, l</w:t>
      </w:r>
      <w:r w:rsidR="00D07EA2" w:rsidRPr="00A918AC">
        <w:rPr>
          <w:rFonts w:ascii="Arial Narrow" w:hAnsi="Arial Narrow"/>
          <w:sz w:val="24"/>
          <w:szCs w:val="24"/>
        </w:rPr>
        <w:t xml:space="preserve">’ICA </w:t>
      </w:r>
      <w:r w:rsidR="00D07EA2" w:rsidRPr="007E7C5B">
        <w:rPr>
          <w:rFonts w:ascii="Arial Narrow" w:hAnsi="Arial Narrow"/>
          <w:sz w:val="24"/>
          <w:szCs w:val="24"/>
        </w:rPr>
        <w:t>c</w:t>
      </w:r>
      <w:r w:rsidR="00D07EA2" w:rsidRPr="00A918AC">
        <w:rPr>
          <w:rFonts w:ascii="Arial Narrow" w:hAnsi="Arial Narrow"/>
          <w:sz w:val="24"/>
          <w:szCs w:val="24"/>
        </w:rPr>
        <w:t>ontribue à la recherche scientifique sur les maladies cardiovasculaires par la production d</w:t>
      </w:r>
      <w:r w:rsidR="005A5BD9" w:rsidRPr="007E7C5B">
        <w:rPr>
          <w:rFonts w:ascii="Arial Narrow" w:hAnsi="Arial Narrow"/>
          <w:sz w:val="24"/>
          <w:szCs w:val="24"/>
        </w:rPr>
        <w:t>’un</w:t>
      </w:r>
      <w:r w:rsidR="00D07EA2" w:rsidRPr="00A918AC">
        <w:rPr>
          <w:rFonts w:ascii="Arial Narrow" w:hAnsi="Arial Narrow"/>
          <w:sz w:val="24"/>
          <w:szCs w:val="24"/>
        </w:rPr>
        <w:t xml:space="preserve"> rapport scientifique chaque année et ces rapports sont disponibles.</w:t>
      </w:r>
    </w:p>
    <w:p w14:paraId="1C3D6D9E" w14:textId="77777777" w:rsidR="00345DEE" w:rsidRPr="00A918AC" w:rsidRDefault="00345DEE" w:rsidP="00A918AC">
      <w:pPr>
        <w:spacing w:after="0" w:line="268" w:lineRule="auto"/>
        <w:jc w:val="both"/>
        <w:rPr>
          <w:rFonts w:ascii="Arial Narrow" w:hAnsi="Arial Narrow" w:cs="Arial"/>
          <w:sz w:val="24"/>
          <w:szCs w:val="24"/>
        </w:rPr>
      </w:pPr>
    </w:p>
    <w:p w14:paraId="605589D9" w14:textId="60892524" w:rsidR="00EE27DF" w:rsidRPr="007E7C5B" w:rsidRDefault="002276E8" w:rsidP="00EE27DF">
      <w:pPr>
        <w:spacing w:after="0" w:line="276" w:lineRule="auto"/>
        <w:ind w:right="74"/>
        <w:jc w:val="both"/>
        <w:rPr>
          <w:rFonts w:ascii="Arial Narrow" w:hAnsi="Arial Narrow"/>
          <w:sz w:val="24"/>
          <w:szCs w:val="24"/>
        </w:rPr>
      </w:pPr>
      <w:r w:rsidRPr="00A918AC">
        <w:rPr>
          <w:rFonts w:ascii="Arial Narrow" w:hAnsi="Arial Narrow"/>
          <w:b/>
          <w:i/>
          <w:sz w:val="24"/>
          <w:szCs w:val="24"/>
        </w:rPr>
        <w:t>Relativement à la prise en charge,</w:t>
      </w:r>
      <w:r w:rsidRPr="007E7C5B">
        <w:rPr>
          <w:rFonts w:ascii="Arial Narrow" w:hAnsi="Arial Narrow"/>
          <w:sz w:val="24"/>
          <w:szCs w:val="24"/>
        </w:rPr>
        <w:t xml:space="preserve"> </w:t>
      </w:r>
      <w:r w:rsidRPr="007E7C5B">
        <w:rPr>
          <w:rFonts w:ascii="Arial Narrow" w:hAnsi="Arial Narrow" w:cs="Arial"/>
          <w:sz w:val="24"/>
          <w:szCs w:val="24"/>
        </w:rPr>
        <w:t>l</w:t>
      </w:r>
      <w:r w:rsidR="00981BCF" w:rsidRPr="007E7C5B">
        <w:rPr>
          <w:rFonts w:ascii="Arial Narrow" w:hAnsi="Arial Narrow" w:cs="Arial"/>
          <w:sz w:val="24"/>
          <w:szCs w:val="24"/>
        </w:rPr>
        <w:t>e</w:t>
      </w:r>
      <w:r w:rsidR="00981BCF" w:rsidRPr="007E7C5B" w:rsidDel="0051748D">
        <w:rPr>
          <w:rFonts w:ascii="Arial Narrow" w:hAnsi="Arial Narrow" w:cs="Arial"/>
          <w:sz w:val="24"/>
          <w:szCs w:val="24"/>
        </w:rPr>
        <w:t xml:space="preserve"> </w:t>
      </w:r>
      <w:r w:rsidR="0051748D" w:rsidRPr="007E7C5B">
        <w:rPr>
          <w:rFonts w:ascii="Arial Narrow" w:hAnsi="Arial Narrow" w:cs="Arial"/>
          <w:sz w:val="24"/>
          <w:szCs w:val="24"/>
        </w:rPr>
        <w:t xml:space="preserve">Ministère </w:t>
      </w:r>
      <w:r w:rsidR="00981BCF" w:rsidRPr="007E7C5B">
        <w:rPr>
          <w:rFonts w:ascii="Arial Narrow" w:hAnsi="Arial Narrow" w:cs="Arial"/>
          <w:sz w:val="24"/>
          <w:szCs w:val="24"/>
        </w:rPr>
        <w:t>a</w:t>
      </w:r>
      <w:r w:rsidR="00981BCF" w:rsidRPr="007E7C5B">
        <w:rPr>
          <w:rFonts w:ascii="Arial Narrow" w:hAnsi="Arial Narrow"/>
          <w:sz w:val="24"/>
          <w:szCs w:val="24"/>
        </w:rPr>
        <w:t xml:space="preserve"> entrepris de rapprocher les spécialistes </w:t>
      </w:r>
      <w:r w:rsidR="0051748D" w:rsidRPr="007E7C5B">
        <w:rPr>
          <w:rFonts w:ascii="Arial Narrow" w:hAnsi="Arial Narrow"/>
          <w:sz w:val="24"/>
          <w:szCs w:val="24"/>
        </w:rPr>
        <w:t xml:space="preserve">des </w:t>
      </w:r>
      <w:r w:rsidR="00981BCF" w:rsidRPr="007E7C5B">
        <w:rPr>
          <w:rFonts w:ascii="Arial Narrow" w:hAnsi="Arial Narrow"/>
          <w:sz w:val="24"/>
          <w:szCs w:val="24"/>
        </w:rPr>
        <w:t xml:space="preserve">populations, surtout celles de l’intérieur du pays à travers </w:t>
      </w:r>
      <w:r w:rsidR="00981BCF" w:rsidRPr="00A918AC">
        <w:rPr>
          <w:rFonts w:ascii="Arial Narrow" w:hAnsi="Arial Narrow"/>
          <w:i/>
          <w:sz w:val="24"/>
          <w:szCs w:val="24"/>
        </w:rPr>
        <w:t>(i)</w:t>
      </w:r>
      <w:r w:rsidR="00CE5436" w:rsidRPr="007E7C5B">
        <w:rPr>
          <w:rFonts w:ascii="Arial Narrow" w:hAnsi="Arial Narrow"/>
          <w:sz w:val="24"/>
          <w:szCs w:val="24"/>
        </w:rPr>
        <w:t xml:space="preserve"> l</w:t>
      </w:r>
      <w:r w:rsidR="00981BCF" w:rsidRPr="007E7C5B">
        <w:rPr>
          <w:rFonts w:ascii="Arial Narrow" w:hAnsi="Arial Narrow"/>
          <w:sz w:val="24"/>
          <w:szCs w:val="24"/>
        </w:rPr>
        <w:t>’affectation</w:t>
      </w:r>
      <w:r w:rsidR="00981BCF" w:rsidRPr="007E7C5B" w:rsidDel="00CE5436">
        <w:rPr>
          <w:rFonts w:ascii="Arial Narrow" w:hAnsi="Arial Narrow"/>
          <w:sz w:val="24"/>
          <w:szCs w:val="24"/>
        </w:rPr>
        <w:t xml:space="preserve"> </w:t>
      </w:r>
      <w:r w:rsidR="00981BCF" w:rsidRPr="007E7C5B">
        <w:rPr>
          <w:rFonts w:ascii="Arial Narrow" w:hAnsi="Arial Narrow"/>
          <w:sz w:val="24"/>
          <w:szCs w:val="24"/>
        </w:rPr>
        <w:t xml:space="preserve">de 18 cardiologues dans 15 CHR et dans 3 HG du pays en </w:t>
      </w:r>
      <w:r w:rsidR="00981BCF" w:rsidRPr="00A918AC">
        <w:rPr>
          <w:rFonts w:ascii="Arial Narrow" w:hAnsi="Arial Narrow"/>
          <w:sz w:val="24"/>
          <w:szCs w:val="24"/>
        </w:rPr>
        <w:t>2019</w:t>
      </w:r>
      <w:r w:rsidR="00CE5436" w:rsidRPr="00A918AC">
        <w:rPr>
          <w:rFonts w:ascii="Arial Narrow" w:hAnsi="Arial Narrow"/>
          <w:sz w:val="24"/>
          <w:szCs w:val="24"/>
        </w:rPr>
        <w:t> </w:t>
      </w:r>
      <w:r w:rsidR="002F5426" w:rsidRPr="007E7C5B">
        <w:rPr>
          <w:rFonts w:ascii="Arial Narrow" w:hAnsi="Arial Narrow"/>
          <w:sz w:val="24"/>
          <w:szCs w:val="24"/>
        </w:rPr>
        <w:t>et</w:t>
      </w:r>
      <w:r w:rsidR="00981BCF" w:rsidRPr="007E7C5B">
        <w:rPr>
          <w:rFonts w:ascii="Arial Narrow" w:hAnsi="Arial Narrow"/>
          <w:sz w:val="24"/>
          <w:szCs w:val="24"/>
        </w:rPr>
        <w:t xml:space="preserve"> </w:t>
      </w:r>
      <w:r w:rsidR="00981BCF" w:rsidRPr="00A918AC">
        <w:rPr>
          <w:rFonts w:ascii="Arial Narrow" w:hAnsi="Arial Narrow"/>
          <w:i/>
          <w:sz w:val="24"/>
          <w:szCs w:val="24"/>
        </w:rPr>
        <w:t>(ii)</w:t>
      </w:r>
      <w:r w:rsidR="00981BCF" w:rsidRPr="007E7C5B">
        <w:rPr>
          <w:rFonts w:ascii="Arial Narrow" w:hAnsi="Arial Narrow"/>
          <w:sz w:val="24"/>
          <w:szCs w:val="24"/>
        </w:rPr>
        <w:t xml:space="preserve"> la formation des médecins généralistes à la prise en charge </w:t>
      </w:r>
      <w:r w:rsidR="0049058C" w:rsidRPr="007E7C5B">
        <w:rPr>
          <w:rFonts w:ascii="Arial Narrow" w:hAnsi="Arial Narrow"/>
          <w:sz w:val="24"/>
          <w:szCs w:val="24"/>
        </w:rPr>
        <w:t xml:space="preserve">des </w:t>
      </w:r>
      <w:r w:rsidR="00981BCF" w:rsidRPr="007E7C5B">
        <w:rPr>
          <w:rFonts w:ascii="Arial Narrow" w:hAnsi="Arial Narrow"/>
          <w:sz w:val="24"/>
          <w:szCs w:val="24"/>
        </w:rPr>
        <w:t>HTA non compliquées en périphérie</w:t>
      </w:r>
      <w:r w:rsidR="002F5426" w:rsidRPr="007E7C5B">
        <w:rPr>
          <w:rFonts w:ascii="Arial Narrow" w:hAnsi="Arial Narrow"/>
          <w:sz w:val="24"/>
          <w:szCs w:val="24"/>
        </w:rPr>
        <w:t>. En marge,</w:t>
      </w:r>
      <w:r w:rsidR="00981BCF" w:rsidRPr="007E7C5B">
        <w:rPr>
          <w:rFonts w:ascii="Arial Narrow" w:hAnsi="Arial Narrow"/>
          <w:sz w:val="24"/>
          <w:szCs w:val="24"/>
        </w:rPr>
        <w:t xml:space="preserve"> des démarches institutionnelles </w:t>
      </w:r>
      <w:r w:rsidR="002F5426" w:rsidRPr="007E7C5B">
        <w:rPr>
          <w:rFonts w:ascii="Arial Narrow" w:hAnsi="Arial Narrow"/>
          <w:sz w:val="24"/>
          <w:szCs w:val="24"/>
        </w:rPr>
        <w:t xml:space="preserve">ont été </w:t>
      </w:r>
      <w:r w:rsidR="00981BCF" w:rsidRPr="007E7C5B">
        <w:rPr>
          <w:rFonts w:ascii="Arial Narrow" w:hAnsi="Arial Narrow"/>
          <w:sz w:val="24"/>
          <w:szCs w:val="24"/>
        </w:rPr>
        <w:t>entreprises en 2021</w:t>
      </w:r>
      <w:r w:rsidR="00981BCF" w:rsidRPr="007E7C5B" w:rsidDel="002C0A70">
        <w:rPr>
          <w:rFonts w:ascii="Arial Narrow" w:hAnsi="Arial Narrow"/>
          <w:sz w:val="24"/>
          <w:szCs w:val="24"/>
        </w:rPr>
        <w:t xml:space="preserve"> </w:t>
      </w:r>
      <w:r w:rsidR="00981BCF" w:rsidRPr="007E7C5B">
        <w:rPr>
          <w:rFonts w:ascii="Arial Narrow" w:hAnsi="Arial Narrow"/>
          <w:sz w:val="24"/>
          <w:szCs w:val="24"/>
        </w:rPr>
        <w:t>pour le référencement des produits de cardiologie dans les structures d’exercice des cardiologues à l’intérieur du pays.</w:t>
      </w:r>
      <w:r w:rsidR="00796900" w:rsidRPr="007E7C5B">
        <w:rPr>
          <w:rFonts w:ascii="Arial Narrow" w:hAnsi="Arial Narrow"/>
          <w:sz w:val="24"/>
          <w:szCs w:val="24"/>
        </w:rPr>
        <w:t xml:space="preserve"> </w:t>
      </w:r>
      <w:r w:rsidR="00EE27DF" w:rsidRPr="007E7C5B">
        <w:rPr>
          <w:rFonts w:ascii="Arial Narrow" w:hAnsi="Arial Narrow"/>
          <w:sz w:val="24"/>
          <w:szCs w:val="24"/>
        </w:rPr>
        <w:t xml:space="preserve">En matière de prise en charge de l’HTA, le taux </w:t>
      </w:r>
      <w:r w:rsidR="009B7596" w:rsidRPr="007E7C5B">
        <w:rPr>
          <w:rFonts w:ascii="Arial Narrow" w:hAnsi="Arial Narrow"/>
          <w:sz w:val="24"/>
          <w:szCs w:val="24"/>
        </w:rPr>
        <w:t xml:space="preserve">moyen </w:t>
      </w:r>
      <w:r w:rsidR="00EE27DF" w:rsidRPr="007E7C5B">
        <w:rPr>
          <w:rFonts w:ascii="Arial Narrow" w:hAnsi="Arial Narrow"/>
          <w:sz w:val="24"/>
          <w:szCs w:val="24"/>
        </w:rPr>
        <w:t xml:space="preserve">mensuel d’hypertendus contrôlés sur 6 mois (&lt;140/90 </w:t>
      </w:r>
      <w:proofErr w:type="spellStart"/>
      <w:r w:rsidR="00EE27DF" w:rsidRPr="007E7C5B">
        <w:rPr>
          <w:rFonts w:ascii="Arial Narrow" w:hAnsi="Arial Narrow"/>
          <w:sz w:val="24"/>
          <w:szCs w:val="24"/>
        </w:rPr>
        <w:t>mm</w:t>
      </w:r>
      <w:r w:rsidR="006A0000" w:rsidRPr="007E7C5B">
        <w:rPr>
          <w:rFonts w:ascii="Arial Narrow" w:hAnsi="Arial Narrow"/>
          <w:sz w:val="24"/>
          <w:szCs w:val="24"/>
        </w:rPr>
        <w:t>Hg</w:t>
      </w:r>
      <w:proofErr w:type="spellEnd"/>
      <w:r w:rsidR="00EE27DF" w:rsidRPr="007E7C5B">
        <w:rPr>
          <w:rFonts w:ascii="Arial Narrow" w:hAnsi="Arial Narrow"/>
          <w:sz w:val="24"/>
          <w:szCs w:val="24"/>
        </w:rPr>
        <w:t xml:space="preserve">) </w:t>
      </w:r>
      <w:r w:rsidR="00F85FB4">
        <w:rPr>
          <w:rFonts w:ascii="Arial Narrow" w:hAnsi="Arial Narrow"/>
          <w:sz w:val="24"/>
          <w:szCs w:val="24"/>
        </w:rPr>
        <w:t>es</w:t>
      </w:r>
      <w:r w:rsidR="009B7596" w:rsidRPr="007E7C5B">
        <w:rPr>
          <w:rFonts w:ascii="Arial Narrow" w:hAnsi="Arial Narrow"/>
          <w:sz w:val="24"/>
          <w:szCs w:val="24"/>
        </w:rPr>
        <w:t xml:space="preserve">t de 51% contre </w:t>
      </w:r>
      <w:r w:rsidR="00EE27DF" w:rsidRPr="007E7C5B">
        <w:rPr>
          <w:rFonts w:ascii="Arial Narrow" w:hAnsi="Arial Narrow"/>
          <w:sz w:val="24"/>
          <w:szCs w:val="24"/>
        </w:rPr>
        <w:t xml:space="preserve">une cible </w:t>
      </w:r>
      <w:r w:rsidR="009B7596" w:rsidRPr="007E7C5B">
        <w:rPr>
          <w:rFonts w:ascii="Arial Narrow" w:hAnsi="Arial Narrow"/>
          <w:sz w:val="24"/>
          <w:szCs w:val="24"/>
        </w:rPr>
        <w:t xml:space="preserve">de </w:t>
      </w:r>
      <w:r w:rsidR="00EE27DF" w:rsidRPr="007E7C5B">
        <w:rPr>
          <w:rFonts w:ascii="Arial Narrow" w:hAnsi="Arial Narrow"/>
          <w:sz w:val="24"/>
          <w:szCs w:val="24"/>
        </w:rPr>
        <w:t>50%.</w:t>
      </w:r>
    </w:p>
    <w:p w14:paraId="3FA146DD" w14:textId="77777777" w:rsidR="00EE27DF" w:rsidRPr="007E7C5B" w:rsidRDefault="00EE27DF" w:rsidP="00DB5D27">
      <w:pPr>
        <w:spacing w:after="0" w:line="268" w:lineRule="auto"/>
        <w:jc w:val="both"/>
        <w:rPr>
          <w:rFonts w:ascii="Arial Narrow" w:hAnsi="Arial Narrow"/>
          <w:sz w:val="24"/>
          <w:szCs w:val="24"/>
        </w:rPr>
      </w:pPr>
    </w:p>
    <w:p w14:paraId="6D8989AD" w14:textId="62E7B86D" w:rsidR="005339AD" w:rsidRPr="007E7C5B" w:rsidRDefault="005339AD" w:rsidP="00DB5D27">
      <w:pPr>
        <w:spacing w:after="0" w:line="268" w:lineRule="auto"/>
        <w:jc w:val="both"/>
        <w:rPr>
          <w:rFonts w:ascii="Arial Narrow" w:hAnsi="Arial Narrow"/>
          <w:sz w:val="24"/>
          <w:szCs w:val="24"/>
        </w:rPr>
      </w:pPr>
      <w:r w:rsidRPr="007E7C5B">
        <w:rPr>
          <w:rFonts w:ascii="Arial Narrow" w:hAnsi="Arial Narrow"/>
          <w:sz w:val="24"/>
          <w:szCs w:val="24"/>
        </w:rPr>
        <w:lastRenderedPageBreak/>
        <w:t xml:space="preserve">Pour ce qui est des cardiopathies congénitales et des valvulopathies, leur prise en charge </w:t>
      </w:r>
      <w:r w:rsidR="00CF0FBA" w:rsidRPr="007E7C5B">
        <w:rPr>
          <w:rFonts w:ascii="Arial Narrow" w:hAnsi="Arial Narrow"/>
          <w:sz w:val="24"/>
          <w:szCs w:val="24"/>
        </w:rPr>
        <w:t xml:space="preserve">a </w:t>
      </w:r>
      <w:r w:rsidRPr="007E7C5B">
        <w:rPr>
          <w:rFonts w:ascii="Arial Narrow" w:hAnsi="Arial Narrow"/>
          <w:sz w:val="24"/>
          <w:szCs w:val="24"/>
        </w:rPr>
        <w:t>nécessit</w:t>
      </w:r>
      <w:r w:rsidR="00CF0FBA" w:rsidRPr="007E7C5B">
        <w:rPr>
          <w:rFonts w:ascii="Arial Narrow" w:hAnsi="Arial Narrow"/>
          <w:sz w:val="24"/>
          <w:szCs w:val="24"/>
        </w:rPr>
        <w:t>é</w:t>
      </w:r>
      <w:r w:rsidRPr="007E7C5B">
        <w:rPr>
          <w:rFonts w:ascii="Arial Narrow" w:hAnsi="Arial Narrow"/>
          <w:sz w:val="24"/>
          <w:szCs w:val="24"/>
        </w:rPr>
        <w:t xml:space="preserve"> le plus souvent une chirurgie à cœur ouvert.</w:t>
      </w:r>
      <w:r w:rsidR="00E5046E" w:rsidRPr="007E7C5B">
        <w:rPr>
          <w:rFonts w:ascii="Arial Narrow" w:hAnsi="Arial Narrow"/>
          <w:sz w:val="24"/>
          <w:szCs w:val="24"/>
        </w:rPr>
        <w:t xml:space="preserve"> A</w:t>
      </w:r>
      <w:r w:rsidR="006D0F36" w:rsidRPr="007E7C5B">
        <w:rPr>
          <w:rFonts w:ascii="Arial Narrow" w:hAnsi="Arial Narrow"/>
          <w:sz w:val="24"/>
          <w:szCs w:val="24"/>
        </w:rPr>
        <w:t xml:space="preserve"> cet effet</w:t>
      </w:r>
      <w:r w:rsidR="00E5046E" w:rsidRPr="007E7C5B">
        <w:rPr>
          <w:rFonts w:ascii="Arial Narrow" w:hAnsi="Arial Narrow"/>
          <w:sz w:val="24"/>
          <w:szCs w:val="24"/>
        </w:rPr>
        <w:t xml:space="preserve">, des partenariats </w:t>
      </w:r>
      <w:r w:rsidR="000B5D17" w:rsidRPr="007E7C5B">
        <w:rPr>
          <w:rFonts w:ascii="Arial Narrow" w:hAnsi="Arial Narrow"/>
          <w:sz w:val="24"/>
          <w:szCs w:val="24"/>
        </w:rPr>
        <w:t xml:space="preserve">ont été </w:t>
      </w:r>
      <w:r w:rsidR="00E5046E" w:rsidRPr="007E7C5B">
        <w:rPr>
          <w:rFonts w:ascii="Arial Narrow" w:hAnsi="Arial Narrow"/>
          <w:sz w:val="24"/>
          <w:szCs w:val="24"/>
        </w:rPr>
        <w:t>noués avec des équipes étrangères notamment Française, Coréenne et Israéliennes.</w:t>
      </w:r>
      <w:r w:rsidR="000C1087" w:rsidRPr="007E7C5B">
        <w:rPr>
          <w:rFonts w:ascii="Arial Narrow" w:hAnsi="Arial Narrow"/>
          <w:sz w:val="24"/>
          <w:szCs w:val="24"/>
        </w:rPr>
        <w:t xml:space="preserve"> Cela a contribué à porter </w:t>
      </w:r>
      <w:r w:rsidR="005673F3" w:rsidRPr="007E7C5B">
        <w:rPr>
          <w:rFonts w:ascii="Arial Narrow" w:hAnsi="Arial Narrow"/>
          <w:sz w:val="24"/>
          <w:szCs w:val="24"/>
        </w:rPr>
        <w:t>le taux de nouveaux cas diagnostiqués avec indication opératoire ou interventionnel effectivement traités</w:t>
      </w:r>
      <w:r w:rsidR="000C133B" w:rsidRPr="007E7C5B">
        <w:rPr>
          <w:rStyle w:val="Appelnotedebasdep"/>
          <w:rFonts w:ascii="Arial Narrow" w:hAnsi="Arial Narrow"/>
          <w:sz w:val="24"/>
          <w:szCs w:val="24"/>
        </w:rPr>
        <w:footnoteReference w:id="24"/>
      </w:r>
      <w:r w:rsidR="005673F3" w:rsidRPr="007E7C5B">
        <w:rPr>
          <w:rFonts w:ascii="Arial Narrow" w:hAnsi="Arial Narrow"/>
          <w:sz w:val="24"/>
          <w:szCs w:val="24"/>
        </w:rPr>
        <w:t xml:space="preserve"> à</w:t>
      </w:r>
      <w:r w:rsidR="000C1087" w:rsidRPr="007E7C5B">
        <w:rPr>
          <w:rFonts w:ascii="Arial Narrow" w:hAnsi="Arial Narrow"/>
          <w:sz w:val="24"/>
          <w:szCs w:val="24"/>
        </w:rPr>
        <w:t xml:space="preserve"> 67,77%</w:t>
      </w:r>
      <w:r w:rsidR="005A4ED9" w:rsidRPr="007E7C5B">
        <w:rPr>
          <w:rFonts w:ascii="Arial Narrow" w:hAnsi="Arial Narrow"/>
          <w:sz w:val="24"/>
          <w:szCs w:val="24"/>
        </w:rPr>
        <w:t xml:space="preserve"> en 2023</w:t>
      </w:r>
      <w:r w:rsidR="005673F3" w:rsidRPr="007E7C5B">
        <w:rPr>
          <w:rFonts w:ascii="Arial Narrow" w:hAnsi="Arial Narrow"/>
          <w:sz w:val="24"/>
          <w:szCs w:val="24"/>
        </w:rPr>
        <w:t>, au-dessus de la cible de 50%</w:t>
      </w:r>
      <w:r w:rsidR="000C1087" w:rsidRPr="007E7C5B">
        <w:rPr>
          <w:rFonts w:ascii="Arial Narrow" w:hAnsi="Arial Narrow"/>
          <w:sz w:val="24"/>
          <w:szCs w:val="24"/>
        </w:rPr>
        <w:t>.</w:t>
      </w:r>
    </w:p>
    <w:p w14:paraId="3F530A65" w14:textId="77777777" w:rsidR="00CF0FBA" w:rsidRPr="007E7C5B" w:rsidRDefault="00CF0FBA" w:rsidP="00DB5D27">
      <w:pPr>
        <w:spacing w:after="0" w:line="268" w:lineRule="auto"/>
        <w:jc w:val="both"/>
        <w:rPr>
          <w:rFonts w:ascii="Arial Narrow" w:hAnsi="Arial Narrow"/>
          <w:sz w:val="24"/>
          <w:szCs w:val="24"/>
        </w:rPr>
      </w:pPr>
    </w:p>
    <w:p w14:paraId="49BF6B95" w14:textId="77777777" w:rsidR="00174B74" w:rsidRDefault="00174B74" w:rsidP="00174B74">
      <w:pPr>
        <w:spacing w:after="0" w:line="268" w:lineRule="auto"/>
        <w:jc w:val="both"/>
        <w:rPr>
          <w:rFonts w:ascii="Arial Narrow" w:hAnsi="Arial Narrow"/>
          <w:sz w:val="24"/>
          <w:szCs w:val="24"/>
        </w:rPr>
      </w:pPr>
      <w:r w:rsidRPr="007E7C5B">
        <w:rPr>
          <w:rFonts w:ascii="Arial Narrow" w:hAnsi="Arial Narrow"/>
          <w:sz w:val="24"/>
          <w:szCs w:val="24"/>
        </w:rPr>
        <w:t>Concernant les cardiomyopathies dilatées, les nouvelles activités développées qui sont la réadaptation cardiovasculaire et l’éducation thérapeutique ont permis de réduire le nombre de re-hospitalisation pour insuffisance cardiaque. Pour un objectif triennal de 780 malades, au total 1 159 sont inscrits à ce programme.</w:t>
      </w:r>
    </w:p>
    <w:p w14:paraId="18166C06" w14:textId="77777777" w:rsidR="00F85FB4" w:rsidRDefault="00F85FB4" w:rsidP="00174B74">
      <w:pPr>
        <w:spacing w:after="0" w:line="268" w:lineRule="auto"/>
        <w:jc w:val="both"/>
        <w:rPr>
          <w:rFonts w:ascii="Arial Narrow" w:hAnsi="Arial Narrow"/>
          <w:sz w:val="24"/>
          <w:szCs w:val="24"/>
        </w:rPr>
      </w:pPr>
    </w:p>
    <w:p w14:paraId="615A4E35" w14:textId="77777777" w:rsidR="00F85FB4" w:rsidRPr="003D034B" w:rsidRDefault="00F85FB4" w:rsidP="00F85FB4">
      <w:pPr>
        <w:spacing w:after="0" w:line="268" w:lineRule="auto"/>
        <w:jc w:val="both"/>
        <w:rPr>
          <w:rFonts w:ascii="Arial Narrow" w:hAnsi="Arial Narrow"/>
          <w:sz w:val="24"/>
          <w:szCs w:val="24"/>
        </w:rPr>
      </w:pPr>
      <w:r w:rsidRPr="003D034B">
        <w:rPr>
          <w:rFonts w:ascii="Arial Narrow" w:hAnsi="Arial Narrow"/>
          <w:sz w:val="24"/>
          <w:szCs w:val="24"/>
        </w:rPr>
        <w:t xml:space="preserve">Au rang des défis majeurs </w:t>
      </w:r>
      <w:r w:rsidRPr="003D034B">
        <w:rPr>
          <w:rFonts w:ascii="Arial Narrow" w:hAnsi="Arial Narrow"/>
          <w:bCs/>
          <w:sz w:val="24"/>
          <w:szCs w:val="24"/>
        </w:rPr>
        <w:t xml:space="preserve">pour améliorer l’offre et l’accessibilité aux soins figure le </w:t>
      </w:r>
      <w:r w:rsidRPr="003D034B">
        <w:rPr>
          <w:rFonts w:ascii="Arial Narrow" w:hAnsi="Arial Narrow"/>
          <w:sz w:val="24"/>
          <w:szCs w:val="24"/>
        </w:rPr>
        <w:t>développement des prestations nouvelles telles que la cardiologie interventionnelle pédiatrique, la radiologie interventionnelle vasculaires périphérique, la polygraphie ventilatoire, la vidéochirurgie thoracique et la télémédecine.  La programmation de ces activités nécessite surtout de disposer de ressources humaines suffisantes notamment des anesthésistes-réanimateurs, et de renforcer les compétences du personnel par catégorie d’emploi.</w:t>
      </w:r>
    </w:p>
    <w:p w14:paraId="6811F9F2" w14:textId="77777777" w:rsidR="00F85FB4" w:rsidRPr="007E7C5B" w:rsidRDefault="00F85FB4" w:rsidP="00174B74">
      <w:pPr>
        <w:spacing w:after="0" w:line="268" w:lineRule="auto"/>
        <w:jc w:val="both"/>
        <w:rPr>
          <w:rFonts w:ascii="Arial Narrow" w:hAnsi="Arial Narrow"/>
          <w:sz w:val="24"/>
          <w:szCs w:val="24"/>
        </w:rPr>
      </w:pPr>
    </w:p>
    <w:p w14:paraId="4F8F0ACB" w14:textId="77777777" w:rsidR="00174B74" w:rsidRPr="007E7C5B" w:rsidRDefault="00174B74" w:rsidP="00174B74">
      <w:pPr>
        <w:spacing w:after="0" w:line="268" w:lineRule="auto"/>
        <w:jc w:val="both"/>
        <w:rPr>
          <w:rFonts w:ascii="Arial Narrow" w:hAnsi="Arial Narrow"/>
          <w:sz w:val="24"/>
          <w:szCs w:val="24"/>
        </w:rPr>
      </w:pPr>
    </w:p>
    <w:p w14:paraId="7132462E" w14:textId="77777777" w:rsidR="00981BCF" w:rsidRPr="007E7C5B" w:rsidRDefault="00981BCF" w:rsidP="00981BCF">
      <w:pPr>
        <w:jc w:val="both"/>
        <w:rPr>
          <w:rFonts w:ascii="Arial Narrow" w:hAnsi="Arial Narrow" w:cs="Arial"/>
          <w:b/>
          <w:sz w:val="24"/>
          <w:szCs w:val="24"/>
          <w:u w:val="single"/>
        </w:rPr>
      </w:pPr>
      <w:r w:rsidRPr="007E7C5B">
        <w:rPr>
          <w:rFonts w:ascii="Arial Narrow" w:hAnsi="Arial Narrow" w:cs="Arial"/>
          <w:b/>
          <w:sz w:val="24"/>
          <w:szCs w:val="24"/>
          <w:u w:val="single"/>
        </w:rPr>
        <w:t>Affections rénales</w:t>
      </w:r>
    </w:p>
    <w:p w14:paraId="30BB444B" w14:textId="500650F2" w:rsidR="00981BCF" w:rsidRPr="007E7C5B" w:rsidRDefault="00981BCF" w:rsidP="00981BCF">
      <w:pPr>
        <w:jc w:val="both"/>
        <w:rPr>
          <w:rFonts w:ascii="Arial Narrow" w:hAnsi="Arial Narrow"/>
          <w:sz w:val="24"/>
          <w:szCs w:val="24"/>
        </w:rPr>
      </w:pPr>
      <w:r w:rsidRPr="007E7C5B">
        <w:rPr>
          <w:rFonts w:ascii="Arial Narrow" w:hAnsi="Arial Narrow"/>
          <w:sz w:val="24"/>
          <w:szCs w:val="24"/>
        </w:rPr>
        <w:t xml:space="preserve">L’insuffisance rénale constitue un problème de santé publique pour la plupart des pays. Conscient de l’impact négatif que cette maladie a sur l’individu, la famille et généralement la communauté, la Côte d’Ivoire </w:t>
      </w:r>
      <w:r w:rsidR="009C5AF7" w:rsidRPr="007E7C5B">
        <w:rPr>
          <w:rFonts w:ascii="Arial Narrow" w:hAnsi="Arial Narrow"/>
          <w:sz w:val="24"/>
          <w:szCs w:val="24"/>
        </w:rPr>
        <w:t xml:space="preserve">dispose </w:t>
      </w:r>
      <w:r w:rsidRPr="007E7C5B" w:rsidDel="009C5AF7">
        <w:rPr>
          <w:rFonts w:ascii="Arial Narrow" w:hAnsi="Arial Narrow"/>
          <w:sz w:val="24"/>
          <w:szCs w:val="24"/>
        </w:rPr>
        <w:t>d’</w:t>
      </w:r>
      <w:r w:rsidRPr="007E7C5B">
        <w:rPr>
          <w:rFonts w:ascii="Arial Narrow" w:hAnsi="Arial Narrow"/>
          <w:sz w:val="24"/>
          <w:szCs w:val="24"/>
        </w:rPr>
        <w:t xml:space="preserve">une structure chargée d’élaborer et de mettre en route une politique nationale de prévention et de prise en charge, dénommé Centre National de Prévention et de Traitement de l’Insuffisance Rénale </w:t>
      </w:r>
      <w:r w:rsidR="009260E7" w:rsidRPr="007E7C5B">
        <w:rPr>
          <w:rFonts w:ascii="Arial Narrow" w:hAnsi="Arial Narrow"/>
          <w:sz w:val="24"/>
          <w:szCs w:val="24"/>
        </w:rPr>
        <w:t>(</w:t>
      </w:r>
      <w:r w:rsidRPr="007E7C5B">
        <w:rPr>
          <w:rFonts w:ascii="Arial Narrow" w:hAnsi="Arial Narrow"/>
          <w:sz w:val="24"/>
          <w:szCs w:val="24"/>
        </w:rPr>
        <w:t>CNPTIR</w:t>
      </w:r>
      <w:r w:rsidR="009260E7" w:rsidRPr="007E7C5B">
        <w:rPr>
          <w:rFonts w:ascii="Arial Narrow" w:hAnsi="Arial Narrow"/>
          <w:sz w:val="24"/>
          <w:szCs w:val="24"/>
        </w:rPr>
        <w:t>)</w:t>
      </w:r>
      <w:r w:rsidRPr="007E7C5B">
        <w:rPr>
          <w:rFonts w:ascii="Arial Narrow" w:hAnsi="Arial Narrow"/>
          <w:sz w:val="24"/>
          <w:szCs w:val="24"/>
        </w:rPr>
        <w:t xml:space="preserve">. </w:t>
      </w:r>
    </w:p>
    <w:p w14:paraId="51DB595A" w14:textId="3FB9FE86" w:rsidR="002429BB" w:rsidRPr="007E7C5B" w:rsidRDefault="00981BCF" w:rsidP="00981BCF">
      <w:pPr>
        <w:jc w:val="both"/>
        <w:rPr>
          <w:rFonts w:ascii="Arial Narrow" w:eastAsia="Times New Roman" w:hAnsi="Arial Narrow" w:cs="Arial"/>
          <w:b/>
          <w:i/>
          <w:iCs/>
          <w:kern w:val="0"/>
          <w:sz w:val="24"/>
          <w:szCs w:val="24"/>
          <w:lang w:eastAsia="fr-FR"/>
          <w14:ligatures w14:val="none"/>
        </w:rPr>
      </w:pPr>
      <w:r w:rsidRPr="007E7C5B">
        <w:rPr>
          <w:rFonts w:ascii="Arial Narrow" w:hAnsi="Arial Narrow"/>
          <w:sz w:val="24"/>
          <w:szCs w:val="24"/>
        </w:rPr>
        <w:t xml:space="preserve">Ainsi pour </w:t>
      </w:r>
      <w:r w:rsidR="00014786" w:rsidRPr="007E7C5B">
        <w:rPr>
          <w:rFonts w:ascii="Arial Narrow" w:hAnsi="Arial Narrow"/>
          <w:sz w:val="24"/>
          <w:szCs w:val="24"/>
        </w:rPr>
        <w:t xml:space="preserve">accroître </w:t>
      </w:r>
      <w:r w:rsidRPr="007E7C5B">
        <w:rPr>
          <w:rFonts w:ascii="Arial Narrow" w:hAnsi="Arial Narrow"/>
          <w:sz w:val="24"/>
          <w:szCs w:val="24"/>
        </w:rPr>
        <w:t>l’offre de soins</w:t>
      </w:r>
      <w:r w:rsidR="00D07387" w:rsidRPr="007E7C5B">
        <w:rPr>
          <w:rFonts w:ascii="Arial Narrow" w:hAnsi="Arial Narrow"/>
          <w:sz w:val="24"/>
          <w:szCs w:val="24"/>
        </w:rPr>
        <w:t>, en vue</w:t>
      </w:r>
      <w:r w:rsidRPr="007E7C5B">
        <w:rPr>
          <w:rFonts w:ascii="Arial Narrow" w:hAnsi="Arial Narrow"/>
          <w:sz w:val="24"/>
          <w:szCs w:val="24"/>
        </w:rPr>
        <w:t xml:space="preserve"> de permettre l’accessibilité de tous les patients insuffisan</w:t>
      </w:r>
      <w:r w:rsidR="00D14D1A" w:rsidRPr="007E7C5B">
        <w:rPr>
          <w:rFonts w:ascii="Arial Narrow" w:hAnsi="Arial Narrow"/>
          <w:sz w:val="24"/>
          <w:szCs w:val="24"/>
        </w:rPr>
        <w:t>ts</w:t>
      </w:r>
      <w:r w:rsidRPr="007E7C5B" w:rsidDel="00640A7A">
        <w:rPr>
          <w:rFonts w:ascii="Arial Narrow" w:hAnsi="Arial Narrow"/>
          <w:sz w:val="24"/>
          <w:szCs w:val="24"/>
        </w:rPr>
        <w:t xml:space="preserve"> </w:t>
      </w:r>
      <w:r w:rsidR="00640A7A" w:rsidRPr="007E7C5B">
        <w:rPr>
          <w:rFonts w:ascii="Arial Narrow" w:hAnsi="Arial Narrow"/>
          <w:sz w:val="24"/>
          <w:szCs w:val="24"/>
        </w:rPr>
        <w:t>réna</w:t>
      </w:r>
      <w:r w:rsidR="00D14D1A" w:rsidRPr="007E7C5B">
        <w:rPr>
          <w:rFonts w:ascii="Arial Narrow" w:hAnsi="Arial Narrow"/>
          <w:sz w:val="24"/>
          <w:szCs w:val="24"/>
        </w:rPr>
        <w:t>ux</w:t>
      </w:r>
      <w:r w:rsidR="00640A7A" w:rsidRPr="007E7C5B">
        <w:rPr>
          <w:rFonts w:ascii="Arial Narrow" w:hAnsi="Arial Narrow"/>
          <w:sz w:val="24"/>
          <w:szCs w:val="24"/>
        </w:rPr>
        <w:t xml:space="preserve"> </w:t>
      </w:r>
      <w:r w:rsidRPr="007E7C5B">
        <w:rPr>
          <w:rFonts w:ascii="Arial Narrow" w:hAnsi="Arial Narrow"/>
          <w:sz w:val="24"/>
          <w:szCs w:val="24"/>
        </w:rPr>
        <w:t xml:space="preserve">aux soins de qualité et à moindre coût, un plan d’action </w:t>
      </w:r>
      <w:r w:rsidR="00165A47" w:rsidRPr="007E7C5B">
        <w:rPr>
          <w:rFonts w:ascii="Arial Narrow" w:hAnsi="Arial Narrow"/>
          <w:sz w:val="24"/>
          <w:szCs w:val="24"/>
        </w:rPr>
        <w:t>a été élaboré</w:t>
      </w:r>
      <w:r w:rsidRPr="007E7C5B">
        <w:rPr>
          <w:rFonts w:ascii="Arial Narrow" w:hAnsi="Arial Narrow"/>
          <w:sz w:val="24"/>
          <w:szCs w:val="24"/>
        </w:rPr>
        <w:t>.</w:t>
      </w:r>
    </w:p>
    <w:p w14:paraId="464E9E79" w14:textId="19801114" w:rsidR="00981BCF" w:rsidRPr="007E7C5B" w:rsidRDefault="00981BCF" w:rsidP="00981BCF">
      <w:pPr>
        <w:jc w:val="both"/>
        <w:rPr>
          <w:rFonts w:ascii="Arial Narrow" w:hAnsi="Arial Narrow" w:cs="Arial"/>
          <w:sz w:val="24"/>
          <w:szCs w:val="24"/>
        </w:rPr>
      </w:pPr>
      <w:r w:rsidRPr="00A918AC">
        <w:rPr>
          <w:rFonts w:ascii="Arial Narrow" w:eastAsia="Times New Roman" w:hAnsi="Arial Narrow" w:cs="Arial"/>
          <w:b/>
          <w:i/>
          <w:kern w:val="0"/>
          <w:sz w:val="24"/>
          <w:szCs w:val="24"/>
          <w:lang w:eastAsia="fr-FR"/>
          <w14:ligatures w14:val="none"/>
        </w:rPr>
        <w:t>S’agissant de la prévention</w:t>
      </w:r>
      <w:r w:rsidRPr="00A918AC">
        <w:rPr>
          <w:rFonts w:ascii="Arial Narrow" w:eastAsia="Times New Roman" w:hAnsi="Arial Narrow" w:cs="Arial"/>
          <w:i/>
          <w:kern w:val="0"/>
          <w:sz w:val="24"/>
          <w:szCs w:val="24"/>
          <w:lang w:eastAsia="fr-FR"/>
          <w14:ligatures w14:val="none"/>
        </w:rPr>
        <w:t>,</w:t>
      </w:r>
      <w:r w:rsidRPr="007E7C5B">
        <w:rPr>
          <w:rFonts w:ascii="Arial Narrow" w:eastAsia="Times New Roman" w:hAnsi="Arial Narrow" w:cs="Arial"/>
          <w:kern w:val="0"/>
          <w:sz w:val="24"/>
          <w:szCs w:val="24"/>
          <w:lang w:eastAsia="fr-FR"/>
          <w14:ligatures w14:val="none"/>
        </w:rPr>
        <w:t xml:space="preserve"> </w:t>
      </w:r>
      <w:r w:rsidRPr="007E7C5B">
        <w:rPr>
          <w:rFonts w:ascii="Arial Narrow" w:hAnsi="Arial Narrow" w:cs="Arial"/>
          <w:sz w:val="24"/>
          <w:szCs w:val="24"/>
        </w:rPr>
        <w:t>des campagnes</w:t>
      </w:r>
      <w:r w:rsidR="00137449" w:rsidRPr="007E7C5B">
        <w:rPr>
          <w:rFonts w:ascii="Arial Narrow" w:hAnsi="Arial Narrow" w:cs="Arial"/>
          <w:sz w:val="24"/>
          <w:szCs w:val="24"/>
        </w:rPr>
        <w:t xml:space="preserve"> </w:t>
      </w:r>
      <w:r w:rsidR="00C21181" w:rsidRPr="007E7C5B">
        <w:rPr>
          <w:rFonts w:ascii="Arial Narrow" w:hAnsi="Arial Narrow" w:cs="Arial"/>
          <w:sz w:val="24"/>
          <w:szCs w:val="24"/>
        </w:rPr>
        <w:t xml:space="preserve">: </w:t>
      </w:r>
      <w:r w:rsidR="00C21181" w:rsidRPr="00A918AC">
        <w:rPr>
          <w:rFonts w:ascii="Arial Narrow" w:hAnsi="Arial Narrow" w:cs="Arial"/>
          <w:i/>
          <w:sz w:val="24"/>
          <w:szCs w:val="24"/>
        </w:rPr>
        <w:t>(i)</w:t>
      </w:r>
      <w:r w:rsidR="00C21181" w:rsidRPr="007E7C5B">
        <w:rPr>
          <w:rFonts w:ascii="Arial Narrow" w:hAnsi="Arial Narrow" w:cs="Arial"/>
          <w:sz w:val="24"/>
          <w:szCs w:val="24"/>
        </w:rPr>
        <w:t xml:space="preserve"> </w:t>
      </w:r>
      <w:r w:rsidR="00137449" w:rsidRPr="007E7C5B">
        <w:rPr>
          <w:rFonts w:ascii="Arial Narrow" w:hAnsi="Arial Narrow" w:cs="Arial"/>
          <w:sz w:val="24"/>
          <w:szCs w:val="24"/>
        </w:rPr>
        <w:t>de </w:t>
      </w:r>
      <w:r w:rsidRPr="007E7C5B">
        <w:rPr>
          <w:rFonts w:ascii="Arial Narrow" w:hAnsi="Arial Narrow" w:cs="Arial"/>
          <w:sz w:val="24"/>
          <w:szCs w:val="24"/>
        </w:rPr>
        <w:t>dépistage sont effectuées chaque année au cours de la journée mondiale du rein</w:t>
      </w:r>
      <w:r w:rsidR="00C21181" w:rsidRPr="007E7C5B">
        <w:rPr>
          <w:rFonts w:ascii="Arial Narrow" w:hAnsi="Arial Narrow" w:cs="Arial"/>
          <w:sz w:val="24"/>
          <w:szCs w:val="24"/>
        </w:rPr>
        <w:t> </w:t>
      </w:r>
      <w:r w:rsidR="001E3218" w:rsidRPr="007E7C5B">
        <w:rPr>
          <w:rFonts w:ascii="Arial Narrow" w:hAnsi="Arial Narrow" w:cs="Arial"/>
          <w:sz w:val="24"/>
          <w:szCs w:val="24"/>
        </w:rPr>
        <w:t>et</w:t>
      </w:r>
      <w:r w:rsidR="00C21181" w:rsidRPr="007E7C5B">
        <w:rPr>
          <w:rFonts w:ascii="Arial Narrow" w:hAnsi="Arial Narrow" w:cs="Arial"/>
          <w:sz w:val="24"/>
          <w:szCs w:val="24"/>
        </w:rPr>
        <w:t xml:space="preserve"> </w:t>
      </w:r>
      <w:r w:rsidR="00C21181" w:rsidRPr="00A918AC">
        <w:rPr>
          <w:rFonts w:ascii="Arial Narrow" w:hAnsi="Arial Narrow" w:cs="Arial"/>
          <w:i/>
          <w:iCs/>
          <w:sz w:val="24"/>
          <w:szCs w:val="24"/>
        </w:rPr>
        <w:t>(ii)</w:t>
      </w:r>
      <w:r w:rsidRPr="007E7C5B" w:rsidDel="00137449">
        <w:rPr>
          <w:rFonts w:ascii="Arial Narrow" w:hAnsi="Arial Narrow" w:cs="Arial"/>
          <w:sz w:val="24"/>
          <w:szCs w:val="24"/>
        </w:rPr>
        <w:t xml:space="preserve"> </w:t>
      </w:r>
      <w:r w:rsidRPr="007E7C5B">
        <w:rPr>
          <w:rFonts w:ascii="Arial Narrow" w:hAnsi="Arial Narrow" w:cs="Arial"/>
          <w:sz w:val="24"/>
          <w:szCs w:val="24"/>
        </w:rPr>
        <w:t xml:space="preserve">de proximité ont été menées dans les régions du Haut-Sassandra et du </w:t>
      </w:r>
      <w:proofErr w:type="spellStart"/>
      <w:r w:rsidRPr="007E7C5B">
        <w:rPr>
          <w:rFonts w:ascii="Arial Narrow" w:hAnsi="Arial Narrow" w:cs="Arial"/>
          <w:sz w:val="24"/>
          <w:szCs w:val="24"/>
        </w:rPr>
        <w:t>Gbêkê</w:t>
      </w:r>
      <w:proofErr w:type="spellEnd"/>
      <w:r w:rsidRPr="007E7C5B">
        <w:rPr>
          <w:rFonts w:ascii="Arial Narrow" w:hAnsi="Arial Narrow" w:cs="Arial"/>
          <w:sz w:val="24"/>
          <w:szCs w:val="24"/>
        </w:rPr>
        <w:t xml:space="preserve"> pour sensibiliser les populations aux dangers de l’insuffisance rénale. En outre, des formations ont été données à 238 agents de santé.</w:t>
      </w:r>
    </w:p>
    <w:p w14:paraId="67466262" w14:textId="0D2DD6F1" w:rsidR="00755D5F" w:rsidRPr="007A001B" w:rsidRDefault="00981BCF" w:rsidP="00755D5F">
      <w:pPr>
        <w:jc w:val="both"/>
        <w:rPr>
          <w:rFonts w:ascii="Arial Narrow" w:eastAsia="Times New Roman" w:hAnsi="Arial Narrow" w:cs="Arial"/>
          <w:kern w:val="0"/>
          <w:sz w:val="24"/>
          <w:szCs w:val="24"/>
          <w:lang w:eastAsia="fr-FR"/>
          <w14:ligatures w14:val="none"/>
        </w:rPr>
      </w:pPr>
      <w:r w:rsidRPr="00A918AC">
        <w:rPr>
          <w:rFonts w:ascii="Arial Narrow" w:eastAsia="Times New Roman" w:hAnsi="Arial Narrow" w:cs="Arial"/>
          <w:b/>
          <w:i/>
          <w:kern w:val="0"/>
          <w:sz w:val="24"/>
          <w:szCs w:val="24"/>
          <w:lang w:eastAsia="fr-FR"/>
          <w14:ligatures w14:val="none"/>
        </w:rPr>
        <w:t xml:space="preserve">Dans le cadre de la prise en </w:t>
      </w:r>
      <w:r w:rsidRPr="00755D5F">
        <w:rPr>
          <w:rFonts w:ascii="Arial Narrow" w:eastAsia="Times New Roman" w:hAnsi="Arial Narrow" w:cs="Arial"/>
          <w:b/>
          <w:i/>
          <w:kern w:val="0"/>
          <w:sz w:val="24"/>
          <w:szCs w:val="24"/>
          <w:lang w:eastAsia="fr-FR"/>
          <w14:ligatures w14:val="none"/>
        </w:rPr>
        <w:t>charge</w:t>
      </w:r>
      <w:r w:rsidRPr="00755D5F">
        <w:rPr>
          <w:rFonts w:ascii="Arial Narrow" w:eastAsia="Times New Roman" w:hAnsi="Arial Narrow" w:cs="Arial"/>
          <w:i/>
          <w:kern w:val="0"/>
          <w:sz w:val="24"/>
          <w:szCs w:val="24"/>
          <w:lang w:eastAsia="fr-FR"/>
          <w14:ligatures w14:val="none"/>
        </w:rPr>
        <w:t>,</w:t>
      </w:r>
      <w:r w:rsidR="00755D5F">
        <w:rPr>
          <w:rFonts w:ascii="Arial Narrow" w:eastAsia="Times New Roman" w:hAnsi="Arial Narrow" w:cs="Arial"/>
          <w:i/>
          <w:kern w:val="0"/>
          <w:sz w:val="24"/>
          <w:szCs w:val="24"/>
          <w:lang w:eastAsia="fr-FR"/>
          <w14:ligatures w14:val="none"/>
        </w:rPr>
        <w:t xml:space="preserve"> </w:t>
      </w:r>
      <w:r w:rsidR="00755D5F" w:rsidRPr="007A001B">
        <w:rPr>
          <w:rFonts w:ascii="Arial Narrow" w:eastAsia="Times New Roman" w:hAnsi="Arial Narrow" w:cs="Arial"/>
          <w:kern w:val="0"/>
          <w:sz w:val="24"/>
          <w:szCs w:val="24"/>
          <w:lang w:eastAsia="fr-FR"/>
          <w14:ligatures w14:val="none"/>
        </w:rPr>
        <w:t>entre 2022 et 2024,</w:t>
      </w:r>
      <w:r w:rsidRPr="00755D5F">
        <w:rPr>
          <w:rFonts w:ascii="Arial Narrow" w:eastAsia="Times New Roman" w:hAnsi="Arial Narrow" w:cs="Arial"/>
          <w:kern w:val="0"/>
          <w:sz w:val="24"/>
          <w:szCs w:val="24"/>
          <w:lang w:eastAsia="fr-FR"/>
          <w14:ligatures w14:val="none"/>
        </w:rPr>
        <w:t xml:space="preserve"> </w:t>
      </w:r>
      <w:r w:rsidR="004F22EB" w:rsidRPr="00755D5F">
        <w:rPr>
          <w:rFonts w:ascii="Arial Narrow" w:eastAsia="Times New Roman" w:hAnsi="Arial Narrow" w:cs="Arial"/>
          <w:kern w:val="0"/>
          <w:sz w:val="24"/>
          <w:szCs w:val="24"/>
          <w:lang w:eastAsia="fr-FR"/>
          <w14:ligatures w14:val="none"/>
        </w:rPr>
        <w:t>10 antennes CNPTIR</w:t>
      </w:r>
      <w:r w:rsidR="00755D5F">
        <w:rPr>
          <w:rFonts w:ascii="Arial Narrow" w:eastAsia="Times New Roman" w:hAnsi="Arial Narrow" w:cs="Arial"/>
          <w:kern w:val="0"/>
          <w:sz w:val="24"/>
          <w:szCs w:val="24"/>
          <w:lang w:eastAsia="fr-FR"/>
          <w14:ligatures w14:val="none"/>
        </w:rPr>
        <w:t xml:space="preserve"> ont été ouvert (</w:t>
      </w:r>
      <w:r w:rsidRPr="00755D5F">
        <w:rPr>
          <w:rFonts w:ascii="Arial Narrow" w:eastAsia="Times New Roman" w:hAnsi="Arial Narrow" w:cs="Arial"/>
          <w:kern w:val="0"/>
          <w:sz w:val="24"/>
          <w:szCs w:val="24"/>
          <w:lang w:eastAsia="fr-FR"/>
          <w14:ligatures w14:val="none"/>
        </w:rPr>
        <w:t>CHR d’Aboisso</w:t>
      </w:r>
      <w:r w:rsidR="00755D5F">
        <w:rPr>
          <w:rFonts w:ascii="Arial Narrow" w:eastAsia="Times New Roman" w:hAnsi="Arial Narrow" w:cs="Arial"/>
          <w:kern w:val="0"/>
          <w:sz w:val="24"/>
          <w:szCs w:val="24"/>
          <w:lang w:eastAsia="fr-FR"/>
          <w14:ligatures w14:val="none"/>
        </w:rPr>
        <w:t xml:space="preserve">, CHR </w:t>
      </w:r>
      <w:r w:rsidRPr="00755D5F">
        <w:rPr>
          <w:rFonts w:ascii="Arial Narrow" w:eastAsia="Times New Roman" w:hAnsi="Arial Narrow" w:cs="Arial"/>
          <w:kern w:val="0"/>
          <w:sz w:val="24"/>
          <w:szCs w:val="24"/>
          <w:lang w:eastAsia="fr-FR"/>
          <w14:ligatures w14:val="none"/>
        </w:rPr>
        <w:t>d’Adzopé</w:t>
      </w:r>
      <w:r w:rsidR="00755D5F">
        <w:rPr>
          <w:rFonts w:ascii="Arial Narrow" w:eastAsia="Times New Roman" w:hAnsi="Arial Narrow" w:cs="Arial"/>
          <w:kern w:val="0"/>
          <w:sz w:val="24"/>
          <w:szCs w:val="24"/>
          <w:lang w:eastAsia="fr-FR"/>
          <w14:ligatures w14:val="none"/>
        </w:rPr>
        <w:t>,</w:t>
      </w:r>
      <w:r w:rsidRPr="00755D5F">
        <w:rPr>
          <w:rFonts w:ascii="Arial Narrow" w:eastAsia="Times New Roman" w:hAnsi="Arial Narrow" w:cs="Arial"/>
          <w:kern w:val="0"/>
          <w:sz w:val="24"/>
          <w:szCs w:val="24"/>
          <w:lang w:eastAsia="fr-FR"/>
          <w14:ligatures w14:val="none"/>
        </w:rPr>
        <w:t xml:space="preserve"> Man</w:t>
      </w:r>
      <w:r w:rsidR="00755D5F">
        <w:rPr>
          <w:rFonts w:ascii="Arial Narrow" w:eastAsia="Times New Roman" w:hAnsi="Arial Narrow" w:cs="Arial"/>
          <w:kern w:val="0"/>
          <w:sz w:val="24"/>
          <w:szCs w:val="24"/>
          <w:lang w:eastAsia="fr-FR"/>
          <w14:ligatures w14:val="none"/>
        </w:rPr>
        <w:t>,</w:t>
      </w:r>
      <w:r w:rsidR="004F22EB" w:rsidRPr="00755D5F">
        <w:rPr>
          <w:rFonts w:ascii="Arial Narrow" w:eastAsia="Times New Roman" w:hAnsi="Arial Narrow" w:cs="Arial"/>
          <w:kern w:val="0"/>
          <w:sz w:val="24"/>
          <w:szCs w:val="24"/>
          <w:lang w:eastAsia="fr-FR"/>
          <w14:ligatures w14:val="none"/>
        </w:rPr>
        <w:t xml:space="preserve"> </w:t>
      </w:r>
      <w:r w:rsidR="004F22EB" w:rsidRPr="007A001B">
        <w:rPr>
          <w:rFonts w:ascii="Arial Narrow" w:eastAsia="Times New Roman" w:hAnsi="Arial Narrow" w:cs="Arial"/>
          <w:kern w:val="0"/>
          <w:sz w:val="24"/>
          <w:szCs w:val="24"/>
          <w:lang w:eastAsia="fr-FR"/>
          <w14:ligatures w14:val="none"/>
        </w:rPr>
        <w:t>Daloa, Abengourou, San Pedro, extension de Yamoussoukro, Yopougon, Marcory et CHR de Bouake</w:t>
      </w:r>
      <w:r w:rsidR="00755D5F" w:rsidRPr="007A001B">
        <w:rPr>
          <w:rFonts w:ascii="Arial Narrow" w:eastAsia="Times New Roman" w:hAnsi="Arial Narrow" w:cs="Arial"/>
          <w:kern w:val="0"/>
          <w:sz w:val="24"/>
          <w:szCs w:val="24"/>
          <w:lang w:eastAsia="fr-FR"/>
          <w14:ligatures w14:val="none"/>
        </w:rPr>
        <w:t>)</w:t>
      </w:r>
      <w:r w:rsidRPr="00755D5F">
        <w:rPr>
          <w:rFonts w:ascii="Arial Narrow" w:eastAsia="Times New Roman" w:hAnsi="Arial Narrow" w:cs="Arial"/>
          <w:kern w:val="0"/>
          <w:sz w:val="24"/>
          <w:szCs w:val="24"/>
          <w:lang w:eastAsia="fr-FR"/>
          <w14:ligatures w14:val="none"/>
        </w:rPr>
        <w:t>.</w:t>
      </w:r>
      <w:r w:rsidR="00E33227" w:rsidRPr="00755D5F">
        <w:rPr>
          <w:rFonts w:ascii="Arial Narrow" w:eastAsia="Times New Roman" w:hAnsi="Arial Narrow" w:cs="Arial"/>
          <w:kern w:val="0"/>
          <w:sz w:val="24"/>
          <w:szCs w:val="24"/>
          <w:lang w:eastAsia="fr-FR"/>
          <w14:ligatures w14:val="none"/>
        </w:rPr>
        <w:t xml:space="preserve"> </w:t>
      </w:r>
      <w:r w:rsidR="001E4BD6" w:rsidRPr="00755D5F">
        <w:rPr>
          <w:rFonts w:ascii="Arial Narrow" w:eastAsia="Times New Roman" w:hAnsi="Arial Narrow" w:cs="Arial"/>
          <w:kern w:val="0"/>
          <w:sz w:val="24"/>
          <w:szCs w:val="24"/>
          <w:lang w:eastAsia="fr-FR"/>
          <w14:ligatures w14:val="none"/>
        </w:rPr>
        <w:t>U</w:t>
      </w:r>
      <w:r w:rsidRPr="00755D5F">
        <w:rPr>
          <w:rFonts w:ascii="Arial Narrow" w:eastAsia="Times New Roman" w:hAnsi="Arial Narrow" w:cs="Arial"/>
          <w:kern w:val="0"/>
          <w:sz w:val="24"/>
          <w:szCs w:val="24"/>
          <w:lang w:eastAsia="fr-FR"/>
          <w14:ligatures w14:val="none"/>
        </w:rPr>
        <w:t>ne</w:t>
      </w:r>
      <w:r w:rsidRPr="007E7C5B">
        <w:rPr>
          <w:rFonts w:ascii="Arial Narrow" w:eastAsia="Times New Roman" w:hAnsi="Arial Narrow" w:cs="Arial"/>
          <w:kern w:val="0"/>
          <w:sz w:val="24"/>
          <w:szCs w:val="24"/>
          <w:lang w:eastAsia="fr-FR"/>
          <w14:ligatures w14:val="none"/>
        </w:rPr>
        <w:t xml:space="preserve"> convention a été signée en 2023 entre le Fond de Prévoyance Militaire et le CNPTIR pour la mise à disposition du centre d’hémodialyse d’</w:t>
      </w:r>
      <w:proofErr w:type="spellStart"/>
      <w:r w:rsidRPr="007E7C5B">
        <w:rPr>
          <w:rFonts w:ascii="Arial Narrow" w:eastAsia="Times New Roman" w:hAnsi="Arial Narrow" w:cs="Arial"/>
          <w:kern w:val="0"/>
          <w:sz w:val="24"/>
          <w:szCs w:val="24"/>
          <w:lang w:eastAsia="fr-FR"/>
          <w14:ligatures w14:val="none"/>
        </w:rPr>
        <w:t>Attoban</w:t>
      </w:r>
      <w:proofErr w:type="spellEnd"/>
      <w:r w:rsidRPr="007E7C5B">
        <w:rPr>
          <w:rFonts w:ascii="Arial Narrow" w:eastAsia="Times New Roman" w:hAnsi="Arial Narrow" w:cs="Arial"/>
          <w:kern w:val="0"/>
          <w:sz w:val="24"/>
          <w:szCs w:val="24"/>
          <w:lang w:eastAsia="fr-FR"/>
          <w14:ligatures w14:val="none"/>
        </w:rPr>
        <w:t>.</w:t>
      </w:r>
      <w:r w:rsidR="00755D5F" w:rsidRPr="007A001B">
        <w:rPr>
          <w:rFonts w:ascii="Arial Narrow" w:eastAsia="Times New Roman" w:hAnsi="Arial Narrow" w:cs="Arial"/>
          <w:kern w:val="0"/>
          <w:sz w:val="24"/>
          <w:szCs w:val="24"/>
          <w:lang w:eastAsia="fr-FR"/>
          <w14:ligatures w14:val="none"/>
        </w:rPr>
        <w:t xml:space="preserve"> L’ouverture de ces antennes a permis la mise à disposition de </w:t>
      </w:r>
      <w:r w:rsidR="00755D5F" w:rsidRPr="007E7C5B">
        <w:rPr>
          <w:rFonts w:ascii="Arial Narrow" w:eastAsia="Times New Roman" w:hAnsi="Arial Narrow" w:cs="Arial"/>
          <w:kern w:val="0"/>
          <w:sz w:val="24"/>
          <w:szCs w:val="24"/>
          <w:lang w:eastAsia="fr-FR"/>
          <w14:ligatures w14:val="none"/>
        </w:rPr>
        <w:t>59 générateurs en 2023</w:t>
      </w:r>
      <w:r w:rsidR="00755D5F">
        <w:rPr>
          <w:rFonts w:ascii="Arial Narrow" w:eastAsia="Times New Roman" w:hAnsi="Arial Narrow" w:cs="Arial"/>
          <w:kern w:val="0"/>
          <w:sz w:val="24"/>
          <w:szCs w:val="24"/>
          <w:lang w:eastAsia="fr-FR"/>
          <w14:ligatures w14:val="none"/>
        </w:rPr>
        <w:t xml:space="preserve"> </w:t>
      </w:r>
      <w:r w:rsidR="00755D5F" w:rsidRPr="007A001B">
        <w:rPr>
          <w:rFonts w:ascii="Arial Narrow" w:eastAsia="Times New Roman" w:hAnsi="Arial Narrow" w:cs="Arial"/>
          <w:kern w:val="0"/>
          <w:sz w:val="24"/>
          <w:szCs w:val="24"/>
          <w:lang w:eastAsia="fr-FR"/>
          <w14:ligatures w14:val="none"/>
        </w:rPr>
        <w:t>et 120 générateurs ou machines de dialyse en 2024. Cela permettra à terme le recrutement de mille quatre-vingt (1080) nouveaux patients ; réduisant ainsi plus des 2/3 le nombre des personnes sur la liste d’attente.</w:t>
      </w:r>
    </w:p>
    <w:p w14:paraId="31E30031" w14:textId="1239373A" w:rsidR="00981BCF" w:rsidRDefault="00981BCF" w:rsidP="00A918AC">
      <w:pPr>
        <w:spacing w:before="100" w:beforeAutospacing="1" w:after="100" w:afterAutospacing="1"/>
        <w:jc w:val="both"/>
        <w:rPr>
          <w:rFonts w:ascii="Arial Narrow" w:eastAsia="Times New Roman" w:hAnsi="Arial Narrow" w:cs="Arial"/>
          <w:kern w:val="0"/>
          <w:sz w:val="24"/>
          <w:szCs w:val="24"/>
          <w:lang w:eastAsia="fr-FR"/>
          <w14:ligatures w14:val="none"/>
        </w:rPr>
      </w:pPr>
    </w:p>
    <w:p w14:paraId="2DCBD1B6" w14:textId="225AFF6F" w:rsidR="00230A1E" w:rsidRPr="0044167B" w:rsidRDefault="00230A1E" w:rsidP="00A918AC">
      <w:pPr>
        <w:spacing w:before="100" w:beforeAutospacing="1" w:after="100" w:afterAutospacing="1"/>
        <w:jc w:val="both"/>
        <w:rPr>
          <w:rFonts w:ascii="Arial Narrow" w:eastAsia="Times New Roman" w:hAnsi="Arial Narrow" w:cs="Arial"/>
          <w:kern w:val="0"/>
          <w:sz w:val="24"/>
          <w:szCs w:val="24"/>
          <w:lang w:eastAsia="fr-FR"/>
          <w14:ligatures w14:val="none"/>
        </w:rPr>
      </w:pPr>
      <w:r w:rsidRPr="0044167B">
        <w:rPr>
          <w:rFonts w:ascii="Arial Narrow" w:eastAsia="Times New Roman" w:hAnsi="Arial Narrow" w:cs="Arial"/>
          <w:kern w:val="0"/>
          <w:sz w:val="24"/>
          <w:szCs w:val="24"/>
          <w:lang w:eastAsia="fr-FR"/>
          <w14:ligatures w14:val="none"/>
        </w:rPr>
        <w:lastRenderedPageBreak/>
        <w:t>Les défis sont relatifs à (i) l’augmentation des capacités pour pourvoir recruter tous les patients en insuffisance rénale chronique terminale dans le programme de dialyse (ii) s’assurer qu’un donneur familial soit disponible pour chaque patient en dialyse en vue d’une greffe et (iii) la promotion du dépistage systématique afin que chaque personne procède à un dépistage annuel de la maladie rénale chronique.</w:t>
      </w:r>
    </w:p>
    <w:p w14:paraId="6C8B2E7E" w14:textId="6C6A41D9" w:rsidR="00981BCF" w:rsidRPr="007E7C5B" w:rsidRDefault="00981BCF" w:rsidP="00981BCF">
      <w:pPr>
        <w:jc w:val="both"/>
        <w:rPr>
          <w:rFonts w:ascii="Arial Narrow" w:hAnsi="Arial Narrow" w:cs="Arial"/>
          <w:b/>
          <w:sz w:val="24"/>
          <w:szCs w:val="24"/>
          <w:u w:val="single"/>
        </w:rPr>
      </w:pPr>
      <w:r w:rsidRPr="007E7C5B">
        <w:rPr>
          <w:rFonts w:ascii="Arial Narrow" w:hAnsi="Arial Narrow" w:cs="Arial"/>
          <w:b/>
          <w:sz w:val="24"/>
          <w:szCs w:val="24"/>
          <w:u w:val="single"/>
        </w:rPr>
        <w:t xml:space="preserve">Lutte contre le </w:t>
      </w:r>
      <w:r w:rsidR="0003620F" w:rsidRPr="007E7C5B">
        <w:rPr>
          <w:rFonts w:ascii="Arial Narrow" w:hAnsi="Arial Narrow" w:cs="Arial"/>
          <w:b/>
          <w:sz w:val="24"/>
          <w:szCs w:val="24"/>
          <w:u w:val="single"/>
        </w:rPr>
        <w:t>t</w:t>
      </w:r>
      <w:r w:rsidRPr="007E7C5B">
        <w:rPr>
          <w:rFonts w:ascii="Arial Narrow" w:hAnsi="Arial Narrow" w:cs="Arial"/>
          <w:b/>
          <w:sz w:val="24"/>
          <w:szCs w:val="24"/>
          <w:u w:val="single"/>
        </w:rPr>
        <w:t>abagisme, l’</w:t>
      </w:r>
      <w:r w:rsidR="0003620F" w:rsidRPr="007E7C5B">
        <w:rPr>
          <w:rFonts w:ascii="Arial Narrow" w:hAnsi="Arial Narrow" w:cs="Arial"/>
          <w:b/>
          <w:sz w:val="24"/>
          <w:szCs w:val="24"/>
          <w:u w:val="single"/>
        </w:rPr>
        <w:t>a</w:t>
      </w:r>
      <w:r w:rsidRPr="007E7C5B">
        <w:rPr>
          <w:rFonts w:ascii="Arial Narrow" w:hAnsi="Arial Narrow" w:cs="Arial"/>
          <w:b/>
          <w:sz w:val="24"/>
          <w:szCs w:val="24"/>
          <w:u w:val="single"/>
        </w:rPr>
        <w:t xml:space="preserve">lcoolisme, la </w:t>
      </w:r>
      <w:r w:rsidR="0003620F" w:rsidRPr="007E7C5B">
        <w:rPr>
          <w:rFonts w:ascii="Arial Narrow" w:hAnsi="Arial Narrow" w:cs="Arial"/>
          <w:b/>
          <w:sz w:val="24"/>
          <w:szCs w:val="24"/>
          <w:u w:val="single"/>
        </w:rPr>
        <w:t>t</w:t>
      </w:r>
      <w:r w:rsidRPr="007E7C5B">
        <w:rPr>
          <w:rFonts w:ascii="Arial Narrow" w:hAnsi="Arial Narrow" w:cs="Arial"/>
          <w:b/>
          <w:sz w:val="24"/>
          <w:szCs w:val="24"/>
          <w:u w:val="single"/>
        </w:rPr>
        <w:t xml:space="preserve">oxicomanie et les autres </w:t>
      </w:r>
      <w:r w:rsidR="0003620F" w:rsidRPr="007E7C5B">
        <w:rPr>
          <w:rFonts w:ascii="Arial Narrow" w:hAnsi="Arial Narrow" w:cs="Arial"/>
          <w:b/>
          <w:sz w:val="24"/>
          <w:szCs w:val="24"/>
          <w:u w:val="single"/>
        </w:rPr>
        <w:t>a</w:t>
      </w:r>
      <w:r w:rsidRPr="007E7C5B">
        <w:rPr>
          <w:rFonts w:ascii="Arial Narrow" w:hAnsi="Arial Narrow" w:cs="Arial"/>
          <w:b/>
          <w:sz w:val="24"/>
          <w:szCs w:val="24"/>
          <w:u w:val="single"/>
        </w:rPr>
        <w:t>ddictions</w:t>
      </w:r>
    </w:p>
    <w:p w14:paraId="78933B3A" w14:textId="0862B52A" w:rsidR="00981BCF" w:rsidRPr="007E7C5B" w:rsidRDefault="00981BCF" w:rsidP="00981BCF">
      <w:pPr>
        <w:spacing w:before="100" w:beforeAutospacing="1" w:after="100" w:afterAutospacing="1"/>
        <w:jc w:val="both"/>
        <w:rPr>
          <w:rFonts w:ascii="Arial Narrow" w:eastAsia="Times New Roman" w:hAnsi="Arial Narrow" w:cs="Arial"/>
          <w:kern w:val="0"/>
          <w:sz w:val="24"/>
          <w:szCs w:val="24"/>
          <w:lang w:eastAsia="fr-FR"/>
          <w14:ligatures w14:val="none"/>
        </w:rPr>
      </w:pPr>
      <w:r w:rsidRPr="007E7C5B">
        <w:rPr>
          <w:rFonts w:ascii="Arial Narrow" w:eastAsia="Times New Roman" w:hAnsi="Arial Narrow" w:cs="Arial"/>
          <w:kern w:val="0"/>
          <w:sz w:val="24"/>
          <w:szCs w:val="24"/>
          <w:lang w:eastAsia="fr-FR"/>
          <w14:ligatures w14:val="none"/>
        </w:rPr>
        <w:t>Dans le cadre de la lutte contre le tabac et les addictions, l’objectif était de faire baisser la prévalence du tabagisme en milieu scolaire et la prévalence de l’alcoolisme</w:t>
      </w:r>
      <w:r w:rsidRPr="007E7C5B">
        <w:rPr>
          <w:rFonts w:ascii="Arial Narrow" w:eastAsia="Times New Roman" w:hAnsi="Arial Narrow" w:cs="Times New Roman"/>
          <w:sz w:val="24"/>
          <w:szCs w:val="24"/>
        </w:rPr>
        <w:t xml:space="preserve"> </w:t>
      </w:r>
      <w:r w:rsidRPr="007E7C5B">
        <w:rPr>
          <w:rFonts w:ascii="Arial Narrow" w:eastAsia="Times New Roman" w:hAnsi="Arial Narrow" w:cs="Arial"/>
          <w:kern w:val="0"/>
          <w:sz w:val="24"/>
          <w:szCs w:val="24"/>
          <w:lang w:eastAsia="fr-FR"/>
          <w14:ligatures w14:val="none"/>
        </w:rPr>
        <w:t>chez les hommes de 15 à 49 ans respectivement de 19,10% et 33,2% en 2020 à 10% et 28,4% en 2023.</w:t>
      </w:r>
      <w:r w:rsidR="00230A1E">
        <w:rPr>
          <w:rFonts w:ascii="Arial Narrow" w:eastAsia="Times New Roman" w:hAnsi="Arial Narrow" w:cs="Arial"/>
          <w:kern w:val="0"/>
          <w:sz w:val="24"/>
          <w:szCs w:val="24"/>
          <w:lang w:eastAsia="fr-FR"/>
          <w14:ligatures w14:val="none"/>
        </w:rPr>
        <w:t xml:space="preserve"> </w:t>
      </w:r>
      <w:r w:rsidR="003C28DA" w:rsidRPr="007E7C5B">
        <w:rPr>
          <w:rFonts w:ascii="Arial Narrow" w:eastAsia="Times New Roman" w:hAnsi="Arial Narrow" w:cs="Arial"/>
          <w:kern w:val="0"/>
          <w:sz w:val="24"/>
          <w:szCs w:val="24"/>
          <w:lang w:eastAsia="fr-FR"/>
          <w14:ligatures w14:val="none"/>
        </w:rPr>
        <w:t>Pour ce faire</w:t>
      </w:r>
      <w:r w:rsidRPr="007E7C5B">
        <w:rPr>
          <w:rFonts w:ascii="Arial Narrow" w:eastAsia="Times New Roman" w:hAnsi="Arial Narrow" w:cs="Arial"/>
          <w:kern w:val="0"/>
          <w:sz w:val="24"/>
          <w:szCs w:val="24"/>
          <w:lang w:eastAsia="fr-FR"/>
          <w14:ligatures w14:val="none"/>
        </w:rPr>
        <w:t>, le</w:t>
      </w:r>
      <w:r w:rsidRPr="007E7C5B" w:rsidDel="003C28DA">
        <w:rPr>
          <w:rFonts w:ascii="Arial Narrow" w:eastAsia="Times New Roman" w:hAnsi="Arial Narrow" w:cs="Arial"/>
          <w:kern w:val="0"/>
          <w:sz w:val="24"/>
          <w:szCs w:val="24"/>
          <w:lang w:eastAsia="fr-FR"/>
          <w14:ligatures w14:val="none"/>
        </w:rPr>
        <w:t xml:space="preserve"> </w:t>
      </w:r>
      <w:r w:rsidR="003C28DA" w:rsidRPr="007E7C5B">
        <w:rPr>
          <w:rFonts w:ascii="Arial Narrow" w:eastAsia="Times New Roman" w:hAnsi="Arial Narrow" w:cs="Arial"/>
          <w:kern w:val="0"/>
          <w:sz w:val="24"/>
          <w:szCs w:val="24"/>
          <w:lang w:eastAsia="fr-FR"/>
          <w14:ligatures w14:val="none"/>
        </w:rPr>
        <w:t xml:space="preserve">Ministère </w:t>
      </w:r>
      <w:r w:rsidRPr="007E7C5B">
        <w:rPr>
          <w:rFonts w:ascii="Arial Narrow" w:eastAsia="Times New Roman" w:hAnsi="Arial Narrow" w:cs="Arial"/>
          <w:kern w:val="0"/>
          <w:sz w:val="24"/>
          <w:szCs w:val="24"/>
          <w:lang w:eastAsia="fr-FR"/>
          <w14:ligatures w14:val="none"/>
        </w:rPr>
        <w:t>a mis en place plusieurs initiatives visant à renforcer les capacités des professionnels de santé, à améliorer la prise en charge des addictions et à encadrer la commercialisation du tabac.</w:t>
      </w:r>
    </w:p>
    <w:p w14:paraId="43542B4A" w14:textId="4DB6B01A" w:rsidR="00981BCF" w:rsidRPr="007E7C5B" w:rsidRDefault="00981BCF" w:rsidP="00981BCF">
      <w:pPr>
        <w:spacing w:before="100" w:beforeAutospacing="1" w:after="100" w:afterAutospacing="1"/>
        <w:jc w:val="both"/>
        <w:rPr>
          <w:rFonts w:ascii="Arial Narrow" w:eastAsia="Times New Roman" w:hAnsi="Arial Narrow" w:cs="Arial"/>
          <w:iCs/>
          <w:kern w:val="0"/>
          <w:sz w:val="24"/>
          <w:szCs w:val="24"/>
          <w:lang w:eastAsia="fr-FR"/>
          <w14:ligatures w14:val="none"/>
        </w:rPr>
      </w:pPr>
      <w:r w:rsidRPr="00A918AC">
        <w:rPr>
          <w:rFonts w:ascii="Arial Narrow" w:eastAsia="Times New Roman" w:hAnsi="Arial Narrow" w:cs="Arial"/>
          <w:b/>
          <w:i/>
          <w:kern w:val="0"/>
          <w:sz w:val="24"/>
          <w:szCs w:val="24"/>
          <w:lang w:eastAsia="fr-FR"/>
          <w14:ligatures w14:val="none"/>
        </w:rPr>
        <w:t>Concernant le cadre institutionnel</w:t>
      </w:r>
      <w:r w:rsidRPr="00A918AC">
        <w:rPr>
          <w:rFonts w:ascii="Arial Narrow" w:eastAsia="Times New Roman" w:hAnsi="Arial Narrow" w:cs="Arial"/>
          <w:i/>
          <w:kern w:val="0"/>
          <w:sz w:val="24"/>
          <w:szCs w:val="24"/>
          <w:lang w:eastAsia="fr-FR"/>
          <w14:ligatures w14:val="none"/>
        </w:rPr>
        <w:t>,</w:t>
      </w:r>
      <w:r w:rsidRPr="007E7C5B">
        <w:rPr>
          <w:rFonts w:ascii="Arial Narrow" w:eastAsia="Times New Roman" w:hAnsi="Arial Narrow" w:cs="Arial"/>
          <w:iCs/>
          <w:kern w:val="0"/>
          <w:sz w:val="24"/>
          <w:szCs w:val="24"/>
          <w:lang w:eastAsia="fr-FR"/>
          <w14:ligatures w14:val="none"/>
        </w:rPr>
        <w:t xml:space="preserve"> </w:t>
      </w:r>
      <w:r w:rsidR="00FF32E5" w:rsidRPr="007E7C5B">
        <w:rPr>
          <w:rFonts w:ascii="Arial Narrow" w:eastAsia="Times New Roman" w:hAnsi="Arial Narrow" w:cs="Arial"/>
          <w:iCs/>
          <w:kern w:val="0"/>
          <w:sz w:val="24"/>
          <w:szCs w:val="24"/>
          <w:lang w:eastAsia="fr-FR"/>
          <w14:ligatures w14:val="none"/>
        </w:rPr>
        <w:t xml:space="preserve">un </w:t>
      </w:r>
      <w:r w:rsidRPr="007E7C5B">
        <w:rPr>
          <w:rFonts w:ascii="Arial Narrow" w:eastAsia="Times New Roman" w:hAnsi="Arial Narrow" w:cs="Arial"/>
          <w:iCs/>
          <w:kern w:val="0"/>
          <w:sz w:val="24"/>
          <w:szCs w:val="24"/>
          <w:lang w:eastAsia="fr-FR"/>
          <w14:ligatures w14:val="none"/>
        </w:rPr>
        <w:t xml:space="preserve">guide national de réduction des risques chez les usagers de drogues a été </w:t>
      </w:r>
      <w:r w:rsidR="00C23D30" w:rsidRPr="007E7C5B">
        <w:rPr>
          <w:rFonts w:ascii="Arial Narrow" w:eastAsia="Times New Roman" w:hAnsi="Arial Narrow" w:cs="Arial"/>
          <w:iCs/>
          <w:kern w:val="0"/>
          <w:sz w:val="24"/>
          <w:szCs w:val="24"/>
          <w:lang w:eastAsia="fr-FR"/>
          <w14:ligatures w14:val="none"/>
        </w:rPr>
        <w:t>élaboré</w:t>
      </w:r>
      <w:r w:rsidRPr="007E7C5B">
        <w:rPr>
          <w:rFonts w:ascii="Arial Narrow" w:eastAsia="Times New Roman" w:hAnsi="Arial Narrow" w:cs="Arial"/>
          <w:iCs/>
          <w:kern w:val="0"/>
          <w:sz w:val="24"/>
          <w:szCs w:val="24"/>
          <w:lang w:eastAsia="fr-FR"/>
          <w14:ligatures w14:val="none"/>
        </w:rPr>
        <w:t>, offrant un cadre de référence pour les actions visant à réduire les conséquences néfastes de l’usage de drogues. De plus, le décret n°2022-75 du 26 janvier 2022 portant modalités d'application des mises en garde sanitaires, du conditionnement, de l'étiquetage et de la commercialisation du tabac et de ses produits ainsi que le décret n°2022-76 du 26 janvier 2022 instituant un système de suivi, de traçabilité et de vérification fiscale des produits du tabac sont désormais disponibles. Ces décrets constituent une avancée importante pour encadrer la consommation du tabac et protéger la population des dangers associés.</w:t>
      </w:r>
    </w:p>
    <w:p w14:paraId="009C3D0F" w14:textId="5100222E" w:rsidR="00D01C24" w:rsidRPr="007E7C5B" w:rsidRDefault="00981BCF" w:rsidP="00981BCF">
      <w:pPr>
        <w:spacing w:before="100" w:beforeAutospacing="1" w:after="100" w:afterAutospacing="1"/>
        <w:jc w:val="both"/>
        <w:rPr>
          <w:rFonts w:ascii="Arial Narrow" w:hAnsi="Arial Narrow" w:cs="Arial"/>
          <w:iCs/>
          <w:sz w:val="24"/>
          <w:szCs w:val="24"/>
        </w:rPr>
      </w:pPr>
      <w:r w:rsidRPr="00A918AC">
        <w:rPr>
          <w:rFonts w:ascii="Arial Narrow" w:eastAsia="Times New Roman" w:hAnsi="Arial Narrow" w:cs="Arial"/>
          <w:b/>
          <w:i/>
          <w:kern w:val="0"/>
          <w:sz w:val="24"/>
          <w:szCs w:val="24"/>
          <w:lang w:eastAsia="fr-FR"/>
          <w14:ligatures w14:val="none"/>
        </w:rPr>
        <w:t>S’agissant de la prévention</w:t>
      </w:r>
      <w:r w:rsidRPr="00A918AC">
        <w:rPr>
          <w:rFonts w:ascii="Arial Narrow" w:eastAsia="Times New Roman" w:hAnsi="Arial Narrow" w:cs="Arial"/>
          <w:i/>
          <w:kern w:val="0"/>
          <w:sz w:val="24"/>
          <w:szCs w:val="24"/>
          <w:lang w:eastAsia="fr-FR"/>
          <w14:ligatures w14:val="none"/>
        </w:rPr>
        <w:t>,</w:t>
      </w:r>
      <w:r w:rsidRPr="007E7C5B">
        <w:rPr>
          <w:rFonts w:ascii="Arial Narrow" w:eastAsia="Times New Roman" w:hAnsi="Arial Narrow" w:cs="Arial"/>
          <w:iCs/>
          <w:kern w:val="0"/>
          <w:sz w:val="24"/>
          <w:szCs w:val="24"/>
          <w:lang w:eastAsia="fr-FR"/>
          <w14:ligatures w14:val="none"/>
        </w:rPr>
        <w:t xml:space="preserve"> </w:t>
      </w:r>
      <w:r w:rsidRPr="007E7C5B">
        <w:rPr>
          <w:rFonts w:ascii="Arial Narrow" w:hAnsi="Arial Narrow" w:cs="Arial"/>
          <w:iCs/>
          <w:sz w:val="24"/>
          <w:szCs w:val="24"/>
        </w:rPr>
        <w:t xml:space="preserve">06 campagnes médiatiques dont trois sur les dangers de la consommation de l’alcool au volant et 03 sur les méfaits du tabagisme ont été réalisées à travers divers supports de communication </w:t>
      </w:r>
      <w:r w:rsidR="004040D3" w:rsidRPr="007E7C5B">
        <w:rPr>
          <w:rFonts w:ascii="Arial Narrow" w:hAnsi="Arial Narrow" w:cs="Arial"/>
          <w:iCs/>
          <w:sz w:val="24"/>
          <w:szCs w:val="24"/>
        </w:rPr>
        <w:t>atteignant</w:t>
      </w:r>
      <w:r w:rsidRPr="007E7C5B">
        <w:rPr>
          <w:rFonts w:ascii="Arial Narrow" w:hAnsi="Arial Narrow" w:cs="Arial"/>
          <w:iCs/>
          <w:sz w:val="24"/>
          <w:szCs w:val="24"/>
        </w:rPr>
        <w:t xml:space="preserve"> </w:t>
      </w:r>
      <w:r w:rsidR="00D07E90" w:rsidRPr="007E7C5B">
        <w:rPr>
          <w:rFonts w:ascii="Arial Narrow" w:hAnsi="Arial Narrow" w:cs="Arial"/>
          <w:iCs/>
          <w:sz w:val="24"/>
          <w:szCs w:val="24"/>
        </w:rPr>
        <w:t>près</w:t>
      </w:r>
      <w:r w:rsidR="004040D3" w:rsidRPr="007E7C5B">
        <w:rPr>
          <w:rFonts w:ascii="Arial Narrow" w:hAnsi="Arial Narrow" w:cs="Arial"/>
          <w:iCs/>
          <w:sz w:val="24"/>
          <w:szCs w:val="24"/>
        </w:rPr>
        <w:t xml:space="preserve"> de </w:t>
      </w:r>
      <w:r w:rsidRPr="007E7C5B">
        <w:rPr>
          <w:rFonts w:ascii="Arial Narrow" w:hAnsi="Arial Narrow" w:cs="Arial"/>
          <w:iCs/>
          <w:sz w:val="24"/>
          <w:szCs w:val="24"/>
        </w:rPr>
        <w:t xml:space="preserve">11 140 000 personnes. </w:t>
      </w:r>
      <w:r w:rsidR="003D713D" w:rsidRPr="007E7C5B">
        <w:rPr>
          <w:rFonts w:ascii="Arial Narrow" w:hAnsi="Arial Narrow" w:cs="Arial"/>
          <w:iCs/>
          <w:sz w:val="24"/>
          <w:szCs w:val="24"/>
        </w:rPr>
        <w:t>D</w:t>
      </w:r>
      <w:r w:rsidRPr="007E7C5B">
        <w:rPr>
          <w:rFonts w:ascii="Arial Narrow" w:hAnsi="Arial Narrow" w:cs="Arial"/>
          <w:iCs/>
          <w:sz w:val="24"/>
          <w:szCs w:val="24"/>
        </w:rPr>
        <w:t xml:space="preserve">es campagnes de proximité ont été menées dans les 33 régions pour sensibiliser les populations aux dangers du tabagisme et aux dispositions légales en vigueur. </w:t>
      </w:r>
      <w:r w:rsidR="00514B96" w:rsidRPr="007E7C5B">
        <w:rPr>
          <w:rFonts w:ascii="Arial Narrow" w:hAnsi="Arial Narrow" w:cs="Arial"/>
          <w:iCs/>
          <w:sz w:val="24"/>
          <w:szCs w:val="24"/>
        </w:rPr>
        <w:t>De plus</w:t>
      </w:r>
      <w:r w:rsidRPr="007E7C5B">
        <w:rPr>
          <w:rFonts w:ascii="Arial Narrow" w:hAnsi="Arial Narrow" w:cs="Arial"/>
          <w:iCs/>
          <w:sz w:val="24"/>
          <w:szCs w:val="24"/>
        </w:rPr>
        <w:t xml:space="preserve">, l’organisation de campagnes de sensibilisation sur les dangers de l’alcoolisme en milieu scolaire ont été réalisées dans 30 établissements du secondaire. </w:t>
      </w:r>
    </w:p>
    <w:p w14:paraId="68DE5E29" w14:textId="15FE99FE" w:rsidR="00B14B56" w:rsidRPr="007E7C5B" w:rsidRDefault="00D01C24" w:rsidP="00981BCF">
      <w:pPr>
        <w:spacing w:before="100" w:beforeAutospacing="1" w:after="100" w:afterAutospacing="1"/>
        <w:jc w:val="both"/>
        <w:rPr>
          <w:rFonts w:ascii="Arial Narrow" w:hAnsi="Arial Narrow" w:cs="Arial"/>
          <w:iCs/>
          <w:sz w:val="24"/>
          <w:szCs w:val="24"/>
        </w:rPr>
      </w:pPr>
      <w:r w:rsidRPr="007E7C5B">
        <w:rPr>
          <w:rFonts w:ascii="Arial Narrow" w:hAnsi="Arial Narrow" w:cs="Arial"/>
          <w:iCs/>
          <w:sz w:val="24"/>
          <w:szCs w:val="24"/>
        </w:rPr>
        <w:t>Parallèlement</w:t>
      </w:r>
      <w:r w:rsidR="00981BCF" w:rsidRPr="007E7C5B">
        <w:rPr>
          <w:rFonts w:ascii="Arial Narrow" w:hAnsi="Arial Narrow" w:cs="Arial"/>
          <w:iCs/>
          <w:sz w:val="24"/>
          <w:szCs w:val="24"/>
        </w:rPr>
        <w:t>, un pool de 33 formateurs issus de la brigade de stupéfiants de la gendarmerie, de la police mondaine, de la direction générale des douanes et des police</w:t>
      </w:r>
      <w:r w:rsidR="008628A0">
        <w:rPr>
          <w:rFonts w:ascii="Arial Narrow" w:hAnsi="Arial Narrow" w:cs="Arial"/>
          <w:iCs/>
          <w:sz w:val="24"/>
          <w:szCs w:val="24"/>
        </w:rPr>
        <w:t>s</w:t>
      </w:r>
      <w:r w:rsidR="00981BCF" w:rsidRPr="007E7C5B">
        <w:rPr>
          <w:rFonts w:ascii="Arial Narrow" w:hAnsi="Arial Narrow" w:cs="Arial"/>
          <w:iCs/>
          <w:sz w:val="24"/>
          <w:szCs w:val="24"/>
        </w:rPr>
        <w:t xml:space="preserve"> municipales du Grand Abidjan a été mis en place pour assurer une meilleure application de la loi n 2019-6</w:t>
      </w:r>
      <w:r w:rsidR="00230A1E">
        <w:rPr>
          <w:rFonts w:ascii="Arial Narrow" w:hAnsi="Arial Narrow" w:cs="Arial"/>
          <w:iCs/>
          <w:sz w:val="24"/>
          <w:szCs w:val="24"/>
        </w:rPr>
        <w:t>67</w:t>
      </w:r>
      <w:r w:rsidR="00981BCF" w:rsidRPr="007E7C5B">
        <w:rPr>
          <w:rFonts w:ascii="Arial Narrow" w:hAnsi="Arial Narrow" w:cs="Arial"/>
          <w:iCs/>
          <w:sz w:val="24"/>
          <w:szCs w:val="24"/>
        </w:rPr>
        <w:t xml:space="preserve"> du 23 juillet 2019 relative à la lutte antitabac.</w:t>
      </w:r>
      <w:r w:rsidR="00981BCF" w:rsidRPr="007E7C5B" w:rsidDel="00D01C24">
        <w:rPr>
          <w:rFonts w:ascii="Arial Narrow" w:hAnsi="Arial Narrow" w:cs="Arial"/>
          <w:iCs/>
          <w:sz w:val="24"/>
          <w:szCs w:val="24"/>
        </w:rPr>
        <w:t xml:space="preserve"> </w:t>
      </w:r>
      <w:r w:rsidR="00981BCF" w:rsidRPr="007E7C5B" w:rsidDel="004E26C7">
        <w:rPr>
          <w:rFonts w:ascii="Arial Narrow" w:hAnsi="Arial Narrow" w:cs="Arial"/>
          <w:iCs/>
          <w:sz w:val="24"/>
          <w:szCs w:val="24"/>
        </w:rPr>
        <w:t>D</w:t>
      </w:r>
      <w:r w:rsidR="00981BCF" w:rsidRPr="007E7C5B">
        <w:rPr>
          <w:rFonts w:ascii="Arial Narrow" w:hAnsi="Arial Narrow" w:cs="Arial"/>
          <w:iCs/>
          <w:sz w:val="24"/>
          <w:szCs w:val="24"/>
        </w:rPr>
        <w:t xml:space="preserve">es missions </w:t>
      </w:r>
      <w:r w:rsidR="00B14B56" w:rsidRPr="007E7C5B">
        <w:rPr>
          <w:rFonts w:ascii="Arial Narrow" w:hAnsi="Arial Narrow" w:cs="Arial"/>
          <w:iCs/>
          <w:sz w:val="24"/>
          <w:szCs w:val="24"/>
        </w:rPr>
        <w:t xml:space="preserve">régulières </w:t>
      </w:r>
      <w:r w:rsidR="00981BCF" w:rsidRPr="007E7C5B">
        <w:rPr>
          <w:rFonts w:ascii="Arial Narrow" w:hAnsi="Arial Narrow" w:cs="Arial"/>
          <w:iCs/>
          <w:sz w:val="24"/>
          <w:szCs w:val="24"/>
        </w:rPr>
        <w:t>de contrôle ont également été organisées sur l'ensemble du territoire national pour vérifier le respect de cette loi.</w:t>
      </w:r>
    </w:p>
    <w:p w14:paraId="0F0D7C3E" w14:textId="3BDDC65F" w:rsidR="00981BCF" w:rsidRPr="007E7C5B" w:rsidRDefault="00981BCF" w:rsidP="00981BCF">
      <w:pPr>
        <w:spacing w:before="100" w:beforeAutospacing="1" w:after="100" w:afterAutospacing="1"/>
        <w:jc w:val="both"/>
        <w:rPr>
          <w:rFonts w:ascii="Arial Narrow" w:eastAsia="Times New Roman" w:hAnsi="Arial Narrow" w:cs="Arial"/>
          <w:iCs/>
          <w:kern w:val="0"/>
          <w:sz w:val="24"/>
          <w:szCs w:val="24"/>
          <w:lang w:eastAsia="fr-FR"/>
          <w14:ligatures w14:val="none"/>
        </w:rPr>
      </w:pPr>
      <w:r w:rsidRPr="00A918AC">
        <w:rPr>
          <w:rFonts w:ascii="Arial Narrow" w:eastAsia="Times New Roman" w:hAnsi="Arial Narrow" w:cs="Arial"/>
          <w:b/>
          <w:i/>
          <w:kern w:val="0"/>
          <w:sz w:val="24"/>
          <w:szCs w:val="24"/>
          <w:lang w:eastAsia="fr-FR"/>
          <w14:ligatures w14:val="none"/>
        </w:rPr>
        <w:t>Dans le cadre de la prise en charge</w:t>
      </w:r>
      <w:r w:rsidRPr="00A918AC">
        <w:rPr>
          <w:rFonts w:ascii="Arial Narrow" w:eastAsia="Times New Roman" w:hAnsi="Arial Narrow" w:cs="Arial"/>
          <w:i/>
          <w:kern w:val="0"/>
          <w:sz w:val="24"/>
          <w:szCs w:val="24"/>
          <w:lang w:eastAsia="fr-FR"/>
          <w14:ligatures w14:val="none"/>
        </w:rPr>
        <w:t>,</w:t>
      </w:r>
      <w:r w:rsidRPr="007E7C5B">
        <w:rPr>
          <w:rFonts w:ascii="Arial Narrow" w:eastAsia="Times New Roman" w:hAnsi="Arial Narrow" w:cs="Arial"/>
          <w:iCs/>
          <w:kern w:val="0"/>
          <w:sz w:val="24"/>
          <w:szCs w:val="24"/>
          <w:lang w:eastAsia="fr-FR"/>
          <w14:ligatures w14:val="none"/>
        </w:rPr>
        <w:t xml:space="preserve"> au total 120 agents de santé des ESPC</w:t>
      </w:r>
      <w:r w:rsidRPr="007E7C5B" w:rsidDel="004A1512">
        <w:rPr>
          <w:rFonts w:ascii="Arial Narrow" w:eastAsia="Times New Roman" w:hAnsi="Arial Narrow" w:cs="Arial"/>
          <w:iCs/>
          <w:kern w:val="0"/>
          <w:sz w:val="24"/>
          <w:szCs w:val="24"/>
          <w:lang w:eastAsia="fr-FR"/>
          <w14:ligatures w14:val="none"/>
        </w:rPr>
        <w:t xml:space="preserve"> </w:t>
      </w:r>
      <w:r w:rsidRPr="007E7C5B">
        <w:rPr>
          <w:rFonts w:ascii="Arial Narrow" w:eastAsia="Times New Roman" w:hAnsi="Arial Narrow" w:cs="Arial"/>
          <w:iCs/>
          <w:kern w:val="0"/>
          <w:sz w:val="24"/>
          <w:szCs w:val="24"/>
          <w:lang w:eastAsia="fr-FR"/>
          <w14:ligatures w14:val="none"/>
        </w:rPr>
        <w:t xml:space="preserve">des régions de Abidjan1, Abidjan 2, </w:t>
      </w:r>
      <w:proofErr w:type="spellStart"/>
      <w:r w:rsidRPr="007E7C5B">
        <w:rPr>
          <w:rFonts w:ascii="Arial Narrow" w:eastAsia="Times New Roman" w:hAnsi="Arial Narrow" w:cs="Arial"/>
          <w:iCs/>
          <w:kern w:val="0"/>
          <w:sz w:val="24"/>
          <w:szCs w:val="24"/>
          <w:lang w:eastAsia="fr-FR"/>
          <w14:ligatures w14:val="none"/>
        </w:rPr>
        <w:t>Gbêkê</w:t>
      </w:r>
      <w:proofErr w:type="spellEnd"/>
      <w:r w:rsidRPr="007E7C5B">
        <w:rPr>
          <w:rFonts w:ascii="Arial Narrow" w:eastAsia="Times New Roman" w:hAnsi="Arial Narrow" w:cs="Arial"/>
          <w:iCs/>
          <w:kern w:val="0"/>
          <w:sz w:val="24"/>
          <w:szCs w:val="24"/>
          <w:lang w:eastAsia="fr-FR"/>
          <w14:ligatures w14:val="none"/>
        </w:rPr>
        <w:t xml:space="preserve"> et Bélier ont vu leurs compétences renforcées dans la prise en charge du sevrage tabagique. </w:t>
      </w:r>
      <w:r w:rsidR="009F13FD" w:rsidRPr="007E7C5B">
        <w:rPr>
          <w:rFonts w:ascii="Arial Narrow" w:eastAsia="Times New Roman" w:hAnsi="Arial Narrow" w:cs="Arial"/>
          <w:iCs/>
          <w:kern w:val="0"/>
          <w:sz w:val="24"/>
          <w:szCs w:val="24"/>
          <w:lang w:eastAsia="fr-FR"/>
          <w14:ligatures w14:val="none"/>
        </w:rPr>
        <w:t>Quarante</w:t>
      </w:r>
      <w:r w:rsidRPr="007E7C5B">
        <w:rPr>
          <w:rFonts w:ascii="Arial Narrow" w:eastAsia="Times New Roman" w:hAnsi="Arial Narrow" w:cs="Arial"/>
          <w:iCs/>
          <w:kern w:val="0"/>
          <w:sz w:val="24"/>
          <w:szCs w:val="24"/>
          <w:lang w:eastAsia="fr-FR"/>
          <w14:ligatures w14:val="none"/>
        </w:rPr>
        <w:t xml:space="preserve"> médecins des HG des régions sanitaire d’Abidjan 1 et Abidjan 2 ont été formés </w:t>
      </w:r>
      <w:r w:rsidR="0040644A" w:rsidRPr="007E7C5B">
        <w:rPr>
          <w:rFonts w:ascii="Arial Narrow" w:eastAsia="Times New Roman" w:hAnsi="Arial Narrow" w:cs="Arial"/>
          <w:iCs/>
          <w:kern w:val="0"/>
          <w:sz w:val="24"/>
          <w:szCs w:val="24"/>
          <w:lang w:eastAsia="fr-FR"/>
          <w14:ligatures w14:val="none"/>
        </w:rPr>
        <w:t>à</w:t>
      </w:r>
      <w:r w:rsidRPr="007E7C5B" w:rsidDel="007628E7">
        <w:rPr>
          <w:rFonts w:ascii="Arial Narrow" w:eastAsia="Times New Roman" w:hAnsi="Arial Narrow" w:cs="Arial"/>
          <w:iCs/>
          <w:kern w:val="0"/>
          <w:sz w:val="24"/>
          <w:szCs w:val="24"/>
          <w:lang w:eastAsia="fr-FR"/>
          <w14:ligatures w14:val="none"/>
        </w:rPr>
        <w:t xml:space="preserve"> </w:t>
      </w:r>
      <w:r w:rsidRPr="007E7C5B">
        <w:rPr>
          <w:rFonts w:ascii="Arial Narrow" w:eastAsia="Times New Roman" w:hAnsi="Arial Narrow" w:cs="Arial"/>
          <w:iCs/>
          <w:kern w:val="0"/>
          <w:sz w:val="24"/>
          <w:szCs w:val="24"/>
          <w:lang w:eastAsia="fr-FR"/>
          <w14:ligatures w14:val="none"/>
        </w:rPr>
        <w:t xml:space="preserve">la prise en charge de la dépendance à l'alcool. </w:t>
      </w:r>
      <w:r w:rsidR="009F13FD" w:rsidRPr="007E7C5B">
        <w:rPr>
          <w:rFonts w:ascii="Arial Narrow" w:eastAsia="Times New Roman" w:hAnsi="Arial Narrow" w:cs="Arial"/>
          <w:iCs/>
          <w:kern w:val="0"/>
          <w:sz w:val="24"/>
          <w:szCs w:val="24"/>
          <w:lang w:eastAsia="fr-FR"/>
          <w14:ligatures w14:val="none"/>
        </w:rPr>
        <w:t xml:space="preserve">Vingt-cinq </w:t>
      </w:r>
      <w:r w:rsidRPr="007E7C5B">
        <w:rPr>
          <w:rFonts w:ascii="Arial Narrow" w:eastAsia="Times New Roman" w:hAnsi="Arial Narrow" w:cs="Arial"/>
          <w:iCs/>
          <w:kern w:val="0"/>
          <w:sz w:val="24"/>
          <w:szCs w:val="24"/>
          <w:lang w:eastAsia="fr-FR"/>
          <w14:ligatures w14:val="none"/>
        </w:rPr>
        <w:t>médecins issus des structures spécialisées</w:t>
      </w:r>
      <w:r w:rsidR="001E17AC" w:rsidRPr="007E7C5B">
        <w:rPr>
          <w:rStyle w:val="Appelnotedebasdep"/>
          <w:rFonts w:ascii="Arial Narrow" w:eastAsia="Times New Roman" w:hAnsi="Arial Narrow" w:cs="Arial"/>
          <w:iCs/>
          <w:kern w:val="0"/>
          <w:sz w:val="24"/>
          <w:szCs w:val="24"/>
          <w:lang w:eastAsia="fr-FR"/>
          <w14:ligatures w14:val="none"/>
        </w:rPr>
        <w:footnoteReference w:id="25"/>
      </w:r>
      <w:r w:rsidRPr="007E7C5B">
        <w:rPr>
          <w:rFonts w:ascii="Arial Narrow" w:eastAsia="Times New Roman" w:hAnsi="Arial Narrow" w:cs="Arial"/>
          <w:iCs/>
          <w:kern w:val="0"/>
          <w:sz w:val="24"/>
          <w:szCs w:val="24"/>
          <w:lang w:eastAsia="fr-FR"/>
          <w14:ligatures w14:val="none"/>
        </w:rPr>
        <w:t xml:space="preserve"> dans la gestion des addictions ont été formés pour prescrire la Thérapie de Substitution aux Opiacés (TSO) à base de méthadone, utilisée pour traiter la dépendance. De plus, les capacités techniques et matérielles des hôpitaux psychiatriques de Bouaké et de Bingerville, ainsi que du centre d’accueil de la Croix Bleue, de l’</w:t>
      </w:r>
      <w:r w:rsidR="0012784D" w:rsidRPr="007E7C5B">
        <w:rPr>
          <w:rFonts w:ascii="Arial Narrow" w:eastAsia="Times New Roman" w:hAnsi="Arial Narrow" w:cs="Arial"/>
          <w:iCs/>
          <w:kern w:val="0"/>
          <w:sz w:val="24"/>
          <w:szCs w:val="24"/>
          <w:lang w:eastAsia="fr-FR"/>
          <w14:ligatures w14:val="none"/>
        </w:rPr>
        <w:t>hôpital</w:t>
      </w:r>
      <w:r w:rsidRPr="007E7C5B">
        <w:rPr>
          <w:rFonts w:ascii="Arial Narrow" w:eastAsia="Times New Roman" w:hAnsi="Arial Narrow" w:cs="Arial"/>
          <w:iCs/>
          <w:kern w:val="0"/>
          <w:sz w:val="24"/>
          <w:szCs w:val="24"/>
          <w:lang w:eastAsia="fr-FR"/>
          <w14:ligatures w14:val="none"/>
        </w:rPr>
        <w:t xml:space="preserve"> psychiatrique Saint Vincent de </w:t>
      </w:r>
      <w:r w:rsidR="0012784D" w:rsidRPr="007E7C5B">
        <w:rPr>
          <w:rFonts w:ascii="Arial Narrow" w:eastAsia="Times New Roman" w:hAnsi="Arial Narrow" w:cs="Arial"/>
          <w:iCs/>
          <w:kern w:val="0"/>
          <w:sz w:val="24"/>
          <w:szCs w:val="24"/>
          <w:lang w:eastAsia="fr-FR"/>
          <w14:ligatures w14:val="none"/>
        </w:rPr>
        <w:t xml:space="preserve">Paul </w:t>
      </w:r>
      <w:r w:rsidRPr="007E7C5B">
        <w:rPr>
          <w:rFonts w:ascii="Arial Narrow" w:eastAsia="Times New Roman" w:hAnsi="Arial Narrow" w:cs="Arial"/>
          <w:iCs/>
          <w:kern w:val="0"/>
          <w:sz w:val="24"/>
          <w:szCs w:val="24"/>
          <w:lang w:eastAsia="fr-FR"/>
          <w14:ligatures w14:val="none"/>
        </w:rPr>
        <w:t xml:space="preserve">de Yamoussoukro et du CASA de San Pedro </w:t>
      </w:r>
      <w:r w:rsidRPr="007E7C5B">
        <w:rPr>
          <w:rFonts w:ascii="Arial Narrow" w:eastAsia="Times New Roman" w:hAnsi="Arial Narrow" w:cs="Arial"/>
          <w:iCs/>
          <w:kern w:val="0"/>
          <w:sz w:val="24"/>
          <w:szCs w:val="24"/>
          <w:lang w:eastAsia="fr-FR"/>
          <w14:ligatures w14:val="none"/>
        </w:rPr>
        <w:lastRenderedPageBreak/>
        <w:t>ont été renforcées, notamment pour la dispensation de la méthadone, améliorant ainsi la disponibilité des infrastructures pour traiter les addictions</w:t>
      </w:r>
      <w:r w:rsidR="0020764F" w:rsidRPr="007E7C5B">
        <w:rPr>
          <w:rFonts w:ascii="Arial Narrow" w:eastAsia="Times New Roman" w:hAnsi="Arial Narrow" w:cs="Arial"/>
          <w:iCs/>
          <w:kern w:val="0"/>
          <w:sz w:val="24"/>
          <w:szCs w:val="24"/>
          <w:lang w:eastAsia="fr-FR"/>
          <w14:ligatures w14:val="none"/>
        </w:rPr>
        <w:t>.</w:t>
      </w:r>
    </w:p>
    <w:p w14:paraId="13641F82" w14:textId="0DC16B6C" w:rsidR="00981BCF" w:rsidRPr="007E7C5B" w:rsidRDefault="000E4698" w:rsidP="00981BCF">
      <w:pPr>
        <w:spacing w:before="100" w:beforeAutospacing="1" w:after="100" w:afterAutospacing="1"/>
        <w:jc w:val="both"/>
        <w:rPr>
          <w:rFonts w:ascii="Arial Narrow" w:eastAsia="Times New Roman" w:hAnsi="Arial Narrow" w:cs="Arial"/>
          <w:iCs/>
          <w:kern w:val="0"/>
          <w:sz w:val="24"/>
          <w:szCs w:val="24"/>
          <w:lang w:eastAsia="fr-FR"/>
          <w14:ligatures w14:val="none"/>
        </w:rPr>
      </w:pPr>
      <w:r w:rsidRPr="00B82295">
        <w:rPr>
          <w:rFonts w:cstheme="minorHAnsi"/>
          <w:noProof/>
          <w:sz w:val="24"/>
          <w:szCs w:val="24"/>
        </w:rPr>
        <mc:AlternateContent>
          <mc:Choice Requires="wps">
            <w:drawing>
              <wp:anchor distT="0" distB="0" distL="114300" distR="114300" simplePos="0" relativeHeight="251658266" behindDoc="1" locked="0" layoutInCell="1" allowOverlap="1" wp14:anchorId="5042CA54" wp14:editId="4950B29D">
                <wp:simplePos x="0" y="0"/>
                <wp:positionH relativeFrom="margin">
                  <wp:align>left</wp:align>
                </wp:positionH>
                <wp:positionV relativeFrom="paragraph">
                  <wp:posOffset>57150</wp:posOffset>
                </wp:positionV>
                <wp:extent cx="3302000" cy="2527935"/>
                <wp:effectExtent l="0" t="0" r="12700" b="24765"/>
                <wp:wrapTight wrapText="bothSides">
                  <wp:wrapPolygon edited="0">
                    <wp:start x="0" y="0"/>
                    <wp:lineTo x="0" y="21649"/>
                    <wp:lineTo x="21558" y="21649"/>
                    <wp:lineTo x="21558" y="0"/>
                    <wp:lineTo x="0" y="0"/>
                  </wp:wrapPolygon>
                </wp:wrapTight>
                <wp:docPr id="781445852" name="Text Box 7"/>
                <wp:cNvGraphicFramePr/>
                <a:graphic xmlns:a="http://schemas.openxmlformats.org/drawingml/2006/main">
                  <a:graphicData uri="http://schemas.microsoft.com/office/word/2010/wordprocessingShape">
                    <wps:wsp>
                      <wps:cNvSpPr txBox="1"/>
                      <wps:spPr>
                        <a:xfrm>
                          <a:off x="0" y="0"/>
                          <a:ext cx="3302000" cy="2528515"/>
                        </a:xfrm>
                        <a:prstGeom prst="rect">
                          <a:avLst/>
                        </a:prstGeom>
                        <a:solidFill>
                          <a:schemeClr val="lt1"/>
                        </a:solidFill>
                        <a:ln w="6350">
                          <a:solidFill>
                            <a:schemeClr val="bg1">
                              <a:lumMod val="75000"/>
                            </a:schemeClr>
                          </a:solidFill>
                        </a:ln>
                      </wps:spPr>
                      <wps:txbx>
                        <w:txbxContent>
                          <w:p w14:paraId="26C178F7" w14:textId="7AC250CB" w:rsidR="000E4698" w:rsidRPr="009F2C0C" w:rsidRDefault="000E4698" w:rsidP="00DC5897">
                            <w:pPr>
                              <w:pStyle w:val="Lgende"/>
                            </w:pPr>
                            <w:bookmarkStart w:id="82" w:name="_Toc178328909"/>
                            <w:bookmarkStart w:id="83" w:name="_Toc183688809"/>
                            <w:r w:rsidRPr="009F2C0C">
                              <w:t xml:space="preserve">Graphique </w:t>
                            </w:r>
                            <w:r>
                              <w:fldChar w:fldCharType="begin"/>
                            </w:r>
                            <w:r w:rsidRPr="00117554">
                              <w:instrText xml:space="preserve"> SEQ Graphique \* ARABIC </w:instrText>
                            </w:r>
                            <w:r>
                              <w:fldChar w:fldCharType="separate"/>
                            </w:r>
                            <w:r w:rsidR="00F546EB">
                              <w:rPr>
                                <w:noProof/>
                              </w:rPr>
                              <w:t>22</w:t>
                            </w:r>
                            <w:r>
                              <w:fldChar w:fldCharType="end"/>
                            </w:r>
                            <w:r w:rsidRPr="009F2C0C">
                              <w:t xml:space="preserve"> : Prévalence du tabagisme chez les jeunes en milieu scolaire</w:t>
                            </w:r>
                            <w:bookmarkEnd w:id="82"/>
                            <w:bookmarkEnd w:id="83"/>
                          </w:p>
                          <w:p w14:paraId="674A695B" w14:textId="3B1DB764" w:rsidR="000E4698" w:rsidRPr="00B82295" w:rsidRDefault="00CA3BB4" w:rsidP="000E4698">
                            <w:pPr>
                              <w:keepNext/>
                            </w:pPr>
                            <w:r>
                              <w:rPr>
                                <w:noProof/>
                              </w:rPr>
                              <w:drawing>
                                <wp:inline distT="0" distB="0" distL="0" distR="0" wp14:anchorId="7E115DC0" wp14:editId="12E0906B">
                                  <wp:extent cx="3087858" cy="1582420"/>
                                  <wp:effectExtent l="0" t="0" r="17780" b="17780"/>
                                  <wp:docPr id="652264507" name="Chart 1">
                                    <a:extLst xmlns:a="http://schemas.openxmlformats.org/drawingml/2006/main">
                                      <a:ext uri="{FF2B5EF4-FFF2-40B4-BE49-F238E27FC236}">
                                        <a16:creationId xmlns:a16="http://schemas.microsoft.com/office/drawing/2014/main" id="{9D32BD37-C554-6A9D-C686-4721E166C3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2CB8A8CB" w14:textId="77777777" w:rsidR="000E4698" w:rsidRPr="002A5075" w:rsidRDefault="000E4698" w:rsidP="00DC5897">
                            <w:pPr>
                              <w:pStyle w:val="Lgende"/>
                            </w:pPr>
                            <w:r w:rsidRPr="002A5075">
                              <w:t>Sources : Enquête 2023 mondiale sur le tabagisme chez les jeunes scolarisés</w:t>
                            </w:r>
                          </w:p>
                          <w:p w14:paraId="43303A54" w14:textId="77777777" w:rsidR="000E4698" w:rsidRPr="002A5075" w:rsidRDefault="000E4698" w:rsidP="000E4698">
                            <w:pPr>
                              <w:keepNext/>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042CA54" id="_x0000_s1048" type="#_x0000_t202" style="position:absolute;left:0;text-align:left;margin-left:0;margin-top:4.5pt;width:260pt;height:199.05pt;z-index:-25165821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" fillcolor="white [3201]" strokecolor="#bfbfbf [2412]" strokeweight=".5pt">
                <v:textbox>
                  <w:txbxContent>
                    <w:p w14:paraId="26C178F7" w14:textId="7AC250CB" w:rsidR="000E4698" w:rsidRPr="009F2C0C" w:rsidRDefault="000E4698" w:rsidP="00DC5897">
                      <w:pPr>
                        <w:pStyle w:val="Lgende"/>
                      </w:pPr>
                      <w:bookmarkStart w:id="107" w:name="_Toc178328909"/>
                      <w:bookmarkStart w:id="108" w:name="_Toc183688809"/>
                      <w:r w:rsidRPr="009F2C0C">
                        <w:t xml:space="preserve">Graphique </w:t>
                      </w:r>
                      <w:r>
                        <w:fldChar w:fldCharType="begin"/>
                      </w:r>
                      <w:r w:rsidRPr="00117554">
                        <w:instrText xml:space="preserve"> SEQ Graphique \* ARABIC </w:instrText>
                      </w:r>
                      <w:r>
                        <w:fldChar w:fldCharType="separate"/>
                      </w:r>
                      <w:r w:rsidR="00F546EB">
                        <w:rPr>
                          <w:noProof/>
                        </w:rPr>
                        <w:t>22</w:t>
                      </w:r>
                      <w:r>
                        <w:fldChar w:fldCharType="end"/>
                      </w:r>
                      <w:r w:rsidRPr="009F2C0C">
                        <w:t xml:space="preserve"> : Prévalence du tabagisme chez les jeunes en milieu scolaire</w:t>
                      </w:r>
                      <w:bookmarkEnd w:id="107"/>
                      <w:bookmarkEnd w:id="108"/>
                    </w:p>
                    <w:p w14:paraId="674A695B" w14:textId="3B1DB764" w:rsidR="000E4698" w:rsidRPr="00B82295" w:rsidRDefault="00CA3BB4" w:rsidP="000E4698">
                      <w:pPr>
                        <w:keepNext/>
                      </w:pPr>
                      <w:r>
                        <w:rPr>
                          <w:noProof/>
                        </w:rPr>
                        <w:drawing>
                          <wp:inline distT="0" distB="0" distL="0" distR="0" wp14:anchorId="7E115DC0" wp14:editId="12E0906B">
                            <wp:extent cx="3087858" cy="1582420"/>
                            <wp:effectExtent l="0" t="0" r="17780" b="17780"/>
                            <wp:docPr id="652264507" name="Chart 1">
                              <a:extLst xmlns:a="http://schemas.openxmlformats.org/drawingml/2006/main">
                                <a:ext uri="{FF2B5EF4-FFF2-40B4-BE49-F238E27FC236}">
                                  <a16:creationId xmlns:a16="http://schemas.microsoft.com/office/drawing/2014/main" id="{9D32BD37-C554-6A9D-C686-4721E166C3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CB8A8CB" w14:textId="77777777" w:rsidR="000E4698" w:rsidRPr="002A5075" w:rsidRDefault="000E4698" w:rsidP="00DC5897">
                      <w:pPr>
                        <w:pStyle w:val="Lgende"/>
                      </w:pPr>
                      <w:r w:rsidRPr="002A5075">
                        <w:t>Sources : Enquête 2023 mondiale sur le tabagisme chez les jeunes scolarisés</w:t>
                      </w:r>
                    </w:p>
                    <w:p w14:paraId="43303A54" w14:textId="77777777" w:rsidR="000E4698" w:rsidRPr="002A5075" w:rsidRDefault="000E4698" w:rsidP="000E4698">
                      <w:pPr>
                        <w:keepNext/>
                        <w:rPr>
                          <w:sz w:val="14"/>
                          <w:szCs w:val="14"/>
                        </w:rPr>
                      </w:pPr>
                    </w:p>
                  </w:txbxContent>
                </v:textbox>
                <w10:wrap type="tight" anchorx="margin"/>
              </v:shape>
            </w:pict>
          </mc:Fallback>
        </mc:AlternateContent>
      </w:r>
      <w:r w:rsidR="00981BCF" w:rsidRPr="007E7C5B">
        <w:rPr>
          <w:rFonts w:ascii="Arial Narrow" w:eastAsia="Times New Roman" w:hAnsi="Arial Narrow" w:cs="Arial"/>
          <w:iCs/>
          <w:kern w:val="0"/>
          <w:sz w:val="24"/>
          <w:szCs w:val="24"/>
          <w:lang w:eastAsia="fr-FR"/>
          <w14:ligatures w14:val="none"/>
        </w:rPr>
        <w:t xml:space="preserve">Ces actions </w:t>
      </w:r>
      <w:r w:rsidR="00981BCF" w:rsidRPr="00F7476A">
        <w:rPr>
          <w:rFonts w:ascii="Arial Narrow" w:eastAsia="Times New Roman" w:hAnsi="Arial Narrow" w:cs="Arial"/>
          <w:iCs/>
          <w:kern w:val="0"/>
          <w:sz w:val="24"/>
          <w:szCs w:val="24"/>
          <w:lang w:eastAsia="fr-FR"/>
          <w14:ligatures w14:val="none"/>
        </w:rPr>
        <w:t>combinent des mesures curatives</w:t>
      </w:r>
      <w:r w:rsidR="00212E9C" w:rsidRPr="00F7476A">
        <w:rPr>
          <w:rFonts w:ascii="Arial Narrow" w:eastAsia="Times New Roman" w:hAnsi="Arial Narrow" w:cs="Arial"/>
          <w:iCs/>
          <w:kern w:val="0"/>
          <w:sz w:val="24"/>
          <w:szCs w:val="24"/>
          <w:lang w:eastAsia="fr-FR"/>
          <w14:ligatures w14:val="none"/>
        </w:rPr>
        <w:t>,</w:t>
      </w:r>
      <w:r w:rsidR="00981BCF" w:rsidRPr="00F7476A">
        <w:rPr>
          <w:rFonts w:ascii="Arial Narrow" w:eastAsia="Times New Roman" w:hAnsi="Arial Narrow" w:cs="Arial"/>
          <w:iCs/>
          <w:kern w:val="0"/>
          <w:sz w:val="24"/>
          <w:szCs w:val="24"/>
          <w:lang w:eastAsia="fr-FR"/>
          <w14:ligatures w14:val="none"/>
        </w:rPr>
        <w:t xml:space="preserve"> préventives</w:t>
      </w:r>
      <w:r w:rsidR="00597790" w:rsidRPr="00F7476A">
        <w:rPr>
          <w:rFonts w:ascii="Arial Narrow" w:eastAsia="Times New Roman" w:hAnsi="Arial Narrow" w:cs="Arial"/>
          <w:iCs/>
          <w:kern w:val="0"/>
          <w:sz w:val="24"/>
          <w:szCs w:val="24"/>
          <w:lang w:eastAsia="fr-FR"/>
          <w14:ligatures w14:val="none"/>
        </w:rPr>
        <w:t xml:space="preserve"> et</w:t>
      </w:r>
      <w:r w:rsidR="00981BCF" w:rsidRPr="00F7476A">
        <w:rPr>
          <w:rFonts w:ascii="Arial Narrow" w:eastAsia="Times New Roman" w:hAnsi="Arial Narrow" w:cs="Arial"/>
          <w:iCs/>
          <w:kern w:val="0"/>
          <w:sz w:val="24"/>
          <w:szCs w:val="24"/>
          <w:lang w:eastAsia="fr-FR"/>
          <w14:ligatures w14:val="none"/>
        </w:rPr>
        <w:t xml:space="preserve"> </w:t>
      </w:r>
      <w:r w:rsidR="00736792" w:rsidRPr="00F7476A">
        <w:rPr>
          <w:rFonts w:ascii="Arial Narrow" w:eastAsia="Times New Roman" w:hAnsi="Arial Narrow" w:cs="Arial"/>
          <w:iCs/>
          <w:kern w:val="0"/>
          <w:sz w:val="24"/>
          <w:szCs w:val="24"/>
          <w:lang w:eastAsia="fr-FR"/>
          <w14:ligatures w14:val="none"/>
        </w:rPr>
        <w:t>définiss</w:t>
      </w:r>
      <w:r w:rsidR="00597790" w:rsidRPr="00F7476A">
        <w:rPr>
          <w:rFonts w:ascii="Arial Narrow" w:eastAsia="Times New Roman" w:hAnsi="Arial Narrow" w:cs="Arial"/>
          <w:iCs/>
          <w:kern w:val="0"/>
          <w:sz w:val="24"/>
          <w:szCs w:val="24"/>
          <w:lang w:eastAsia="fr-FR"/>
          <w14:ligatures w14:val="none"/>
        </w:rPr>
        <w:t>e</w:t>
      </w:r>
      <w:r w:rsidR="00736792" w:rsidRPr="00F7476A">
        <w:rPr>
          <w:rFonts w:ascii="Arial Narrow" w:eastAsia="Times New Roman" w:hAnsi="Arial Narrow" w:cs="Arial"/>
          <w:iCs/>
          <w:kern w:val="0"/>
          <w:sz w:val="24"/>
          <w:szCs w:val="24"/>
          <w:lang w:eastAsia="fr-FR"/>
          <w14:ligatures w14:val="none"/>
        </w:rPr>
        <w:t>nt</w:t>
      </w:r>
      <w:r w:rsidR="00981BCF" w:rsidRPr="00F7476A">
        <w:rPr>
          <w:rFonts w:ascii="Arial Narrow" w:eastAsia="Times New Roman" w:hAnsi="Arial Narrow" w:cs="Arial"/>
          <w:iCs/>
          <w:kern w:val="0"/>
          <w:sz w:val="24"/>
          <w:szCs w:val="24"/>
          <w:lang w:eastAsia="fr-FR"/>
          <w14:ligatures w14:val="none"/>
        </w:rPr>
        <w:t xml:space="preserve"> un cadre réglementaire pour limiter les risques liés au tabagisme et aux addictions. Cela a permis de faire passer la prévalence du tabagisme en milieu scolaire de 19,1% en 2020 à 4,7% en 2023 dépassant largement l’objectif de 10% prévu</w:t>
      </w:r>
      <w:r w:rsidR="00981BCF" w:rsidRPr="00F7476A">
        <w:rPr>
          <w:rFonts w:ascii="Arial Narrow" w:hAnsi="Arial Narrow" w:cs="Arial"/>
          <w:iCs/>
          <w:sz w:val="24"/>
          <w:szCs w:val="24"/>
        </w:rPr>
        <w:t xml:space="preserve">. </w:t>
      </w:r>
      <w:r w:rsidR="00981BCF" w:rsidRPr="00F7476A">
        <w:rPr>
          <w:rFonts w:ascii="Arial Narrow" w:eastAsia="Times New Roman" w:hAnsi="Arial Narrow" w:cs="Arial"/>
          <w:iCs/>
          <w:kern w:val="0"/>
          <w:sz w:val="24"/>
          <w:szCs w:val="24"/>
          <w:lang w:eastAsia="fr-FR"/>
          <w14:ligatures w14:val="none"/>
        </w:rPr>
        <w:t>La dispensation de la méthadone a permis à 17 usagers de drogues de bénéficier de soins spécifiques pour leur dépendance et de mieux gérer leur addiction, favorisant ainsi leur réinsertion sociale.</w:t>
      </w:r>
    </w:p>
    <w:p w14:paraId="232A862A" w14:textId="03196E8F" w:rsidR="00522A69" w:rsidRPr="007E7C5B" w:rsidRDefault="00981BCF" w:rsidP="00981BCF">
      <w:pPr>
        <w:spacing w:before="100" w:beforeAutospacing="1" w:after="100" w:afterAutospacing="1"/>
        <w:jc w:val="both"/>
        <w:rPr>
          <w:rFonts w:ascii="Arial Narrow" w:hAnsi="Arial Narrow" w:cs="Arial"/>
          <w:iCs/>
          <w:sz w:val="24"/>
          <w:szCs w:val="24"/>
        </w:rPr>
      </w:pPr>
      <w:r w:rsidRPr="007E7C5B">
        <w:rPr>
          <w:rFonts w:ascii="Arial Narrow" w:hAnsi="Arial Narrow" w:cs="Arial"/>
          <w:iCs/>
          <w:sz w:val="24"/>
          <w:szCs w:val="24"/>
        </w:rPr>
        <w:t xml:space="preserve">Des défis sont à relever en matière de lutte contre le tabagisme et les autres addictions notamment </w:t>
      </w:r>
      <w:r w:rsidRPr="00A918AC">
        <w:rPr>
          <w:rFonts w:ascii="Arial Narrow" w:hAnsi="Arial Narrow" w:cs="Arial"/>
          <w:i/>
          <w:sz w:val="24"/>
          <w:szCs w:val="24"/>
        </w:rPr>
        <w:t>(i)</w:t>
      </w:r>
      <w:r w:rsidRPr="007E7C5B">
        <w:rPr>
          <w:rFonts w:ascii="Arial Narrow" w:hAnsi="Arial Narrow" w:cs="Arial"/>
          <w:iCs/>
          <w:sz w:val="24"/>
          <w:szCs w:val="24"/>
        </w:rPr>
        <w:t xml:space="preserve"> la baisse de la prévalence de l’alcoolisme chez les hommes de 15 à 49 ans qui est de 34% (EDS,2021) ; </w:t>
      </w:r>
      <w:r w:rsidRPr="00A918AC">
        <w:rPr>
          <w:rFonts w:ascii="Arial Narrow" w:hAnsi="Arial Narrow" w:cs="Arial"/>
          <w:i/>
          <w:sz w:val="24"/>
          <w:szCs w:val="24"/>
        </w:rPr>
        <w:t>(ii)</w:t>
      </w:r>
      <w:r w:rsidRPr="007E7C5B">
        <w:rPr>
          <w:rFonts w:ascii="Arial Narrow" w:hAnsi="Arial Narrow" w:cs="Arial"/>
          <w:iCs/>
          <w:sz w:val="24"/>
          <w:szCs w:val="24"/>
        </w:rPr>
        <w:t xml:space="preserve"> la règlementation visant l’interférence de l’industrie du tabac, dans les politiques de lutte antitabac ; </w:t>
      </w:r>
      <w:r w:rsidRPr="00A918AC">
        <w:rPr>
          <w:rFonts w:ascii="Arial Narrow" w:hAnsi="Arial Narrow" w:cs="Arial"/>
          <w:i/>
          <w:sz w:val="24"/>
          <w:szCs w:val="24"/>
        </w:rPr>
        <w:t>(iii)</w:t>
      </w:r>
      <w:r w:rsidRPr="007E7C5B">
        <w:rPr>
          <w:rFonts w:ascii="Arial Narrow" w:hAnsi="Arial Narrow" w:cs="Arial"/>
          <w:iCs/>
          <w:sz w:val="24"/>
          <w:szCs w:val="24"/>
        </w:rPr>
        <w:t xml:space="preserve"> la mise à l’échelle de la dispensation de méthadone, avec l’inclusion d’un plus grande nombre d’usagers de drogues dans les soins.</w:t>
      </w:r>
    </w:p>
    <w:p w14:paraId="430FEDF9" w14:textId="4A1B3C15" w:rsidR="001B4F77" w:rsidRPr="007E7C5B" w:rsidRDefault="001B4F77" w:rsidP="00AA7D22">
      <w:pPr>
        <w:pStyle w:val="Titre5"/>
        <w:shd w:val="clear" w:color="auto" w:fill="FBE4D5" w:themeFill="accent2" w:themeFillTint="33"/>
        <w:rPr>
          <w:rFonts w:ascii="Arial Narrow" w:hAnsi="Arial Narrow"/>
          <w:b/>
          <w:color w:val="auto"/>
          <w:sz w:val="24"/>
          <w:szCs w:val="24"/>
        </w:rPr>
      </w:pPr>
      <w:r w:rsidRPr="007E7C5B">
        <w:rPr>
          <w:rFonts w:ascii="Arial Narrow" w:hAnsi="Arial Narrow"/>
          <w:b/>
          <w:color w:val="auto"/>
          <w:sz w:val="24"/>
          <w:szCs w:val="24"/>
        </w:rPr>
        <w:t>Prévention et contrôle des infections, accès aux services d’eau, d’hygiène et d’assainissement et gestion des déchets médicaux et pharmaceutiques</w:t>
      </w:r>
    </w:p>
    <w:p w14:paraId="55293535" w14:textId="77777777" w:rsidR="001B4F77" w:rsidRPr="007E7C5B" w:rsidRDefault="001B4F77" w:rsidP="00761F55">
      <w:pPr>
        <w:pStyle w:val="Textebrut"/>
        <w:jc w:val="both"/>
        <w:rPr>
          <w:rFonts w:ascii="Arial Narrow" w:hAnsi="Arial Narrow" w:cs="Courier New"/>
          <w:b/>
          <w:bCs/>
          <w:i/>
          <w:iCs/>
          <w:sz w:val="24"/>
          <w:szCs w:val="24"/>
        </w:rPr>
      </w:pPr>
    </w:p>
    <w:p w14:paraId="0DF4A17F" w14:textId="11E58D01" w:rsidR="0056403C" w:rsidRPr="007E7C5B" w:rsidRDefault="0056403C" w:rsidP="00CB78DA">
      <w:pPr>
        <w:pStyle w:val="Textebrut"/>
        <w:jc w:val="both"/>
        <w:rPr>
          <w:rFonts w:ascii="Arial Narrow" w:hAnsi="Arial Narrow"/>
          <w:bCs/>
          <w:sz w:val="24"/>
          <w:szCs w:val="24"/>
          <w:highlight w:val="yellow"/>
          <w:lang w:val="fr-FR"/>
        </w:rPr>
      </w:pPr>
    </w:p>
    <w:p w14:paraId="418E5DE5" w14:textId="0D096741" w:rsidR="005977AD" w:rsidRPr="00A918AC" w:rsidRDefault="005977AD" w:rsidP="005977AD">
      <w:pPr>
        <w:jc w:val="both"/>
        <w:rPr>
          <w:rFonts w:ascii="Arial Narrow" w:hAnsi="Arial Narrow" w:cs="Segoe UI Historic"/>
          <w:sz w:val="24"/>
          <w:szCs w:val="24"/>
        </w:rPr>
      </w:pPr>
      <w:r w:rsidRPr="007E7C5B">
        <w:rPr>
          <w:rFonts w:ascii="Arial Narrow" w:hAnsi="Arial Narrow" w:cstheme="minorHAnsi"/>
          <w:b/>
          <w:bCs/>
          <w:i/>
          <w:iCs/>
          <w:sz w:val="24"/>
          <w:szCs w:val="24"/>
        </w:rPr>
        <w:t xml:space="preserve">En matière d’hygiène hospitalière </w:t>
      </w:r>
      <w:r w:rsidR="001110E2" w:rsidRPr="007E7C5B">
        <w:rPr>
          <w:rFonts w:ascii="Arial Narrow" w:hAnsi="Arial Narrow" w:cstheme="minorHAnsi"/>
          <w:b/>
          <w:bCs/>
          <w:i/>
          <w:iCs/>
          <w:sz w:val="24"/>
          <w:szCs w:val="24"/>
        </w:rPr>
        <w:t xml:space="preserve">et </w:t>
      </w:r>
      <w:r w:rsidR="001110E2" w:rsidRPr="007E7C5B">
        <w:rPr>
          <w:rFonts w:ascii="Arial Narrow" w:hAnsi="Arial Narrow"/>
          <w:b/>
          <w:i/>
          <w:sz w:val="24"/>
          <w:szCs w:val="24"/>
        </w:rPr>
        <w:t>de prévention et contrôle des infections</w:t>
      </w:r>
      <w:r w:rsidR="008215DF" w:rsidRPr="007E7C5B">
        <w:rPr>
          <w:rFonts w:ascii="Arial Narrow" w:hAnsi="Arial Narrow"/>
          <w:b/>
          <w:i/>
          <w:sz w:val="24"/>
          <w:szCs w:val="24"/>
        </w:rPr>
        <w:t xml:space="preserve"> (</w:t>
      </w:r>
      <w:r w:rsidR="008215DF" w:rsidRPr="00A918AC">
        <w:rPr>
          <w:rFonts w:ascii="Arial Narrow" w:eastAsia="Times New Roman" w:hAnsi="Arial Narrow" w:cstheme="minorHAnsi"/>
          <w:b/>
          <w:i/>
          <w:sz w:val="24"/>
          <w:szCs w:val="24"/>
        </w:rPr>
        <w:t>PCI)</w:t>
      </w:r>
      <w:r w:rsidRPr="007E7C5B">
        <w:rPr>
          <w:rFonts w:ascii="Arial Narrow" w:hAnsi="Arial Narrow" w:cstheme="minorHAnsi"/>
          <w:i/>
          <w:iCs/>
          <w:sz w:val="24"/>
          <w:szCs w:val="24"/>
        </w:rPr>
        <w:t>,</w:t>
      </w:r>
      <w:r w:rsidRPr="007E7C5B">
        <w:rPr>
          <w:rFonts w:ascii="Arial Narrow" w:hAnsi="Arial Narrow" w:cstheme="minorHAnsi"/>
          <w:sz w:val="24"/>
          <w:szCs w:val="24"/>
        </w:rPr>
        <w:t xml:space="preserve"> d</w:t>
      </w:r>
      <w:r w:rsidRPr="00A918AC">
        <w:rPr>
          <w:rFonts w:ascii="Arial Narrow" w:hAnsi="Arial Narrow" w:cstheme="minorHAnsi"/>
          <w:sz w:val="24"/>
          <w:szCs w:val="24"/>
        </w:rPr>
        <w:t xml:space="preserve">es grilles d'évaluation d'hygiène hospitalière ont été élaborées et validées. Trois documents d’hygiène ont été produits et diffusés. Il s’agit : </w:t>
      </w:r>
      <w:r w:rsidRPr="00A918AC">
        <w:rPr>
          <w:rFonts w:ascii="Arial Narrow" w:hAnsi="Arial Narrow" w:cstheme="minorHAnsi"/>
          <w:i/>
          <w:sz w:val="24"/>
          <w:szCs w:val="24"/>
        </w:rPr>
        <w:t>(i)</w:t>
      </w:r>
      <w:r w:rsidRPr="00A918AC">
        <w:rPr>
          <w:rFonts w:ascii="Arial Narrow" w:hAnsi="Arial Narrow" w:cstheme="minorHAnsi"/>
          <w:sz w:val="24"/>
          <w:szCs w:val="24"/>
        </w:rPr>
        <w:t xml:space="preserve"> du document de Politique Nationale d’Hygiène Hospitalière</w:t>
      </w:r>
      <w:r w:rsidR="001F4CF8" w:rsidRPr="007E7C5B">
        <w:rPr>
          <w:rFonts w:ascii="Arial Narrow" w:hAnsi="Arial Narrow" w:cstheme="minorHAnsi"/>
          <w:sz w:val="24"/>
          <w:szCs w:val="24"/>
        </w:rPr>
        <w:t> ;</w:t>
      </w:r>
      <w:r w:rsidRPr="00A918AC">
        <w:rPr>
          <w:rFonts w:ascii="Arial Narrow" w:hAnsi="Arial Narrow" w:cstheme="minorHAnsi"/>
          <w:sz w:val="24"/>
          <w:szCs w:val="24"/>
        </w:rPr>
        <w:t xml:space="preserve"> </w:t>
      </w:r>
      <w:r w:rsidRPr="00A918AC">
        <w:rPr>
          <w:rFonts w:ascii="Arial Narrow" w:hAnsi="Arial Narrow" w:cstheme="minorHAnsi"/>
          <w:i/>
          <w:sz w:val="24"/>
          <w:szCs w:val="24"/>
        </w:rPr>
        <w:t>(ii)</w:t>
      </w:r>
      <w:r w:rsidRPr="00A918AC">
        <w:rPr>
          <w:rFonts w:ascii="Arial Narrow" w:hAnsi="Arial Narrow" w:cstheme="minorHAnsi"/>
          <w:sz w:val="24"/>
          <w:szCs w:val="24"/>
        </w:rPr>
        <w:t xml:space="preserve"> de Boîte à outils d’Hygiène Hospitalière</w:t>
      </w:r>
      <w:r w:rsidR="001F4CF8" w:rsidRPr="007E7C5B">
        <w:rPr>
          <w:rFonts w:ascii="Arial Narrow" w:hAnsi="Arial Narrow" w:cstheme="minorHAnsi"/>
          <w:sz w:val="24"/>
          <w:szCs w:val="24"/>
        </w:rPr>
        <w:t xml:space="preserve"> et</w:t>
      </w:r>
      <w:r w:rsidRPr="00A918AC">
        <w:rPr>
          <w:rFonts w:ascii="Arial Narrow" w:hAnsi="Arial Narrow" w:cstheme="minorHAnsi"/>
          <w:sz w:val="24"/>
          <w:szCs w:val="24"/>
        </w:rPr>
        <w:t xml:space="preserve"> </w:t>
      </w:r>
      <w:r w:rsidRPr="00A918AC">
        <w:rPr>
          <w:rFonts w:ascii="Arial Narrow" w:hAnsi="Arial Narrow" w:cstheme="minorHAnsi"/>
          <w:i/>
          <w:sz w:val="24"/>
          <w:szCs w:val="24"/>
        </w:rPr>
        <w:t>(iii)</w:t>
      </w:r>
      <w:r w:rsidRPr="00A918AC">
        <w:rPr>
          <w:rFonts w:ascii="Arial Narrow" w:hAnsi="Arial Narrow" w:cstheme="minorHAnsi"/>
          <w:sz w:val="24"/>
          <w:szCs w:val="24"/>
        </w:rPr>
        <w:t xml:space="preserve"> du Guide national de Lutte contre les Infections Nosocomiales.</w:t>
      </w:r>
      <w:r w:rsidR="006838CE" w:rsidRPr="007E7C5B">
        <w:rPr>
          <w:rFonts w:ascii="Arial Narrow" w:hAnsi="Arial Narrow" w:cstheme="minorHAnsi"/>
          <w:sz w:val="24"/>
          <w:szCs w:val="24"/>
        </w:rPr>
        <w:t xml:space="preserve"> </w:t>
      </w:r>
      <w:r w:rsidR="00C7155F" w:rsidRPr="007E7C5B">
        <w:rPr>
          <w:rFonts w:ascii="Arial Narrow" w:hAnsi="Arial Narrow" w:cstheme="minorHAnsi"/>
          <w:sz w:val="24"/>
          <w:szCs w:val="24"/>
        </w:rPr>
        <w:t xml:space="preserve">De même, </w:t>
      </w:r>
      <w:r w:rsidR="005B2E15" w:rsidRPr="007E7C5B">
        <w:rPr>
          <w:rFonts w:ascii="Arial Narrow" w:hAnsi="Arial Narrow" w:cstheme="minorHAnsi"/>
          <w:sz w:val="24"/>
          <w:szCs w:val="24"/>
        </w:rPr>
        <w:t>le</w:t>
      </w:r>
      <w:r w:rsidR="00C7155F" w:rsidRPr="007E7C5B">
        <w:rPr>
          <w:rFonts w:ascii="Arial Narrow" w:hAnsi="Arial Narrow" w:cstheme="minorHAnsi"/>
          <w:sz w:val="24"/>
          <w:szCs w:val="24"/>
        </w:rPr>
        <w:t xml:space="preserve"> Plan Stratégique National PCI </w:t>
      </w:r>
      <w:r w:rsidR="005B2E15" w:rsidRPr="007E7C5B">
        <w:rPr>
          <w:rFonts w:ascii="Arial Narrow" w:hAnsi="Arial Narrow" w:cstheme="minorHAnsi"/>
          <w:sz w:val="24"/>
          <w:szCs w:val="24"/>
        </w:rPr>
        <w:t xml:space="preserve">2023-2027 </w:t>
      </w:r>
      <w:r w:rsidR="00C7155F" w:rsidRPr="007E7C5B">
        <w:rPr>
          <w:rFonts w:ascii="Arial Narrow" w:hAnsi="Arial Narrow" w:cstheme="minorHAnsi"/>
          <w:sz w:val="24"/>
          <w:szCs w:val="24"/>
        </w:rPr>
        <w:t>a été élaboré.</w:t>
      </w:r>
    </w:p>
    <w:p w14:paraId="0DB4ED24" w14:textId="149EFDE0" w:rsidR="005977AD" w:rsidRPr="00A918AC" w:rsidRDefault="004860C2" w:rsidP="005977AD">
      <w:pPr>
        <w:spacing w:after="0"/>
        <w:jc w:val="both"/>
        <w:rPr>
          <w:rFonts w:ascii="Arial Narrow" w:hAnsi="Arial Narrow" w:cstheme="minorHAnsi"/>
          <w:sz w:val="24"/>
          <w:szCs w:val="24"/>
        </w:rPr>
      </w:pPr>
      <w:r w:rsidRPr="007E7C5B">
        <w:rPr>
          <w:rFonts w:ascii="Arial Narrow" w:eastAsia="Times New Roman" w:hAnsi="Arial Narrow" w:cstheme="minorHAnsi"/>
          <w:bCs/>
          <w:sz w:val="24"/>
          <w:szCs w:val="24"/>
        </w:rPr>
        <w:t>Également</w:t>
      </w:r>
      <w:r w:rsidR="0066605D" w:rsidRPr="00A918AC">
        <w:rPr>
          <w:rFonts w:ascii="Arial Narrow" w:eastAsia="Times New Roman" w:hAnsi="Arial Narrow" w:cstheme="minorHAnsi"/>
          <w:sz w:val="24"/>
          <w:szCs w:val="24"/>
        </w:rPr>
        <w:t xml:space="preserve">, </w:t>
      </w:r>
      <w:r w:rsidR="0066605D" w:rsidRPr="009F3825">
        <w:rPr>
          <w:rFonts w:ascii="Arial Narrow" w:eastAsia="Times New Roman" w:hAnsi="Arial Narrow" w:cstheme="minorHAnsi"/>
          <w:sz w:val="24"/>
          <w:szCs w:val="24"/>
        </w:rPr>
        <w:t>l</w:t>
      </w:r>
      <w:r w:rsidR="005977AD" w:rsidRPr="009F3825">
        <w:rPr>
          <w:rFonts w:ascii="Arial Narrow" w:eastAsia="Times New Roman" w:hAnsi="Arial Narrow" w:cstheme="minorHAnsi"/>
          <w:sz w:val="24"/>
          <w:szCs w:val="24"/>
        </w:rPr>
        <w:t xml:space="preserve">es capacités de 265 gestionnaires et agents des établissements hospitaliers ont été renforcées en </w:t>
      </w:r>
      <w:r w:rsidR="008E1C7E" w:rsidRPr="009F3825">
        <w:rPr>
          <w:rFonts w:ascii="Arial Narrow" w:eastAsia="Times New Roman" w:hAnsi="Arial Narrow" w:cstheme="minorHAnsi"/>
          <w:sz w:val="24"/>
          <w:szCs w:val="24"/>
        </w:rPr>
        <w:t>h</w:t>
      </w:r>
      <w:r w:rsidR="005977AD" w:rsidRPr="009F3825">
        <w:rPr>
          <w:rFonts w:ascii="Arial Narrow" w:eastAsia="Times New Roman" w:hAnsi="Arial Narrow" w:cstheme="minorHAnsi"/>
          <w:sz w:val="24"/>
          <w:szCs w:val="24"/>
        </w:rPr>
        <w:t xml:space="preserve">ygiène </w:t>
      </w:r>
      <w:r w:rsidR="008E1C7E" w:rsidRPr="009F3825">
        <w:rPr>
          <w:rFonts w:ascii="Arial Narrow" w:eastAsia="Times New Roman" w:hAnsi="Arial Narrow" w:cstheme="minorHAnsi"/>
          <w:sz w:val="24"/>
          <w:szCs w:val="24"/>
        </w:rPr>
        <w:t>h</w:t>
      </w:r>
      <w:r w:rsidR="005977AD" w:rsidRPr="009F3825">
        <w:rPr>
          <w:rFonts w:ascii="Arial Narrow" w:eastAsia="Times New Roman" w:hAnsi="Arial Narrow" w:cstheme="minorHAnsi"/>
          <w:sz w:val="24"/>
          <w:szCs w:val="24"/>
        </w:rPr>
        <w:t>ospitalière et lutte contre les infections nosocomiales</w:t>
      </w:r>
      <w:r w:rsidR="00885B07" w:rsidRPr="009F3825">
        <w:rPr>
          <w:rFonts w:ascii="Arial Narrow" w:eastAsia="Times New Roman" w:hAnsi="Arial Narrow" w:cstheme="minorHAnsi"/>
          <w:sz w:val="24"/>
          <w:szCs w:val="24"/>
        </w:rPr>
        <w:t>.</w:t>
      </w:r>
      <w:r w:rsidR="005C6569" w:rsidRPr="007E7C5B">
        <w:rPr>
          <w:rFonts w:ascii="Arial Narrow" w:eastAsia="Times New Roman" w:hAnsi="Arial Narrow" w:cstheme="minorHAnsi"/>
          <w:bCs/>
          <w:sz w:val="24"/>
          <w:szCs w:val="24"/>
        </w:rPr>
        <w:t xml:space="preserve"> Il est à noter la création 31 </w:t>
      </w:r>
      <w:r w:rsidR="008215DF" w:rsidRPr="007E7C5B">
        <w:rPr>
          <w:rFonts w:ascii="Arial Narrow" w:eastAsia="Times New Roman" w:hAnsi="Arial Narrow" w:cstheme="minorHAnsi"/>
          <w:bCs/>
          <w:sz w:val="24"/>
          <w:szCs w:val="24"/>
        </w:rPr>
        <w:t xml:space="preserve">comités de </w:t>
      </w:r>
      <w:r w:rsidR="005C6569" w:rsidRPr="007E7C5B">
        <w:rPr>
          <w:rFonts w:ascii="Arial Narrow" w:eastAsia="Times New Roman" w:hAnsi="Arial Narrow" w:cstheme="minorHAnsi"/>
          <w:bCs/>
          <w:sz w:val="24"/>
          <w:szCs w:val="24"/>
        </w:rPr>
        <w:t>PCI dans les EPH</w:t>
      </w:r>
      <w:r w:rsidR="001863D1" w:rsidRPr="007E7C5B">
        <w:rPr>
          <w:rFonts w:ascii="Arial Narrow" w:eastAsia="Times New Roman" w:hAnsi="Arial Narrow" w:cstheme="minorHAnsi"/>
          <w:bCs/>
          <w:sz w:val="24"/>
          <w:szCs w:val="24"/>
        </w:rPr>
        <w:t>, ainsi que la r</w:t>
      </w:r>
      <w:r w:rsidR="005C6569" w:rsidRPr="007E7C5B">
        <w:rPr>
          <w:rFonts w:ascii="Arial Narrow" w:eastAsia="Times New Roman" w:hAnsi="Arial Narrow" w:cstheme="minorHAnsi"/>
          <w:bCs/>
          <w:sz w:val="24"/>
          <w:szCs w:val="24"/>
        </w:rPr>
        <w:t xml:space="preserve">edynamisation </w:t>
      </w:r>
      <w:r w:rsidR="001863D1" w:rsidRPr="007E7C5B">
        <w:rPr>
          <w:rFonts w:ascii="Arial Narrow" w:eastAsia="Times New Roman" w:hAnsi="Arial Narrow" w:cstheme="minorHAnsi"/>
          <w:bCs/>
          <w:sz w:val="24"/>
          <w:szCs w:val="24"/>
        </w:rPr>
        <w:t xml:space="preserve">des comités dans </w:t>
      </w:r>
      <w:r w:rsidR="005C6569" w:rsidRPr="007E7C5B">
        <w:rPr>
          <w:rFonts w:ascii="Arial Narrow" w:eastAsia="Times New Roman" w:hAnsi="Arial Narrow" w:cstheme="minorHAnsi"/>
          <w:bCs/>
          <w:sz w:val="24"/>
          <w:szCs w:val="24"/>
        </w:rPr>
        <w:t>20 EPH</w:t>
      </w:r>
      <w:r w:rsidR="001863D1" w:rsidRPr="007E7C5B">
        <w:rPr>
          <w:rFonts w:ascii="Arial Narrow" w:eastAsia="Times New Roman" w:hAnsi="Arial Narrow" w:cstheme="minorHAnsi"/>
          <w:bCs/>
          <w:sz w:val="24"/>
          <w:szCs w:val="24"/>
        </w:rPr>
        <w:t>.</w:t>
      </w:r>
      <w:r w:rsidR="00A4333E" w:rsidRPr="007E7C5B">
        <w:rPr>
          <w:rFonts w:ascii="Arial Narrow" w:eastAsia="Times New Roman" w:hAnsi="Arial Narrow" w:cstheme="minorHAnsi"/>
          <w:bCs/>
          <w:sz w:val="24"/>
          <w:szCs w:val="24"/>
        </w:rPr>
        <w:t xml:space="preserve"> </w:t>
      </w:r>
      <w:r w:rsidR="00A4333E" w:rsidRPr="009F3825">
        <w:rPr>
          <w:rFonts w:ascii="Arial Narrow" w:eastAsia="Times New Roman" w:hAnsi="Arial Narrow" w:cstheme="minorHAnsi"/>
          <w:sz w:val="24"/>
          <w:szCs w:val="24"/>
        </w:rPr>
        <w:t xml:space="preserve">Par ailleurs, 3 000 personnels de santé ont été formés en </w:t>
      </w:r>
      <w:r w:rsidR="0057110A" w:rsidRPr="009F3825">
        <w:rPr>
          <w:rFonts w:ascii="Arial Narrow" w:eastAsia="Times New Roman" w:hAnsi="Arial Narrow" w:cstheme="minorHAnsi"/>
          <w:sz w:val="24"/>
          <w:szCs w:val="24"/>
        </w:rPr>
        <w:t>PCI.</w:t>
      </w:r>
    </w:p>
    <w:p w14:paraId="70FA3479" w14:textId="77777777" w:rsidR="005977AD" w:rsidRPr="00A918AC" w:rsidRDefault="005977AD" w:rsidP="005977AD">
      <w:pPr>
        <w:spacing w:after="0"/>
        <w:jc w:val="both"/>
        <w:rPr>
          <w:rFonts w:ascii="Arial Narrow" w:hAnsi="Arial Narrow" w:cstheme="minorHAnsi"/>
          <w:sz w:val="24"/>
          <w:szCs w:val="24"/>
        </w:rPr>
      </w:pPr>
    </w:p>
    <w:p w14:paraId="27E44A72" w14:textId="63EA0B14" w:rsidR="0087263F" w:rsidRPr="007E7C5B" w:rsidRDefault="00A94E6C" w:rsidP="00CB78DA">
      <w:pPr>
        <w:pStyle w:val="Textebrut"/>
        <w:jc w:val="both"/>
        <w:rPr>
          <w:rFonts w:ascii="Arial Narrow" w:eastAsia="Times New Roman" w:hAnsi="Arial Narrow" w:cs="Arial"/>
          <w:kern w:val="0"/>
          <w:sz w:val="24"/>
          <w:szCs w:val="24"/>
          <w:lang w:eastAsia="fr-FR"/>
          <w14:ligatures w14:val="none"/>
        </w:rPr>
      </w:pPr>
      <w:r w:rsidRPr="00A918AC">
        <w:rPr>
          <w:rFonts w:ascii="Arial Narrow" w:eastAsia="Times New Roman" w:hAnsi="Arial Narrow" w:cs="Arial"/>
          <w:b/>
          <w:i/>
          <w:kern w:val="0"/>
          <w:sz w:val="24"/>
          <w:szCs w:val="24"/>
          <w:lang w:eastAsia="fr-FR"/>
          <w14:ligatures w14:val="none"/>
        </w:rPr>
        <w:t>S’agissant de l'accès aux services d'eau, d'hygiène et d'assainissement</w:t>
      </w:r>
      <w:r w:rsidRPr="00A918AC">
        <w:rPr>
          <w:rFonts w:ascii="Arial Narrow" w:eastAsia="Times New Roman" w:hAnsi="Arial Narrow" w:cs="Arial"/>
          <w:i/>
          <w:kern w:val="0"/>
          <w:sz w:val="24"/>
          <w:szCs w:val="24"/>
          <w:lang w:eastAsia="fr-FR"/>
          <w14:ligatures w14:val="none"/>
        </w:rPr>
        <w:t>,</w:t>
      </w:r>
      <w:r w:rsidRPr="007E7C5B">
        <w:rPr>
          <w:rFonts w:ascii="Arial Narrow" w:eastAsia="Times New Roman" w:hAnsi="Arial Narrow" w:cs="Arial"/>
          <w:kern w:val="0"/>
          <w:sz w:val="24"/>
          <w:szCs w:val="24"/>
          <w:lang w:eastAsia="fr-FR"/>
          <w14:ligatures w14:val="none"/>
        </w:rPr>
        <w:t xml:space="preserve"> l’objectif était de faire</w:t>
      </w:r>
      <w:r w:rsidR="00504B41" w:rsidRPr="007E7C5B">
        <w:rPr>
          <w:rFonts w:ascii="Arial Narrow" w:eastAsia="Times New Roman" w:hAnsi="Arial Narrow" w:cs="Arial"/>
          <w:kern w:val="0"/>
          <w:sz w:val="24"/>
          <w:szCs w:val="24"/>
          <w:lang w:eastAsia="fr-FR"/>
          <w14:ligatures w14:val="none"/>
        </w:rPr>
        <w:t xml:space="preserve"> </w:t>
      </w:r>
      <w:r w:rsidRPr="007E7C5B">
        <w:rPr>
          <w:rFonts w:ascii="Arial Narrow" w:eastAsia="Times New Roman" w:hAnsi="Arial Narrow" w:cs="Arial"/>
          <w:kern w:val="0"/>
          <w:sz w:val="24"/>
          <w:szCs w:val="24"/>
          <w:lang w:eastAsia="fr-FR"/>
          <w14:ligatures w14:val="none"/>
        </w:rPr>
        <w:t>passer le taux de défécation à l’air libre de 21,1</w:t>
      </w:r>
      <w:r w:rsidR="005D7785" w:rsidRPr="007E7C5B">
        <w:rPr>
          <w:rFonts w:ascii="Arial Narrow" w:eastAsia="Times New Roman" w:hAnsi="Arial Narrow" w:cs="Arial"/>
          <w:kern w:val="0"/>
          <w:sz w:val="24"/>
          <w:szCs w:val="24"/>
          <w:lang w:eastAsia="fr-FR"/>
          <w14:ligatures w14:val="none"/>
        </w:rPr>
        <w:t>0</w:t>
      </w:r>
      <w:r w:rsidRPr="007E7C5B">
        <w:rPr>
          <w:rFonts w:ascii="Arial Narrow" w:eastAsia="Times New Roman" w:hAnsi="Arial Narrow" w:cs="Arial"/>
          <w:kern w:val="0"/>
          <w:sz w:val="24"/>
          <w:szCs w:val="24"/>
          <w:lang w:eastAsia="fr-FR"/>
          <w14:ligatures w14:val="none"/>
        </w:rPr>
        <w:t>% en 2016 à 15% en 2023 puis à 11% à la fin de la mise en œuvre du PNDS</w:t>
      </w:r>
      <w:r w:rsidR="00535F32" w:rsidRPr="007E7C5B" w:rsidDel="005D7785">
        <w:rPr>
          <w:rFonts w:ascii="Arial Narrow" w:eastAsia="Times New Roman" w:hAnsi="Arial Narrow" w:cs="Arial"/>
          <w:kern w:val="0"/>
          <w:sz w:val="24"/>
          <w:szCs w:val="24"/>
          <w:lang w:eastAsia="fr-FR"/>
          <w14:ligatures w14:val="none"/>
        </w:rPr>
        <w:t xml:space="preserve">. </w:t>
      </w:r>
    </w:p>
    <w:p w14:paraId="6F0C305D" w14:textId="62329BDB" w:rsidR="00011025" w:rsidRPr="007E7C5B" w:rsidRDefault="00070216" w:rsidP="0087263F">
      <w:pPr>
        <w:spacing w:before="100" w:beforeAutospacing="1" w:after="100" w:afterAutospacing="1"/>
        <w:jc w:val="both"/>
        <w:rPr>
          <w:rFonts w:ascii="Arial Narrow" w:eastAsia="Times New Roman" w:hAnsi="Arial Narrow" w:cs="Arial"/>
          <w:iCs/>
          <w:kern w:val="0"/>
          <w:sz w:val="24"/>
          <w:szCs w:val="24"/>
          <w:lang w:eastAsia="fr-FR"/>
          <w14:ligatures w14:val="none"/>
        </w:rPr>
      </w:pPr>
      <w:r w:rsidRPr="007E7C5B">
        <w:rPr>
          <w:rFonts w:ascii="Arial Narrow" w:eastAsia="Times New Roman" w:hAnsi="Arial Narrow" w:cs="Arial"/>
          <w:kern w:val="0"/>
          <w:sz w:val="24"/>
          <w:szCs w:val="24"/>
          <w:lang w:eastAsia="fr-FR"/>
          <w14:ligatures w14:val="none"/>
        </w:rPr>
        <w:t>D</w:t>
      </w:r>
      <w:r w:rsidR="00535F32" w:rsidRPr="007E7C5B">
        <w:rPr>
          <w:rFonts w:ascii="Arial Narrow" w:eastAsia="Times New Roman" w:hAnsi="Arial Narrow" w:cs="Arial"/>
          <w:kern w:val="0"/>
          <w:sz w:val="24"/>
          <w:szCs w:val="24"/>
          <w:lang w:eastAsia="fr-FR"/>
          <w14:ligatures w14:val="none"/>
        </w:rPr>
        <w:t>es actions</w:t>
      </w:r>
      <w:r w:rsidR="00CF23DC" w:rsidRPr="007E7C5B" w:rsidDel="00EB5B3B">
        <w:rPr>
          <w:rFonts w:ascii="Arial Narrow" w:eastAsia="Times New Roman" w:hAnsi="Arial Narrow" w:cs="Arial"/>
          <w:kern w:val="0"/>
          <w:sz w:val="24"/>
          <w:szCs w:val="24"/>
          <w:lang w:eastAsia="fr-FR"/>
          <w14:ligatures w14:val="none"/>
        </w:rPr>
        <w:t xml:space="preserve"> </w:t>
      </w:r>
      <w:r w:rsidR="00CF23DC" w:rsidRPr="007E7C5B">
        <w:rPr>
          <w:rFonts w:ascii="Arial Narrow" w:eastAsia="Times New Roman" w:hAnsi="Arial Narrow" w:cs="Arial"/>
          <w:kern w:val="0"/>
          <w:sz w:val="24"/>
          <w:szCs w:val="24"/>
          <w:lang w:eastAsia="fr-FR"/>
          <w14:ligatures w14:val="none"/>
        </w:rPr>
        <w:t>ont été entreprises</w:t>
      </w:r>
      <w:r w:rsidR="00A94E6C" w:rsidRPr="007E7C5B">
        <w:rPr>
          <w:rFonts w:ascii="Arial Narrow" w:eastAsia="Times New Roman" w:hAnsi="Arial Narrow" w:cs="Arial"/>
          <w:kern w:val="0"/>
          <w:sz w:val="24"/>
          <w:szCs w:val="24"/>
          <w:lang w:eastAsia="fr-FR"/>
          <w14:ligatures w14:val="none"/>
        </w:rPr>
        <w:t xml:space="preserve"> pour améliorer l’hygiène dans les établissements de soins et en milieu communautaire</w:t>
      </w:r>
      <w:r w:rsidR="004E1630" w:rsidRPr="007E7C5B">
        <w:rPr>
          <w:rFonts w:ascii="Arial Narrow" w:eastAsia="Times New Roman" w:hAnsi="Arial Narrow" w:cs="Arial"/>
          <w:kern w:val="0"/>
          <w:sz w:val="24"/>
          <w:szCs w:val="24"/>
          <w:lang w:eastAsia="fr-FR"/>
          <w14:ligatures w14:val="none"/>
        </w:rPr>
        <w:t>.</w:t>
      </w:r>
      <w:r w:rsidR="00432BE0" w:rsidRPr="007E7C5B">
        <w:rPr>
          <w:rFonts w:ascii="Arial Narrow" w:eastAsia="Times New Roman" w:hAnsi="Arial Narrow" w:cs="Arial"/>
          <w:kern w:val="0"/>
          <w:sz w:val="24"/>
          <w:szCs w:val="24"/>
          <w:lang w:eastAsia="fr-FR"/>
          <w14:ligatures w14:val="none"/>
        </w:rPr>
        <w:t xml:space="preserve"> </w:t>
      </w:r>
      <w:r w:rsidR="00111B83" w:rsidRPr="007E7C5B">
        <w:rPr>
          <w:rFonts w:ascii="Arial Narrow" w:eastAsia="Times New Roman" w:hAnsi="Arial Narrow" w:cs="Arial"/>
          <w:kern w:val="0"/>
          <w:sz w:val="24"/>
          <w:szCs w:val="24"/>
          <w:lang w:eastAsia="fr-FR"/>
          <w14:ligatures w14:val="none"/>
        </w:rPr>
        <w:t>U</w:t>
      </w:r>
      <w:r w:rsidR="00A94E6C" w:rsidRPr="007E7C5B">
        <w:rPr>
          <w:rFonts w:ascii="Arial Narrow" w:eastAsia="Times New Roman" w:hAnsi="Arial Narrow" w:cs="Arial"/>
          <w:iCs/>
          <w:kern w:val="0"/>
          <w:sz w:val="24"/>
          <w:szCs w:val="24"/>
          <w:lang w:eastAsia="fr-FR"/>
          <w14:ligatures w14:val="none"/>
        </w:rPr>
        <w:t>n plan stratégique de promotion de l’hygiène 2021-2025 visant à donner des orientations</w:t>
      </w:r>
      <w:r w:rsidR="00B277E8" w:rsidRPr="007E7C5B">
        <w:rPr>
          <w:rFonts w:ascii="Arial Narrow" w:eastAsia="Times New Roman" w:hAnsi="Arial Narrow" w:cs="Arial"/>
          <w:iCs/>
          <w:kern w:val="0"/>
          <w:sz w:val="24"/>
          <w:szCs w:val="24"/>
          <w:lang w:eastAsia="fr-FR"/>
          <w14:ligatures w14:val="none"/>
        </w:rPr>
        <w:t xml:space="preserve"> a été élaboré</w:t>
      </w:r>
      <w:r w:rsidR="00685534" w:rsidRPr="007E7C5B">
        <w:rPr>
          <w:rFonts w:ascii="Arial Narrow" w:eastAsia="Times New Roman" w:hAnsi="Arial Narrow" w:cs="Arial"/>
          <w:iCs/>
          <w:kern w:val="0"/>
          <w:sz w:val="24"/>
          <w:szCs w:val="24"/>
          <w:lang w:eastAsia="fr-FR"/>
          <w14:ligatures w14:val="none"/>
        </w:rPr>
        <w:t xml:space="preserve"> à cet effet</w:t>
      </w:r>
      <w:r w:rsidR="005F736B" w:rsidRPr="007E7C5B">
        <w:rPr>
          <w:rFonts w:ascii="Arial Narrow" w:eastAsia="Times New Roman" w:hAnsi="Arial Narrow" w:cs="Arial"/>
          <w:iCs/>
          <w:kern w:val="0"/>
          <w:sz w:val="24"/>
          <w:szCs w:val="24"/>
          <w:lang w:eastAsia="fr-FR"/>
          <w14:ligatures w14:val="none"/>
        </w:rPr>
        <w:t>.</w:t>
      </w:r>
      <w:r w:rsidR="000770AC" w:rsidRPr="007E7C5B">
        <w:rPr>
          <w:rFonts w:ascii="Arial Narrow" w:eastAsia="Times New Roman" w:hAnsi="Arial Narrow" w:cs="Arial"/>
          <w:iCs/>
          <w:kern w:val="0"/>
          <w:sz w:val="24"/>
          <w:szCs w:val="24"/>
          <w:lang w:eastAsia="fr-FR"/>
          <w14:ligatures w14:val="none"/>
        </w:rPr>
        <w:t xml:space="preserve"> Aussi, le MSHPCMU</w:t>
      </w:r>
      <w:r w:rsidR="00A94E6C" w:rsidRPr="007E7C5B">
        <w:rPr>
          <w:rFonts w:ascii="Arial Narrow" w:eastAsia="Times New Roman" w:hAnsi="Arial Narrow" w:cs="Arial"/>
          <w:iCs/>
          <w:kern w:val="0"/>
          <w:sz w:val="24"/>
          <w:szCs w:val="24"/>
          <w:lang w:eastAsia="fr-FR"/>
          <w14:ligatures w14:val="none"/>
        </w:rPr>
        <w:t xml:space="preserve"> a participé à l’élaboration de la loi n°2023-899 du 23 novembre 2023 portant code de l’hygiène et de la salubrité qui a été promulguée par le Président de la République. </w:t>
      </w:r>
    </w:p>
    <w:p w14:paraId="102B8DBC" w14:textId="55BA771D" w:rsidR="00A94E6C" w:rsidRPr="00A918AC" w:rsidRDefault="00A94E6C" w:rsidP="0087263F">
      <w:pPr>
        <w:spacing w:before="100" w:beforeAutospacing="1" w:after="100" w:afterAutospacing="1"/>
        <w:jc w:val="both"/>
        <w:rPr>
          <w:rFonts w:ascii="Arial Narrow" w:eastAsia="Times New Roman" w:hAnsi="Arial Narrow" w:cs="Arial"/>
          <w:kern w:val="0"/>
          <w:sz w:val="24"/>
          <w:szCs w:val="24"/>
          <w:lang w:eastAsia="fr-FR"/>
          <w14:ligatures w14:val="none"/>
        </w:rPr>
      </w:pPr>
      <w:r w:rsidRPr="007E7C5B">
        <w:rPr>
          <w:rFonts w:ascii="Arial Narrow" w:eastAsia="Times New Roman" w:hAnsi="Arial Narrow" w:cs="Arial"/>
          <w:iCs/>
          <w:kern w:val="0"/>
          <w:sz w:val="24"/>
          <w:szCs w:val="24"/>
          <w:lang w:eastAsia="fr-FR"/>
          <w14:ligatures w14:val="none"/>
        </w:rPr>
        <w:lastRenderedPageBreak/>
        <w:t>Dans le cadre de l</w:t>
      </w:r>
      <w:r w:rsidRPr="007E7C5B">
        <w:rPr>
          <w:rFonts w:ascii="Arial Narrow" w:eastAsia="Times New Roman" w:hAnsi="Arial Narrow"/>
          <w:iCs/>
          <w:kern w:val="0"/>
          <w:sz w:val="24"/>
          <w:szCs w:val="24"/>
          <w:lang w:eastAsia="fr-FR"/>
        </w:rPr>
        <w:t xml:space="preserve">a mise en œuvre de ce plan, un ensemble d’actions ont été menés dont </w:t>
      </w:r>
      <w:r w:rsidRPr="00A918AC">
        <w:rPr>
          <w:rFonts w:ascii="Arial Narrow" w:eastAsia="Times New Roman" w:hAnsi="Arial Narrow"/>
          <w:i/>
          <w:kern w:val="0"/>
          <w:sz w:val="24"/>
          <w:szCs w:val="24"/>
          <w:lang w:eastAsia="fr-FR"/>
        </w:rPr>
        <w:t>(i)</w:t>
      </w:r>
      <w:r w:rsidRPr="007E7C5B">
        <w:rPr>
          <w:rFonts w:ascii="Arial Narrow" w:eastAsia="Times New Roman" w:hAnsi="Arial Narrow"/>
          <w:iCs/>
          <w:kern w:val="0"/>
          <w:sz w:val="24"/>
          <w:szCs w:val="24"/>
          <w:lang w:eastAsia="fr-FR"/>
        </w:rPr>
        <w:t xml:space="preserve"> la célébration de la Journée Mondiale du Lavage des Mains avec du savon (JMLM) dans les régions de Abidjan2 en 2021, </w:t>
      </w:r>
      <w:proofErr w:type="spellStart"/>
      <w:r w:rsidRPr="007E7C5B">
        <w:rPr>
          <w:rFonts w:ascii="Arial Narrow" w:eastAsia="Times New Roman" w:hAnsi="Arial Narrow"/>
          <w:iCs/>
          <w:kern w:val="0"/>
          <w:sz w:val="24"/>
          <w:szCs w:val="24"/>
          <w:lang w:eastAsia="fr-FR"/>
        </w:rPr>
        <w:t>Agneby</w:t>
      </w:r>
      <w:proofErr w:type="spellEnd"/>
      <w:r w:rsidRPr="007E7C5B">
        <w:rPr>
          <w:rFonts w:ascii="Arial Narrow" w:eastAsia="Times New Roman" w:hAnsi="Arial Narrow"/>
          <w:iCs/>
          <w:kern w:val="0"/>
          <w:sz w:val="24"/>
          <w:szCs w:val="24"/>
          <w:lang w:eastAsia="fr-FR"/>
        </w:rPr>
        <w:t xml:space="preserve"> </w:t>
      </w:r>
      <w:proofErr w:type="spellStart"/>
      <w:r w:rsidRPr="007E7C5B">
        <w:rPr>
          <w:rFonts w:ascii="Arial Narrow" w:eastAsia="Times New Roman" w:hAnsi="Arial Narrow"/>
          <w:iCs/>
          <w:kern w:val="0"/>
          <w:sz w:val="24"/>
          <w:szCs w:val="24"/>
          <w:lang w:eastAsia="fr-FR"/>
        </w:rPr>
        <w:t>Tiassa</w:t>
      </w:r>
      <w:proofErr w:type="spellEnd"/>
      <w:r w:rsidRPr="007E7C5B">
        <w:rPr>
          <w:rFonts w:ascii="Arial Narrow" w:eastAsia="Times New Roman" w:hAnsi="Arial Narrow"/>
          <w:iCs/>
          <w:kern w:val="0"/>
          <w:sz w:val="24"/>
          <w:szCs w:val="24"/>
          <w:lang w:eastAsia="fr-FR"/>
        </w:rPr>
        <w:t xml:space="preserve"> en 2022 et Sud-Comoé en 2023 ; </w:t>
      </w:r>
      <w:r w:rsidRPr="00A918AC">
        <w:rPr>
          <w:rFonts w:ascii="Arial Narrow" w:eastAsia="Times New Roman" w:hAnsi="Arial Narrow"/>
          <w:i/>
          <w:kern w:val="0"/>
          <w:sz w:val="24"/>
          <w:szCs w:val="24"/>
          <w:lang w:eastAsia="fr-FR"/>
        </w:rPr>
        <w:t>(ii)</w:t>
      </w:r>
      <w:r w:rsidRPr="007E7C5B">
        <w:rPr>
          <w:rFonts w:ascii="Arial Narrow" w:eastAsia="Times New Roman" w:hAnsi="Arial Narrow"/>
          <w:iCs/>
          <w:kern w:val="0"/>
          <w:sz w:val="24"/>
          <w:szCs w:val="24"/>
          <w:lang w:eastAsia="fr-FR"/>
        </w:rPr>
        <w:t xml:space="preserve"> le renforcement des </w:t>
      </w:r>
      <w:r w:rsidRPr="007E7C5B">
        <w:rPr>
          <w:rFonts w:ascii="Arial Narrow" w:eastAsia="Times New Roman" w:hAnsi="Arial Narrow" w:cs="Arial"/>
          <w:iCs/>
          <w:kern w:val="0"/>
          <w:sz w:val="24"/>
          <w:szCs w:val="24"/>
          <w:lang w:eastAsia="fr-FR"/>
          <w14:ligatures w14:val="none"/>
        </w:rPr>
        <w:t>capacités de 200</w:t>
      </w:r>
      <w:r w:rsidR="00E33227">
        <w:rPr>
          <w:rFonts w:ascii="Arial Narrow" w:eastAsia="Times New Roman" w:hAnsi="Arial Narrow"/>
          <w:iCs/>
          <w:kern w:val="0"/>
          <w:sz w:val="24"/>
          <w:szCs w:val="24"/>
          <w:lang w:eastAsia="fr-FR"/>
        </w:rPr>
        <w:t xml:space="preserve"> </w:t>
      </w:r>
      <w:r w:rsidRPr="007E7C5B">
        <w:rPr>
          <w:rFonts w:ascii="Arial Narrow" w:eastAsia="Times New Roman" w:hAnsi="Arial Narrow"/>
          <w:iCs/>
          <w:kern w:val="0"/>
          <w:sz w:val="24"/>
          <w:szCs w:val="24"/>
          <w:lang w:eastAsia="fr-FR"/>
        </w:rPr>
        <w:t>agents des E</w:t>
      </w:r>
      <w:r w:rsidR="0068475B" w:rsidRPr="007E7C5B">
        <w:rPr>
          <w:rFonts w:ascii="Arial Narrow" w:eastAsia="Times New Roman" w:hAnsi="Arial Narrow"/>
          <w:iCs/>
          <w:kern w:val="0"/>
          <w:sz w:val="24"/>
          <w:szCs w:val="24"/>
          <w:lang w:eastAsia="fr-FR"/>
        </w:rPr>
        <w:t>S</w:t>
      </w:r>
      <w:r w:rsidRPr="007E7C5B">
        <w:rPr>
          <w:rFonts w:ascii="Arial Narrow" w:eastAsia="Times New Roman" w:hAnsi="Arial Narrow"/>
          <w:iCs/>
          <w:kern w:val="0"/>
          <w:sz w:val="24"/>
          <w:szCs w:val="24"/>
          <w:lang w:eastAsia="fr-FR"/>
        </w:rPr>
        <w:t>PC en charge des séances d’I</w:t>
      </w:r>
      <w:r w:rsidR="00017AFA" w:rsidRPr="007E7C5B">
        <w:rPr>
          <w:rFonts w:ascii="Arial Narrow" w:eastAsia="Times New Roman" w:hAnsi="Arial Narrow"/>
          <w:iCs/>
          <w:kern w:val="0"/>
          <w:sz w:val="24"/>
          <w:szCs w:val="24"/>
          <w:lang w:eastAsia="fr-FR"/>
        </w:rPr>
        <w:t xml:space="preserve">nformation, </w:t>
      </w:r>
      <w:r w:rsidRPr="007E7C5B">
        <w:rPr>
          <w:rFonts w:ascii="Arial Narrow" w:eastAsia="Times New Roman" w:hAnsi="Arial Narrow"/>
          <w:iCs/>
          <w:kern w:val="0"/>
          <w:sz w:val="24"/>
          <w:szCs w:val="24"/>
          <w:lang w:eastAsia="fr-FR"/>
        </w:rPr>
        <w:t>E</w:t>
      </w:r>
      <w:r w:rsidR="00017AFA" w:rsidRPr="007E7C5B">
        <w:rPr>
          <w:rFonts w:ascii="Arial Narrow" w:eastAsia="Times New Roman" w:hAnsi="Arial Narrow"/>
          <w:iCs/>
          <w:kern w:val="0"/>
          <w:sz w:val="24"/>
          <w:szCs w:val="24"/>
          <w:lang w:eastAsia="fr-FR"/>
        </w:rPr>
        <w:t xml:space="preserve">ducation, </w:t>
      </w:r>
      <w:r w:rsidRPr="007E7C5B">
        <w:rPr>
          <w:rFonts w:ascii="Arial Narrow" w:eastAsia="Times New Roman" w:hAnsi="Arial Narrow"/>
          <w:iCs/>
          <w:kern w:val="0"/>
          <w:sz w:val="24"/>
          <w:szCs w:val="24"/>
          <w:lang w:eastAsia="fr-FR"/>
        </w:rPr>
        <w:t>C</w:t>
      </w:r>
      <w:r w:rsidR="00017AFA" w:rsidRPr="007E7C5B">
        <w:rPr>
          <w:rFonts w:ascii="Arial Narrow" w:eastAsia="Times New Roman" w:hAnsi="Arial Narrow"/>
          <w:iCs/>
          <w:kern w:val="0"/>
          <w:sz w:val="24"/>
          <w:szCs w:val="24"/>
          <w:lang w:eastAsia="fr-FR"/>
        </w:rPr>
        <w:t>ommunication (IEC)</w:t>
      </w:r>
      <w:r w:rsidRPr="007E7C5B">
        <w:rPr>
          <w:rFonts w:ascii="Arial Narrow" w:eastAsia="Times New Roman" w:hAnsi="Arial Narrow"/>
          <w:iCs/>
          <w:kern w:val="0"/>
          <w:sz w:val="24"/>
          <w:szCs w:val="24"/>
          <w:lang w:eastAsia="fr-FR"/>
        </w:rPr>
        <w:t xml:space="preserve"> dans 8 régions</w:t>
      </w:r>
      <w:r w:rsidR="00DF646F" w:rsidRPr="007E7C5B">
        <w:rPr>
          <w:rStyle w:val="Appelnotedebasdep"/>
          <w:rFonts w:ascii="Arial Narrow" w:eastAsia="Times New Roman" w:hAnsi="Arial Narrow"/>
          <w:iCs/>
          <w:kern w:val="0"/>
          <w:sz w:val="24"/>
          <w:szCs w:val="24"/>
          <w:lang w:eastAsia="fr-FR"/>
        </w:rPr>
        <w:footnoteReference w:id="26"/>
      </w:r>
      <w:r w:rsidRPr="007E7C5B">
        <w:rPr>
          <w:rFonts w:ascii="Arial Narrow" w:eastAsia="Times New Roman" w:hAnsi="Arial Narrow"/>
          <w:iCs/>
          <w:kern w:val="0"/>
          <w:sz w:val="24"/>
          <w:szCs w:val="24"/>
          <w:lang w:eastAsia="fr-FR"/>
        </w:rPr>
        <w:t xml:space="preserve"> ; </w:t>
      </w:r>
      <w:r w:rsidRPr="00A918AC">
        <w:rPr>
          <w:rFonts w:ascii="Arial Narrow" w:eastAsia="Times New Roman" w:hAnsi="Arial Narrow"/>
          <w:i/>
          <w:kern w:val="0"/>
          <w:sz w:val="24"/>
          <w:szCs w:val="24"/>
          <w:lang w:eastAsia="fr-FR"/>
        </w:rPr>
        <w:t>(iii)</w:t>
      </w:r>
      <w:r w:rsidR="009973D9" w:rsidRPr="007E7C5B">
        <w:rPr>
          <w:rFonts w:ascii="Arial Narrow" w:eastAsia="Times New Roman" w:hAnsi="Arial Narrow"/>
          <w:iCs/>
          <w:kern w:val="0"/>
          <w:sz w:val="24"/>
          <w:szCs w:val="24"/>
          <w:lang w:eastAsia="fr-FR"/>
        </w:rPr>
        <w:t> </w:t>
      </w:r>
      <w:r w:rsidRPr="007E7C5B">
        <w:rPr>
          <w:rFonts w:ascii="Arial Narrow" w:eastAsia="Times New Roman" w:hAnsi="Arial Narrow"/>
          <w:iCs/>
          <w:kern w:val="0"/>
          <w:sz w:val="24"/>
          <w:szCs w:val="24"/>
          <w:lang w:eastAsia="fr-FR"/>
        </w:rPr>
        <w:t xml:space="preserve">la formation de 190 </w:t>
      </w:r>
      <w:r w:rsidR="00362FFD" w:rsidRPr="007E7C5B">
        <w:rPr>
          <w:rFonts w:ascii="Arial Narrow" w:eastAsia="Times New Roman" w:hAnsi="Arial Narrow"/>
          <w:iCs/>
          <w:kern w:val="0"/>
          <w:sz w:val="24"/>
          <w:szCs w:val="24"/>
          <w:lang w:eastAsia="fr-FR"/>
        </w:rPr>
        <w:t>l</w:t>
      </w:r>
      <w:r w:rsidRPr="007E7C5B">
        <w:rPr>
          <w:rFonts w:ascii="Arial Narrow" w:eastAsia="Times New Roman" w:hAnsi="Arial Narrow"/>
          <w:iCs/>
          <w:kern w:val="0"/>
          <w:sz w:val="24"/>
          <w:szCs w:val="24"/>
          <w:lang w:eastAsia="fr-FR"/>
        </w:rPr>
        <w:t xml:space="preserve">eaders </w:t>
      </w:r>
      <w:r w:rsidR="00463865" w:rsidRPr="007E7C5B">
        <w:rPr>
          <w:rFonts w:ascii="Arial Narrow" w:eastAsia="Times New Roman" w:hAnsi="Arial Narrow"/>
          <w:iCs/>
          <w:kern w:val="0"/>
          <w:sz w:val="24"/>
          <w:szCs w:val="24"/>
          <w:lang w:eastAsia="fr-FR"/>
        </w:rPr>
        <w:t>communautaires</w:t>
      </w:r>
      <w:r w:rsidRPr="007E7C5B">
        <w:rPr>
          <w:rFonts w:ascii="Arial Narrow" w:eastAsia="Times New Roman" w:hAnsi="Arial Narrow"/>
          <w:iCs/>
          <w:kern w:val="0"/>
          <w:sz w:val="24"/>
          <w:szCs w:val="24"/>
          <w:lang w:eastAsia="fr-FR"/>
        </w:rPr>
        <w:t xml:space="preserve"> et 108 ASC sur les bonnes pratiques WASH dans les départements de Ferkessédougou, </w:t>
      </w:r>
      <w:proofErr w:type="spellStart"/>
      <w:r w:rsidRPr="007E7C5B">
        <w:rPr>
          <w:rFonts w:ascii="Arial Narrow" w:eastAsia="Times New Roman" w:hAnsi="Arial Narrow"/>
          <w:iCs/>
          <w:kern w:val="0"/>
          <w:sz w:val="24"/>
          <w:szCs w:val="24"/>
          <w:lang w:eastAsia="fr-FR"/>
        </w:rPr>
        <w:t>Biankouma</w:t>
      </w:r>
      <w:proofErr w:type="spellEnd"/>
      <w:r w:rsidRPr="007E7C5B">
        <w:rPr>
          <w:rFonts w:ascii="Arial Narrow" w:eastAsia="Times New Roman" w:hAnsi="Arial Narrow"/>
          <w:iCs/>
          <w:kern w:val="0"/>
          <w:sz w:val="24"/>
          <w:szCs w:val="24"/>
          <w:lang w:eastAsia="fr-FR"/>
        </w:rPr>
        <w:t xml:space="preserve"> et </w:t>
      </w:r>
      <w:proofErr w:type="spellStart"/>
      <w:r w:rsidRPr="007E7C5B">
        <w:rPr>
          <w:rFonts w:ascii="Arial Narrow" w:eastAsia="Times New Roman" w:hAnsi="Arial Narrow"/>
          <w:iCs/>
          <w:kern w:val="0"/>
          <w:sz w:val="24"/>
          <w:szCs w:val="24"/>
          <w:lang w:eastAsia="fr-FR"/>
        </w:rPr>
        <w:t>Sipilou</w:t>
      </w:r>
      <w:proofErr w:type="spellEnd"/>
      <w:r w:rsidRPr="007E7C5B">
        <w:rPr>
          <w:rFonts w:ascii="Arial Narrow" w:eastAsia="Times New Roman" w:hAnsi="Arial Narrow"/>
          <w:iCs/>
          <w:kern w:val="0"/>
          <w:sz w:val="24"/>
          <w:szCs w:val="24"/>
          <w:lang w:eastAsia="fr-FR"/>
        </w:rPr>
        <w:t>.</w:t>
      </w:r>
    </w:p>
    <w:p w14:paraId="71E91373" w14:textId="2B106F52" w:rsidR="00A94E6C" w:rsidRPr="007E7C5B" w:rsidRDefault="00A94E6C" w:rsidP="00761F55">
      <w:pPr>
        <w:spacing w:line="240" w:lineRule="auto"/>
        <w:jc w:val="both"/>
        <w:rPr>
          <w:rFonts w:ascii="Arial Narrow" w:eastAsia="Times New Roman" w:hAnsi="Arial Narrow"/>
          <w:kern w:val="0"/>
          <w:sz w:val="24"/>
          <w:szCs w:val="24"/>
          <w:lang w:eastAsia="fr-FR"/>
        </w:rPr>
      </w:pPr>
      <w:r w:rsidRPr="00A918AC">
        <w:rPr>
          <w:rFonts w:ascii="Arial Narrow" w:eastAsia="Times New Roman" w:hAnsi="Arial Narrow"/>
          <w:b/>
          <w:i/>
          <w:kern w:val="0"/>
          <w:sz w:val="24"/>
          <w:szCs w:val="24"/>
          <w:lang w:eastAsia="fr-FR"/>
        </w:rPr>
        <w:t>Pour ce qui est de l’accès à l’eau potable à domicile,</w:t>
      </w:r>
      <w:r w:rsidRPr="007E7C5B">
        <w:rPr>
          <w:rFonts w:ascii="Arial Narrow" w:eastAsia="Times New Roman" w:hAnsi="Arial Narrow"/>
          <w:kern w:val="0"/>
          <w:sz w:val="24"/>
          <w:szCs w:val="24"/>
          <w:lang w:eastAsia="fr-FR"/>
        </w:rPr>
        <w:t xml:space="preserve"> plusieurs actions ont été menées dans le cadre du projet TED, notamment la mise en place d’un GTT interministériel pour la délivrance d’autorisation de commercialisation d’un produit de traitement de l’eau à domicile (</w:t>
      </w:r>
      <w:proofErr w:type="spellStart"/>
      <w:r w:rsidRPr="007E7C5B">
        <w:rPr>
          <w:rFonts w:ascii="Arial Narrow" w:eastAsia="Times New Roman" w:hAnsi="Arial Narrow"/>
          <w:kern w:val="0"/>
          <w:sz w:val="24"/>
          <w:szCs w:val="24"/>
          <w:lang w:eastAsia="fr-FR"/>
        </w:rPr>
        <w:t>Sur’Eau</w:t>
      </w:r>
      <w:proofErr w:type="spellEnd"/>
      <w:r w:rsidRPr="007E7C5B">
        <w:rPr>
          <w:rFonts w:ascii="Arial Narrow" w:eastAsia="Times New Roman" w:hAnsi="Arial Narrow"/>
          <w:kern w:val="0"/>
          <w:sz w:val="24"/>
          <w:szCs w:val="24"/>
          <w:lang w:eastAsia="fr-FR"/>
        </w:rPr>
        <w:t>)</w:t>
      </w:r>
      <w:r w:rsidR="0086582C" w:rsidRPr="007E7C5B">
        <w:rPr>
          <w:rFonts w:ascii="Arial Narrow" w:eastAsia="Times New Roman" w:hAnsi="Arial Narrow"/>
          <w:kern w:val="0"/>
          <w:sz w:val="24"/>
          <w:szCs w:val="24"/>
          <w:lang w:eastAsia="fr-FR"/>
        </w:rPr>
        <w:t>,</w:t>
      </w:r>
      <w:r w:rsidRPr="007E7C5B">
        <w:rPr>
          <w:rFonts w:ascii="Arial Narrow" w:eastAsia="Times New Roman" w:hAnsi="Arial Narrow"/>
          <w:kern w:val="0"/>
          <w:sz w:val="24"/>
          <w:szCs w:val="24"/>
          <w:lang w:eastAsia="fr-FR"/>
        </w:rPr>
        <w:t> suivi de la réalisation d’une mission d’exploration conjointe de promotion de ce produit dans les régions de la Nawa et San P</w:t>
      </w:r>
      <w:r w:rsidR="0086582C" w:rsidRPr="007E7C5B">
        <w:rPr>
          <w:rFonts w:ascii="Arial Narrow" w:eastAsia="Times New Roman" w:hAnsi="Arial Narrow"/>
          <w:kern w:val="0"/>
          <w:sz w:val="24"/>
          <w:szCs w:val="24"/>
          <w:lang w:eastAsia="fr-FR"/>
        </w:rPr>
        <w:t>e</w:t>
      </w:r>
      <w:r w:rsidRPr="007E7C5B">
        <w:rPr>
          <w:rFonts w:ascii="Arial Narrow" w:eastAsia="Times New Roman" w:hAnsi="Arial Narrow"/>
          <w:kern w:val="0"/>
          <w:sz w:val="24"/>
          <w:szCs w:val="24"/>
          <w:lang w:eastAsia="fr-FR"/>
        </w:rPr>
        <w:t xml:space="preserve">dro. </w:t>
      </w:r>
    </w:p>
    <w:p w14:paraId="2155D02D" w14:textId="718C5A29" w:rsidR="00A94E6C" w:rsidRDefault="00A94E6C" w:rsidP="00761F55">
      <w:pPr>
        <w:jc w:val="both"/>
        <w:rPr>
          <w:rFonts w:ascii="Arial Narrow" w:eastAsia="Times New Roman" w:hAnsi="Arial Narrow" w:cs="Arial"/>
          <w:kern w:val="0"/>
          <w:sz w:val="24"/>
          <w:szCs w:val="24"/>
          <w:lang w:eastAsia="fr-FR"/>
          <w14:ligatures w14:val="none"/>
        </w:rPr>
      </w:pPr>
      <w:r w:rsidRPr="007E7C5B">
        <w:rPr>
          <w:rFonts w:ascii="Arial Narrow" w:eastAsia="Times New Roman" w:hAnsi="Arial Narrow" w:cs="Arial"/>
          <w:kern w:val="0"/>
          <w:sz w:val="24"/>
          <w:szCs w:val="24"/>
          <w:lang w:eastAsia="fr-FR"/>
          <w14:ligatures w14:val="none"/>
        </w:rPr>
        <w:t xml:space="preserve">Les interventions dans le domaine de l’eau de l’hygiène et de l’assainissement ont permis de faire passer la proportion de ménages utilisant des toilettes améliorées de 31,5% en 2016 à 59% en 2021 dépassant largement l’objectif fixé qui était de 40%. </w:t>
      </w:r>
      <w:r w:rsidR="00523E99" w:rsidRPr="007E7C5B">
        <w:rPr>
          <w:rFonts w:ascii="Arial Narrow" w:eastAsia="Times New Roman" w:hAnsi="Arial Narrow" w:cs="Arial"/>
          <w:kern w:val="0"/>
          <w:sz w:val="24"/>
          <w:szCs w:val="24"/>
          <w:lang w:eastAsia="fr-FR"/>
          <w14:ligatures w14:val="none"/>
        </w:rPr>
        <w:t xml:space="preserve">Aussi, la proportion d’établissements disposant de toilette fonctionnelle </w:t>
      </w:r>
      <w:r w:rsidR="00DD29BB" w:rsidRPr="007E7C5B">
        <w:rPr>
          <w:rFonts w:ascii="Arial Narrow" w:eastAsia="Times New Roman" w:hAnsi="Arial Narrow" w:cs="Arial"/>
          <w:kern w:val="0"/>
          <w:sz w:val="24"/>
          <w:szCs w:val="24"/>
          <w:lang w:eastAsia="fr-FR"/>
          <w14:ligatures w14:val="none"/>
        </w:rPr>
        <w:t>s’</w:t>
      </w:r>
      <w:r w:rsidR="00523E99" w:rsidRPr="007E7C5B">
        <w:rPr>
          <w:rFonts w:ascii="Arial Narrow" w:eastAsia="Times New Roman" w:hAnsi="Arial Narrow" w:cs="Arial"/>
          <w:kern w:val="0"/>
          <w:sz w:val="24"/>
          <w:szCs w:val="24"/>
          <w:lang w:eastAsia="fr-FR"/>
          <w14:ligatures w14:val="none"/>
        </w:rPr>
        <w:t xml:space="preserve">est </w:t>
      </w:r>
      <w:r w:rsidR="00DD29BB" w:rsidRPr="007E7C5B">
        <w:rPr>
          <w:rFonts w:ascii="Arial Narrow" w:eastAsia="Times New Roman" w:hAnsi="Arial Narrow" w:cs="Arial"/>
          <w:kern w:val="0"/>
          <w:sz w:val="24"/>
          <w:szCs w:val="24"/>
          <w:lang w:eastAsia="fr-FR"/>
          <w14:ligatures w14:val="none"/>
        </w:rPr>
        <w:t xml:space="preserve">améliorée, </w:t>
      </w:r>
      <w:r w:rsidR="00523E99" w:rsidRPr="007E7C5B">
        <w:rPr>
          <w:rFonts w:ascii="Arial Narrow" w:eastAsia="Times New Roman" w:hAnsi="Arial Narrow" w:cs="Arial"/>
          <w:kern w:val="0"/>
          <w:sz w:val="24"/>
          <w:szCs w:val="24"/>
          <w:lang w:eastAsia="fr-FR"/>
          <w14:ligatures w14:val="none"/>
        </w:rPr>
        <w:t>pass</w:t>
      </w:r>
      <w:r w:rsidR="00DD29BB" w:rsidRPr="007E7C5B">
        <w:rPr>
          <w:rFonts w:ascii="Arial Narrow" w:eastAsia="Times New Roman" w:hAnsi="Arial Narrow" w:cs="Arial"/>
          <w:kern w:val="0"/>
          <w:sz w:val="24"/>
          <w:szCs w:val="24"/>
          <w:lang w:eastAsia="fr-FR"/>
          <w14:ligatures w14:val="none"/>
        </w:rPr>
        <w:t>ant</w:t>
      </w:r>
      <w:r w:rsidR="00523E99" w:rsidRPr="007E7C5B">
        <w:rPr>
          <w:rFonts w:ascii="Arial Narrow" w:eastAsia="Times New Roman" w:hAnsi="Arial Narrow" w:cs="Arial"/>
          <w:kern w:val="0"/>
          <w:sz w:val="24"/>
          <w:szCs w:val="24"/>
          <w:lang w:eastAsia="fr-FR"/>
          <w14:ligatures w14:val="none"/>
        </w:rPr>
        <w:t xml:space="preserve"> de 89,9% en 2021 à 96% en 2023 (rapports annuels de suivi et évaluation). </w:t>
      </w:r>
      <w:r w:rsidR="00467810" w:rsidRPr="007E7C5B">
        <w:rPr>
          <w:rFonts w:ascii="Arial Narrow" w:eastAsia="Times New Roman" w:hAnsi="Arial Narrow" w:cs="Arial"/>
          <w:kern w:val="0"/>
          <w:sz w:val="24"/>
          <w:szCs w:val="24"/>
          <w:lang w:eastAsia="fr-FR"/>
          <w14:ligatures w14:val="none"/>
        </w:rPr>
        <w:t>L</w:t>
      </w:r>
      <w:r w:rsidRPr="007E7C5B">
        <w:rPr>
          <w:rFonts w:ascii="Arial Narrow" w:eastAsia="Times New Roman" w:hAnsi="Arial Narrow" w:cs="Arial"/>
          <w:kern w:val="0"/>
          <w:sz w:val="24"/>
          <w:szCs w:val="24"/>
          <w:lang w:eastAsia="fr-FR"/>
          <w14:ligatures w14:val="none"/>
        </w:rPr>
        <w:t xml:space="preserve">e taux de défécation à l’air libre quant à lui a </w:t>
      </w:r>
      <w:r w:rsidR="00185FD5" w:rsidRPr="007E7C5B">
        <w:rPr>
          <w:rFonts w:ascii="Arial Narrow" w:eastAsia="Times New Roman" w:hAnsi="Arial Narrow" w:cs="Arial"/>
          <w:kern w:val="0"/>
          <w:sz w:val="24"/>
          <w:szCs w:val="24"/>
          <w:lang w:eastAsia="fr-FR"/>
          <w14:ligatures w14:val="none"/>
        </w:rPr>
        <w:t>augmenté</w:t>
      </w:r>
      <w:r w:rsidR="00552AAF" w:rsidRPr="007E7C5B">
        <w:rPr>
          <w:rFonts w:ascii="Arial Narrow" w:eastAsia="Times New Roman" w:hAnsi="Arial Narrow" w:cs="Arial"/>
          <w:kern w:val="0"/>
          <w:sz w:val="24"/>
          <w:szCs w:val="24"/>
          <w:lang w:eastAsia="fr-FR"/>
          <w14:ligatures w14:val="none"/>
        </w:rPr>
        <w:t>,</w:t>
      </w:r>
      <w:r w:rsidR="00185FD5" w:rsidRPr="007E7C5B">
        <w:rPr>
          <w:rFonts w:ascii="Arial Narrow" w:eastAsia="Times New Roman" w:hAnsi="Arial Narrow" w:cs="Arial"/>
          <w:kern w:val="0"/>
          <w:sz w:val="24"/>
          <w:szCs w:val="24"/>
          <w:lang w:eastAsia="fr-FR"/>
          <w14:ligatures w14:val="none"/>
        </w:rPr>
        <w:t xml:space="preserve"> </w:t>
      </w:r>
      <w:r w:rsidRPr="007E7C5B">
        <w:rPr>
          <w:rFonts w:ascii="Arial Narrow" w:eastAsia="Times New Roman" w:hAnsi="Arial Narrow" w:cs="Arial"/>
          <w:kern w:val="0"/>
          <w:sz w:val="24"/>
          <w:szCs w:val="24"/>
          <w:lang w:eastAsia="fr-FR"/>
          <w14:ligatures w14:val="none"/>
        </w:rPr>
        <w:t xml:space="preserve">passant de 21,10% en 2016 à 37% en 2021 selon l’EDS 2021 malgré les différentes actions entreprises dans ce sens. </w:t>
      </w:r>
      <w:r w:rsidR="00CF0FE1" w:rsidRPr="007E7C5B">
        <w:rPr>
          <w:rFonts w:ascii="Arial Narrow" w:eastAsia="Times New Roman" w:hAnsi="Arial Narrow" w:cs="Arial"/>
          <w:kern w:val="0"/>
          <w:sz w:val="24"/>
          <w:szCs w:val="24"/>
          <w:lang w:eastAsia="fr-FR"/>
          <w14:ligatures w14:val="none"/>
        </w:rPr>
        <w:t xml:space="preserve">Le </w:t>
      </w:r>
      <w:r w:rsidR="00BF241F">
        <w:rPr>
          <w:rFonts w:ascii="Arial Narrow" w:eastAsia="Times New Roman" w:hAnsi="Arial Narrow" w:cs="Arial"/>
          <w:kern w:val="0"/>
          <w:sz w:val="24"/>
          <w:szCs w:val="24"/>
          <w:lang w:eastAsia="fr-FR"/>
          <w14:ligatures w14:val="none"/>
        </w:rPr>
        <w:t>graphique</w:t>
      </w:r>
      <w:r w:rsidR="00CF0FE1" w:rsidRPr="007E7C5B">
        <w:rPr>
          <w:rFonts w:ascii="Arial Narrow" w:eastAsia="Times New Roman" w:hAnsi="Arial Narrow" w:cs="Arial"/>
          <w:kern w:val="0"/>
          <w:sz w:val="24"/>
          <w:szCs w:val="24"/>
          <w:lang w:eastAsia="fr-FR"/>
          <w14:ligatures w14:val="none"/>
        </w:rPr>
        <w:t xml:space="preserve"> ci-des</w:t>
      </w:r>
      <w:r w:rsidRPr="007E7C5B">
        <w:rPr>
          <w:rFonts w:ascii="Arial Narrow" w:eastAsia="Times New Roman" w:hAnsi="Arial Narrow" w:cs="Arial"/>
          <w:kern w:val="0"/>
          <w:sz w:val="24"/>
          <w:szCs w:val="24"/>
          <w:lang w:eastAsia="fr-FR"/>
          <w14:ligatures w14:val="none"/>
        </w:rPr>
        <w:t>sous montre respectivement les évolutions des ménages utilisant des toilettes améliorées ainsi que le taux de défécation à l’air libre sur la période 2021-2023.</w:t>
      </w:r>
    </w:p>
    <w:p w14:paraId="0FA24826" w14:textId="42FC919A" w:rsidR="00890888" w:rsidRDefault="00890888" w:rsidP="00DC5897">
      <w:pPr>
        <w:pStyle w:val="Lgende"/>
      </w:pPr>
      <w:bookmarkStart w:id="84" w:name="_Toc183688810"/>
      <w:r>
        <w:t xml:space="preserve">Graphique </w:t>
      </w:r>
      <w:r>
        <w:fldChar w:fldCharType="begin"/>
      </w:r>
      <w:r>
        <w:instrText xml:space="preserve"> SEQ Graphique \* ARABIC </w:instrText>
      </w:r>
      <w:r>
        <w:fldChar w:fldCharType="separate"/>
      </w:r>
      <w:r w:rsidR="00F546EB">
        <w:rPr>
          <w:noProof/>
        </w:rPr>
        <w:t>23</w:t>
      </w:r>
      <w:r>
        <w:fldChar w:fldCharType="end"/>
      </w:r>
      <w:r>
        <w:t xml:space="preserve">: Evolution des indicateurs </w:t>
      </w:r>
      <w:r w:rsidRPr="00CF1CCF">
        <w:t>Prévention et contrôle des infections, accès aux services d’eau, d’hygiène et d’assainissement et gestion des déchets médicaux et pharmaceutiques</w:t>
      </w:r>
      <w:bookmarkEnd w:id="84"/>
    </w:p>
    <w:p w14:paraId="36FCA3D2" w14:textId="77777777" w:rsidR="00AE3F64" w:rsidRDefault="00AA6001" w:rsidP="00AE3F64">
      <w:pPr>
        <w:keepNext/>
        <w:jc w:val="both"/>
      </w:pPr>
      <w:r>
        <w:rPr>
          <w:noProof/>
        </w:rPr>
        <w:drawing>
          <wp:inline distT="0" distB="0" distL="0" distR="0" wp14:anchorId="339C4D32" wp14:editId="02B28A9E">
            <wp:extent cx="5716905" cy="1924216"/>
            <wp:effectExtent l="0" t="0" r="17145" b="0"/>
            <wp:docPr id="1715818378" name="Chart 1">
              <a:extLst xmlns:a="http://schemas.openxmlformats.org/drawingml/2006/main">
                <a:ext uri="{FF2B5EF4-FFF2-40B4-BE49-F238E27FC236}">
                  <a16:creationId xmlns:a16="http://schemas.microsoft.com/office/drawing/2014/main" id="{138D1DC3-6479-F443-4029-D0D4329C66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A77E1A3" w14:textId="329BA1D6" w:rsidR="00AA6001" w:rsidRPr="007E7C5B" w:rsidRDefault="00AE3F64" w:rsidP="00DC5897">
      <w:pPr>
        <w:pStyle w:val="Lgende"/>
        <w:rPr>
          <w:rFonts w:eastAsia="Times New Roman"/>
          <w:kern w:val="0"/>
          <w:sz w:val="24"/>
          <w:szCs w:val="24"/>
          <w:lang w:eastAsia="fr-FR"/>
          <w14:ligatures w14:val="none"/>
        </w:rPr>
      </w:pPr>
      <w:r>
        <w:t>Source</w:t>
      </w:r>
      <w:r w:rsidR="001E2B33">
        <w:t xml:space="preserve"> : </w:t>
      </w:r>
      <w:r w:rsidRPr="00F13867">
        <w:t xml:space="preserve">Données collectées auprès des structures dans le cadre de la </w:t>
      </w:r>
      <w:r w:rsidR="00B635D8">
        <w:t>revue</w:t>
      </w:r>
      <w:r w:rsidRPr="00F13867">
        <w:t xml:space="preserve"> du PNDS 2021-2025</w:t>
      </w:r>
    </w:p>
    <w:p w14:paraId="6B4D30FA" w14:textId="44447CCB" w:rsidR="002F4F74" w:rsidRPr="007E7C5B" w:rsidRDefault="001B4F77" w:rsidP="00761F55">
      <w:pPr>
        <w:pStyle w:val="Textebrut"/>
        <w:jc w:val="both"/>
        <w:rPr>
          <w:rFonts w:ascii="Arial Narrow" w:hAnsi="Arial Narrow" w:cs="Courier New"/>
          <w:iCs/>
          <w:sz w:val="24"/>
          <w:szCs w:val="24"/>
        </w:rPr>
      </w:pPr>
      <w:r w:rsidRPr="00A918AC">
        <w:rPr>
          <w:rFonts w:ascii="Arial Narrow" w:hAnsi="Arial Narrow" w:cs="Courier New"/>
          <w:b/>
          <w:i/>
          <w:sz w:val="24"/>
          <w:szCs w:val="24"/>
        </w:rPr>
        <w:t>Concernant la gestion des déchets sanitaires</w:t>
      </w:r>
      <w:r w:rsidRPr="00A918AC">
        <w:rPr>
          <w:rFonts w:ascii="Arial Narrow" w:hAnsi="Arial Narrow" w:cs="Courier New"/>
          <w:i/>
          <w:sz w:val="24"/>
          <w:szCs w:val="24"/>
        </w:rPr>
        <w:t>,</w:t>
      </w:r>
      <w:r w:rsidRPr="007E7C5B">
        <w:rPr>
          <w:rFonts w:ascii="Arial Narrow" w:hAnsi="Arial Narrow" w:cs="Courier New"/>
          <w:iCs/>
          <w:sz w:val="24"/>
          <w:szCs w:val="24"/>
        </w:rPr>
        <w:t xml:space="preserve"> l’objectif était de faire passer la proportion de déchets sanitaires détruits de 64% en 2020 à 88% en 2023 puis à 100% à la fin de la mise en œuvre du PNDS.</w:t>
      </w:r>
      <w:r w:rsidR="00E33227">
        <w:rPr>
          <w:rFonts w:ascii="Arial Narrow" w:hAnsi="Arial Narrow" w:cs="Courier New"/>
          <w:iCs/>
          <w:sz w:val="24"/>
          <w:szCs w:val="24"/>
        </w:rPr>
        <w:t xml:space="preserve"> </w:t>
      </w:r>
    </w:p>
    <w:p w14:paraId="1B98DCEF" w14:textId="77777777" w:rsidR="002F4F74" w:rsidRPr="007E7C5B" w:rsidRDefault="002F4F74" w:rsidP="00761F55">
      <w:pPr>
        <w:pStyle w:val="Textebrut"/>
        <w:jc w:val="both"/>
        <w:rPr>
          <w:rFonts w:ascii="Arial Narrow" w:hAnsi="Arial Narrow" w:cs="Courier New"/>
          <w:iCs/>
          <w:sz w:val="24"/>
          <w:szCs w:val="24"/>
        </w:rPr>
      </w:pPr>
    </w:p>
    <w:p w14:paraId="72DF3C51" w14:textId="03193163" w:rsidR="001B4F77" w:rsidRPr="007E7C5B" w:rsidRDefault="001B4F77" w:rsidP="00761F55">
      <w:pPr>
        <w:pStyle w:val="Textebrut"/>
        <w:jc w:val="both"/>
        <w:rPr>
          <w:rFonts w:ascii="Arial Narrow" w:eastAsia="Times New Roman" w:hAnsi="Arial Narrow" w:cs="Arial"/>
          <w:iCs/>
          <w:kern w:val="0"/>
          <w:sz w:val="24"/>
          <w:szCs w:val="24"/>
          <w:lang w:val="fr-FR" w:eastAsia="fr-FR"/>
          <w14:ligatures w14:val="none"/>
        </w:rPr>
      </w:pPr>
      <w:r w:rsidRPr="007E7C5B">
        <w:rPr>
          <w:rFonts w:ascii="Arial Narrow" w:eastAsia="Times New Roman" w:hAnsi="Arial Narrow" w:cs="Arial"/>
          <w:iCs/>
          <w:kern w:val="0"/>
          <w:sz w:val="24"/>
          <w:szCs w:val="24"/>
          <w:lang w:val="fr-FR" w:eastAsia="fr-FR"/>
          <w14:ligatures w14:val="none"/>
        </w:rPr>
        <w:t>Ainsi, le plan national de gestion des déchets sanitaires 2021-2025 a été élaboré et mise en œuvre en offrant un cadre de gestion des déchets médicaux et pharmaceutiques plus sécurisée et respectueuse de l'environnement.</w:t>
      </w:r>
      <w:r w:rsidR="005D61A1">
        <w:rPr>
          <w:rFonts w:ascii="Arial Narrow" w:eastAsia="Times New Roman" w:hAnsi="Arial Narrow" w:cs="Arial"/>
          <w:iCs/>
          <w:kern w:val="0"/>
          <w:sz w:val="24"/>
          <w:szCs w:val="24"/>
          <w:lang w:val="fr-FR" w:eastAsia="fr-FR"/>
          <w14:ligatures w14:val="none"/>
        </w:rPr>
        <w:t xml:space="preserve"> </w:t>
      </w:r>
      <w:r w:rsidRPr="007E7C5B">
        <w:rPr>
          <w:rFonts w:ascii="Arial Narrow" w:eastAsia="Times New Roman" w:hAnsi="Arial Narrow" w:cs="Arial"/>
          <w:iCs/>
          <w:kern w:val="0"/>
          <w:sz w:val="24"/>
          <w:szCs w:val="24"/>
          <w:lang w:val="fr-FR" w:eastAsia="fr-FR"/>
          <w14:ligatures w14:val="none"/>
        </w:rPr>
        <w:t xml:space="preserve">A cet effet, au nombre des activités réalisées, on note </w:t>
      </w:r>
      <w:r w:rsidRPr="00A918AC">
        <w:rPr>
          <w:rFonts w:ascii="Arial Narrow" w:eastAsia="Times New Roman" w:hAnsi="Arial Narrow" w:cs="Arial"/>
          <w:i/>
          <w:kern w:val="0"/>
          <w:sz w:val="24"/>
          <w:szCs w:val="24"/>
          <w:lang w:val="fr-FR" w:eastAsia="fr-FR"/>
          <w14:ligatures w14:val="none"/>
        </w:rPr>
        <w:t>(i)</w:t>
      </w:r>
      <w:r w:rsidRPr="007E7C5B">
        <w:rPr>
          <w:rFonts w:ascii="Arial Narrow" w:eastAsia="Times New Roman" w:hAnsi="Arial Narrow" w:cs="Arial"/>
          <w:iCs/>
          <w:kern w:val="0"/>
          <w:sz w:val="24"/>
          <w:szCs w:val="24"/>
          <w:lang w:val="fr-FR" w:eastAsia="fr-FR"/>
          <w14:ligatures w14:val="none"/>
        </w:rPr>
        <w:t xml:space="preserve"> dans le cadre de la contractualisation, un soutien à la collecte, au transport et à l’élimination des déchets sanitaires a été apporté dans 11 </w:t>
      </w:r>
      <w:r w:rsidR="009F4D36" w:rsidRPr="007E7C5B">
        <w:rPr>
          <w:rFonts w:ascii="Arial Narrow" w:eastAsia="Times New Roman" w:hAnsi="Arial Narrow" w:cs="Arial"/>
          <w:iCs/>
          <w:kern w:val="0"/>
          <w:sz w:val="24"/>
          <w:szCs w:val="24"/>
          <w:lang w:val="fr-FR" w:eastAsia="fr-FR"/>
          <w14:ligatures w14:val="none"/>
        </w:rPr>
        <w:t>régions</w:t>
      </w:r>
      <w:r w:rsidRPr="007E7C5B">
        <w:rPr>
          <w:rFonts w:ascii="Arial Narrow" w:eastAsia="Times New Roman" w:hAnsi="Arial Narrow" w:cs="Arial"/>
          <w:iCs/>
          <w:kern w:val="0"/>
          <w:sz w:val="24"/>
          <w:szCs w:val="24"/>
          <w:lang w:val="fr-FR" w:eastAsia="fr-FR"/>
          <w14:ligatures w14:val="none"/>
        </w:rPr>
        <w:t xml:space="preserve"> ayant permis la destruction de </w:t>
      </w:r>
      <w:r w:rsidR="00230A1E">
        <w:rPr>
          <w:rFonts w:ascii="Arial Narrow" w:eastAsia="Times New Roman" w:hAnsi="Arial Narrow" w:cs="Arial"/>
          <w:iCs/>
          <w:kern w:val="0"/>
          <w:sz w:val="24"/>
          <w:szCs w:val="24"/>
          <w:lang w:val="fr-FR" w:eastAsia="fr-FR"/>
          <w14:ligatures w14:val="none"/>
        </w:rPr>
        <w:t>2</w:t>
      </w:r>
      <w:r w:rsidRPr="007E7C5B">
        <w:rPr>
          <w:rFonts w:ascii="Arial Narrow" w:eastAsia="Times New Roman" w:hAnsi="Arial Narrow" w:cs="Arial"/>
          <w:iCs/>
          <w:kern w:val="0"/>
          <w:sz w:val="24"/>
          <w:szCs w:val="24"/>
          <w:lang w:val="fr-FR" w:eastAsia="fr-FR"/>
          <w14:ligatures w14:val="none"/>
        </w:rPr>
        <w:t>000 tonnes de PPI </w:t>
      </w:r>
      <w:r w:rsidR="00E30998" w:rsidRPr="007E7C5B">
        <w:rPr>
          <w:rFonts w:ascii="Arial Narrow" w:eastAsia="Times New Roman" w:hAnsi="Arial Narrow" w:cs="Arial"/>
          <w:iCs/>
          <w:kern w:val="0"/>
          <w:sz w:val="24"/>
          <w:szCs w:val="24"/>
          <w:lang w:val="fr-FR" w:eastAsia="fr-FR"/>
          <w14:ligatures w14:val="none"/>
        </w:rPr>
        <w:t xml:space="preserve">et </w:t>
      </w:r>
      <w:r w:rsidRPr="00A918AC">
        <w:rPr>
          <w:rFonts w:ascii="Arial Narrow" w:eastAsia="Times New Roman" w:hAnsi="Arial Narrow" w:cs="Arial"/>
          <w:i/>
          <w:kern w:val="0"/>
          <w:sz w:val="24"/>
          <w:szCs w:val="24"/>
          <w:lang w:val="fr-FR" w:eastAsia="fr-FR"/>
          <w14:ligatures w14:val="none"/>
        </w:rPr>
        <w:t>(ii)</w:t>
      </w:r>
      <w:r w:rsidRPr="007E7C5B">
        <w:rPr>
          <w:rFonts w:ascii="Arial Narrow" w:eastAsia="Times New Roman" w:hAnsi="Arial Narrow" w:cs="Arial"/>
          <w:iCs/>
          <w:kern w:val="0"/>
          <w:sz w:val="24"/>
          <w:szCs w:val="24"/>
          <w:lang w:val="fr-FR" w:eastAsia="fr-FR"/>
          <w14:ligatures w14:val="none"/>
        </w:rPr>
        <w:t xml:space="preserve"> la supervision et le coaching effectués dans 28 établissements sanitaires (4 CHR et 24 HG). </w:t>
      </w:r>
    </w:p>
    <w:p w14:paraId="6089EFF4" w14:textId="77777777" w:rsidR="001B4F77" w:rsidRPr="007E7C5B" w:rsidRDefault="001B4F77" w:rsidP="00761F55">
      <w:pPr>
        <w:pStyle w:val="Textebrut"/>
        <w:jc w:val="both"/>
        <w:rPr>
          <w:rFonts w:ascii="Arial Narrow" w:eastAsia="Times New Roman" w:hAnsi="Arial Narrow" w:cs="Arial"/>
          <w:iCs/>
          <w:kern w:val="0"/>
          <w:sz w:val="24"/>
          <w:szCs w:val="24"/>
          <w:lang w:val="fr-FR" w:eastAsia="fr-FR"/>
          <w14:ligatures w14:val="none"/>
        </w:rPr>
      </w:pPr>
    </w:p>
    <w:p w14:paraId="055982F4" w14:textId="34455CBD" w:rsidR="001D6776" w:rsidRPr="007E7C5B" w:rsidRDefault="001B4F77" w:rsidP="00761F55">
      <w:pPr>
        <w:pStyle w:val="Textebrut"/>
        <w:jc w:val="both"/>
        <w:rPr>
          <w:rFonts w:ascii="Arial Narrow" w:eastAsia="Times New Roman" w:hAnsi="Arial Narrow" w:cs="Arial"/>
          <w:kern w:val="0"/>
          <w:sz w:val="24"/>
          <w:szCs w:val="24"/>
          <w:lang w:val="fr-FR" w:eastAsia="fr-FR"/>
          <w14:ligatures w14:val="none"/>
        </w:rPr>
      </w:pPr>
      <w:r w:rsidRPr="007E7C5B">
        <w:rPr>
          <w:rFonts w:ascii="Arial Narrow" w:eastAsia="Times New Roman" w:hAnsi="Arial Narrow" w:cs="Arial"/>
          <w:iCs/>
          <w:kern w:val="0"/>
          <w:sz w:val="24"/>
          <w:szCs w:val="24"/>
          <w:lang w:val="fr-FR" w:eastAsia="fr-FR"/>
          <w14:ligatures w14:val="none"/>
        </w:rPr>
        <w:t>Pour renforcer les capacités des districts dans la vision globale</w:t>
      </w:r>
      <w:r w:rsidRPr="007E7C5B">
        <w:rPr>
          <w:rFonts w:ascii="Arial Narrow" w:eastAsia="Times New Roman" w:hAnsi="Arial Narrow" w:cs="Arial"/>
          <w:kern w:val="0"/>
          <w:sz w:val="24"/>
          <w:szCs w:val="24"/>
          <w:lang w:val="fr-FR" w:eastAsia="fr-FR"/>
          <w14:ligatures w14:val="none"/>
        </w:rPr>
        <w:t xml:space="preserve"> de la mise place des </w:t>
      </w:r>
      <w:r w:rsidR="000A056F" w:rsidRPr="007E7C5B">
        <w:rPr>
          <w:rFonts w:ascii="Arial Narrow" w:eastAsia="Times New Roman" w:hAnsi="Arial Narrow" w:cs="Arial"/>
          <w:kern w:val="0"/>
          <w:sz w:val="24"/>
          <w:szCs w:val="24"/>
          <w:lang w:val="fr-FR" w:eastAsia="fr-FR"/>
          <w14:ligatures w14:val="none"/>
        </w:rPr>
        <w:t>PRES</w:t>
      </w:r>
      <w:r w:rsidRPr="007E7C5B">
        <w:rPr>
          <w:rFonts w:ascii="Arial Narrow" w:eastAsia="Times New Roman" w:hAnsi="Arial Narrow" w:cs="Arial"/>
          <w:kern w:val="0"/>
          <w:sz w:val="24"/>
          <w:szCs w:val="24"/>
          <w:lang w:val="fr-FR" w:eastAsia="fr-FR"/>
          <w14:ligatures w14:val="none"/>
        </w:rPr>
        <w:t xml:space="preserve"> au niveau national</w:t>
      </w:r>
      <w:r w:rsidR="007C37A4" w:rsidRPr="007E7C5B">
        <w:rPr>
          <w:rFonts w:ascii="Arial Narrow" w:eastAsia="Times New Roman" w:hAnsi="Arial Narrow" w:cs="Arial"/>
          <w:kern w:val="0"/>
          <w:sz w:val="24"/>
          <w:szCs w:val="24"/>
          <w:lang w:val="fr-FR" w:eastAsia="fr-FR"/>
          <w14:ligatures w14:val="none"/>
        </w:rPr>
        <w:t>,</w:t>
      </w:r>
      <w:r w:rsidRPr="007E7C5B">
        <w:rPr>
          <w:rFonts w:ascii="Arial Narrow" w:eastAsia="Times New Roman" w:hAnsi="Arial Narrow" w:cs="Arial"/>
          <w:kern w:val="0"/>
          <w:sz w:val="24"/>
          <w:szCs w:val="24"/>
          <w:lang w:val="fr-FR" w:eastAsia="fr-FR"/>
          <w14:ligatures w14:val="none"/>
        </w:rPr>
        <w:t xml:space="preserve"> plusieurs actions de gestion moderne des déchets</w:t>
      </w:r>
      <w:r w:rsidR="003734B5" w:rsidRPr="007E7C5B">
        <w:rPr>
          <w:rFonts w:ascii="Arial Narrow" w:eastAsia="Times New Roman" w:hAnsi="Arial Narrow" w:cs="Arial"/>
          <w:kern w:val="0"/>
          <w:sz w:val="24"/>
          <w:szCs w:val="24"/>
          <w:lang w:val="fr-FR" w:eastAsia="fr-FR"/>
          <w14:ligatures w14:val="none"/>
        </w:rPr>
        <w:t xml:space="preserve"> ont été entrep</w:t>
      </w:r>
      <w:r w:rsidR="001D6776" w:rsidRPr="007E7C5B">
        <w:rPr>
          <w:rFonts w:ascii="Arial Narrow" w:eastAsia="Times New Roman" w:hAnsi="Arial Narrow" w:cs="Arial"/>
          <w:kern w:val="0"/>
          <w:sz w:val="24"/>
          <w:szCs w:val="24"/>
          <w:lang w:val="fr-FR" w:eastAsia="fr-FR"/>
          <w14:ligatures w14:val="none"/>
        </w:rPr>
        <w:t>r</w:t>
      </w:r>
      <w:r w:rsidR="003734B5" w:rsidRPr="007E7C5B">
        <w:rPr>
          <w:rFonts w:ascii="Arial Narrow" w:eastAsia="Times New Roman" w:hAnsi="Arial Narrow" w:cs="Arial"/>
          <w:kern w:val="0"/>
          <w:sz w:val="24"/>
          <w:szCs w:val="24"/>
          <w:lang w:val="fr-FR" w:eastAsia="fr-FR"/>
          <w14:ligatures w14:val="none"/>
        </w:rPr>
        <w:t>ises :</w:t>
      </w:r>
      <w:r w:rsidRPr="007E7C5B" w:rsidDel="00C2172A">
        <w:rPr>
          <w:rFonts w:ascii="Arial Narrow" w:eastAsia="Times New Roman" w:hAnsi="Arial Narrow" w:cs="Arial"/>
          <w:kern w:val="0"/>
          <w:sz w:val="24"/>
          <w:szCs w:val="24"/>
          <w:lang w:val="fr-FR" w:eastAsia="fr-FR"/>
          <w14:ligatures w14:val="none"/>
        </w:rPr>
        <w:t xml:space="preserve"> </w:t>
      </w:r>
    </w:p>
    <w:p w14:paraId="53EDE520" w14:textId="5C2C0CF4" w:rsidR="00C2172A" w:rsidRPr="007E7C5B" w:rsidRDefault="003734B5" w:rsidP="000A1A7B">
      <w:pPr>
        <w:pStyle w:val="Textebrut"/>
        <w:numPr>
          <w:ilvl w:val="0"/>
          <w:numId w:val="25"/>
        </w:numPr>
        <w:jc w:val="both"/>
        <w:rPr>
          <w:rFonts w:ascii="Arial Narrow" w:hAnsi="Arial Narrow" w:cs="Courier New"/>
          <w:sz w:val="24"/>
          <w:szCs w:val="24"/>
        </w:rPr>
      </w:pPr>
      <w:r w:rsidRPr="007E7C5B">
        <w:rPr>
          <w:rFonts w:ascii="Arial Narrow" w:eastAsia="Times New Roman" w:hAnsi="Arial Narrow" w:cs="Arial"/>
          <w:kern w:val="0"/>
          <w:sz w:val="24"/>
          <w:szCs w:val="24"/>
          <w:lang w:val="fr-FR" w:eastAsia="fr-FR"/>
          <w14:ligatures w14:val="none"/>
        </w:rPr>
        <w:lastRenderedPageBreak/>
        <w:t>L</w:t>
      </w:r>
      <w:r w:rsidR="001B4F77" w:rsidRPr="007E7C5B">
        <w:rPr>
          <w:rFonts w:ascii="Arial Narrow" w:eastAsia="Times New Roman" w:hAnsi="Arial Narrow" w:cs="Arial"/>
          <w:kern w:val="0"/>
          <w:sz w:val="24"/>
          <w:szCs w:val="24"/>
          <w:lang w:val="fr-FR" w:eastAsia="fr-FR"/>
          <w14:ligatures w14:val="none"/>
        </w:rPr>
        <w:t xml:space="preserve">a réalisation de missions d’évaluation des activités d’accompagnement des 113 districts sanitaires avec comme phase pilote 21 districts sanitaires, </w:t>
      </w:r>
      <w:r w:rsidR="001B4F77" w:rsidRPr="007E7C5B">
        <w:rPr>
          <w:rFonts w:ascii="Arial Narrow" w:hAnsi="Arial Narrow" w:cs="Courier New"/>
          <w:sz w:val="24"/>
          <w:szCs w:val="24"/>
        </w:rPr>
        <w:t xml:space="preserve">en matière de polarisation et de contractualisation de la gestion des déchets sanitaires ; </w:t>
      </w:r>
    </w:p>
    <w:p w14:paraId="04064CFF" w14:textId="0E89850A" w:rsidR="00C2172A" w:rsidRPr="007E7C5B" w:rsidRDefault="003734B5" w:rsidP="000A1A7B">
      <w:pPr>
        <w:pStyle w:val="Textebrut"/>
        <w:numPr>
          <w:ilvl w:val="0"/>
          <w:numId w:val="25"/>
        </w:numPr>
        <w:jc w:val="both"/>
        <w:rPr>
          <w:rFonts w:ascii="Arial Narrow" w:hAnsi="Arial Narrow" w:cs="Courier New"/>
          <w:sz w:val="24"/>
          <w:szCs w:val="24"/>
        </w:rPr>
      </w:pPr>
      <w:r w:rsidRPr="007E7C5B">
        <w:rPr>
          <w:rFonts w:ascii="Arial Narrow" w:hAnsi="Arial Narrow" w:cs="Courier New"/>
          <w:sz w:val="24"/>
          <w:szCs w:val="24"/>
        </w:rPr>
        <w:t>Le</w:t>
      </w:r>
      <w:r w:rsidR="001B4F77" w:rsidRPr="007E7C5B">
        <w:rPr>
          <w:rFonts w:ascii="Arial Narrow" w:hAnsi="Arial Narrow" w:cs="Courier New"/>
          <w:sz w:val="24"/>
          <w:szCs w:val="24"/>
        </w:rPr>
        <w:t xml:space="preserve"> recrutement de trois prestataires privés</w:t>
      </w:r>
      <w:r w:rsidR="004F759B" w:rsidRPr="007E7C5B">
        <w:rPr>
          <w:rFonts w:ascii="Arial Narrow" w:hAnsi="Arial Narrow" w:cs="Courier New"/>
          <w:sz w:val="24"/>
          <w:szCs w:val="24"/>
        </w:rPr>
        <w:t xml:space="preserve"> </w:t>
      </w:r>
      <w:r w:rsidR="001B4F77" w:rsidRPr="007E7C5B">
        <w:rPr>
          <w:rFonts w:ascii="Arial Narrow" w:hAnsi="Arial Narrow" w:cs="Courier New"/>
          <w:sz w:val="24"/>
          <w:szCs w:val="24"/>
        </w:rPr>
        <w:t xml:space="preserve">pour la collecte, le transport et l’élimination des déchets sanitaires dans 22 </w:t>
      </w:r>
      <w:r w:rsidR="009F4D36" w:rsidRPr="007E7C5B">
        <w:rPr>
          <w:rFonts w:ascii="Arial Narrow" w:hAnsi="Arial Narrow" w:cs="Courier New"/>
          <w:sz w:val="24"/>
          <w:szCs w:val="24"/>
        </w:rPr>
        <w:t>régions</w:t>
      </w:r>
      <w:r w:rsidR="001B4F77" w:rsidRPr="007E7C5B">
        <w:rPr>
          <w:rFonts w:ascii="Arial Narrow" w:hAnsi="Arial Narrow" w:cs="Courier New"/>
          <w:sz w:val="24"/>
          <w:szCs w:val="24"/>
        </w:rPr>
        <w:t xml:space="preserve"> subdivisées en 3 zones ; </w:t>
      </w:r>
    </w:p>
    <w:p w14:paraId="25A47188" w14:textId="20955EAC" w:rsidR="00C2172A" w:rsidRPr="007E7C5B" w:rsidRDefault="003734B5" w:rsidP="000A1A7B">
      <w:pPr>
        <w:pStyle w:val="Textebrut"/>
        <w:numPr>
          <w:ilvl w:val="0"/>
          <w:numId w:val="25"/>
        </w:numPr>
        <w:jc w:val="both"/>
        <w:rPr>
          <w:rFonts w:ascii="Arial Narrow" w:hAnsi="Arial Narrow" w:cs="Courier New"/>
          <w:sz w:val="24"/>
          <w:szCs w:val="24"/>
        </w:rPr>
      </w:pPr>
      <w:r w:rsidRPr="007E7C5B">
        <w:rPr>
          <w:rFonts w:ascii="Arial Narrow" w:hAnsi="Arial Narrow" w:cs="Courier New"/>
          <w:sz w:val="24"/>
          <w:szCs w:val="24"/>
        </w:rPr>
        <w:t>L</w:t>
      </w:r>
      <w:r w:rsidR="001B4F77" w:rsidRPr="007E7C5B">
        <w:rPr>
          <w:rFonts w:ascii="Arial Narrow" w:hAnsi="Arial Narrow" w:cs="Courier New"/>
          <w:sz w:val="24"/>
          <w:szCs w:val="24"/>
        </w:rPr>
        <w:t xml:space="preserve">’acquisition de matériel de collecte des déchets sanitaires pour les CHR et HG des trente-trois (33) </w:t>
      </w:r>
      <w:r w:rsidR="009F4D36" w:rsidRPr="007E7C5B">
        <w:rPr>
          <w:rFonts w:ascii="Arial Narrow" w:hAnsi="Arial Narrow" w:cs="Courier New"/>
          <w:sz w:val="24"/>
          <w:szCs w:val="24"/>
        </w:rPr>
        <w:t>régions</w:t>
      </w:r>
      <w:r w:rsidR="001B4F77" w:rsidRPr="007E7C5B">
        <w:rPr>
          <w:rFonts w:ascii="Arial Narrow" w:hAnsi="Arial Narrow" w:cs="Courier New"/>
          <w:sz w:val="24"/>
          <w:szCs w:val="24"/>
        </w:rPr>
        <w:t>, les CHU de Bouaké et de Cocody, l’IPCI et</w:t>
      </w:r>
      <w:r w:rsidR="001B4F77" w:rsidRPr="007E7C5B" w:rsidDel="007B1897">
        <w:rPr>
          <w:rFonts w:ascii="Arial Narrow" w:hAnsi="Arial Narrow" w:cs="Courier New"/>
          <w:sz w:val="24"/>
          <w:szCs w:val="24"/>
        </w:rPr>
        <w:t xml:space="preserve"> </w:t>
      </w:r>
      <w:r w:rsidR="001B4F77" w:rsidRPr="007E7C5B">
        <w:rPr>
          <w:rFonts w:ascii="Arial Narrow" w:hAnsi="Arial Narrow" w:cs="Courier New"/>
          <w:sz w:val="24"/>
          <w:szCs w:val="24"/>
        </w:rPr>
        <w:t>l’INHP</w:t>
      </w:r>
      <w:r w:rsidR="00C2172A" w:rsidRPr="007E7C5B">
        <w:rPr>
          <w:rFonts w:ascii="Arial Narrow" w:hAnsi="Arial Narrow" w:cs="Courier New"/>
          <w:sz w:val="24"/>
          <w:szCs w:val="24"/>
        </w:rPr>
        <w:t> ;</w:t>
      </w:r>
    </w:p>
    <w:p w14:paraId="55139414" w14:textId="5CDE4A86" w:rsidR="00B04D38" w:rsidRPr="007E7C5B" w:rsidRDefault="00AD32B5" w:rsidP="000A1A7B">
      <w:pPr>
        <w:pStyle w:val="Textebrut"/>
        <w:numPr>
          <w:ilvl w:val="0"/>
          <w:numId w:val="25"/>
        </w:numPr>
        <w:jc w:val="both"/>
        <w:rPr>
          <w:rFonts w:ascii="Arial Narrow" w:hAnsi="Arial Narrow" w:cs="Courier New"/>
          <w:sz w:val="24"/>
          <w:szCs w:val="24"/>
        </w:rPr>
      </w:pPr>
      <w:r w:rsidRPr="007E7C5B">
        <w:rPr>
          <w:rFonts w:ascii="Arial Narrow" w:hAnsi="Arial Narrow" w:cs="Courier New"/>
          <w:sz w:val="24"/>
          <w:szCs w:val="24"/>
        </w:rPr>
        <w:t>L</w:t>
      </w:r>
      <w:r w:rsidR="001B4F77" w:rsidRPr="007E7C5B">
        <w:rPr>
          <w:rFonts w:ascii="Arial Narrow" w:hAnsi="Arial Narrow" w:cs="Courier New"/>
          <w:sz w:val="24"/>
          <w:szCs w:val="24"/>
        </w:rPr>
        <w:t xml:space="preserve">a collecte, </w:t>
      </w:r>
      <w:r w:rsidRPr="007E7C5B">
        <w:rPr>
          <w:rFonts w:ascii="Arial Narrow" w:hAnsi="Arial Narrow" w:cs="Courier New"/>
          <w:sz w:val="24"/>
          <w:szCs w:val="24"/>
        </w:rPr>
        <w:t xml:space="preserve">le </w:t>
      </w:r>
      <w:r w:rsidR="001B4F77" w:rsidRPr="007E7C5B">
        <w:rPr>
          <w:rFonts w:ascii="Arial Narrow" w:hAnsi="Arial Narrow" w:cs="Courier New"/>
          <w:sz w:val="24"/>
          <w:szCs w:val="24"/>
        </w:rPr>
        <w:t>transport et</w:t>
      </w:r>
      <w:r w:rsidR="001B4F77" w:rsidRPr="007E7C5B" w:rsidDel="00AD32B5">
        <w:rPr>
          <w:rFonts w:ascii="Arial Narrow" w:hAnsi="Arial Narrow" w:cs="Courier New"/>
          <w:sz w:val="24"/>
          <w:szCs w:val="24"/>
        </w:rPr>
        <w:t xml:space="preserve"> </w:t>
      </w:r>
      <w:r w:rsidR="001B4F77" w:rsidRPr="007E7C5B">
        <w:rPr>
          <w:rFonts w:ascii="Arial Narrow" w:hAnsi="Arial Narrow" w:cs="Courier New"/>
          <w:sz w:val="24"/>
          <w:szCs w:val="24"/>
        </w:rPr>
        <w:t xml:space="preserve">l’élimination des déchets COVID 19 et de vaccination dans les </w:t>
      </w:r>
      <w:r w:rsidR="009F4D36" w:rsidRPr="007E7C5B">
        <w:rPr>
          <w:rFonts w:ascii="Arial Narrow" w:hAnsi="Arial Narrow" w:cs="Courier New"/>
          <w:sz w:val="24"/>
          <w:szCs w:val="24"/>
        </w:rPr>
        <w:t>régions</w:t>
      </w:r>
      <w:r w:rsidR="001B4F77" w:rsidRPr="007E7C5B">
        <w:rPr>
          <w:rFonts w:ascii="Arial Narrow" w:hAnsi="Arial Narrow" w:cs="Courier New"/>
          <w:sz w:val="24"/>
          <w:szCs w:val="24"/>
        </w:rPr>
        <w:t xml:space="preserve"> de Abidjan 1, Abidjan 2, Sud Comoé, </w:t>
      </w:r>
      <w:proofErr w:type="spellStart"/>
      <w:r w:rsidR="001B4F77" w:rsidRPr="007E7C5B">
        <w:rPr>
          <w:rFonts w:ascii="Arial Narrow" w:hAnsi="Arial Narrow" w:cs="Courier New"/>
          <w:sz w:val="24"/>
          <w:szCs w:val="24"/>
        </w:rPr>
        <w:t>Agnéby-Tiassa</w:t>
      </w:r>
      <w:proofErr w:type="spellEnd"/>
      <w:r w:rsidR="001B4F77" w:rsidRPr="007E7C5B">
        <w:rPr>
          <w:rFonts w:ascii="Arial Narrow" w:hAnsi="Arial Narrow" w:cs="Courier New"/>
          <w:sz w:val="24"/>
          <w:szCs w:val="24"/>
        </w:rPr>
        <w:t>, Mé, Grands</w:t>
      </w:r>
      <w:r w:rsidR="00A17FC3" w:rsidRPr="007E7C5B">
        <w:rPr>
          <w:rFonts w:ascii="Arial Narrow" w:hAnsi="Arial Narrow" w:cs="Courier New"/>
          <w:sz w:val="24"/>
          <w:szCs w:val="24"/>
        </w:rPr>
        <w:t>-P</w:t>
      </w:r>
      <w:r w:rsidR="001B4F77" w:rsidRPr="007E7C5B">
        <w:rPr>
          <w:rFonts w:ascii="Arial Narrow" w:hAnsi="Arial Narrow" w:cs="Courier New"/>
          <w:sz w:val="24"/>
          <w:szCs w:val="24"/>
        </w:rPr>
        <w:t xml:space="preserve">onts, Bélier, </w:t>
      </w:r>
      <w:proofErr w:type="spellStart"/>
      <w:r w:rsidR="001B4F77" w:rsidRPr="007E7C5B">
        <w:rPr>
          <w:rFonts w:ascii="Arial Narrow" w:hAnsi="Arial Narrow" w:cs="Courier New"/>
          <w:sz w:val="24"/>
          <w:szCs w:val="24"/>
        </w:rPr>
        <w:t>Gbèkè</w:t>
      </w:r>
      <w:proofErr w:type="spellEnd"/>
      <w:r w:rsidR="001B4F77" w:rsidRPr="007E7C5B">
        <w:rPr>
          <w:rFonts w:ascii="Arial Narrow" w:hAnsi="Arial Narrow" w:cs="Courier New"/>
          <w:sz w:val="24"/>
          <w:szCs w:val="24"/>
        </w:rPr>
        <w:t xml:space="preserve">, </w:t>
      </w:r>
      <w:proofErr w:type="spellStart"/>
      <w:r w:rsidR="001B4F77" w:rsidRPr="007E7C5B">
        <w:rPr>
          <w:rFonts w:ascii="Arial Narrow" w:hAnsi="Arial Narrow" w:cs="Courier New"/>
          <w:sz w:val="24"/>
          <w:szCs w:val="24"/>
        </w:rPr>
        <w:t>Poro</w:t>
      </w:r>
      <w:proofErr w:type="spellEnd"/>
      <w:r w:rsidR="001B4F77" w:rsidRPr="007E7C5B">
        <w:rPr>
          <w:rFonts w:ascii="Arial Narrow" w:hAnsi="Arial Narrow" w:cs="Courier New"/>
          <w:sz w:val="24"/>
          <w:szCs w:val="24"/>
        </w:rPr>
        <w:t xml:space="preserve">, </w:t>
      </w:r>
      <w:proofErr w:type="spellStart"/>
      <w:r w:rsidR="001B4F77" w:rsidRPr="007E7C5B">
        <w:rPr>
          <w:rFonts w:ascii="Arial Narrow" w:hAnsi="Arial Narrow" w:cs="Courier New"/>
          <w:sz w:val="24"/>
          <w:szCs w:val="24"/>
        </w:rPr>
        <w:t>Tchologo</w:t>
      </w:r>
      <w:proofErr w:type="spellEnd"/>
      <w:r w:rsidR="001B4F77" w:rsidRPr="007E7C5B">
        <w:rPr>
          <w:rFonts w:ascii="Arial Narrow" w:hAnsi="Arial Narrow" w:cs="Courier New"/>
          <w:sz w:val="24"/>
          <w:szCs w:val="24"/>
        </w:rPr>
        <w:t xml:space="preserve"> et </w:t>
      </w:r>
      <w:proofErr w:type="spellStart"/>
      <w:r w:rsidR="001B4F77" w:rsidRPr="007E7C5B">
        <w:rPr>
          <w:rFonts w:ascii="Arial Narrow" w:hAnsi="Arial Narrow" w:cs="Courier New"/>
          <w:sz w:val="24"/>
          <w:szCs w:val="24"/>
        </w:rPr>
        <w:t>Bagoué</w:t>
      </w:r>
      <w:proofErr w:type="spellEnd"/>
      <w:r w:rsidR="0048485E" w:rsidRPr="007E7C5B">
        <w:rPr>
          <w:rFonts w:ascii="Arial Narrow" w:hAnsi="Arial Narrow" w:cs="Courier New"/>
          <w:sz w:val="24"/>
          <w:szCs w:val="24"/>
        </w:rPr>
        <w:t> ;</w:t>
      </w:r>
    </w:p>
    <w:p w14:paraId="57695F6F" w14:textId="1613F5D0" w:rsidR="001B4F77" w:rsidRPr="007E7C5B" w:rsidRDefault="00B04D38" w:rsidP="000A1A7B">
      <w:pPr>
        <w:pStyle w:val="Textebrut"/>
        <w:numPr>
          <w:ilvl w:val="0"/>
          <w:numId w:val="25"/>
        </w:numPr>
        <w:jc w:val="both"/>
        <w:rPr>
          <w:rFonts w:ascii="Arial Narrow" w:hAnsi="Arial Narrow" w:cs="Courier New"/>
          <w:sz w:val="24"/>
          <w:szCs w:val="24"/>
        </w:rPr>
      </w:pPr>
      <w:r w:rsidRPr="007E7C5B">
        <w:rPr>
          <w:rFonts w:ascii="Arial Narrow" w:hAnsi="Arial Narrow" w:cs="Courier New"/>
          <w:sz w:val="24"/>
          <w:szCs w:val="24"/>
        </w:rPr>
        <w:t>L</w:t>
      </w:r>
      <w:r w:rsidR="001B4F77" w:rsidRPr="007E7C5B">
        <w:rPr>
          <w:rFonts w:ascii="Arial Narrow" w:hAnsi="Arial Narrow" w:cs="Courier New"/>
          <w:sz w:val="24"/>
          <w:szCs w:val="24"/>
        </w:rPr>
        <w:t>a formation de 50 personnels des prestataires privés à la gestion des déchets sanitaires.</w:t>
      </w:r>
    </w:p>
    <w:p w14:paraId="44942919" w14:textId="77777777" w:rsidR="001B4F77" w:rsidRPr="007E7C5B" w:rsidRDefault="001B4F77" w:rsidP="00761F55">
      <w:pPr>
        <w:pStyle w:val="Textebrut"/>
        <w:jc w:val="both"/>
        <w:rPr>
          <w:rFonts w:ascii="Arial Narrow" w:hAnsi="Arial Narrow" w:cs="Courier New"/>
          <w:sz w:val="24"/>
          <w:szCs w:val="24"/>
        </w:rPr>
      </w:pPr>
    </w:p>
    <w:p w14:paraId="02F9753C" w14:textId="78885E61" w:rsidR="001B4F77" w:rsidRPr="007E7C5B" w:rsidRDefault="001B4F77" w:rsidP="00761F55">
      <w:pPr>
        <w:pStyle w:val="Textebrut"/>
        <w:jc w:val="both"/>
        <w:rPr>
          <w:rFonts w:ascii="Arial Narrow" w:hAnsi="Arial Narrow" w:cs="Courier New"/>
          <w:sz w:val="24"/>
          <w:szCs w:val="24"/>
        </w:rPr>
      </w:pPr>
      <w:r w:rsidRPr="007E7C5B">
        <w:rPr>
          <w:rFonts w:ascii="Arial Narrow" w:hAnsi="Arial Narrow" w:cs="Courier New"/>
          <w:sz w:val="24"/>
          <w:szCs w:val="24"/>
        </w:rPr>
        <w:t>Les actions menées notamment la contractualisation et la polarisation de la gestion des déchets sanitair</w:t>
      </w:r>
      <w:r w:rsidR="00A10DD1">
        <w:rPr>
          <w:rFonts w:ascii="Arial Narrow" w:hAnsi="Arial Narrow" w:cs="Courier New"/>
          <w:sz w:val="24"/>
          <w:szCs w:val="24"/>
        </w:rPr>
        <w:t>es</w:t>
      </w:r>
      <w:r w:rsidRPr="007E7C5B">
        <w:rPr>
          <w:rFonts w:ascii="Arial Narrow" w:hAnsi="Arial Narrow" w:cs="Courier New"/>
          <w:sz w:val="24"/>
          <w:szCs w:val="24"/>
        </w:rPr>
        <w:t xml:space="preserve"> en 2023 ont permis d’améliorer les performances et la généralisation de la pratique de la gestion écologiquement rationnelle des déchets en mutualisant les ressources</w:t>
      </w:r>
      <w:r w:rsidR="00A42EFD" w:rsidRPr="007E7C5B">
        <w:rPr>
          <w:rFonts w:ascii="Arial Narrow" w:hAnsi="Arial Narrow" w:cs="Courier New"/>
          <w:sz w:val="24"/>
          <w:szCs w:val="24"/>
        </w:rPr>
        <w:t>,</w:t>
      </w:r>
      <w:r w:rsidRPr="007E7C5B">
        <w:rPr>
          <w:rFonts w:ascii="Arial Narrow" w:hAnsi="Arial Narrow" w:cs="Courier New"/>
          <w:sz w:val="24"/>
          <w:szCs w:val="24"/>
        </w:rPr>
        <w:t xml:space="preserve"> faisant passer la proportion de déchet sanitaires détruits de 64% en 2020 à 71% en 2023 (Rapport d’activités 2023). </w:t>
      </w:r>
    </w:p>
    <w:p w14:paraId="21DFD20E" w14:textId="77777777" w:rsidR="00413D1C" w:rsidRPr="007E7C5B" w:rsidRDefault="00413D1C" w:rsidP="00761F55">
      <w:pPr>
        <w:jc w:val="both"/>
        <w:rPr>
          <w:rFonts w:ascii="Arial Narrow" w:hAnsi="Arial Narrow"/>
          <w:color w:val="FF0000"/>
          <w:sz w:val="24"/>
          <w:szCs w:val="24"/>
        </w:rPr>
      </w:pPr>
    </w:p>
    <w:p w14:paraId="39A46D38" w14:textId="4A58F626" w:rsidR="00E015C1" w:rsidRPr="007E7C5B" w:rsidRDefault="00B051C2" w:rsidP="00AA7D22">
      <w:pPr>
        <w:pStyle w:val="Titre5"/>
        <w:shd w:val="clear" w:color="auto" w:fill="FBE4D5" w:themeFill="accent2" w:themeFillTint="33"/>
        <w:rPr>
          <w:rFonts w:ascii="Arial Narrow" w:hAnsi="Arial Narrow"/>
          <w:b/>
          <w:color w:val="auto"/>
          <w:sz w:val="24"/>
          <w:szCs w:val="24"/>
        </w:rPr>
      </w:pPr>
      <w:r w:rsidRPr="007E7C5B">
        <w:rPr>
          <w:rFonts w:ascii="Arial Narrow" w:hAnsi="Arial Narrow"/>
          <w:b/>
          <w:color w:val="auto"/>
          <w:sz w:val="24"/>
          <w:szCs w:val="24"/>
        </w:rPr>
        <w:t>G</w:t>
      </w:r>
      <w:r w:rsidR="00F0208D" w:rsidRPr="007E7C5B">
        <w:rPr>
          <w:rFonts w:ascii="Arial Narrow" w:hAnsi="Arial Narrow"/>
          <w:b/>
          <w:color w:val="auto"/>
          <w:sz w:val="24"/>
          <w:szCs w:val="24"/>
        </w:rPr>
        <w:t>estion et fourniture de soins de qualité</w:t>
      </w:r>
    </w:p>
    <w:p w14:paraId="46048D64" w14:textId="589F1D12" w:rsidR="00D67F2A" w:rsidRPr="007E7C5B" w:rsidRDefault="00D67F2A" w:rsidP="00761F55">
      <w:pPr>
        <w:jc w:val="both"/>
        <w:rPr>
          <w:rFonts w:ascii="Arial Narrow" w:eastAsia="Times New Roman" w:hAnsi="Arial Narrow" w:cstheme="minorHAnsi"/>
          <w:sz w:val="24"/>
          <w:szCs w:val="24"/>
        </w:rPr>
      </w:pPr>
      <w:r w:rsidRPr="009F3825">
        <w:rPr>
          <w:rFonts w:ascii="Arial Narrow" w:hAnsi="Arial Narrow" w:cstheme="minorHAnsi"/>
          <w:b/>
          <w:sz w:val="24"/>
          <w:szCs w:val="24"/>
        </w:rPr>
        <w:t>En vue de l’application effective des normes, directives et procédures en matière de qualité des services dans les établissements de santé</w:t>
      </w:r>
      <w:r w:rsidRPr="009F3825">
        <w:rPr>
          <w:rFonts w:ascii="Arial Narrow" w:hAnsi="Arial Narrow" w:cstheme="minorHAnsi"/>
          <w:sz w:val="24"/>
          <w:szCs w:val="24"/>
        </w:rPr>
        <w:t>, </w:t>
      </w:r>
      <w:r w:rsidRPr="009F3825">
        <w:rPr>
          <w:rFonts w:ascii="Arial Narrow" w:eastAsia="Times New Roman" w:hAnsi="Arial Narrow" w:cstheme="minorHAnsi"/>
          <w:sz w:val="24"/>
          <w:szCs w:val="24"/>
        </w:rPr>
        <w:t xml:space="preserve">un document de politique, un document de stratégie nationale d’amélioration de la qualité, hygiène et sécurité et </w:t>
      </w:r>
      <w:r w:rsidR="004331E5" w:rsidRPr="009F3825">
        <w:rPr>
          <w:rFonts w:ascii="Arial Narrow" w:eastAsia="Times New Roman" w:hAnsi="Arial Narrow" w:cstheme="minorHAnsi"/>
          <w:sz w:val="24"/>
          <w:szCs w:val="24"/>
        </w:rPr>
        <w:t>ainsi qu’</w:t>
      </w:r>
      <w:r w:rsidRPr="009F3825">
        <w:rPr>
          <w:rFonts w:ascii="Arial Narrow" w:hAnsi="Arial Narrow" w:cstheme="minorHAnsi"/>
          <w:sz w:val="24"/>
          <w:szCs w:val="24"/>
        </w:rPr>
        <w:t xml:space="preserve">un guide de formation des prestataires sur le modèle du continuum des soins de santé maternelle et néonatale </w:t>
      </w:r>
      <w:r w:rsidRPr="009F3825">
        <w:rPr>
          <w:rFonts w:ascii="Arial Narrow" w:eastAsia="Times New Roman" w:hAnsi="Arial Narrow" w:cstheme="minorHAnsi"/>
          <w:sz w:val="24"/>
          <w:szCs w:val="24"/>
        </w:rPr>
        <w:t>ont été élaborés et validés. Ces documents ont permis de créer le cadre pour la mise en œuvre de la démarche qualité dans les établissements de santé.</w:t>
      </w:r>
      <w:r w:rsidRPr="007E7C5B">
        <w:rPr>
          <w:rFonts w:ascii="Arial Narrow" w:eastAsia="Times New Roman" w:hAnsi="Arial Narrow" w:cstheme="minorHAnsi"/>
          <w:sz w:val="24"/>
          <w:szCs w:val="24"/>
        </w:rPr>
        <w:t xml:space="preserve"> </w:t>
      </w:r>
    </w:p>
    <w:p w14:paraId="6B25B65A" w14:textId="5632E3E7" w:rsidR="00806850" w:rsidRPr="007E7C5B" w:rsidRDefault="00806850" w:rsidP="00806850">
      <w:pPr>
        <w:jc w:val="both"/>
        <w:rPr>
          <w:rFonts w:ascii="Arial Narrow" w:hAnsi="Arial Narrow" w:cs="Arial"/>
          <w:sz w:val="24"/>
          <w:szCs w:val="24"/>
        </w:rPr>
      </w:pPr>
      <w:r w:rsidRPr="007E7C5B">
        <w:rPr>
          <w:rFonts w:ascii="Arial Narrow" w:hAnsi="Arial Narrow" w:cs="Arial"/>
          <w:sz w:val="24"/>
          <w:szCs w:val="24"/>
        </w:rPr>
        <w:t>Dans</w:t>
      </w:r>
      <w:r w:rsidRPr="007E7C5B">
        <w:rPr>
          <w:rFonts w:ascii="Arial Narrow" w:hAnsi="Arial Narrow" w:cs="Arial"/>
          <w:bCs/>
          <w:sz w:val="24"/>
          <w:szCs w:val="24"/>
        </w:rPr>
        <w:t xml:space="preserve"> le cadre de l’amélioration de la qualité des soins</w:t>
      </w:r>
      <w:r w:rsidR="00C8011A" w:rsidRPr="007E7C5B">
        <w:rPr>
          <w:rFonts w:ascii="Arial Narrow" w:hAnsi="Arial Narrow" w:cs="Arial"/>
          <w:bCs/>
          <w:sz w:val="24"/>
          <w:szCs w:val="24"/>
        </w:rPr>
        <w:t>,</w:t>
      </w:r>
      <w:r w:rsidRPr="007E7C5B">
        <w:rPr>
          <w:rFonts w:ascii="Arial Narrow" w:hAnsi="Arial Narrow" w:cs="Arial"/>
          <w:bCs/>
          <w:sz w:val="24"/>
          <w:szCs w:val="24"/>
        </w:rPr>
        <w:t xml:space="preserve"> plusieurs initiatives ont été mis en place à savoir : </w:t>
      </w:r>
      <w:r w:rsidRPr="007E7C5B">
        <w:rPr>
          <w:rFonts w:ascii="Arial Narrow" w:hAnsi="Arial Narrow" w:cs="Arial"/>
          <w:bCs/>
          <w:i/>
          <w:iCs/>
          <w:sz w:val="24"/>
          <w:szCs w:val="24"/>
        </w:rPr>
        <w:t>(i)</w:t>
      </w:r>
      <w:r w:rsidRPr="007E7C5B">
        <w:rPr>
          <w:rFonts w:ascii="Arial Narrow" w:hAnsi="Arial Narrow" w:cs="Arial"/>
          <w:bCs/>
          <w:sz w:val="24"/>
          <w:szCs w:val="24"/>
        </w:rPr>
        <w:t xml:space="preserve"> la formation des prestataires en auto-évaluation de la Santé Reproductive, Maternelle, Néonatale et Infantile (SRMNI) dans 18 structures sanitaires issues des 06 districts sanitaires de la région du </w:t>
      </w:r>
      <w:proofErr w:type="spellStart"/>
      <w:r w:rsidRPr="007E7C5B">
        <w:rPr>
          <w:rFonts w:ascii="Arial Narrow" w:hAnsi="Arial Narrow" w:cs="Arial"/>
          <w:bCs/>
          <w:sz w:val="24"/>
          <w:szCs w:val="24"/>
        </w:rPr>
        <w:t>Gbêkê</w:t>
      </w:r>
      <w:proofErr w:type="spellEnd"/>
      <w:r w:rsidRPr="007E7C5B">
        <w:rPr>
          <w:rFonts w:ascii="Arial Narrow" w:hAnsi="Arial Narrow" w:cs="Arial"/>
          <w:bCs/>
          <w:sz w:val="24"/>
          <w:szCs w:val="24"/>
        </w:rPr>
        <w:t xml:space="preserve">, à travers l’outil intégré de l’OMS d’évaluation et d’amélioration de la qualité des soins au cours de la grossesse, de l’accouchement et de la période post natale ; </w:t>
      </w:r>
      <w:r w:rsidRPr="007E7C5B">
        <w:rPr>
          <w:rFonts w:ascii="Arial Narrow" w:hAnsi="Arial Narrow" w:cs="Arial"/>
          <w:bCs/>
          <w:i/>
          <w:iCs/>
          <w:sz w:val="24"/>
          <w:szCs w:val="24"/>
        </w:rPr>
        <w:t>(ii)</w:t>
      </w:r>
      <w:r w:rsidRPr="007E7C5B">
        <w:rPr>
          <w:rFonts w:ascii="Arial Narrow" w:hAnsi="Arial Narrow" w:cs="Arial"/>
          <w:bCs/>
          <w:sz w:val="24"/>
          <w:szCs w:val="24"/>
        </w:rPr>
        <w:t xml:space="preserve"> le processus d’attribution de label de qualité des soins SRMNI (structure de santé 5 étoiles) à 18 structures sanitaires dans les districts de </w:t>
      </w:r>
      <w:proofErr w:type="spellStart"/>
      <w:r w:rsidRPr="007E7C5B">
        <w:rPr>
          <w:rFonts w:ascii="Arial Narrow" w:hAnsi="Arial Narrow" w:cs="Arial"/>
          <w:bCs/>
          <w:sz w:val="24"/>
          <w:szCs w:val="24"/>
        </w:rPr>
        <w:t>Ferké</w:t>
      </w:r>
      <w:proofErr w:type="spellEnd"/>
      <w:r w:rsidRPr="007E7C5B">
        <w:rPr>
          <w:rFonts w:ascii="Arial Narrow" w:hAnsi="Arial Narrow" w:cs="Arial"/>
          <w:bCs/>
          <w:sz w:val="24"/>
          <w:szCs w:val="24"/>
        </w:rPr>
        <w:t xml:space="preserve">, Odienné, </w:t>
      </w:r>
      <w:proofErr w:type="spellStart"/>
      <w:r w:rsidRPr="007E7C5B">
        <w:rPr>
          <w:rFonts w:ascii="Arial Narrow" w:hAnsi="Arial Narrow" w:cs="Arial"/>
          <w:bCs/>
          <w:sz w:val="24"/>
          <w:szCs w:val="24"/>
        </w:rPr>
        <w:t>Botro</w:t>
      </w:r>
      <w:proofErr w:type="spellEnd"/>
      <w:r w:rsidRPr="007E7C5B">
        <w:rPr>
          <w:rFonts w:ascii="Arial Narrow" w:hAnsi="Arial Narrow" w:cs="Arial"/>
          <w:bCs/>
          <w:sz w:val="24"/>
          <w:szCs w:val="24"/>
        </w:rPr>
        <w:t xml:space="preserve"> et </w:t>
      </w:r>
      <w:proofErr w:type="spellStart"/>
      <w:r w:rsidRPr="007E7C5B">
        <w:rPr>
          <w:rFonts w:ascii="Arial Narrow" w:hAnsi="Arial Narrow" w:cs="Arial"/>
          <w:bCs/>
          <w:sz w:val="24"/>
          <w:szCs w:val="24"/>
        </w:rPr>
        <w:t>Tanda</w:t>
      </w:r>
      <w:proofErr w:type="spellEnd"/>
      <w:r w:rsidR="00A8562E" w:rsidRPr="007E7C5B">
        <w:rPr>
          <w:rFonts w:ascii="Arial Narrow" w:hAnsi="Arial Narrow" w:cs="Arial"/>
          <w:bCs/>
          <w:sz w:val="24"/>
          <w:szCs w:val="24"/>
        </w:rPr>
        <w:t> ;</w:t>
      </w:r>
      <w:r w:rsidRPr="007E7C5B">
        <w:rPr>
          <w:rFonts w:ascii="Arial Narrow" w:hAnsi="Arial Narrow" w:cs="Arial"/>
          <w:bCs/>
          <w:sz w:val="24"/>
          <w:szCs w:val="24"/>
        </w:rPr>
        <w:t xml:space="preserve"> </w:t>
      </w:r>
      <w:r w:rsidRPr="007E7C5B">
        <w:rPr>
          <w:rFonts w:ascii="Arial Narrow" w:hAnsi="Arial Narrow" w:cs="Arial"/>
          <w:bCs/>
          <w:i/>
          <w:iCs/>
          <w:sz w:val="24"/>
          <w:szCs w:val="24"/>
        </w:rPr>
        <w:t>(i</w:t>
      </w:r>
      <w:r w:rsidR="00ED35B8" w:rsidRPr="007E7C5B">
        <w:rPr>
          <w:rFonts w:ascii="Arial Narrow" w:hAnsi="Arial Narrow" w:cs="Arial"/>
          <w:bCs/>
          <w:i/>
          <w:iCs/>
          <w:sz w:val="24"/>
          <w:szCs w:val="24"/>
        </w:rPr>
        <w:t>i</w:t>
      </w:r>
      <w:r w:rsidRPr="007E7C5B">
        <w:rPr>
          <w:rFonts w:ascii="Arial Narrow" w:hAnsi="Arial Narrow" w:cs="Arial"/>
          <w:bCs/>
          <w:i/>
          <w:iCs/>
          <w:sz w:val="24"/>
          <w:szCs w:val="24"/>
        </w:rPr>
        <w:t>i)</w:t>
      </w:r>
      <w:r w:rsidRPr="007E7C5B">
        <w:rPr>
          <w:rFonts w:ascii="Arial Narrow" w:hAnsi="Arial Narrow" w:cs="Arial"/>
          <w:bCs/>
          <w:sz w:val="24"/>
          <w:szCs w:val="24"/>
        </w:rPr>
        <w:t xml:space="preserve"> </w:t>
      </w:r>
      <w:r w:rsidR="0077771A" w:rsidRPr="007E7C5B">
        <w:rPr>
          <w:rFonts w:ascii="Arial Narrow" w:hAnsi="Arial Narrow" w:cstheme="minorHAnsi"/>
          <w:sz w:val="24"/>
          <w:szCs w:val="24"/>
        </w:rPr>
        <w:t xml:space="preserve">l’équipement des Hôpitaux de référence et </w:t>
      </w:r>
      <w:r w:rsidR="002E103D" w:rsidRPr="007E7C5B">
        <w:rPr>
          <w:rFonts w:ascii="Arial Narrow" w:hAnsi="Arial Narrow" w:cstheme="minorHAnsi"/>
          <w:sz w:val="24"/>
          <w:szCs w:val="24"/>
        </w:rPr>
        <w:t>d</w:t>
      </w:r>
      <w:r w:rsidR="0077771A" w:rsidRPr="007E7C5B">
        <w:rPr>
          <w:rFonts w:ascii="Arial Narrow" w:hAnsi="Arial Narrow" w:cstheme="minorHAnsi"/>
          <w:sz w:val="24"/>
          <w:szCs w:val="24"/>
        </w:rPr>
        <w:t>es ESPC pour offrir les SONU</w:t>
      </w:r>
      <w:r w:rsidR="002E103D" w:rsidRPr="007E7C5B">
        <w:rPr>
          <w:rFonts w:ascii="Arial Narrow" w:hAnsi="Arial Narrow" w:cstheme="minorHAnsi"/>
          <w:sz w:val="24"/>
          <w:szCs w:val="24"/>
        </w:rPr>
        <w:t xml:space="preserve"> </w:t>
      </w:r>
      <w:r w:rsidR="007F47F8" w:rsidRPr="007E7C5B">
        <w:rPr>
          <w:rFonts w:ascii="Arial Narrow" w:hAnsi="Arial Narrow" w:cstheme="minorHAnsi"/>
          <w:sz w:val="24"/>
          <w:szCs w:val="24"/>
        </w:rPr>
        <w:t>;</w:t>
      </w:r>
      <w:r w:rsidR="002E103D" w:rsidRPr="007E7C5B">
        <w:rPr>
          <w:rFonts w:ascii="Arial Narrow" w:hAnsi="Arial Narrow" w:cstheme="minorHAnsi"/>
          <w:sz w:val="24"/>
          <w:szCs w:val="24"/>
        </w:rPr>
        <w:t xml:space="preserve"> </w:t>
      </w:r>
      <w:r w:rsidR="002E103D" w:rsidRPr="00A918AC">
        <w:rPr>
          <w:rFonts w:ascii="Arial Narrow" w:hAnsi="Arial Narrow" w:cstheme="minorHAnsi"/>
          <w:i/>
          <w:sz w:val="24"/>
          <w:szCs w:val="24"/>
        </w:rPr>
        <w:t>(iv)</w:t>
      </w:r>
      <w:r w:rsidR="007F47F8" w:rsidRPr="007E7C5B">
        <w:rPr>
          <w:rFonts w:ascii="Arial Narrow" w:hAnsi="Arial Narrow" w:cstheme="minorHAnsi"/>
          <w:sz w:val="24"/>
          <w:szCs w:val="24"/>
        </w:rPr>
        <w:t xml:space="preserve"> </w:t>
      </w:r>
      <w:r w:rsidRPr="007E7C5B">
        <w:rPr>
          <w:rFonts w:ascii="Arial Narrow" w:hAnsi="Arial Narrow" w:cs="Arial"/>
          <w:sz w:val="24"/>
          <w:szCs w:val="24"/>
        </w:rPr>
        <w:t>la révision de documents de politique, de protocoles, normes et outils de référence SR/PF</w:t>
      </w:r>
      <w:r w:rsidR="00A8562E" w:rsidRPr="007E7C5B">
        <w:rPr>
          <w:rFonts w:ascii="Arial Narrow" w:hAnsi="Arial Narrow" w:cs="Arial"/>
          <w:sz w:val="24"/>
          <w:szCs w:val="24"/>
        </w:rPr>
        <w:t xml:space="preserve"> ainsi que </w:t>
      </w:r>
      <w:r w:rsidR="002F4EAD" w:rsidRPr="00A918AC">
        <w:rPr>
          <w:rFonts w:ascii="Arial Narrow" w:hAnsi="Arial Narrow" w:cs="Arial"/>
          <w:i/>
          <w:sz w:val="24"/>
          <w:szCs w:val="24"/>
        </w:rPr>
        <w:t>(v)</w:t>
      </w:r>
      <w:r w:rsidR="002F4EAD" w:rsidRPr="007E7C5B">
        <w:rPr>
          <w:rFonts w:ascii="Arial Narrow" w:hAnsi="Arial Narrow" w:cs="Arial"/>
          <w:sz w:val="24"/>
          <w:szCs w:val="24"/>
        </w:rPr>
        <w:t xml:space="preserve"> </w:t>
      </w:r>
      <w:r w:rsidR="00A8562E" w:rsidRPr="007E7C5B">
        <w:rPr>
          <w:rFonts w:ascii="Arial Narrow" w:hAnsi="Arial Narrow" w:cstheme="minorHAnsi"/>
          <w:sz w:val="24"/>
          <w:szCs w:val="24"/>
        </w:rPr>
        <w:t>l’introduction du module des soins humanisés dans le curricula de formation à l’INFAS</w:t>
      </w:r>
      <w:r w:rsidR="002F4EAD" w:rsidRPr="007E7C5B">
        <w:rPr>
          <w:rFonts w:ascii="Arial Narrow" w:hAnsi="Arial Narrow" w:cstheme="minorHAnsi"/>
          <w:sz w:val="24"/>
          <w:szCs w:val="24"/>
        </w:rPr>
        <w:t>.</w:t>
      </w:r>
    </w:p>
    <w:p w14:paraId="5551653A" w14:textId="0CCF101B" w:rsidR="00C70511" w:rsidRPr="007E7C5B" w:rsidRDefault="00D67F2A" w:rsidP="00A918AC">
      <w:pPr>
        <w:jc w:val="both"/>
        <w:rPr>
          <w:rFonts w:ascii="Arial Narrow" w:hAnsi="Arial Narrow" w:cstheme="minorHAnsi"/>
          <w:sz w:val="24"/>
          <w:szCs w:val="24"/>
        </w:rPr>
      </w:pPr>
      <w:r w:rsidRPr="007E7C5B">
        <w:rPr>
          <w:rFonts w:ascii="Arial Narrow" w:hAnsi="Arial Narrow" w:cstheme="minorHAnsi"/>
          <w:sz w:val="24"/>
          <w:szCs w:val="24"/>
        </w:rPr>
        <w:t xml:space="preserve">De plus, </w:t>
      </w:r>
      <w:r w:rsidR="00C8011A" w:rsidRPr="007E7C5B">
        <w:rPr>
          <w:rFonts w:ascii="Arial Narrow" w:hAnsi="Arial Narrow" w:cstheme="minorHAnsi"/>
          <w:sz w:val="24"/>
          <w:szCs w:val="24"/>
        </w:rPr>
        <w:t xml:space="preserve">35 formateurs nationaux et </w:t>
      </w:r>
      <w:r w:rsidRPr="007E7C5B">
        <w:rPr>
          <w:rFonts w:ascii="Arial Narrow" w:hAnsi="Arial Narrow" w:cstheme="minorHAnsi"/>
          <w:sz w:val="24"/>
          <w:szCs w:val="24"/>
        </w:rPr>
        <w:t xml:space="preserve">282 prestataires (Sage-femmes et Infirmiers) </w:t>
      </w:r>
      <w:r w:rsidR="00C8011A" w:rsidRPr="007E7C5B">
        <w:rPr>
          <w:rFonts w:ascii="Arial Narrow" w:hAnsi="Arial Narrow" w:cstheme="minorHAnsi"/>
          <w:sz w:val="24"/>
          <w:szCs w:val="24"/>
        </w:rPr>
        <w:t xml:space="preserve">ont été formés </w:t>
      </w:r>
      <w:r w:rsidRPr="007E7C5B">
        <w:rPr>
          <w:rFonts w:ascii="Arial Narrow" w:hAnsi="Arial Narrow" w:cstheme="minorHAnsi"/>
          <w:sz w:val="24"/>
          <w:szCs w:val="24"/>
        </w:rPr>
        <w:t>sur le modèle de continuum des soins de santé maternelle et néonatale</w:t>
      </w:r>
      <w:r w:rsidR="00F10543" w:rsidRPr="007E7C5B">
        <w:rPr>
          <w:rFonts w:ascii="Arial Narrow" w:hAnsi="Arial Narrow" w:cstheme="minorHAnsi"/>
          <w:sz w:val="24"/>
          <w:szCs w:val="24"/>
        </w:rPr>
        <w:t xml:space="preserve">. </w:t>
      </w:r>
      <w:r w:rsidR="004506AF" w:rsidRPr="007E7C5B">
        <w:rPr>
          <w:rFonts w:ascii="Arial Narrow" w:hAnsi="Arial Narrow" w:cstheme="minorHAnsi"/>
          <w:sz w:val="24"/>
          <w:szCs w:val="24"/>
        </w:rPr>
        <w:t>Parallèlement,</w:t>
      </w:r>
      <w:r w:rsidRPr="007E7C5B">
        <w:rPr>
          <w:rFonts w:ascii="Arial Narrow" w:hAnsi="Arial Narrow" w:cstheme="minorHAnsi"/>
          <w:sz w:val="24"/>
          <w:szCs w:val="24"/>
        </w:rPr>
        <w:t xml:space="preserve"> 10</w:t>
      </w:r>
      <w:r w:rsidR="00D82214" w:rsidRPr="007E7C5B">
        <w:rPr>
          <w:rFonts w:ascii="Arial Narrow" w:hAnsi="Arial Narrow" w:cstheme="minorHAnsi"/>
          <w:sz w:val="24"/>
          <w:szCs w:val="24"/>
        </w:rPr>
        <w:t> </w:t>
      </w:r>
      <w:r w:rsidRPr="007E7C5B">
        <w:rPr>
          <w:rFonts w:ascii="Arial Narrow" w:hAnsi="Arial Narrow" w:cstheme="minorHAnsi"/>
          <w:sz w:val="24"/>
          <w:szCs w:val="24"/>
        </w:rPr>
        <w:t xml:space="preserve">784 IDE et SFDE </w:t>
      </w:r>
      <w:r w:rsidR="004506AF" w:rsidRPr="007E7C5B">
        <w:rPr>
          <w:rFonts w:ascii="Arial Narrow" w:hAnsi="Arial Narrow" w:cstheme="minorHAnsi"/>
          <w:sz w:val="24"/>
          <w:szCs w:val="24"/>
        </w:rPr>
        <w:t xml:space="preserve">ont </w:t>
      </w:r>
      <w:r w:rsidR="00F668C0" w:rsidRPr="007E7C5B">
        <w:rPr>
          <w:rFonts w:ascii="Arial Narrow" w:hAnsi="Arial Narrow" w:cstheme="minorHAnsi"/>
          <w:sz w:val="24"/>
          <w:szCs w:val="24"/>
        </w:rPr>
        <w:t>vu leur</w:t>
      </w:r>
      <w:r w:rsidR="00AD0DAF" w:rsidRPr="007E7C5B">
        <w:rPr>
          <w:rFonts w:ascii="Arial Narrow" w:hAnsi="Arial Narrow" w:cstheme="minorHAnsi"/>
          <w:sz w:val="24"/>
          <w:szCs w:val="24"/>
        </w:rPr>
        <w:t>s</w:t>
      </w:r>
      <w:r w:rsidR="00F668C0" w:rsidRPr="007E7C5B">
        <w:rPr>
          <w:rFonts w:ascii="Arial Narrow" w:hAnsi="Arial Narrow" w:cstheme="minorHAnsi"/>
          <w:sz w:val="24"/>
          <w:szCs w:val="24"/>
        </w:rPr>
        <w:t xml:space="preserve"> capacité</w:t>
      </w:r>
      <w:r w:rsidR="00AD0DAF" w:rsidRPr="007E7C5B">
        <w:rPr>
          <w:rFonts w:ascii="Arial Narrow" w:hAnsi="Arial Narrow" w:cstheme="minorHAnsi"/>
          <w:sz w:val="24"/>
          <w:szCs w:val="24"/>
        </w:rPr>
        <w:t>s</w:t>
      </w:r>
      <w:r w:rsidR="00F668C0" w:rsidRPr="007E7C5B">
        <w:rPr>
          <w:rFonts w:ascii="Arial Narrow" w:hAnsi="Arial Narrow" w:cstheme="minorHAnsi"/>
          <w:sz w:val="24"/>
          <w:szCs w:val="24"/>
        </w:rPr>
        <w:t xml:space="preserve"> renforcées </w:t>
      </w:r>
      <w:r w:rsidRPr="007E7C5B">
        <w:rPr>
          <w:rFonts w:ascii="Arial Narrow" w:hAnsi="Arial Narrow" w:cstheme="minorHAnsi"/>
          <w:sz w:val="24"/>
          <w:szCs w:val="24"/>
        </w:rPr>
        <w:t xml:space="preserve">sur le module SONU, </w:t>
      </w:r>
      <w:r w:rsidR="00A750E3" w:rsidRPr="007E7C5B">
        <w:rPr>
          <w:rFonts w:ascii="Arial Narrow" w:hAnsi="Arial Narrow" w:cstheme="minorHAnsi"/>
          <w:sz w:val="24"/>
          <w:szCs w:val="24"/>
        </w:rPr>
        <w:t>a</w:t>
      </w:r>
      <w:r w:rsidRPr="007E7C5B">
        <w:rPr>
          <w:rFonts w:ascii="Arial Narrow" w:hAnsi="Arial Narrow" w:cstheme="minorHAnsi"/>
          <w:sz w:val="24"/>
          <w:szCs w:val="24"/>
        </w:rPr>
        <w:t xml:space="preserve">ccueil et </w:t>
      </w:r>
      <w:r w:rsidR="00A750E3" w:rsidRPr="007E7C5B">
        <w:rPr>
          <w:rFonts w:ascii="Arial Narrow" w:hAnsi="Arial Narrow" w:cstheme="minorHAnsi"/>
          <w:sz w:val="24"/>
          <w:szCs w:val="24"/>
        </w:rPr>
        <w:t>s</w:t>
      </w:r>
      <w:r w:rsidRPr="007E7C5B">
        <w:rPr>
          <w:rFonts w:ascii="Arial Narrow" w:hAnsi="Arial Narrow" w:cstheme="minorHAnsi"/>
          <w:sz w:val="24"/>
          <w:szCs w:val="24"/>
        </w:rPr>
        <w:t>oins respectueux.</w:t>
      </w:r>
    </w:p>
    <w:p w14:paraId="12BE2366" w14:textId="7E70A622" w:rsidR="007F48F2" w:rsidRPr="007E7C5B" w:rsidRDefault="007F48F2" w:rsidP="00761F55">
      <w:pPr>
        <w:spacing w:after="0"/>
        <w:jc w:val="both"/>
        <w:rPr>
          <w:rFonts w:ascii="Arial Narrow" w:hAnsi="Arial Narrow" w:cstheme="minorHAnsi"/>
          <w:sz w:val="24"/>
          <w:szCs w:val="24"/>
        </w:rPr>
      </w:pPr>
    </w:p>
    <w:p w14:paraId="177CFEAC" w14:textId="76816431" w:rsidR="004C5CE5" w:rsidRPr="007E7C5B" w:rsidRDefault="000220EB" w:rsidP="00761F55">
      <w:pPr>
        <w:jc w:val="both"/>
        <w:rPr>
          <w:rFonts w:ascii="Arial Narrow" w:hAnsi="Arial Narrow"/>
          <w:color w:val="FF0000"/>
          <w:sz w:val="24"/>
          <w:szCs w:val="24"/>
        </w:rPr>
      </w:pPr>
      <w:r w:rsidRPr="00A918AC">
        <w:rPr>
          <w:rFonts w:ascii="Arial Narrow" w:hAnsi="Arial Narrow" w:cstheme="minorHAnsi"/>
          <w:sz w:val="24"/>
          <w:szCs w:val="24"/>
        </w:rPr>
        <w:t>Malgré ces ré</w:t>
      </w:r>
      <w:r w:rsidR="00274BCA" w:rsidRPr="00A918AC">
        <w:rPr>
          <w:rFonts w:ascii="Arial Narrow" w:hAnsi="Arial Narrow" w:cstheme="minorHAnsi"/>
          <w:sz w:val="24"/>
          <w:szCs w:val="24"/>
        </w:rPr>
        <w:t xml:space="preserve">alisations, </w:t>
      </w:r>
      <w:r w:rsidR="0098252E" w:rsidRPr="00A918AC">
        <w:rPr>
          <w:rFonts w:ascii="Arial Narrow" w:hAnsi="Arial Narrow" w:cstheme="minorHAnsi"/>
          <w:sz w:val="24"/>
          <w:szCs w:val="24"/>
        </w:rPr>
        <w:t>deux</w:t>
      </w:r>
      <w:r w:rsidR="00AC41BA" w:rsidRPr="00A918AC">
        <w:rPr>
          <w:rFonts w:ascii="Arial Narrow" w:hAnsi="Arial Narrow" w:cstheme="minorHAnsi"/>
          <w:sz w:val="24"/>
          <w:szCs w:val="24"/>
        </w:rPr>
        <w:t xml:space="preserve"> </w:t>
      </w:r>
      <w:r w:rsidRPr="00A918AC">
        <w:rPr>
          <w:rFonts w:ascii="Arial Narrow" w:hAnsi="Arial Narrow" w:cstheme="minorHAnsi"/>
          <w:sz w:val="24"/>
          <w:szCs w:val="24"/>
        </w:rPr>
        <w:t>d</w:t>
      </w:r>
      <w:r w:rsidR="00274BCA" w:rsidRPr="00A918AC">
        <w:rPr>
          <w:rFonts w:ascii="Arial Narrow" w:hAnsi="Arial Narrow" w:cstheme="minorHAnsi"/>
          <w:sz w:val="24"/>
          <w:szCs w:val="24"/>
        </w:rPr>
        <w:t>é</w:t>
      </w:r>
      <w:r w:rsidRPr="00A918AC">
        <w:rPr>
          <w:rFonts w:ascii="Arial Narrow" w:hAnsi="Arial Narrow" w:cstheme="minorHAnsi"/>
          <w:sz w:val="24"/>
          <w:szCs w:val="24"/>
        </w:rPr>
        <w:t xml:space="preserve">fis </w:t>
      </w:r>
      <w:r w:rsidR="00274BCA" w:rsidRPr="00A918AC">
        <w:rPr>
          <w:rFonts w:ascii="Arial Narrow" w:hAnsi="Arial Narrow" w:cstheme="minorHAnsi"/>
          <w:sz w:val="24"/>
          <w:szCs w:val="24"/>
        </w:rPr>
        <w:t xml:space="preserve">restent </w:t>
      </w:r>
      <w:r w:rsidRPr="00A918AC">
        <w:rPr>
          <w:rFonts w:ascii="Arial Narrow" w:hAnsi="Arial Narrow" w:cstheme="minorHAnsi"/>
          <w:sz w:val="24"/>
          <w:szCs w:val="24"/>
        </w:rPr>
        <w:t xml:space="preserve">à </w:t>
      </w:r>
      <w:r w:rsidR="00AC41BA" w:rsidRPr="00A918AC">
        <w:rPr>
          <w:rFonts w:ascii="Arial Narrow" w:hAnsi="Arial Narrow" w:cstheme="minorHAnsi"/>
          <w:sz w:val="24"/>
          <w:szCs w:val="24"/>
        </w:rPr>
        <w:t>être adressé</w:t>
      </w:r>
      <w:r w:rsidR="0098252E" w:rsidRPr="00A918AC">
        <w:rPr>
          <w:rFonts w:ascii="Arial Narrow" w:hAnsi="Arial Narrow" w:cstheme="minorHAnsi"/>
          <w:sz w:val="24"/>
          <w:szCs w:val="24"/>
        </w:rPr>
        <w:t>s</w:t>
      </w:r>
      <w:r w:rsidR="00D67F2A" w:rsidRPr="007E7C5B">
        <w:rPr>
          <w:rFonts w:ascii="Arial Narrow" w:hAnsi="Arial Narrow" w:cstheme="minorHAnsi"/>
          <w:sz w:val="24"/>
          <w:szCs w:val="24"/>
        </w:rPr>
        <w:t xml:space="preserve">, </w:t>
      </w:r>
      <w:r w:rsidR="00B64DDE" w:rsidRPr="00A918AC">
        <w:rPr>
          <w:rFonts w:ascii="Arial Narrow" w:hAnsi="Arial Narrow" w:cstheme="minorHAnsi"/>
          <w:sz w:val="24"/>
          <w:szCs w:val="24"/>
        </w:rPr>
        <w:t>à savoir</w:t>
      </w:r>
      <w:r w:rsidR="00B64DDE" w:rsidRPr="007E7C5B">
        <w:rPr>
          <w:rFonts w:ascii="Arial Narrow" w:hAnsi="Arial Narrow" w:cstheme="minorHAnsi"/>
          <w:sz w:val="24"/>
          <w:szCs w:val="24"/>
        </w:rPr>
        <w:t xml:space="preserve"> </w:t>
      </w:r>
      <w:r w:rsidR="00871ADD" w:rsidRPr="00A918AC">
        <w:rPr>
          <w:rFonts w:ascii="Arial Narrow" w:eastAsia="Aptos" w:hAnsi="Arial Narrow"/>
          <w:sz w:val="24"/>
          <w:szCs w:val="24"/>
        </w:rPr>
        <w:t>le respect</w:t>
      </w:r>
      <w:r w:rsidR="00D67F2A" w:rsidRPr="007E7C5B">
        <w:rPr>
          <w:rFonts w:ascii="Arial Narrow" w:eastAsia="Aptos" w:hAnsi="Arial Narrow"/>
          <w:sz w:val="24"/>
          <w:szCs w:val="24"/>
        </w:rPr>
        <w:t xml:space="preserve"> des normes et</w:t>
      </w:r>
      <w:r w:rsidR="00D67F2A" w:rsidRPr="007E7C5B" w:rsidDel="00777B1C">
        <w:rPr>
          <w:rFonts w:ascii="Arial Narrow" w:eastAsia="Aptos" w:hAnsi="Arial Narrow"/>
          <w:sz w:val="24"/>
          <w:szCs w:val="24"/>
        </w:rPr>
        <w:t xml:space="preserve"> </w:t>
      </w:r>
      <w:r w:rsidR="00D67F2A" w:rsidRPr="007E7C5B">
        <w:rPr>
          <w:rFonts w:ascii="Arial Narrow" w:eastAsia="Aptos" w:hAnsi="Arial Narrow"/>
          <w:sz w:val="24"/>
          <w:szCs w:val="24"/>
        </w:rPr>
        <w:t>procédures en matière de qualité des services (accueil, communication, temps d'attente, orientation)</w:t>
      </w:r>
      <w:r w:rsidR="00EE40FC" w:rsidRPr="007E7C5B">
        <w:rPr>
          <w:rFonts w:ascii="Arial Narrow" w:eastAsia="Aptos" w:hAnsi="Arial Narrow"/>
          <w:sz w:val="24"/>
          <w:szCs w:val="24"/>
        </w:rPr>
        <w:t xml:space="preserve"> </w:t>
      </w:r>
      <w:r w:rsidR="00FE4795" w:rsidRPr="00A918AC">
        <w:rPr>
          <w:rFonts w:ascii="Arial Narrow" w:eastAsia="Aptos" w:hAnsi="Arial Narrow"/>
          <w:sz w:val="24"/>
          <w:szCs w:val="24"/>
        </w:rPr>
        <w:t xml:space="preserve">et </w:t>
      </w:r>
      <w:r w:rsidR="00EE40FC" w:rsidRPr="00A918AC">
        <w:rPr>
          <w:rFonts w:ascii="Arial Narrow" w:eastAsia="Aptos" w:hAnsi="Arial Narrow"/>
          <w:sz w:val="24"/>
          <w:szCs w:val="24"/>
        </w:rPr>
        <w:t>la disponibilité des ressources financières pour l’extension des bonnes pratiques</w:t>
      </w:r>
      <w:r w:rsidR="0025374E" w:rsidRPr="00A918AC">
        <w:rPr>
          <w:rFonts w:ascii="Arial Narrow" w:eastAsia="Aptos" w:hAnsi="Arial Narrow"/>
          <w:sz w:val="24"/>
          <w:szCs w:val="24"/>
        </w:rPr>
        <w:t xml:space="preserve"> du mentorat</w:t>
      </w:r>
      <w:r w:rsidR="00AC41BA" w:rsidRPr="00A918AC">
        <w:rPr>
          <w:rFonts w:ascii="Arial Narrow" w:eastAsia="Aptos" w:hAnsi="Arial Narrow"/>
          <w:sz w:val="24"/>
          <w:szCs w:val="24"/>
        </w:rPr>
        <w:t>.</w:t>
      </w:r>
    </w:p>
    <w:p w14:paraId="5CD2BFF7" w14:textId="63824775" w:rsidR="00685E7F" w:rsidRPr="007E7C5B" w:rsidRDefault="1D5B9E6F" w:rsidP="00DE0372">
      <w:pPr>
        <w:pStyle w:val="Titre5"/>
        <w:shd w:val="clear" w:color="auto" w:fill="FBE4D5" w:themeFill="accent2" w:themeFillTint="33"/>
        <w:rPr>
          <w:rFonts w:ascii="Arial Narrow" w:hAnsi="Arial Narrow"/>
          <w:color w:val="FF0000"/>
          <w:sz w:val="24"/>
          <w:szCs w:val="24"/>
        </w:rPr>
      </w:pPr>
      <w:r w:rsidRPr="007E7C5B">
        <w:rPr>
          <w:rFonts w:ascii="Arial Narrow" w:hAnsi="Arial Narrow"/>
          <w:b/>
          <w:color w:val="auto"/>
          <w:sz w:val="24"/>
          <w:szCs w:val="24"/>
        </w:rPr>
        <w:t>Nutrition</w:t>
      </w:r>
    </w:p>
    <w:p w14:paraId="171C9107" w14:textId="77777777" w:rsidR="00800F4E" w:rsidRPr="007E7C5B" w:rsidRDefault="00800F4E" w:rsidP="00FE5219">
      <w:pPr>
        <w:tabs>
          <w:tab w:val="num" w:pos="720"/>
        </w:tabs>
        <w:jc w:val="both"/>
        <w:rPr>
          <w:rFonts w:ascii="Arial Narrow" w:eastAsia="Arial" w:hAnsi="Arial Narrow" w:cs="Arial"/>
          <w:color w:val="000000" w:themeColor="text1"/>
          <w:sz w:val="24"/>
          <w:szCs w:val="24"/>
        </w:rPr>
      </w:pPr>
    </w:p>
    <w:p w14:paraId="141AF3C4" w14:textId="7D28C815" w:rsidR="009F67F3" w:rsidRPr="007E7C5B" w:rsidRDefault="00800F4E" w:rsidP="00AF6D14">
      <w:pPr>
        <w:tabs>
          <w:tab w:val="num" w:pos="720"/>
        </w:tabs>
        <w:jc w:val="both"/>
        <w:rPr>
          <w:rFonts w:ascii="Arial Narrow" w:eastAsia="Arial" w:hAnsi="Arial Narrow" w:cs="Arial"/>
          <w:color w:val="000000" w:themeColor="text1"/>
          <w:sz w:val="24"/>
          <w:szCs w:val="24"/>
        </w:rPr>
      </w:pPr>
      <w:r w:rsidRPr="007E7C5B">
        <w:rPr>
          <w:rFonts w:ascii="Arial Narrow" w:eastAsia="Arial" w:hAnsi="Arial Narrow" w:cs="Arial"/>
          <w:color w:val="000000" w:themeColor="text1"/>
          <w:sz w:val="24"/>
          <w:szCs w:val="24"/>
        </w:rPr>
        <w:t xml:space="preserve">Les objectifs </w:t>
      </w:r>
      <w:r w:rsidR="00CE453F" w:rsidRPr="007E7C5B">
        <w:rPr>
          <w:rFonts w:ascii="Arial Narrow" w:eastAsia="Arial" w:hAnsi="Arial Narrow" w:cs="Arial"/>
          <w:color w:val="000000" w:themeColor="text1"/>
          <w:sz w:val="24"/>
          <w:szCs w:val="24"/>
        </w:rPr>
        <w:t xml:space="preserve">en matière de nutrition </w:t>
      </w:r>
      <w:r w:rsidRPr="007E7C5B">
        <w:rPr>
          <w:rFonts w:ascii="Arial Narrow" w:eastAsia="Arial" w:hAnsi="Arial Narrow" w:cs="Arial"/>
          <w:color w:val="000000" w:themeColor="text1"/>
          <w:sz w:val="24"/>
          <w:szCs w:val="24"/>
        </w:rPr>
        <w:t>du PNDS étaient de</w:t>
      </w:r>
      <w:r w:rsidR="00230A1E">
        <w:rPr>
          <w:rFonts w:ascii="Arial Narrow" w:eastAsia="Arial" w:hAnsi="Arial Narrow" w:cs="Arial"/>
          <w:color w:val="000000" w:themeColor="text1"/>
          <w:sz w:val="24"/>
          <w:szCs w:val="24"/>
        </w:rPr>
        <w:t xml:space="preserve"> </w:t>
      </w:r>
      <w:r w:rsidR="00230A1E" w:rsidRPr="0044167B">
        <w:rPr>
          <w:rFonts w:ascii="Arial Narrow" w:eastAsia="Arial" w:hAnsi="Arial Narrow" w:cs="Arial"/>
          <w:i/>
          <w:iCs/>
          <w:color w:val="000000" w:themeColor="text1"/>
          <w:sz w:val="24"/>
          <w:szCs w:val="24"/>
        </w:rPr>
        <w:t>(i)</w:t>
      </w:r>
      <w:r w:rsidR="00230A1E">
        <w:rPr>
          <w:rFonts w:ascii="Arial Narrow" w:eastAsia="Arial" w:hAnsi="Arial Narrow" w:cs="Arial"/>
          <w:color w:val="000000" w:themeColor="text1"/>
          <w:sz w:val="24"/>
          <w:szCs w:val="24"/>
        </w:rPr>
        <w:t xml:space="preserve"> r</w:t>
      </w:r>
      <w:r w:rsidR="00230A1E" w:rsidRPr="00230A1E">
        <w:rPr>
          <w:rFonts w:ascii="Arial Narrow" w:eastAsia="Arial" w:hAnsi="Arial Narrow" w:cs="Arial"/>
          <w:color w:val="000000" w:themeColor="text1"/>
          <w:sz w:val="24"/>
          <w:szCs w:val="24"/>
        </w:rPr>
        <w:t>enforcer</w:t>
      </w:r>
      <w:r w:rsidR="00230A1E">
        <w:rPr>
          <w:rFonts w:ascii="Arial Narrow" w:eastAsia="Arial" w:hAnsi="Arial Narrow" w:cs="Arial"/>
          <w:color w:val="000000" w:themeColor="text1"/>
          <w:sz w:val="24"/>
          <w:szCs w:val="24"/>
        </w:rPr>
        <w:t xml:space="preserve"> </w:t>
      </w:r>
      <w:r w:rsidR="00230A1E" w:rsidRPr="00230A1E">
        <w:rPr>
          <w:rFonts w:ascii="Arial Narrow" w:eastAsia="Arial" w:hAnsi="Arial Narrow" w:cs="Arial"/>
          <w:color w:val="000000" w:themeColor="text1"/>
          <w:sz w:val="24"/>
          <w:szCs w:val="24"/>
        </w:rPr>
        <w:t>les interventions de</w:t>
      </w:r>
      <w:r w:rsidR="00230A1E">
        <w:rPr>
          <w:rFonts w:ascii="Arial Narrow" w:eastAsia="Arial" w:hAnsi="Arial Narrow" w:cs="Arial"/>
          <w:color w:val="000000" w:themeColor="text1"/>
          <w:sz w:val="24"/>
          <w:szCs w:val="24"/>
        </w:rPr>
        <w:t xml:space="preserve"> </w:t>
      </w:r>
      <w:r w:rsidR="00230A1E" w:rsidRPr="00230A1E">
        <w:rPr>
          <w:rFonts w:ascii="Arial Narrow" w:eastAsia="Arial" w:hAnsi="Arial Narrow" w:cs="Arial"/>
          <w:color w:val="000000" w:themeColor="text1"/>
          <w:sz w:val="24"/>
          <w:szCs w:val="24"/>
        </w:rPr>
        <w:t>promotion des bonnes</w:t>
      </w:r>
      <w:r w:rsidR="00230A1E">
        <w:rPr>
          <w:rFonts w:ascii="Arial Narrow" w:eastAsia="Arial" w:hAnsi="Arial Narrow" w:cs="Arial"/>
          <w:color w:val="000000" w:themeColor="text1"/>
          <w:sz w:val="24"/>
          <w:szCs w:val="24"/>
        </w:rPr>
        <w:t xml:space="preserve"> </w:t>
      </w:r>
      <w:r w:rsidR="00230A1E" w:rsidRPr="00230A1E">
        <w:rPr>
          <w:rFonts w:ascii="Arial Narrow" w:eastAsia="Arial" w:hAnsi="Arial Narrow" w:cs="Arial"/>
          <w:color w:val="000000" w:themeColor="text1"/>
          <w:sz w:val="24"/>
          <w:szCs w:val="24"/>
        </w:rPr>
        <w:t>pratiques nutritionnelles</w:t>
      </w:r>
      <w:r w:rsidR="00230A1E">
        <w:rPr>
          <w:rFonts w:ascii="Arial Narrow" w:eastAsia="Arial" w:hAnsi="Arial Narrow" w:cs="Arial"/>
          <w:color w:val="000000" w:themeColor="text1"/>
          <w:sz w:val="24"/>
          <w:szCs w:val="24"/>
        </w:rPr>
        <w:t xml:space="preserve"> </w:t>
      </w:r>
      <w:r w:rsidR="00230A1E" w:rsidRPr="00230A1E">
        <w:rPr>
          <w:rFonts w:ascii="Arial Narrow" w:eastAsia="Arial" w:hAnsi="Arial Narrow" w:cs="Arial"/>
          <w:color w:val="000000" w:themeColor="text1"/>
          <w:sz w:val="24"/>
          <w:szCs w:val="24"/>
        </w:rPr>
        <w:t>et de prévention de la</w:t>
      </w:r>
      <w:r w:rsidR="00230A1E">
        <w:rPr>
          <w:rFonts w:ascii="Arial Narrow" w:eastAsia="Arial" w:hAnsi="Arial Narrow" w:cs="Arial"/>
          <w:color w:val="000000" w:themeColor="text1"/>
          <w:sz w:val="24"/>
          <w:szCs w:val="24"/>
        </w:rPr>
        <w:t xml:space="preserve"> </w:t>
      </w:r>
      <w:r w:rsidR="00230A1E" w:rsidRPr="00230A1E">
        <w:rPr>
          <w:rFonts w:ascii="Arial Narrow" w:eastAsia="Arial" w:hAnsi="Arial Narrow" w:cs="Arial"/>
          <w:color w:val="000000" w:themeColor="text1"/>
          <w:sz w:val="24"/>
          <w:szCs w:val="24"/>
        </w:rPr>
        <w:t xml:space="preserve">malnutrition </w:t>
      </w:r>
      <w:r w:rsidR="00230A1E">
        <w:rPr>
          <w:rFonts w:ascii="Arial Narrow" w:eastAsia="Arial" w:hAnsi="Arial Narrow" w:cs="Arial"/>
          <w:color w:val="000000" w:themeColor="text1"/>
          <w:sz w:val="24"/>
          <w:szCs w:val="24"/>
        </w:rPr>
        <w:t xml:space="preserve">et </w:t>
      </w:r>
      <w:r w:rsidR="00230A1E" w:rsidRPr="0044167B">
        <w:rPr>
          <w:rFonts w:ascii="Arial Narrow" w:eastAsia="Arial" w:hAnsi="Arial Narrow" w:cs="Arial"/>
          <w:i/>
          <w:iCs/>
          <w:color w:val="000000" w:themeColor="text1"/>
          <w:sz w:val="24"/>
          <w:szCs w:val="24"/>
        </w:rPr>
        <w:t>(ii)</w:t>
      </w:r>
      <w:r w:rsidR="00230A1E">
        <w:rPr>
          <w:rFonts w:ascii="Arial Narrow" w:eastAsia="Arial" w:hAnsi="Arial Narrow" w:cs="Arial"/>
          <w:color w:val="000000" w:themeColor="text1"/>
          <w:sz w:val="24"/>
          <w:szCs w:val="24"/>
        </w:rPr>
        <w:t xml:space="preserve"> é</w:t>
      </w:r>
      <w:r w:rsidR="00230A1E" w:rsidRPr="00230A1E">
        <w:rPr>
          <w:rFonts w:ascii="Arial Narrow" w:eastAsia="Arial" w:hAnsi="Arial Narrow" w:cs="Arial"/>
          <w:color w:val="000000" w:themeColor="text1"/>
          <w:sz w:val="24"/>
          <w:szCs w:val="24"/>
        </w:rPr>
        <w:t>tendre</w:t>
      </w:r>
      <w:r w:rsidR="00230A1E">
        <w:rPr>
          <w:rFonts w:ascii="Arial Narrow" w:eastAsia="Arial" w:hAnsi="Arial Narrow" w:cs="Arial"/>
          <w:color w:val="000000" w:themeColor="text1"/>
          <w:sz w:val="24"/>
          <w:szCs w:val="24"/>
        </w:rPr>
        <w:t xml:space="preserve"> </w:t>
      </w:r>
      <w:r w:rsidR="00230A1E" w:rsidRPr="00230A1E">
        <w:rPr>
          <w:rFonts w:ascii="Arial Narrow" w:eastAsia="Arial" w:hAnsi="Arial Narrow" w:cs="Arial"/>
          <w:color w:val="000000" w:themeColor="text1"/>
          <w:sz w:val="24"/>
          <w:szCs w:val="24"/>
        </w:rPr>
        <w:t>l’offre de service de</w:t>
      </w:r>
      <w:r w:rsidR="00230A1E">
        <w:rPr>
          <w:rFonts w:ascii="Arial Narrow" w:eastAsia="Arial" w:hAnsi="Arial Narrow" w:cs="Arial"/>
          <w:color w:val="000000" w:themeColor="text1"/>
          <w:sz w:val="24"/>
          <w:szCs w:val="24"/>
        </w:rPr>
        <w:t xml:space="preserve"> </w:t>
      </w:r>
      <w:r w:rsidR="00230A1E" w:rsidRPr="00230A1E">
        <w:rPr>
          <w:rFonts w:ascii="Arial Narrow" w:eastAsia="Arial" w:hAnsi="Arial Narrow" w:cs="Arial"/>
          <w:color w:val="000000" w:themeColor="text1"/>
          <w:sz w:val="24"/>
          <w:szCs w:val="24"/>
        </w:rPr>
        <w:lastRenderedPageBreak/>
        <w:t>dépistage et de prise en</w:t>
      </w:r>
      <w:r w:rsidR="00230A1E">
        <w:rPr>
          <w:rFonts w:ascii="Arial Narrow" w:eastAsia="Arial" w:hAnsi="Arial Narrow" w:cs="Arial"/>
          <w:color w:val="000000" w:themeColor="text1"/>
          <w:sz w:val="24"/>
          <w:szCs w:val="24"/>
        </w:rPr>
        <w:t xml:space="preserve"> </w:t>
      </w:r>
      <w:r w:rsidR="00230A1E" w:rsidRPr="00230A1E">
        <w:rPr>
          <w:rFonts w:ascii="Arial Narrow" w:eastAsia="Arial" w:hAnsi="Arial Narrow" w:cs="Arial"/>
          <w:color w:val="000000" w:themeColor="text1"/>
          <w:sz w:val="24"/>
          <w:szCs w:val="24"/>
        </w:rPr>
        <w:t>charge de la</w:t>
      </w:r>
      <w:r w:rsidR="00230A1E">
        <w:rPr>
          <w:rFonts w:ascii="Arial Narrow" w:eastAsia="Arial" w:hAnsi="Arial Narrow" w:cs="Arial"/>
          <w:color w:val="000000" w:themeColor="text1"/>
          <w:sz w:val="24"/>
          <w:szCs w:val="24"/>
        </w:rPr>
        <w:t xml:space="preserve"> </w:t>
      </w:r>
      <w:r w:rsidR="00230A1E" w:rsidRPr="00230A1E">
        <w:rPr>
          <w:rFonts w:ascii="Arial Narrow" w:eastAsia="Arial" w:hAnsi="Arial Narrow" w:cs="Arial"/>
          <w:color w:val="000000" w:themeColor="text1"/>
          <w:sz w:val="24"/>
          <w:szCs w:val="24"/>
        </w:rPr>
        <w:t>malnutrition</w:t>
      </w:r>
      <w:r w:rsidR="00230A1E">
        <w:rPr>
          <w:rFonts w:ascii="Arial Narrow" w:eastAsia="Arial" w:hAnsi="Arial Narrow" w:cs="Arial"/>
          <w:color w:val="000000" w:themeColor="text1"/>
          <w:sz w:val="24"/>
          <w:szCs w:val="24"/>
        </w:rPr>
        <w:t>. La mise en œuvre de ces actions devait permettre de</w:t>
      </w:r>
      <w:r w:rsidRPr="007E7C5B" w:rsidDel="00800F4E">
        <w:rPr>
          <w:rFonts w:ascii="Arial Narrow" w:eastAsia="Arial" w:hAnsi="Arial Narrow" w:cs="Arial"/>
          <w:color w:val="000000" w:themeColor="text1"/>
          <w:sz w:val="24"/>
          <w:szCs w:val="24"/>
        </w:rPr>
        <w:t xml:space="preserve"> </w:t>
      </w:r>
      <w:r w:rsidRPr="007E7C5B">
        <w:rPr>
          <w:rFonts w:ascii="Arial Narrow" w:eastAsia="Arial" w:hAnsi="Arial Narrow" w:cs="Arial"/>
          <w:color w:val="000000" w:themeColor="text1"/>
          <w:sz w:val="24"/>
          <w:szCs w:val="24"/>
        </w:rPr>
        <w:t xml:space="preserve">réduire </w:t>
      </w:r>
      <w:r w:rsidRPr="00230A1E">
        <w:rPr>
          <w:rFonts w:ascii="Arial Narrow" w:eastAsia="Arial" w:hAnsi="Arial Narrow" w:cs="Arial"/>
          <w:color w:val="000000" w:themeColor="text1"/>
          <w:sz w:val="24"/>
          <w:szCs w:val="24"/>
        </w:rPr>
        <w:t xml:space="preserve">la </w:t>
      </w:r>
      <w:r w:rsidRPr="0044167B">
        <w:rPr>
          <w:rFonts w:ascii="Arial Narrow" w:eastAsia="Arial" w:hAnsi="Arial Narrow" w:cs="Arial"/>
          <w:color w:val="000000" w:themeColor="text1"/>
          <w:sz w:val="24"/>
          <w:szCs w:val="24"/>
        </w:rPr>
        <w:t>malnutrition chronique</w:t>
      </w:r>
      <w:r w:rsidRPr="00230A1E">
        <w:rPr>
          <w:rFonts w:ascii="Arial Narrow" w:eastAsia="Arial" w:hAnsi="Arial Narrow" w:cs="Arial"/>
          <w:color w:val="000000" w:themeColor="text1"/>
          <w:sz w:val="24"/>
          <w:szCs w:val="24"/>
        </w:rPr>
        <w:t xml:space="preserve"> et</w:t>
      </w:r>
      <w:r w:rsidRPr="007E7C5B">
        <w:rPr>
          <w:rFonts w:ascii="Arial Narrow" w:eastAsia="Arial" w:hAnsi="Arial Narrow" w:cs="Arial"/>
          <w:color w:val="000000" w:themeColor="text1"/>
          <w:sz w:val="24"/>
          <w:szCs w:val="24"/>
        </w:rPr>
        <w:t xml:space="preserve"> aiguë.</w:t>
      </w:r>
      <w:r w:rsidR="009F67F3" w:rsidRPr="007E7C5B">
        <w:rPr>
          <w:rFonts w:ascii="Arial Narrow" w:eastAsia="Arial" w:hAnsi="Arial Narrow" w:cs="Arial"/>
          <w:color w:val="000000" w:themeColor="text1"/>
          <w:sz w:val="24"/>
          <w:szCs w:val="24"/>
        </w:rPr>
        <w:t xml:space="preserve"> Ainsi, </w:t>
      </w:r>
      <w:r w:rsidR="00AF6D14" w:rsidRPr="00AF6D14">
        <w:rPr>
          <w:rFonts w:ascii="Arial Narrow" w:eastAsia="Arial" w:hAnsi="Arial Narrow" w:cs="Arial"/>
          <w:color w:val="000000" w:themeColor="text1"/>
          <w:sz w:val="24"/>
          <w:szCs w:val="24"/>
        </w:rPr>
        <w:t>le pourcentage d'enfants de moins de 5 ans ayant bénéficié d'une évaluation</w:t>
      </w:r>
      <w:r w:rsidR="00AF6D14">
        <w:rPr>
          <w:rFonts w:ascii="Arial Narrow" w:eastAsia="Arial" w:hAnsi="Arial Narrow" w:cs="Arial"/>
          <w:color w:val="000000" w:themeColor="text1"/>
          <w:sz w:val="24"/>
          <w:szCs w:val="24"/>
        </w:rPr>
        <w:t xml:space="preserve"> </w:t>
      </w:r>
      <w:r w:rsidR="00AF6D14" w:rsidRPr="00AF6D14">
        <w:rPr>
          <w:rFonts w:ascii="Arial Narrow" w:eastAsia="Arial" w:hAnsi="Arial Narrow" w:cs="Arial"/>
          <w:color w:val="000000" w:themeColor="text1"/>
          <w:sz w:val="24"/>
          <w:szCs w:val="24"/>
        </w:rPr>
        <w:t>nutritionnelle de</w:t>
      </w:r>
      <w:r w:rsidR="00AF6D14">
        <w:rPr>
          <w:rFonts w:ascii="Arial Narrow" w:eastAsia="Arial" w:hAnsi="Arial Narrow" w:cs="Arial"/>
          <w:color w:val="000000" w:themeColor="text1"/>
          <w:sz w:val="24"/>
          <w:szCs w:val="24"/>
        </w:rPr>
        <w:t>vait progresser de</w:t>
      </w:r>
      <w:r w:rsidR="00AF6D14" w:rsidRPr="00AF6D14">
        <w:rPr>
          <w:rFonts w:ascii="Arial Narrow" w:eastAsia="Arial" w:hAnsi="Arial Narrow" w:cs="Arial"/>
          <w:color w:val="000000" w:themeColor="text1"/>
          <w:sz w:val="24"/>
          <w:szCs w:val="24"/>
        </w:rPr>
        <w:t xml:space="preserve"> 26% en 2020 à 70% en 2025 </w:t>
      </w:r>
      <w:r w:rsidR="00AF6D14">
        <w:rPr>
          <w:rFonts w:ascii="Arial Narrow" w:eastAsia="Arial" w:hAnsi="Arial Narrow" w:cs="Arial"/>
          <w:color w:val="000000" w:themeColor="text1"/>
          <w:sz w:val="24"/>
          <w:szCs w:val="24"/>
        </w:rPr>
        <w:t xml:space="preserve">et </w:t>
      </w:r>
      <w:r w:rsidR="00A81E96" w:rsidRPr="007E7C5B">
        <w:rPr>
          <w:rFonts w:ascii="Arial Narrow" w:eastAsia="Arial" w:hAnsi="Arial Narrow" w:cs="Arial"/>
          <w:color w:val="000000" w:themeColor="text1"/>
          <w:sz w:val="24"/>
          <w:szCs w:val="24"/>
        </w:rPr>
        <w:t xml:space="preserve">la </w:t>
      </w:r>
      <w:r w:rsidR="00F76D83" w:rsidRPr="007E7C5B">
        <w:rPr>
          <w:rFonts w:ascii="Arial Narrow" w:eastAsia="Arial" w:hAnsi="Arial Narrow" w:cs="Arial"/>
          <w:color w:val="000000" w:themeColor="text1"/>
          <w:sz w:val="24"/>
          <w:szCs w:val="24"/>
        </w:rPr>
        <w:t>proportion d'enfants de moins de 5 ans malnutris (</w:t>
      </w:r>
      <w:proofErr w:type="spellStart"/>
      <w:r w:rsidR="00F76D83" w:rsidRPr="007E7C5B">
        <w:rPr>
          <w:rFonts w:ascii="Arial Narrow" w:eastAsia="Arial" w:hAnsi="Arial Narrow" w:cs="Arial"/>
          <w:color w:val="000000" w:themeColor="text1"/>
          <w:sz w:val="24"/>
          <w:szCs w:val="24"/>
        </w:rPr>
        <w:t>MASsc</w:t>
      </w:r>
      <w:proofErr w:type="spellEnd"/>
      <w:r w:rsidR="00F76D83" w:rsidRPr="007E7C5B">
        <w:rPr>
          <w:rFonts w:ascii="Arial Narrow" w:eastAsia="Arial" w:hAnsi="Arial Narrow" w:cs="Arial"/>
          <w:color w:val="000000" w:themeColor="text1"/>
          <w:sz w:val="24"/>
          <w:szCs w:val="24"/>
        </w:rPr>
        <w:t xml:space="preserve">, </w:t>
      </w:r>
      <w:proofErr w:type="spellStart"/>
      <w:r w:rsidR="00F76D83" w:rsidRPr="007E7C5B">
        <w:rPr>
          <w:rFonts w:ascii="Arial Narrow" w:eastAsia="Arial" w:hAnsi="Arial Narrow" w:cs="Arial"/>
          <w:color w:val="000000" w:themeColor="text1"/>
          <w:sz w:val="24"/>
          <w:szCs w:val="24"/>
        </w:rPr>
        <w:t>MASc</w:t>
      </w:r>
      <w:proofErr w:type="spellEnd"/>
      <w:r w:rsidR="00F76D83" w:rsidRPr="007E7C5B">
        <w:rPr>
          <w:rFonts w:ascii="Arial Narrow" w:eastAsia="Arial" w:hAnsi="Arial Narrow" w:cs="Arial"/>
          <w:color w:val="000000" w:themeColor="text1"/>
          <w:sz w:val="24"/>
          <w:szCs w:val="24"/>
        </w:rPr>
        <w:t>) guéris</w:t>
      </w:r>
      <w:r w:rsidR="008B5B21" w:rsidRPr="007E7C5B">
        <w:rPr>
          <w:rFonts w:ascii="Arial Narrow" w:eastAsia="Arial" w:hAnsi="Arial Narrow" w:cs="Arial"/>
          <w:color w:val="000000" w:themeColor="text1"/>
          <w:sz w:val="24"/>
          <w:szCs w:val="24"/>
        </w:rPr>
        <w:t xml:space="preserve"> </w:t>
      </w:r>
      <w:r w:rsidR="006D6F1B" w:rsidRPr="007E7C5B">
        <w:rPr>
          <w:rFonts w:ascii="Arial Narrow" w:eastAsia="Arial" w:hAnsi="Arial Narrow" w:cs="Arial"/>
          <w:color w:val="000000" w:themeColor="text1"/>
          <w:sz w:val="24"/>
          <w:szCs w:val="24"/>
        </w:rPr>
        <w:t>devait passer de 86% en 2020 à 91,2% en 2023</w:t>
      </w:r>
      <w:r w:rsidR="00AF6D14">
        <w:rPr>
          <w:rFonts w:ascii="Arial Narrow" w:eastAsia="Arial" w:hAnsi="Arial Narrow" w:cs="Arial"/>
          <w:color w:val="000000" w:themeColor="text1"/>
          <w:sz w:val="24"/>
          <w:szCs w:val="24"/>
        </w:rPr>
        <w:t xml:space="preserve"> puis 95% en 2025. </w:t>
      </w:r>
    </w:p>
    <w:p w14:paraId="2A0794F5" w14:textId="2090C178" w:rsidR="00807684" w:rsidRPr="007E7C5B" w:rsidRDefault="00E004B5" w:rsidP="00FE5219">
      <w:pPr>
        <w:tabs>
          <w:tab w:val="num" w:pos="720"/>
        </w:tabs>
        <w:jc w:val="both"/>
        <w:rPr>
          <w:rFonts w:ascii="Arial Narrow" w:eastAsia="Arial" w:hAnsi="Arial Narrow" w:cs="Arial"/>
          <w:color w:val="000000" w:themeColor="text1"/>
          <w:sz w:val="24"/>
          <w:szCs w:val="24"/>
        </w:rPr>
      </w:pPr>
      <w:r w:rsidRPr="007E7C5B">
        <w:rPr>
          <w:rFonts w:ascii="Arial Narrow" w:eastAsia="Arial" w:hAnsi="Arial Narrow" w:cs="Arial"/>
          <w:color w:val="000000" w:themeColor="text1"/>
          <w:sz w:val="24"/>
          <w:szCs w:val="24"/>
        </w:rPr>
        <w:t xml:space="preserve">Entre 2021 et 2023, plusieurs interventions ont été mises en œuvre pour répondre aux enjeux nutritionnels, en particulier chez les groupes vulnérables comme les enfants de moins de cinq ans, les femmes enceintes et les populations rurales. Les actions ont </w:t>
      </w:r>
      <w:r w:rsidR="00582FA4" w:rsidRPr="007E7C5B">
        <w:rPr>
          <w:rFonts w:ascii="Arial Narrow" w:eastAsia="Arial" w:hAnsi="Arial Narrow" w:cs="Arial"/>
          <w:color w:val="000000" w:themeColor="text1"/>
          <w:sz w:val="24"/>
          <w:szCs w:val="24"/>
        </w:rPr>
        <w:t>porté</w:t>
      </w:r>
      <w:r w:rsidRPr="007E7C5B" w:rsidDel="00582FA4">
        <w:rPr>
          <w:rFonts w:ascii="Arial Narrow" w:eastAsia="Arial" w:hAnsi="Arial Narrow" w:cs="Arial"/>
          <w:color w:val="000000" w:themeColor="text1"/>
          <w:sz w:val="24"/>
          <w:szCs w:val="24"/>
        </w:rPr>
        <w:t xml:space="preserve"> </w:t>
      </w:r>
      <w:r w:rsidRPr="007E7C5B">
        <w:rPr>
          <w:rFonts w:ascii="Arial Narrow" w:eastAsia="Arial" w:hAnsi="Arial Narrow" w:cs="Arial"/>
          <w:color w:val="000000" w:themeColor="text1"/>
          <w:sz w:val="24"/>
          <w:szCs w:val="24"/>
        </w:rPr>
        <w:t xml:space="preserve">sur : </w:t>
      </w:r>
      <w:r w:rsidR="00582FA4" w:rsidRPr="00A918AC">
        <w:rPr>
          <w:rFonts w:ascii="Arial Narrow" w:eastAsia="Arial" w:hAnsi="Arial Narrow" w:cs="Arial"/>
          <w:i/>
          <w:color w:val="000000" w:themeColor="text1"/>
          <w:sz w:val="24"/>
          <w:szCs w:val="24"/>
        </w:rPr>
        <w:t>(i)</w:t>
      </w:r>
      <w:r w:rsidR="00582FA4" w:rsidRPr="007E7C5B">
        <w:rPr>
          <w:rFonts w:ascii="Arial Narrow" w:eastAsia="Arial" w:hAnsi="Arial Narrow" w:cs="Arial"/>
          <w:color w:val="000000" w:themeColor="text1"/>
          <w:sz w:val="24"/>
          <w:szCs w:val="24"/>
        </w:rPr>
        <w:t xml:space="preserve"> </w:t>
      </w:r>
      <w:r w:rsidRPr="007E7C5B">
        <w:rPr>
          <w:rFonts w:ascii="Arial Narrow" w:eastAsia="Arial" w:hAnsi="Arial Narrow" w:cs="Arial"/>
          <w:color w:val="000000" w:themeColor="text1"/>
          <w:sz w:val="24"/>
          <w:szCs w:val="24"/>
        </w:rPr>
        <w:t xml:space="preserve">la </w:t>
      </w:r>
      <w:r w:rsidRPr="00A918AC">
        <w:rPr>
          <w:rFonts w:ascii="Arial Narrow" w:eastAsia="Arial" w:hAnsi="Arial Narrow" w:cs="Arial"/>
          <w:color w:val="000000" w:themeColor="text1"/>
          <w:sz w:val="24"/>
          <w:szCs w:val="24"/>
        </w:rPr>
        <w:t>lutte contre la malnutrition infantile</w:t>
      </w:r>
      <w:r w:rsidRPr="007E7C5B">
        <w:rPr>
          <w:rFonts w:ascii="Arial Narrow" w:eastAsia="Arial" w:hAnsi="Arial Narrow" w:cs="Arial"/>
          <w:color w:val="000000" w:themeColor="text1"/>
          <w:sz w:val="24"/>
          <w:szCs w:val="24"/>
        </w:rPr>
        <w:t>, avec un accent sur la prévention et le traitement des cas de malnutrition aiguë sévère (MAS) ;</w:t>
      </w:r>
      <w:r w:rsidR="009A29B8" w:rsidRPr="007E7C5B">
        <w:rPr>
          <w:rFonts w:ascii="Arial Narrow" w:eastAsia="Arial" w:hAnsi="Arial Narrow" w:cs="Arial"/>
          <w:color w:val="000000" w:themeColor="text1"/>
          <w:sz w:val="24"/>
          <w:szCs w:val="24"/>
        </w:rPr>
        <w:t> </w:t>
      </w:r>
      <w:r w:rsidR="00E32B78" w:rsidRPr="00A918AC">
        <w:rPr>
          <w:rFonts w:ascii="Arial Narrow" w:eastAsia="Arial" w:hAnsi="Arial Narrow" w:cs="Arial"/>
          <w:i/>
          <w:color w:val="000000" w:themeColor="text1"/>
          <w:sz w:val="24"/>
          <w:szCs w:val="24"/>
        </w:rPr>
        <w:t>(ii)</w:t>
      </w:r>
      <w:r w:rsidR="00392098" w:rsidRPr="007E7C5B">
        <w:rPr>
          <w:rFonts w:ascii="Arial Narrow" w:eastAsia="Arial" w:hAnsi="Arial Narrow" w:cs="Arial"/>
          <w:i/>
          <w:iCs/>
          <w:color w:val="000000" w:themeColor="text1"/>
          <w:sz w:val="24"/>
          <w:szCs w:val="24"/>
        </w:rPr>
        <w:t> </w:t>
      </w:r>
      <w:r w:rsidR="001637DB" w:rsidRPr="007E7C5B">
        <w:rPr>
          <w:rFonts w:ascii="Arial Narrow" w:eastAsia="Arial" w:hAnsi="Arial Narrow" w:cs="Arial"/>
          <w:color w:val="000000" w:themeColor="text1"/>
          <w:sz w:val="24"/>
          <w:szCs w:val="24"/>
        </w:rPr>
        <w:t>l’extension</w:t>
      </w:r>
      <w:r w:rsidR="001637DB" w:rsidRPr="00A918AC">
        <w:rPr>
          <w:rFonts w:ascii="Arial Narrow" w:eastAsia="Arial" w:hAnsi="Arial Narrow" w:cs="Arial"/>
          <w:color w:val="000000" w:themeColor="text1"/>
          <w:sz w:val="24"/>
          <w:szCs w:val="24"/>
        </w:rPr>
        <w:t xml:space="preserve"> </w:t>
      </w:r>
      <w:r w:rsidRPr="00A918AC">
        <w:rPr>
          <w:rFonts w:ascii="Arial Narrow" w:eastAsia="Arial" w:hAnsi="Arial Narrow" w:cs="Arial"/>
          <w:color w:val="000000" w:themeColor="text1"/>
          <w:sz w:val="24"/>
          <w:szCs w:val="24"/>
        </w:rPr>
        <w:t xml:space="preserve">de </w:t>
      </w:r>
      <w:r w:rsidR="00820586" w:rsidRPr="00A918AC">
        <w:rPr>
          <w:rFonts w:ascii="Arial Narrow" w:eastAsia="Arial" w:hAnsi="Arial Narrow" w:cs="Arial"/>
          <w:color w:val="000000" w:themeColor="text1"/>
          <w:sz w:val="24"/>
          <w:szCs w:val="24"/>
        </w:rPr>
        <w:t>l’</w:t>
      </w:r>
      <w:r w:rsidR="00820586" w:rsidRPr="007E7C5B">
        <w:rPr>
          <w:rFonts w:ascii="Arial Narrow" w:eastAsia="Arial" w:hAnsi="Arial Narrow" w:cs="Arial"/>
          <w:color w:val="000000" w:themeColor="text1"/>
          <w:sz w:val="24"/>
          <w:szCs w:val="24"/>
        </w:rPr>
        <w:t>offre de soins de nutrition</w:t>
      </w:r>
      <w:r w:rsidRPr="007E7C5B">
        <w:rPr>
          <w:rFonts w:ascii="Arial Narrow" w:eastAsia="Arial" w:hAnsi="Arial Narrow" w:cs="Arial"/>
          <w:color w:val="000000" w:themeColor="text1"/>
          <w:sz w:val="24"/>
          <w:szCs w:val="24"/>
        </w:rPr>
        <w:t>, en intégrant la supplémentation en micronutriments (vitamine A, fer, etc.) pour les enfants et les femmes enceintes</w:t>
      </w:r>
      <w:r w:rsidR="00F0779C" w:rsidRPr="007E7C5B">
        <w:rPr>
          <w:rFonts w:ascii="Arial Narrow" w:eastAsia="Arial" w:hAnsi="Arial Narrow" w:cs="Arial"/>
          <w:color w:val="000000" w:themeColor="text1"/>
          <w:sz w:val="24"/>
          <w:szCs w:val="24"/>
        </w:rPr>
        <w:t xml:space="preserve"> ; </w:t>
      </w:r>
      <w:r w:rsidR="001637DB" w:rsidRPr="00A918AC">
        <w:rPr>
          <w:rFonts w:ascii="Arial Narrow" w:eastAsia="Arial" w:hAnsi="Arial Narrow" w:cs="Arial"/>
          <w:i/>
          <w:color w:val="000000" w:themeColor="text1"/>
          <w:sz w:val="24"/>
          <w:szCs w:val="24"/>
        </w:rPr>
        <w:t>(iii)</w:t>
      </w:r>
      <w:r w:rsidR="001637DB" w:rsidRPr="007E7C5B">
        <w:rPr>
          <w:rFonts w:ascii="Arial Narrow" w:eastAsia="Arial" w:hAnsi="Arial Narrow" w:cs="Arial"/>
          <w:color w:val="000000" w:themeColor="text1"/>
          <w:sz w:val="24"/>
          <w:szCs w:val="24"/>
        </w:rPr>
        <w:t xml:space="preserve"> la promotion des bonnes pratiques nutritionnelles</w:t>
      </w:r>
      <w:r w:rsidRPr="007E7C5B" w:rsidDel="00F0779C">
        <w:rPr>
          <w:rFonts w:ascii="Arial Narrow" w:eastAsia="Arial" w:hAnsi="Arial Narrow" w:cs="Arial"/>
          <w:color w:val="000000" w:themeColor="text1"/>
          <w:sz w:val="24"/>
          <w:szCs w:val="24"/>
        </w:rPr>
        <w:t>.</w:t>
      </w:r>
      <w:r w:rsidR="00807684">
        <w:rPr>
          <w:rFonts w:ascii="Arial Narrow" w:eastAsia="Arial" w:hAnsi="Arial Narrow" w:cs="Arial"/>
          <w:color w:val="000000" w:themeColor="text1"/>
          <w:sz w:val="24"/>
          <w:szCs w:val="24"/>
        </w:rPr>
        <w:t xml:space="preserve"> </w:t>
      </w:r>
    </w:p>
    <w:p w14:paraId="13EEF584" w14:textId="19035551" w:rsidR="00105708" w:rsidRPr="007E7C5B" w:rsidRDefault="00E1397A" w:rsidP="00105708">
      <w:pPr>
        <w:spacing w:line="257" w:lineRule="auto"/>
        <w:jc w:val="both"/>
        <w:rPr>
          <w:rFonts w:ascii="Arial Narrow" w:eastAsia="Arial" w:hAnsi="Arial Narrow" w:cs="Arial"/>
          <w:sz w:val="24"/>
          <w:szCs w:val="24"/>
        </w:rPr>
      </w:pPr>
      <w:r w:rsidRPr="00A918AC">
        <w:rPr>
          <w:rFonts w:ascii="Arial Narrow" w:eastAsia="Arial" w:hAnsi="Arial Narrow" w:cs="Arial"/>
          <w:b/>
          <w:i/>
          <w:sz w:val="24"/>
          <w:szCs w:val="24"/>
        </w:rPr>
        <w:t>En matière de gouvernance,</w:t>
      </w:r>
      <w:r w:rsidRPr="007E7C5B">
        <w:rPr>
          <w:rFonts w:ascii="Arial Narrow" w:eastAsia="Arial" w:hAnsi="Arial Narrow" w:cs="Arial"/>
          <w:bCs/>
          <w:sz w:val="24"/>
          <w:szCs w:val="24"/>
        </w:rPr>
        <w:t xml:space="preserve"> t</w:t>
      </w:r>
      <w:r w:rsidR="00105708" w:rsidRPr="007E7C5B">
        <w:rPr>
          <w:rFonts w:ascii="Arial Narrow" w:eastAsia="Arial" w:hAnsi="Arial Narrow" w:cs="Arial"/>
          <w:bCs/>
          <w:sz w:val="24"/>
          <w:szCs w:val="24"/>
        </w:rPr>
        <w:t>rois arrêtés interministériels</w:t>
      </w:r>
      <w:r w:rsidR="00105708" w:rsidRPr="007E7C5B">
        <w:rPr>
          <w:rFonts w:ascii="Arial Narrow" w:eastAsia="Arial" w:hAnsi="Arial Narrow" w:cs="Arial"/>
          <w:sz w:val="24"/>
          <w:szCs w:val="24"/>
        </w:rPr>
        <w:t xml:space="preserve"> d’application du décret N° 2013-416 du 06 juin 2013 portant règlementation de la commercialisation des substituts du lait maternel dans le cadre de l’application du code international de commercialisation des substituts du lait maternel ont été pris </w:t>
      </w:r>
      <w:r w:rsidR="00186E6A" w:rsidRPr="007E7C5B">
        <w:rPr>
          <w:rFonts w:ascii="Arial Narrow" w:eastAsia="Arial" w:hAnsi="Arial Narrow" w:cs="Arial"/>
          <w:sz w:val="24"/>
          <w:szCs w:val="24"/>
        </w:rPr>
        <w:t xml:space="preserve">en 2021, </w:t>
      </w:r>
      <w:r w:rsidR="00105708" w:rsidRPr="007E7C5B">
        <w:rPr>
          <w:rFonts w:ascii="Arial Narrow" w:eastAsia="Arial" w:hAnsi="Arial Narrow" w:cs="Arial"/>
          <w:sz w:val="24"/>
          <w:szCs w:val="24"/>
        </w:rPr>
        <w:t xml:space="preserve">à savoir : </w:t>
      </w:r>
      <w:r w:rsidR="00105708" w:rsidRPr="007E7C5B">
        <w:rPr>
          <w:rFonts w:ascii="Arial Narrow" w:eastAsia="Arial" w:hAnsi="Arial Narrow" w:cs="Arial"/>
          <w:i/>
          <w:iCs/>
          <w:sz w:val="24"/>
          <w:szCs w:val="24"/>
        </w:rPr>
        <w:t>(i)</w:t>
      </w:r>
      <w:r w:rsidR="00105708" w:rsidRPr="007E7C5B">
        <w:rPr>
          <w:rFonts w:ascii="Arial Narrow" w:eastAsia="Arial" w:hAnsi="Arial Narrow" w:cs="Arial"/>
          <w:sz w:val="24"/>
          <w:szCs w:val="24"/>
        </w:rPr>
        <w:t xml:space="preserve"> l’arrêté fixant règlementation de la promotion ou de la publicité des substituts du lait maternel ; </w:t>
      </w:r>
      <w:r w:rsidR="00105708" w:rsidRPr="007E7C5B">
        <w:rPr>
          <w:rFonts w:ascii="Arial Narrow" w:eastAsia="Arial" w:hAnsi="Arial Narrow" w:cs="Arial"/>
          <w:i/>
          <w:iCs/>
          <w:sz w:val="24"/>
          <w:szCs w:val="24"/>
        </w:rPr>
        <w:t>(ii)</w:t>
      </w:r>
      <w:r w:rsidR="00105708" w:rsidRPr="007E7C5B">
        <w:rPr>
          <w:rFonts w:ascii="Arial Narrow" w:eastAsia="Arial" w:hAnsi="Arial Narrow" w:cs="Arial"/>
          <w:sz w:val="24"/>
          <w:szCs w:val="24"/>
        </w:rPr>
        <w:t xml:space="preserve"> l’arrêté fixant les conditions d’autorisation de commercialisation des substituts du lait maternel ; </w:t>
      </w:r>
      <w:r w:rsidR="00105708" w:rsidRPr="007E7C5B">
        <w:rPr>
          <w:rFonts w:ascii="Arial Narrow" w:eastAsia="Arial" w:hAnsi="Arial Narrow" w:cs="Arial"/>
          <w:i/>
          <w:iCs/>
          <w:sz w:val="24"/>
          <w:szCs w:val="24"/>
        </w:rPr>
        <w:t>(iii)</w:t>
      </w:r>
      <w:r w:rsidR="00105708" w:rsidRPr="007E7C5B">
        <w:rPr>
          <w:rFonts w:ascii="Arial Narrow" w:eastAsia="Arial" w:hAnsi="Arial Narrow" w:cs="Arial"/>
          <w:sz w:val="24"/>
          <w:szCs w:val="24"/>
        </w:rPr>
        <w:t xml:space="preserve"> l’arrêté portant création, composition, attribution et fonctionnement de la commission d’autorisation de commercialisation des substituts du lait maternel.</w:t>
      </w:r>
    </w:p>
    <w:p w14:paraId="2DD1E274" w14:textId="76B34A59" w:rsidR="00351610" w:rsidRPr="007E7C5B" w:rsidRDefault="00B72415" w:rsidP="00351610">
      <w:pPr>
        <w:jc w:val="both"/>
        <w:rPr>
          <w:rFonts w:ascii="Arial Narrow" w:hAnsi="Arial Narrow" w:cs="Arial"/>
          <w:sz w:val="24"/>
          <w:szCs w:val="24"/>
        </w:rPr>
      </w:pPr>
      <w:r w:rsidRPr="00A918AC">
        <w:rPr>
          <w:rFonts w:ascii="Arial Narrow" w:hAnsi="Arial Narrow" w:cs="Arial"/>
          <w:b/>
          <w:i/>
          <w:sz w:val="24"/>
          <w:szCs w:val="24"/>
        </w:rPr>
        <w:t>P</w:t>
      </w:r>
      <w:r w:rsidR="00351610" w:rsidRPr="00A918AC">
        <w:rPr>
          <w:rFonts w:ascii="Arial Narrow" w:hAnsi="Arial Narrow" w:cs="Times New Roman"/>
          <w:b/>
          <w:i/>
          <w:sz w:val="24"/>
          <w:szCs w:val="24"/>
        </w:rPr>
        <w:t>our la supplémentation en vitamine A,</w:t>
      </w:r>
      <w:r w:rsidR="00351610" w:rsidRPr="00A918AC">
        <w:rPr>
          <w:rFonts w:ascii="Arial Narrow" w:hAnsi="Arial Narrow" w:cs="Arial"/>
          <w:sz w:val="24"/>
          <w:szCs w:val="24"/>
        </w:rPr>
        <w:t xml:space="preserve"> 40 DDS mettent en œuvre la stratégie de distribution de la vitamine A en campagne, et 73 DDS distribuent la vitamine A en routine dans les établissements de santé. Au total, 6 046 188 enfants de 6 à 59 mois ont reçu une dose de vitamine </w:t>
      </w:r>
      <w:r w:rsidR="000E4DEE" w:rsidRPr="00A918AC">
        <w:rPr>
          <w:rFonts w:ascii="Arial Narrow" w:hAnsi="Arial Narrow" w:cs="Arial"/>
          <w:sz w:val="24"/>
          <w:szCs w:val="24"/>
        </w:rPr>
        <w:t xml:space="preserve">A </w:t>
      </w:r>
      <w:r w:rsidR="00351610" w:rsidRPr="00A918AC">
        <w:rPr>
          <w:rFonts w:ascii="Arial Narrow" w:hAnsi="Arial Narrow" w:cs="Arial"/>
          <w:sz w:val="24"/>
          <w:szCs w:val="24"/>
        </w:rPr>
        <w:t xml:space="preserve">au cours de l’année 2021 sur 7 153 688 soit une couverture nationale de 85%. En 2023, ce sont 4 358 800 d’enfants de 6 à 59 mois qui ont reçu une dose de vitamine </w:t>
      </w:r>
      <w:r w:rsidR="00F00CB3" w:rsidRPr="00A918AC">
        <w:rPr>
          <w:rFonts w:ascii="Arial Narrow" w:hAnsi="Arial Narrow" w:cs="Arial"/>
          <w:sz w:val="24"/>
          <w:szCs w:val="24"/>
        </w:rPr>
        <w:t xml:space="preserve">A </w:t>
      </w:r>
      <w:r w:rsidR="00351610" w:rsidRPr="00A918AC">
        <w:rPr>
          <w:rFonts w:ascii="Arial Narrow" w:hAnsi="Arial Narrow" w:cs="Arial"/>
          <w:sz w:val="24"/>
          <w:szCs w:val="24"/>
        </w:rPr>
        <w:t xml:space="preserve">sur 4 522 655 soit une couverture nationale de 95%. </w:t>
      </w:r>
    </w:p>
    <w:p w14:paraId="3C39CF37" w14:textId="34ED3595" w:rsidR="008A2416" w:rsidRPr="007E7C5B" w:rsidRDefault="006C1FD8" w:rsidP="008933AF">
      <w:pPr>
        <w:spacing w:line="257" w:lineRule="auto"/>
        <w:jc w:val="both"/>
        <w:rPr>
          <w:rFonts w:ascii="Arial Narrow" w:eastAsia="Arial" w:hAnsi="Arial Narrow" w:cs="Arial"/>
          <w:sz w:val="24"/>
          <w:szCs w:val="24"/>
        </w:rPr>
      </w:pPr>
      <w:r w:rsidRPr="00A918AC">
        <w:rPr>
          <w:rFonts w:ascii="Arial Narrow" w:eastAsia="Arial" w:hAnsi="Arial Narrow" w:cs="Arial"/>
          <w:b/>
          <w:i/>
          <w:sz w:val="24"/>
          <w:szCs w:val="24"/>
        </w:rPr>
        <w:t xml:space="preserve">En </w:t>
      </w:r>
      <w:r w:rsidR="00A677BC" w:rsidRPr="007E7C5B">
        <w:rPr>
          <w:rFonts w:ascii="Arial Narrow" w:eastAsia="Arial" w:hAnsi="Arial Narrow" w:cs="Arial"/>
          <w:b/>
          <w:bCs/>
          <w:i/>
          <w:iCs/>
          <w:sz w:val="24"/>
          <w:szCs w:val="24"/>
        </w:rPr>
        <w:t>ce qui concerne</w:t>
      </w:r>
      <w:r w:rsidRPr="00A918AC">
        <w:rPr>
          <w:rFonts w:ascii="Arial Narrow" w:eastAsia="Arial" w:hAnsi="Arial Narrow" w:cs="Arial"/>
          <w:b/>
          <w:i/>
          <w:sz w:val="24"/>
          <w:szCs w:val="24"/>
        </w:rPr>
        <w:t xml:space="preserve"> d</w:t>
      </w:r>
      <w:r w:rsidR="00AD67B6" w:rsidRPr="00A918AC">
        <w:rPr>
          <w:rFonts w:ascii="Arial Narrow" w:eastAsia="Arial" w:hAnsi="Arial Narrow" w:cs="Arial"/>
          <w:b/>
          <w:i/>
          <w:sz w:val="24"/>
          <w:szCs w:val="24"/>
        </w:rPr>
        <w:t>e</w:t>
      </w:r>
      <w:r w:rsidRPr="00A918AC">
        <w:rPr>
          <w:rFonts w:ascii="Arial Narrow" w:eastAsia="Arial" w:hAnsi="Arial Narrow" w:cs="Arial"/>
          <w:b/>
          <w:i/>
          <w:sz w:val="24"/>
          <w:szCs w:val="24"/>
        </w:rPr>
        <w:t xml:space="preserve"> </w:t>
      </w:r>
      <w:r w:rsidR="00436E3A" w:rsidRPr="00A918AC">
        <w:rPr>
          <w:rFonts w:ascii="Arial Narrow" w:eastAsia="Arial" w:hAnsi="Arial Narrow" w:cs="Arial"/>
          <w:b/>
          <w:i/>
          <w:sz w:val="24"/>
          <w:szCs w:val="24"/>
        </w:rPr>
        <w:t>D</w:t>
      </w:r>
      <w:r w:rsidRPr="00A918AC">
        <w:rPr>
          <w:rFonts w:ascii="Arial Narrow" w:eastAsia="Arial" w:hAnsi="Arial Narrow" w:cs="Arial"/>
          <w:b/>
          <w:i/>
          <w:sz w:val="24"/>
          <w:szCs w:val="24"/>
        </w:rPr>
        <w:t xml:space="preserve">éveloppement de la </w:t>
      </w:r>
      <w:r w:rsidR="008A2416" w:rsidRPr="00A918AC">
        <w:rPr>
          <w:rFonts w:ascii="Arial Narrow" w:eastAsia="Arial" w:hAnsi="Arial Narrow" w:cs="Arial"/>
          <w:b/>
          <w:i/>
          <w:sz w:val="24"/>
          <w:szCs w:val="24"/>
        </w:rPr>
        <w:t>Petite Enfance</w:t>
      </w:r>
      <w:r w:rsidR="00436E3A" w:rsidRPr="00A918AC">
        <w:rPr>
          <w:rFonts w:ascii="Arial Narrow" w:eastAsia="Arial" w:hAnsi="Arial Narrow" w:cs="Arial"/>
          <w:b/>
          <w:i/>
          <w:sz w:val="24"/>
          <w:szCs w:val="24"/>
        </w:rPr>
        <w:t xml:space="preserve"> (DPE)</w:t>
      </w:r>
      <w:r w:rsidR="008675F2" w:rsidRPr="00A918AC">
        <w:rPr>
          <w:rFonts w:ascii="Arial Narrow" w:eastAsia="Arial" w:hAnsi="Arial Narrow" w:cs="Arial"/>
          <w:b/>
          <w:i/>
          <w:sz w:val="24"/>
          <w:szCs w:val="24"/>
        </w:rPr>
        <w:t>,</w:t>
      </w:r>
      <w:r w:rsidR="009656AE" w:rsidRPr="007E7C5B">
        <w:rPr>
          <w:rFonts w:ascii="Arial Narrow" w:eastAsia="Arial" w:hAnsi="Arial Narrow" w:cs="Arial"/>
          <w:sz w:val="24"/>
          <w:szCs w:val="24"/>
        </w:rPr>
        <w:t xml:space="preserve"> </w:t>
      </w:r>
      <w:r w:rsidR="008675F2" w:rsidRPr="007E7C5B">
        <w:rPr>
          <w:rFonts w:ascii="Arial Narrow" w:eastAsia="Arial" w:hAnsi="Arial Narrow" w:cs="Arial"/>
          <w:sz w:val="24"/>
          <w:szCs w:val="24"/>
        </w:rPr>
        <w:t>le</w:t>
      </w:r>
      <w:r w:rsidR="009656AE" w:rsidRPr="007E7C5B">
        <w:rPr>
          <w:rFonts w:ascii="Arial Narrow" w:eastAsia="Arial" w:hAnsi="Arial Narrow" w:cs="Arial"/>
          <w:sz w:val="24"/>
          <w:szCs w:val="24"/>
        </w:rPr>
        <w:t xml:space="preserve">s interventions ont </w:t>
      </w:r>
      <w:r w:rsidR="003175E6" w:rsidRPr="007E7C5B">
        <w:rPr>
          <w:rFonts w:ascii="Arial Narrow" w:eastAsia="Arial" w:hAnsi="Arial Narrow" w:cs="Arial"/>
          <w:sz w:val="24"/>
          <w:szCs w:val="24"/>
        </w:rPr>
        <w:t>concerné</w:t>
      </w:r>
      <w:r w:rsidR="00463A1E" w:rsidRPr="007E7C5B">
        <w:rPr>
          <w:rFonts w:ascii="Arial Narrow" w:eastAsia="Arial" w:hAnsi="Arial Narrow" w:cs="Arial"/>
          <w:sz w:val="24"/>
          <w:szCs w:val="24"/>
        </w:rPr>
        <w:t xml:space="preserve"> </w:t>
      </w:r>
      <w:r w:rsidR="00EE3BC4" w:rsidRPr="007E7C5B">
        <w:rPr>
          <w:rFonts w:ascii="Arial Narrow" w:eastAsia="Arial" w:hAnsi="Arial Narrow" w:cs="Arial"/>
          <w:sz w:val="24"/>
          <w:szCs w:val="24"/>
        </w:rPr>
        <w:t>le</w:t>
      </w:r>
      <w:r w:rsidR="00AE31AC" w:rsidRPr="007E7C5B">
        <w:rPr>
          <w:rFonts w:ascii="Arial Narrow" w:eastAsia="Arial" w:hAnsi="Arial Narrow" w:cs="Arial"/>
          <w:sz w:val="24"/>
          <w:szCs w:val="24"/>
        </w:rPr>
        <w:t xml:space="preserve"> district de Lakota, </w:t>
      </w:r>
      <w:r w:rsidR="009656AE" w:rsidRPr="007E7C5B">
        <w:rPr>
          <w:rFonts w:ascii="Arial Narrow" w:eastAsia="Arial" w:hAnsi="Arial Narrow" w:cs="Arial"/>
          <w:sz w:val="24"/>
          <w:szCs w:val="24"/>
        </w:rPr>
        <w:t>touch</w:t>
      </w:r>
      <w:r w:rsidR="00AE31AC" w:rsidRPr="007E7C5B">
        <w:rPr>
          <w:rFonts w:ascii="Arial Narrow" w:eastAsia="Arial" w:hAnsi="Arial Narrow" w:cs="Arial"/>
          <w:sz w:val="24"/>
          <w:szCs w:val="24"/>
        </w:rPr>
        <w:t>ant</w:t>
      </w:r>
      <w:r w:rsidR="009656AE" w:rsidRPr="007E7C5B">
        <w:rPr>
          <w:rFonts w:ascii="Arial Narrow" w:eastAsia="Arial" w:hAnsi="Arial Narrow" w:cs="Arial"/>
          <w:sz w:val="24"/>
          <w:szCs w:val="24"/>
        </w:rPr>
        <w:t xml:space="preserve"> 94 711 habitants</w:t>
      </w:r>
      <w:r w:rsidR="003175E6" w:rsidRPr="007E7C5B">
        <w:rPr>
          <w:rFonts w:ascii="Arial Narrow" w:eastAsia="Arial" w:hAnsi="Arial Narrow" w:cs="Arial"/>
          <w:sz w:val="24"/>
          <w:szCs w:val="24"/>
        </w:rPr>
        <w:t xml:space="preserve"> en 2022</w:t>
      </w:r>
      <w:r w:rsidR="00EE3BC4" w:rsidRPr="007E7C5B">
        <w:rPr>
          <w:rFonts w:ascii="Arial Narrow" w:eastAsia="Arial" w:hAnsi="Arial Narrow" w:cs="Arial"/>
          <w:sz w:val="24"/>
          <w:szCs w:val="24"/>
        </w:rPr>
        <w:t>,</w:t>
      </w:r>
      <w:r w:rsidR="009656AE" w:rsidRPr="007E7C5B">
        <w:rPr>
          <w:rFonts w:ascii="Arial Narrow" w:eastAsia="Arial" w:hAnsi="Arial Narrow" w:cs="Arial"/>
          <w:sz w:val="24"/>
          <w:szCs w:val="24"/>
        </w:rPr>
        <w:t xml:space="preserve"> dont 37 188 enfants de moins de 5 ans, issus de 28 955 ménages. Au cours de ce projet, 33 campagnes de sensibilisation </w:t>
      </w:r>
      <w:r w:rsidR="005D5026" w:rsidRPr="007E7C5B">
        <w:rPr>
          <w:rFonts w:ascii="Arial Narrow" w:eastAsia="Arial" w:hAnsi="Arial Narrow" w:cs="Arial"/>
          <w:sz w:val="24"/>
          <w:szCs w:val="24"/>
        </w:rPr>
        <w:t xml:space="preserve">au changement de </w:t>
      </w:r>
      <w:r w:rsidR="00322A8B" w:rsidRPr="007E7C5B">
        <w:rPr>
          <w:rFonts w:ascii="Arial Narrow" w:eastAsia="Arial" w:hAnsi="Arial Narrow" w:cs="Arial"/>
          <w:sz w:val="24"/>
          <w:szCs w:val="24"/>
        </w:rPr>
        <w:t xml:space="preserve">comportement </w:t>
      </w:r>
      <w:r w:rsidR="007337D9" w:rsidRPr="007E7C5B">
        <w:rPr>
          <w:rFonts w:ascii="Arial Narrow" w:eastAsia="Arial" w:hAnsi="Arial Narrow" w:cs="Arial"/>
          <w:sz w:val="24"/>
          <w:szCs w:val="24"/>
        </w:rPr>
        <w:t xml:space="preserve">en rapport avec les actions essentielles </w:t>
      </w:r>
      <w:r w:rsidR="00940EB2" w:rsidRPr="007E7C5B">
        <w:rPr>
          <w:rFonts w:ascii="Arial Narrow" w:eastAsia="Arial" w:hAnsi="Arial Narrow" w:cs="Arial"/>
          <w:sz w:val="24"/>
          <w:szCs w:val="24"/>
        </w:rPr>
        <w:t>en nutrition et en hygiène</w:t>
      </w:r>
      <w:r w:rsidR="00322A8B" w:rsidRPr="007E7C5B">
        <w:rPr>
          <w:rFonts w:ascii="Arial Narrow" w:eastAsia="Arial" w:hAnsi="Arial Narrow" w:cs="Arial"/>
          <w:sz w:val="24"/>
          <w:szCs w:val="24"/>
        </w:rPr>
        <w:t xml:space="preserve"> </w:t>
      </w:r>
      <w:r w:rsidR="00940EB2" w:rsidRPr="007E7C5B">
        <w:rPr>
          <w:rFonts w:ascii="Arial Narrow" w:eastAsia="Arial" w:hAnsi="Arial Narrow" w:cs="Arial"/>
          <w:sz w:val="24"/>
          <w:szCs w:val="24"/>
        </w:rPr>
        <w:t xml:space="preserve">et les soins parentaux pour le développement de l’enfant </w:t>
      </w:r>
      <w:r w:rsidR="009656AE" w:rsidRPr="007E7C5B">
        <w:rPr>
          <w:rFonts w:ascii="Arial Narrow" w:eastAsia="Arial" w:hAnsi="Arial Narrow" w:cs="Arial"/>
          <w:sz w:val="24"/>
          <w:szCs w:val="24"/>
        </w:rPr>
        <w:t>ont été organisées dans tout le district</w:t>
      </w:r>
      <w:r w:rsidR="008B5950" w:rsidRPr="007E7C5B">
        <w:rPr>
          <w:rFonts w:ascii="Arial Narrow" w:eastAsia="Arial" w:hAnsi="Arial Narrow" w:cs="Arial"/>
          <w:sz w:val="24"/>
          <w:szCs w:val="24"/>
        </w:rPr>
        <w:t>, réunissant ainsi 3 306 personnes</w:t>
      </w:r>
      <w:r w:rsidR="009656AE" w:rsidRPr="007E7C5B">
        <w:rPr>
          <w:rFonts w:ascii="Arial Narrow" w:eastAsia="Arial" w:hAnsi="Arial Narrow" w:cs="Arial"/>
          <w:sz w:val="24"/>
          <w:szCs w:val="24"/>
        </w:rPr>
        <w:t>.</w:t>
      </w:r>
    </w:p>
    <w:p w14:paraId="44742E64" w14:textId="0FFDE695" w:rsidR="006C64F9" w:rsidRPr="007E7C5B" w:rsidRDefault="00212A31" w:rsidP="008933AF">
      <w:pPr>
        <w:spacing w:line="257" w:lineRule="auto"/>
        <w:jc w:val="both"/>
        <w:rPr>
          <w:rFonts w:ascii="Arial Narrow" w:eastAsia="Arial" w:hAnsi="Arial Narrow" w:cs="Arial"/>
          <w:sz w:val="24"/>
          <w:szCs w:val="24"/>
        </w:rPr>
      </w:pPr>
      <w:r w:rsidRPr="007E7C5B">
        <w:rPr>
          <w:rFonts w:ascii="Arial Narrow" w:eastAsia="Arial" w:hAnsi="Arial Narrow" w:cs="Arial"/>
          <w:b/>
          <w:bCs/>
          <w:i/>
          <w:iCs/>
          <w:sz w:val="24"/>
          <w:szCs w:val="24"/>
        </w:rPr>
        <w:t>S’agissant de l</w:t>
      </w:r>
      <w:r w:rsidR="006C64F9" w:rsidRPr="00A918AC">
        <w:rPr>
          <w:rFonts w:ascii="Arial Narrow" w:eastAsia="Arial" w:hAnsi="Arial Narrow" w:cs="Arial"/>
          <w:b/>
          <w:i/>
          <w:sz w:val="24"/>
          <w:szCs w:val="24"/>
        </w:rPr>
        <w:t>’offre de service de nutrition chez les PVVIH</w:t>
      </w:r>
      <w:r w:rsidRPr="007E7C5B">
        <w:rPr>
          <w:rFonts w:ascii="Arial Narrow" w:eastAsia="Arial" w:hAnsi="Arial Narrow" w:cs="Arial"/>
          <w:b/>
          <w:bCs/>
          <w:i/>
          <w:iCs/>
          <w:sz w:val="24"/>
          <w:szCs w:val="24"/>
        </w:rPr>
        <w:t>,</w:t>
      </w:r>
      <w:r w:rsidR="006C64F9" w:rsidRPr="007E7C5B">
        <w:rPr>
          <w:rFonts w:ascii="Arial Narrow" w:eastAsia="Arial" w:hAnsi="Arial Narrow" w:cs="Arial"/>
          <w:sz w:val="24"/>
          <w:szCs w:val="24"/>
        </w:rPr>
        <w:t xml:space="preserve"> </w:t>
      </w:r>
      <w:r w:rsidR="00CD0964" w:rsidRPr="007E7C5B">
        <w:rPr>
          <w:rFonts w:ascii="Arial Narrow" w:eastAsia="Arial" w:hAnsi="Arial Narrow" w:cs="Arial"/>
          <w:sz w:val="24"/>
          <w:szCs w:val="24"/>
        </w:rPr>
        <w:t>2</w:t>
      </w:r>
      <w:r w:rsidR="00CD0964" w:rsidRPr="007E7C5B">
        <w:rPr>
          <w:rFonts w:ascii="Arial" w:eastAsia="Arial" w:hAnsi="Arial" w:cs="Arial"/>
          <w:sz w:val="24"/>
          <w:szCs w:val="24"/>
        </w:rPr>
        <w:t> </w:t>
      </w:r>
      <w:r w:rsidR="00CD0964" w:rsidRPr="007E7C5B">
        <w:rPr>
          <w:rFonts w:ascii="Arial Narrow" w:eastAsia="Arial" w:hAnsi="Arial Narrow" w:cs="Arial"/>
          <w:sz w:val="24"/>
          <w:szCs w:val="24"/>
        </w:rPr>
        <w:t>126</w:t>
      </w:r>
      <w:r w:rsidR="00CD0964" w:rsidRPr="007E7C5B">
        <w:rPr>
          <w:rFonts w:ascii="Arial" w:eastAsia="Arial" w:hAnsi="Arial" w:cs="Arial"/>
          <w:sz w:val="24"/>
          <w:szCs w:val="24"/>
        </w:rPr>
        <w:t> </w:t>
      </w:r>
      <w:r w:rsidR="00CD0964" w:rsidRPr="007E7C5B">
        <w:rPr>
          <w:rFonts w:ascii="Arial Narrow" w:eastAsia="Arial" w:hAnsi="Arial Narrow" w:cs="Arial"/>
          <w:sz w:val="24"/>
          <w:szCs w:val="24"/>
        </w:rPr>
        <w:t xml:space="preserve">484 </w:t>
      </w:r>
      <w:r w:rsidR="006C64F9" w:rsidRPr="007E7C5B">
        <w:rPr>
          <w:rFonts w:ascii="Arial Narrow" w:eastAsia="Arial" w:hAnsi="Arial Narrow" w:cs="Arial"/>
          <w:sz w:val="24"/>
          <w:szCs w:val="24"/>
        </w:rPr>
        <w:t>évaluation</w:t>
      </w:r>
      <w:r w:rsidR="00977D98" w:rsidRPr="007E7C5B">
        <w:rPr>
          <w:rFonts w:ascii="Arial Narrow" w:eastAsia="Arial" w:hAnsi="Arial Narrow" w:cs="Arial"/>
          <w:sz w:val="24"/>
          <w:szCs w:val="24"/>
        </w:rPr>
        <w:t>s</w:t>
      </w:r>
      <w:r w:rsidR="006C64F9" w:rsidRPr="007E7C5B">
        <w:rPr>
          <w:rFonts w:ascii="Arial Narrow" w:eastAsia="Arial" w:hAnsi="Arial Narrow" w:cs="Arial"/>
          <w:sz w:val="24"/>
          <w:szCs w:val="24"/>
        </w:rPr>
        <w:t xml:space="preserve"> </w:t>
      </w:r>
      <w:r w:rsidR="00CD0964" w:rsidRPr="007E7C5B">
        <w:rPr>
          <w:rFonts w:ascii="Arial Narrow" w:eastAsia="Arial" w:hAnsi="Arial Narrow" w:cs="Arial"/>
          <w:sz w:val="24"/>
          <w:szCs w:val="24"/>
        </w:rPr>
        <w:t>ont été réalisées en 2022</w:t>
      </w:r>
      <w:r w:rsidR="006C64F9" w:rsidRPr="007E7C5B">
        <w:rPr>
          <w:rFonts w:ascii="Arial Narrow" w:eastAsia="Arial" w:hAnsi="Arial Narrow" w:cs="Arial"/>
          <w:sz w:val="24"/>
          <w:szCs w:val="24"/>
        </w:rPr>
        <w:t xml:space="preserve">. Au cours de ces </w:t>
      </w:r>
      <w:r w:rsidR="006C64F9" w:rsidRPr="007E7C5B">
        <w:rPr>
          <w:rFonts w:ascii="Arial Narrow" w:eastAsia="Arial" w:hAnsi="Arial Narrow" w:cs="Arial Narrow"/>
          <w:sz w:val="24"/>
          <w:szCs w:val="24"/>
        </w:rPr>
        <w:t>é</w:t>
      </w:r>
      <w:r w:rsidR="006C64F9" w:rsidRPr="007E7C5B">
        <w:rPr>
          <w:rFonts w:ascii="Arial Narrow" w:eastAsia="Arial" w:hAnsi="Arial Narrow" w:cs="Arial"/>
          <w:sz w:val="24"/>
          <w:szCs w:val="24"/>
        </w:rPr>
        <w:t>valuations, 24</w:t>
      </w:r>
      <w:r w:rsidR="006C64F9" w:rsidRPr="007E7C5B">
        <w:rPr>
          <w:rFonts w:ascii="Arial" w:eastAsia="Arial" w:hAnsi="Arial" w:cs="Arial"/>
          <w:sz w:val="24"/>
          <w:szCs w:val="24"/>
        </w:rPr>
        <w:t> </w:t>
      </w:r>
      <w:r w:rsidR="006C64F9" w:rsidRPr="007E7C5B">
        <w:rPr>
          <w:rFonts w:ascii="Arial Narrow" w:eastAsia="Arial" w:hAnsi="Arial Narrow" w:cs="Arial"/>
          <w:sz w:val="24"/>
          <w:szCs w:val="24"/>
        </w:rPr>
        <w:t>775 personnes</w:t>
      </w:r>
      <w:r w:rsidR="00057611" w:rsidRPr="007E7C5B">
        <w:rPr>
          <w:rFonts w:ascii="Arial Narrow" w:eastAsia="Arial" w:hAnsi="Arial Narrow" w:cs="Arial"/>
          <w:sz w:val="24"/>
          <w:szCs w:val="24"/>
        </w:rPr>
        <w:t>,</w:t>
      </w:r>
      <w:r w:rsidR="006C64F9" w:rsidRPr="007E7C5B">
        <w:rPr>
          <w:rFonts w:ascii="Arial Narrow" w:eastAsia="Arial" w:hAnsi="Arial Narrow" w:cs="Arial"/>
          <w:sz w:val="24"/>
          <w:szCs w:val="24"/>
        </w:rPr>
        <w:t xml:space="preserve"> dont 531 femmes enceintes et femmes allaitantes ont </w:t>
      </w:r>
      <w:r w:rsidR="006C64F9" w:rsidRPr="007E7C5B">
        <w:rPr>
          <w:rFonts w:ascii="Arial Narrow" w:eastAsia="Arial" w:hAnsi="Arial Narrow" w:cs="Arial Narrow"/>
          <w:sz w:val="24"/>
          <w:szCs w:val="24"/>
        </w:rPr>
        <w:t>é</w:t>
      </w:r>
      <w:r w:rsidR="006C64F9" w:rsidRPr="007E7C5B">
        <w:rPr>
          <w:rFonts w:ascii="Arial Narrow" w:eastAsia="Arial" w:hAnsi="Arial Narrow" w:cs="Arial"/>
          <w:sz w:val="24"/>
          <w:szCs w:val="24"/>
        </w:rPr>
        <w:t>t</w:t>
      </w:r>
      <w:r w:rsidR="006C64F9" w:rsidRPr="007E7C5B">
        <w:rPr>
          <w:rFonts w:ascii="Arial Narrow" w:eastAsia="Arial" w:hAnsi="Arial Narrow" w:cs="Arial Narrow"/>
          <w:sz w:val="24"/>
          <w:szCs w:val="24"/>
        </w:rPr>
        <w:t>é</w:t>
      </w:r>
      <w:r w:rsidR="006C64F9" w:rsidRPr="007E7C5B">
        <w:rPr>
          <w:rFonts w:ascii="Arial Narrow" w:eastAsia="Arial" w:hAnsi="Arial Narrow" w:cs="Arial"/>
          <w:sz w:val="24"/>
          <w:szCs w:val="24"/>
        </w:rPr>
        <w:t xml:space="preserve"> d</w:t>
      </w:r>
      <w:r w:rsidR="006C64F9" w:rsidRPr="007E7C5B">
        <w:rPr>
          <w:rFonts w:ascii="Arial Narrow" w:eastAsia="Arial" w:hAnsi="Arial Narrow" w:cs="Arial Narrow"/>
          <w:sz w:val="24"/>
          <w:szCs w:val="24"/>
        </w:rPr>
        <w:t>é</w:t>
      </w:r>
      <w:r w:rsidR="006C64F9" w:rsidRPr="007E7C5B">
        <w:rPr>
          <w:rFonts w:ascii="Arial Narrow" w:eastAsia="Arial" w:hAnsi="Arial Narrow" w:cs="Arial"/>
          <w:sz w:val="24"/>
          <w:szCs w:val="24"/>
        </w:rPr>
        <w:t>pist</w:t>
      </w:r>
      <w:r w:rsidR="006C64F9" w:rsidRPr="007E7C5B">
        <w:rPr>
          <w:rFonts w:ascii="Arial Narrow" w:eastAsia="Arial" w:hAnsi="Arial Narrow" w:cs="Arial Narrow"/>
          <w:sz w:val="24"/>
          <w:szCs w:val="24"/>
        </w:rPr>
        <w:t>é</w:t>
      </w:r>
      <w:r w:rsidR="006C64F9" w:rsidRPr="007E7C5B">
        <w:rPr>
          <w:rFonts w:ascii="Arial Narrow" w:eastAsia="Arial" w:hAnsi="Arial Narrow" w:cs="Arial"/>
          <w:sz w:val="24"/>
          <w:szCs w:val="24"/>
        </w:rPr>
        <w:t>es malnutries. Tous ces patients ont bénéficié d’une prise en charge nutritionnelle basée sur les conseils alimentaires, cependant un traitement nutritionnel a été apporté à 6</w:t>
      </w:r>
      <w:r w:rsidR="00057611" w:rsidRPr="007E7C5B">
        <w:rPr>
          <w:rFonts w:ascii="Arial Narrow" w:eastAsia="Arial" w:hAnsi="Arial Narrow" w:cs="Arial"/>
          <w:sz w:val="24"/>
          <w:szCs w:val="24"/>
        </w:rPr>
        <w:t> </w:t>
      </w:r>
      <w:r w:rsidR="006C64F9" w:rsidRPr="007E7C5B">
        <w:rPr>
          <w:rFonts w:ascii="Arial Narrow" w:eastAsia="Arial" w:hAnsi="Arial Narrow" w:cs="Arial"/>
          <w:sz w:val="24"/>
          <w:szCs w:val="24"/>
        </w:rPr>
        <w:t>010 cas, soit 57,4% des personnes VIH malnutries.</w:t>
      </w:r>
    </w:p>
    <w:p w14:paraId="5C19C778" w14:textId="1641321A" w:rsidR="004E0D89" w:rsidRDefault="00BC6452" w:rsidP="004E0D89">
      <w:pPr>
        <w:spacing w:line="257" w:lineRule="auto"/>
        <w:jc w:val="both"/>
        <w:rPr>
          <w:rFonts w:ascii="Arial Narrow" w:eastAsia="Arial" w:hAnsi="Arial Narrow" w:cs="Arial"/>
          <w:sz w:val="24"/>
          <w:szCs w:val="24"/>
        </w:rPr>
      </w:pPr>
      <w:r w:rsidRPr="007E7C5B">
        <w:rPr>
          <w:rFonts w:ascii="Arial Narrow" w:eastAsia="Arial" w:hAnsi="Arial Narrow" w:cs="Arial"/>
          <w:sz w:val="24"/>
          <w:szCs w:val="24"/>
        </w:rPr>
        <w:t xml:space="preserve">Le Ministère a poursuivi l’extension des structures prenant en charge les patients souffrant de malnutrition au niveau des ESPC et des hôpitaux de référence. </w:t>
      </w:r>
      <w:r w:rsidR="00856104" w:rsidRPr="007E7C5B">
        <w:rPr>
          <w:rFonts w:ascii="Arial Narrow" w:eastAsia="Arial" w:hAnsi="Arial Narrow" w:cs="Arial"/>
          <w:sz w:val="24"/>
          <w:szCs w:val="24"/>
        </w:rPr>
        <w:t>Le nombre d’</w:t>
      </w:r>
      <w:r w:rsidR="006A415A" w:rsidRPr="007E7C5B">
        <w:rPr>
          <w:rFonts w:ascii="Arial Narrow" w:eastAsia="Arial" w:hAnsi="Arial Narrow" w:cs="Arial"/>
          <w:sz w:val="24"/>
          <w:szCs w:val="24"/>
        </w:rPr>
        <w:t>Unités Nutritionnelles Thérapeutiques (</w:t>
      </w:r>
      <w:r w:rsidR="00856104" w:rsidRPr="007E7C5B">
        <w:rPr>
          <w:rFonts w:ascii="Arial Narrow" w:eastAsia="Arial" w:hAnsi="Arial Narrow" w:cs="Arial"/>
          <w:sz w:val="24"/>
          <w:szCs w:val="24"/>
        </w:rPr>
        <w:t>UNT</w:t>
      </w:r>
      <w:r w:rsidR="006A415A" w:rsidRPr="007E7C5B">
        <w:rPr>
          <w:rFonts w:ascii="Arial Narrow" w:eastAsia="Arial" w:hAnsi="Arial Narrow" w:cs="Arial"/>
          <w:sz w:val="24"/>
          <w:szCs w:val="24"/>
        </w:rPr>
        <w:t>)</w:t>
      </w:r>
      <w:r w:rsidR="00856104" w:rsidRPr="007E7C5B">
        <w:rPr>
          <w:rFonts w:ascii="Arial Narrow" w:eastAsia="Arial" w:hAnsi="Arial Narrow" w:cs="Arial"/>
          <w:sz w:val="24"/>
          <w:szCs w:val="24"/>
        </w:rPr>
        <w:t xml:space="preserve">, </w:t>
      </w:r>
      <w:r w:rsidR="006A415A" w:rsidRPr="007E7C5B">
        <w:rPr>
          <w:rFonts w:ascii="Arial Narrow" w:eastAsia="Arial" w:hAnsi="Arial Narrow" w:cs="Arial"/>
          <w:sz w:val="24"/>
          <w:szCs w:val="24"/>
        </w:rPr>
        <w:t xml:space="preserve">Unités Nutritionnelles Thérapeutiques Ambulatoires </w:t>
      </w:r>
      <w:r w:rsidR="00F72FF0" w:rsidRPr="007E7C5B">
        <w:rPr>
          <w:rFonts w:ascii="Arial Narrow" w:eastAsia="Arial" w:hAnsi="Arial Narrow" w:cs="Arial"/>
          <w:sz w:val="24"/>
          <w:szCs w:val="24"/>
        </w:rPr>
        <w:t>(</w:t>
      </w:r>
      <w:r w:rsidR="00856104" w:rsidRPr="007E7C5B">
        <w:rPr>
          <w:rFonts w:ascii="Arial Narrow" w:eastAsia="Arial" w:hAnsi="Arial Narrow" w:cs="Arial"/>
          <w:sz w:val="24"/>
          <w:szCs w:val="24"/>
        </w:rPr>
        <w:t>UNTA</w:t>
      </w:r>
      <w:r w:rsidR="00F72FF0" w:rsidRPr="007E7C5B">
        <w:rPr>
          <w:rFonts w:ascii="Arial Narrow" w:eastAsia="Arial" w:hAnsi="Arial Narrow" w:cs="Arial"/>
          <w:sz w:val="24"/>
          <w:szCs w:val="24"/>
        </w:rPr>
        <w:t>)</w:t>
      </w:r>
      <w:r w:rsidR="00856104" w:rsidRPr="007E7C5B">
        <w:rPr>
          <w:rFonts w:ascii="Arial Narrow" w:eastAsia="Arial" w:hAnsi="Arial Narrow" w:cs="Arial"/>
          <w:sz w:val="24"/>
          <w:szCs w:val="24"/>
        </w:rPr>
        <w:t xml:space="preserve"> et Unités Nutritionnelles de Supplémentation (UNS) fonctionnelles est passé de 1</w:t>
      </w:r>
      <w:r w:rsidR="001A0925" w:rsidRPr="007E7C5B">
        <w:rPr>
          <w:rFonts w:ascii="Arial Narrow" w:eastAsia="Arial" w:hAnsi="Arial Narrow" w:cs="Arial"/>
          <w:sz w:val="24"/>
          <w:szCs w:val="24"/>
        </w:rPr>
        <w:t xml:space="preserve"> </w:t>
      </w:r>
      <w:r w:rsidR="00856104" w:rsidRPr="007E7C5B">
        <w:rPr>
          <w:rFonts w:ascii="Arial Narrow" w:eastAsia="Arial" w:hAnsi="Arial Narrow" w:cs="Arial"/>
          <w:sz w:val="24"/>
          <w:szCs w:val="24"/>
        </w:rPr>
        <w:t>733 en 202</w:t>
      </w:r>
      <w:r w:rsidR="00DB1104" w:rsidRPr="007E7C5B">
        <w:rPr>
          <w:rFonts w:ascii="Arial Narrow" w:eastAsia="Arial" w:hAnsi="Arial Narrow" w:cs="Arial"/>
          <w:sz w:val="24"/>
          <w:szCs w:val="24"/>
        </w:rPr>
        <w:t>0</w:t>
      </w:r>
      <w:r w:rsidR="00856104" w:rsidRPr="007E7C5B">
        <w:rPr>
          <w:rFonts w:ascii="Arial Narrow" w:eastAsia="Arial" w:hAnsi="Arial Narrow" w:cs="Arial"/>
          <w:sz w:val="24"/>
          <w:szCs w:val="24"/>
        </w:rPr>
        <w:t xml:space="preserve"> à 2</w:t>
      </w:r>
      <w:r w:rsidR="001A0925" w:rsidRPr="007E7C5B">
        <w:rPr>
          <w:rFonts w:ascii="Arial Narrow" w:eastAsia="Arial" w:hAnsi="Arial Narrow" w:cs="Arial"/>
          <w:sz w:val="24"/>
          <w:szCs w:val="24"/>
        </w:rPr>
        <w:t xml:space="preserve"> </w:t>
      </w:r>
      <w:r w:rsidR="00856104" w:rsidRPr="007E7C5B">
        <w:rPr>
          <w:rFonts w:ascii="Arial Narrow" w:eastAsia="Arial" w:hAnsi="Arial Narrow" w:cs="Arial"/>
          <w:sz w:val="24"/>
          <w:szCs w:val="24"/>
        </w:rPr>
        <w:t xml:space="preserve">244 en 2023. </w:t>
      </w:r>
      <w:r w:rsidR="00DA2EBC" w:rsidRPr="007E7C5B">
        <w:rPr>
          <w:rFonts w:ascii="Arial Narrow" w:eastAsia="Arial" w:hAnsi="Arial Narrow" w:cs="Arial"/>
          <w:sz w:val="24"/>
          <w:szCs w:val="24"/>
        </w:rPr>
        <w:t xml:space="preserve">Ainsi, </w:t>
      </w:r>
      <w:r w:rsidR="00EB5871" w:rsidRPr="007E7C5B">
        <w:rPr>
          <w:rFonts w:ascii="Arial Narrow" w:eastAsia="Arial" w:hAnsi="Arial Narrow" w:cs="Arial"/>
          <w:sz w:val="24"/>
          <w:szCs w:val="24"/>
        </w:rPr>
        <w:t xml:space="preserve">95% des ESPC </w:t>
      </w:r>
      <w:r w:rsidR="00DA2EBC" w:rsidRPr="007E7C5B">
        <w:rPr>
          <w:rFonts w:ascii="Arial Narrow" w:eastAsia="Arial" w:hAnsi="Arial Narrow" w:cs="Arial"/>
          <w:sz w:val="24"/>
          <w:szCs w:val="24"/>
        </w:rPr>
        <w:t xml:space="preserve">prennent en charge </w:t>
      </w:r>
      <w:r w:rsidR="00EB5871" w:rsidRPr="007E7C5B">
        <w:rPr>
          <w:rFonts w:ascii="Arial Narrow" w:eastAsia="Arial" w:hAnsi="Arial Narrow" w:cs="Arial"/>
          <w:sz w:val="24"/>
          <w:szCs w:val="24"/>
        </w:rPr>
        <w:t xml:space="preserve">les cas de Malnutrition Aigues Sévères (MAS) sans complication dans les UNTA et à 100% des hôpitaux de référence </w:t>
      </w:r>
      <w:r w:rsidR="00A411D3" w:rsidRPr="007E7C5B">
        <w:rPr>
          <w:rFonts w:ascii="Arial Narrow" w:eastAsia="Arial" w:hAnsi="Arial Narrow" w:cs="Arial"/>
          <w:sz w:val="24"/>
          <w:szCs w:val="24"/>
        </w:rPr>
        <w:t>prennent en charge</w:t>
      </w:r>
      <w:r w:rsidR="00EB5871" w:rsidRPr="007E7C5B">
        <w:rPr>
          <w:rFonts w:ascii="Arial Narrow" w:eastAsia="Arial" w:hAnsi="Arial Narrow" w:cs="Arial"/>
          <w:sz w:val="24"/>
          <w:szCs w:val="24"/>
        </w:rPr>
        <w:t xml:space="preserve"> les cas de MAS avec complication dans les UNT.</w:t>
      </w:r>
      <w:r w:rsidR="00F20F36">
        <w:rPr>
          <w:rFonts w:ascii="Arial Narrow" w:eastAsia="Arial" w:hAnsi="Arial Narrow" w:cs="Arial"/>
          <w:sz w:val="24"/>
          <w:szCs w:val="24"/>
        </w:rPr>
        <w:t xml:space="preserve"> </w:t>
      </w:r>
      <w:r w:rsidR="00F20F36" w:rsidRPr="007E7C5B">
        <w:rPr>
          <w:rFonts w:ascii="Arial Narrow" w:eastAsia="Arial" w:hAnsi="Arial Narrow" w:cs="Arial"/>
          <w:color w:val="000000" w:themeColor="text1"/>
          <w:sz w:val="24"/>
          <w:szCs w:val="24"/>
        </w:rPr>
        <w:t xml:space="preserve">Près </w:t>
      </w:r>
      <w:r w:rsidR="00F20F36" w:rsidRPr="00F20F36">
        <w:rPr>
          <w:rFonts w:ascii="Arial Narrow" w:eastAsia="Arial" w:hAnsi="Arial Narrow" w:cs="Arial"/>
          <w:color w:val="000000" w:themeColor="text1"/>
          <w:sz w:val="24"/>
          <w:szCs w:val="24"/>
        </w:rPr>
        <w:t xml:space="preserve">de </w:t>
      </w:r>
      <w:r w:rsidR="00F20F36" w:rsidRPr="0044167B">
        <w:rPr>
          <w:rFonts w:ascii="Arial Narrow" w:eastAsia="Arial" w:hAnsi="Arial Narrow" w:cs="Arial"/>
          <w:color w:val="000000" w:themeColor="text1"/>
          <w:sz w:val="24"/>
          <w:szCs w:val="24"/>
        </w:rPr>
        <w:t>80 000 enfants</w:t>
      </w:r>
      <w:r w:rsidR="00F20F36" w:rsidRPr="007E7C5B">
        <w:rPr>
          <w:rFonts w:ascii="Arial Narrow" w:eastAsia="Arial" w:hAnsi="Arial Narrow" w:cs="Arial"/>
          <w:color w:val="000000" w:themeColor="text1"/>
          <w:sz w:val="24"/>
          <w:szCs w:val="24"/>
        </w:rPr>
        <w:t xml:space="preserve"> atteints de malnutrition aiguë sévère ont été pris en charge dans les structures sanitaires à travers le pays</w:t>
      </w:r>
      <w:r w:rsidR="00F20F36">
        <w:rPr>
          <w:rFonts w:ascii="Arial Narrow" w:eastAsia="Arial" w:hAnsi="Arial Narrow" w:cs="Arial"/>
          <w:sz w:val="24"/>
          <w:szCs w:val="24"/>
        </w:rPr>
        <w:t xml:space="preserve">. </w:t>
      </w:r>
      <w:r w:rsidR="007B75A2" w:rsidRPr="007E7C5B">
        <w:rPr>
          <w:rFonts w:ascii="Arial Narrow" w:eastAsia="Arial" w:hAnsi="Arial Narrow" w:cs="Arial"/>
          <w:sz w:val="24"/>
          <w:szCs w:val="24"/>
        </w:rPr>
        <w:t xml:space="preserve">Il est à noter également </w:t>
      </w:r>
      <w:proofErr w:type="spellStart"/>
      <w:r w:rsidR="007B75A2" w:rsidRPr="007E7C5B">
        <w:rPr>
          <w:rFonts w:ascii="Arial Narrow" w:eastAsia="Arial" w:hAnsi="Arial Narrow" w:cs="Arial"/>
          <w:sz w:val="24"/>
          <w:szCs w:val="24"/>
        </w:rPr>
        <w:t>l</w:t>
      </w:r>
      <w:r w:rsidR="007B75A2" w:rsidRPr="00A918AC">
        <w:rPr>
          <w:rFonts w:ascii="Arial Narrow" w:eastAsiaTheme="minorEastAsia" w:hAnsi="Arial Narrow"/>
          <w:sz w:val="24"/>
          <w:szCs w:val="24"/>
          <w:lang w:val="fr"/>
        </w:rPr>
        <w:t>e</w:t>
      </w:r>
      <w:proofErr w:type="spellEnd"/>
      <w:r w:rsidR="007B75A2" w:rsidRPr="00A918AC">
        <w:rPr>
          <w:rFonts w:ascii="Arial Narrow" w:eastAsiaTheme="minorEastAsia" w:hAnsi="Arial Narrow"/>
          <w:sz w:val="24"/>
          <w:szCs w:val="24"/>
          <w:lang w:val="fr"/>
        </w:rPr>
        <w:t xml:space="preserve"> renforcement des compétences </w:t>
      </w:r>
      <w:r w:rsidR="00991796">
        <w:rPr>
          <w:rFonts w:ascii="Arial Narrow" w:eastAsiaTheme="minorEastAsia" w:hAnsi="Arial Narrow"/>
          <w:sz w:val="24"/>
          <w:szCs w:val="24"/>
          <w:lang w:val="fr"/>
        </w:rPr>
        <w:t xml:space="preserve">de 2223 prestataires dont  </w:t>
      </w:r>
      <w:r w:rsidR="007B75A2" w:rsidRPr="00A918AC">
        <w:rPr>
          <w:rFonts w:ascii="Arial Narrow" w:eastAsiaTheme="minorEastAsia" w:hAnsi="Arial Narrow"/>
          <w:sz w:val="24"/>
          <w:szCs w:val="24"/>
          <w:lang w:val="fr"/>
        </w:rPr>
        <w:t xml:space="preserve"> 1 999 prestataires </w:t>
      </w:r>
      <w:r w:rsidR="00991796">
        <w:rPr>
          <w:rFonts w:ascii="Arial Narrow" w:eastAsiaTheme="minorEastAsia" w:hAnsi="Arial Narrow"/>
          <w:sz w:val="24"/>
          <w:szCs w:val="24"/>
          <w:lang w:val="fr"/>
        </w:rPr>
        <w:t>issus des ESPC et 224 des hôpi</w:t>
      </w:r>
      <w:r w:rsidR="008758E6">
        <w:rPr>
          <w:rFonts w:ascii="Arial Narrow" w:eastAsiaTheme="minorEastAsia" w:hAnsi="Arial Narrow"/>
          <w:sz w:val="24"/>
          <w:szCs w:val="24"/>
          <w:lang w:val="fr"/>
        </w:rPr>
        <w:t>t</w:t>
      </w:r>
      <w:r w:rsidR="00991796">
        <w:rPr>
          <w:rFonts w:ascii="Arial Narrow" w:eastAsiaTheme="minorEastAsia" w:hAnsi="Arial Narrow"/>
          <w:sz w:val="24"/>
          <w:szCs w:val="24"/>
          <w:lang w:val="fr"/>
        </w:rPr>
        <w:t>aux</w:t>
      </w:r>
      <w:r w:rsidR="008758E6">
        <w:rPr>
          <w:rFonts w:ascii="Arial Narrow" w:eastAsiaTheme="minorEastAsia" w:hAnsi="Arial Narrow"/>
          <w:sz w:val="24"/>
          <w:szCs w:val="24"/>
          <w:lang w:val="fr"/>
        </w:rPr>
        <w:t xml:space="preserve"> </w:t>
      </w:r>
      <w:r w:rsidR="007B75A2" w:rsidRPr="00A918AC">
        <w:rPr>
          <w:rFonts w:ascii="Arial Narrow" w:eastAsia="Arial" w:hAnsi="Arial Narrow" w:cs="Arial"/>
          <w:sz w:val="24"/>
          <w:szCs w:val="24"/>
        </w:rPr>
        <w:lastRenderedPageBreak/>
        <w:t>gestionnaires de données) sur le paquet intégré de nutrition, l’équipement en matériel anthropométrique, de démonstration diététique, en outils de gestion et de support de communication dans les 113 districts</w:t>
      </w:r>
      <w:r w:rsidR="0065723C" w:rsidRPr="007E7C5B">
        <w:rPr>
          <w:rFonts w:ascii="Arial Narrow" w:eastAsia="Arial" w:hAnsi="Arial Narrow" w:cs="Arial"/>
          <w:sz w:val="24"/>
          <w:szCs w:val="24"/>
        </w:rPr>
        <w:t>, ainsi que</w:t>
      </w:r>
      <w:r w:rsidR="007B75A2" w:rsidRPr="00A918AC">
        <w:rPr>
          <w:rFonts w:ascii="Arial Narrow" w:eastAsia="Arial" w:hAnsi="Arial Narrow" w:cs="Arial"/>
          <w:sz w:val="24"/>
          <w:szCs w:val="24"/>
        </w:rPr>
        <w:t xml:space="preserve"> l’approvisionnement en intrants nutritionnels</w:t>
      </w:r>
      <w:r w:rsidR="0065723C" w:rsidRPr="007E7C5B">
        <w:rPr>
          <w:rFonts w:ascii="Arial Narrow" w:eastAsia="Arial" w:hAnsi="Arial Narrow" w:cs="Arial"/>
          <w:sz w:val="24"/>
          <w:szCs w:val="24"/>
        </w:rPr>
        <w:t>.</w:t>
      </w:r>
      <w:r w:rsidR="00B53A10" w:rsidRPr="007E7C5B">
        <w:rPr>
          <w:rFonts w:ascii="Arial Narrow" w:eastAsia="Arial" w:hAnsi="Arial Narrow" w:cs="Arial"/>
          <w:sz w:val="24"/>
          <w:szCs w:val="24"/>
        </w:rPr>
        <w:t xml:space="preserve"> </w:t>
      </w:r>
      <w:r w:rsidR="004E0D89" w:rsidRPr="007E7C5B">
        <w:rPr>
          <w:rFonts w:ascii="Arial Narrow" w:eastAsia="Arial" w:hAnsi="Arial Narrow" w:cs="Arial"/>
          <w:sz w:val="24"/>
          <w:szCs w:val="24"/>
        </w:rPr>
        <w:t>De plus, 1 865 villages disposent de Foyers de Renforcement des Activités de Nutrition en Communauté (FRANC) fonctionnels en 2023, soit une hausse par rapport à 2022 où seulement 1 578 villages étaient dotés de FRANC.</w:t>
      </w:r>
    </w:p>
    <w:p w14:paraId="3554100B" w14:textId="5E2BC88A" w:rsidR="00F20F36" w:rsidRPr="007E7C5B" w:rsidRDefault="00F20F36" w:rsidP="004E0D89">
      <w:pPr>
        <w:spacing w:line="257" w:lineRule="auto"/>
        <w:jc w:val="both"/>
        <w:rPr>
          <w:rFonts w:ascii="Arial Narrow" w:eastAsia="Arial" w:hAnsi="Arial Narrow" w:cs="Arial"/>
          <w:sz w:val="24"/>
          <w:szCs w:val="24"/>
        </w:rPr>
      </w:pPr>
      <w:r w:rsidRPr="00A918AC">
        <w:rPr>
          <w:rFonts w:ascii="Arial Narrow" w:eastAsia="Arial" w:hAnsi="Arial Narrow" w:cs="Arial"/>
          <w:sz w:val="24"/>
          <w:szCs w:val="24"/>
          <w:lang w:val="fr"/>
        </w:rPr>
        <w:t>Dans le cadre de</w:t>
      </w:r>
      <w:r w:rsidRPr="00A918AC" w:rsidDel="00BA2FF1">
        <w:rPr>
          <w:rFonts w:ascii="Arial Narrow" w:eastAsia="Arial" w:hAnsi="Arial Narrow" w:cs="Arial"/>
          <w:sz w:val="24"/>
          <w:szCs w:val="24"/>
          <w:lang w:val="fr"/>
        </w:rPr>
        <w:t xml:space="preserve"> l’</w:t>
      </w:r>
      <w:r w:rsidRPr="00A918AC">
        <w:rPr>
          <w:rFonts w:ascii="Arial Narrow" w:eastAsia="Arial" w:hAnsi="Arial Narrow" w:cs="Arial"/>
          <w:sz w:val="24"/>
          <w:szCs w:val="24"/>
          <w:lang w:val="fr"/>
        </w:rPr>
        <w:t xml:space="preserve">Initiative </w:t>
      </w:r>
      <w:r w:rsidRPr="00A918AC">
        <w:rPr>
          <w:rFonts w:ascii="Arial Narrow" w:eastAsia="Arial" w:hAnsi="Arial Narrow" w:cs="Arial"/>
          <w:i/>
          <w:sz w:val="24"/>
          <w:szCs w:val="24"/>
          <w:lang w:val="fr"/>
        </w:rPr>
        <w:t>« Structure Sanitaire Amie des Bébés »</w:t>
      </w:r>
      <w:r w:rsidRPr="00A918AC">
        <w:rPr>
          <w:rFonts w:ascii="Arial Narrow" w:eastAsia="Arial" w:hAnsi="Arial Narrow" w:cs="Arial"/>
          <w:sz w:val="24"/>
          <w:szCs w:val="24"/>
          <w:lang w:val="fr"/>
        </w:rPr>
        <w:t xml:space="preserve"> (ISSAB), 2 915 prestataires issus de 616 établissements sanitaires de 58 districts sanitaires ont été formés sur </w:t>
      </w:r>
      <w:r w:rsidRPr="007E7C5B">
        <w:rPr>
          <w:rFonts w:ascii="Arial Narrow" w:eastAsia="Arial" w:hAnsi="Arial Narrow" w:cs="Arial"/>
          <w:sz w:val="24"/>
          <w:szCs w:val="24"/>
          <w:lang w:val="fr"/>
        </w:rPr>
        <w:t xml:space="preserve">l’Alimentation de la mère, du Nourrisson et du Jeune Enfant </w:t>
      </w:r>
      <w:r w:rsidRPr="00A918AC">
        <w:rPr>
          <w:rFonts w:ascii="Arial Narrow" w:eastAsia="Arial" w:hAnsi="Arial Narrow" w:cs="Arial"/>
          <w:sz w:val="24"/>
          <w:szCs w:val="24"/>
          <w:lang w:val="fr"/>
        </w:rPr>
        <w:t>(ANJE+) en 2022.</w:t>
      </w:r>
      <w:r w:rsidRPr="007E7C5B">
        <w:rPr>
          <w:rFonts w:ascii="Arial Narrow" w:eastAsia="Arial" w:hAnsi="Arial Narrow" w:cs="Arial"/>
          <w:sz w:val="24"/>
          <w:szCs w:val="24"/>
          <w:highlight w:val="yellow"/>
          <w:lang w:val="fr"/>
        </w:rPr>
        <w:t xml:space="preserve"> </w:t>
      </w:r>
    </w:p>
    <w:p w14:paraId="40EF7ECE" w14:textId="46155DD9" w:rsidR="00807684" w:rsidRPr="007E7C5B" w:rsidRDefault="00F94913" w:rsidP="00940B58">
      <w:pPr>
        <w:spacing w:line="257" w:lineRule="auto"/>
        <w:jc w:val="both"/>
        <w:rPr>
          <w:rFonts w:ascii="Arial Narrow" w:eastAsia="Arial" w:hAnsi="Arial Narrow" w:cs="Arial"/>
          <w:bCs/>
          <w:sz w:val="24"/>
          <w:szCs w:val="24"/>
        </w:rPr>
      </w:pPr>
      <w:r w:rsidRPr="007E7C5B">
        <w:rPr>
          <w:rFonts w:ascii="Arial Narrow" w:eastAsia="Arial" w:hAnsi="Arial Narrow" w:cs="Arial"/>
          <w:sz w:val="24"/>
          <w:szCs w:val="24"/>
        </w:rPr>
        <w:t xml:space="preserve">Ces interventions ont </w:t>
      </w:r>
      <w:r w:rsidR="00B06DFF" w:rsidRPr="007E7C5B">
        <w:rPr>
          <w:rFonts w:ascii="Arial Narrow" w:eastAsia="Arial" w:hAnsi="Arial Narrow" w:cs="Arial"/>
          <w:sz w:val="24"/>
          <w:szCs w:val="24"/>
        </w:rPr>
        <w:t xml:space="preserve">contribué à </w:t>
      </w:r>
      <w:r w:rsidR="00365C8F" w:rsidRPr="007E7C5B">
        <w:rPr>
          <w:rFonts w:ascii="Arial Narrow" w:eastAsia="Arial" w:hAnsi="Arial Narrow" w:cs="Arial"/>
          <w:sz w:val="24"/>
          <w:szCs w:val="24"/>
        </w:rPr>
        <w:t>augmenter l</w:t>
      </w:r>
      <w:r w:rsidR="00EB5871" w:rsidRPr="007E7C5B">
        <w:rPr>
          <w:rFonts w:ascii="Arial Narrow" w:eastAsia="Arial" w:hAnsi="Arial Narrow" w:cs="Arial"/>
          <w:sz w:val="24"/>
          <w:szCs w:val="24"/>
        </w:rPr>
        <w:t>e pourcentage d'enfants de moins de 5 ans ayant bénéficié d'une évaluation nutritionnelle de 26% en 202</w:t>
      </w:r>
      <w:r w:rsidR="000E46A2" w:rsidRPr="007E7C5B">
        <w:rPr>
          <w:rFonts w:ascii="Arial Narrow" w:eastAsia="Arial" w:hAnsi="Arial Narrow" w:cs="Arial"/>
          <w:sz w:val="24"/>
          <w:szCs w:val="24"/>
        </w:rPr>
        <w:t>0</w:t>
      </w:r>
      <w:r w:rsidR="00EB5871" w:rsidRPr="007E7C5B">
        <w:rPr>
          <w:rFonts w:ascii="Arial Narrow" w:eastAsia="Arial" w:hAnsi="Arial Narrow" w:cs="Arial"/>
          <w:sz w:val="24"/>
          <w:szCs w:val="24"/>
        </w:rPr>
        <w:t xml:space="preserve"> à 93%</w:t>
      </w:r>
      <w:r w:rsidR="002A5CE1" w:rsidRPr="007E7C5B">
        <w:rPr>
          <w:rFonts w:ascii="Arial Narrow" w:eastAsia="Arial" w:hAnsi="Arial Narrow" w:cs="Arial"/>
          <w:sz w:val="24"/>
          <w:szCs w:val="24"/>
        </w:rPr>
        <w:t xml:space="preserve"> en 2023</w:t>
      </w:r>
      <w:r w:rsidR="00EB5871" w:rsidRPr="007E7C5B">
        <w:rPr>
          <w:rFonts w:ascii="Arial Narrow" w:eastAsia="Arial" w:hAnsi="Arial Narrow" w:cs="Arial"/>
          <w:sz w:val="24"/>
          <w:szCs w:val="24"/>
        </w:rPr>
        <w:t>.</w:t>
      </w:r>
      <w:r w:rsidR="00F20F36">
        <w:rPr>
          <w:rFonts w:ascii="Arial Narrow" w:eastAsia="Arial" w:hAnsi="Arial Narrow" w:cs="Arial"/>
          <w:sz w:val="24"/>
          <w:szCs w:val="24"/>
        </w:rPr>
        <w:t xml:space="preserve"> </w:t>
      </w:r>
      <w:r w:rsidR="00F20F36">
        <w:rPr>
          <w:rFonts w:ascii="Arial Narrow" w:eastAsia="Arial" w:hAnsi="Arial Narrow" w:cs="Arial"/>
          <w:color w:val="000000" w:themeColor="text1"/>
          <w:sz w:val="24"/>
          <w:szCs w:val="24"/>
        </w:rPr>
        <w:t>L</w:t>
      </w:r>
      <w:r w:rsidR="00F20F36" w:rsidRPr="00A918AC">
        <w:rPr>
          <w:rFonts w:ascii="Arial Narrow" w:eastAsia="Arial" w:hAnsi="Arial Narrow" w:cs="Arial"/>
          <w:color w:val="000000" w:themeColor="text1"/>
          <w:sz w:val="24"/>
          <w:szCs w:val="24"/>
        </w:rPr>
        <w:t>a prévalence de la malnutrition chronique</w:t>
      </w:r>
      <w:r w:rsidR="00F20F36" w:rsidRPr="007E7C5B">
        <w:rPr>
          <w:rFonts w:ascii="Arial Narrow" w:eastAsia="Arial" w:hAnsi="Arial Narrow" w:cs="Arial"/>
          <w:color w:val="000000" w:themeColor="text1"/>
          <w:sz w:val="24"/>
          <w:szCs w:val="24"/>
        </w:rPr>
        <w:t xml:space="preserve"> chez les enfants de moins de cinq ans </w:t>
      </w:r>
      <w:r w:rsidR="00F20F36" w:rsidRPr="00A918AC">
        <w:rPr>
          <w:rFonts w:ascii="Arial Narrow" w:eastAsia="Arial" w:hAnsi="Arial Narrow" w:cs="Arial"/>
          <w:color w:val="000000" w:themeColor="text1"/>
          <w:sz w:val="24"/>
          <w:szCs w:val="24"/>
        </w:rPr>
        <w:t>a été</w:t>
      </w:r>
      <w:r w:rsidR="00F20F36" w:rsidRPr="007E7C5B">
        <w:rPr>
          <w:rFonts w:ascii="Arial Narrow" w:eastAsia="Arial" w:hAnsi="Arial Narrow" w:cs="Arial"/>
          <w:color w:val="000000" w:themeColor="text1"/>
          <w:sz w:val="24"/>
          <w:szCs w:val="24"/>
        </w:rPr>
        <w:t xml:space="preserve"> réduite de 5 points, passant de 30% en 2019 à 25% en 2023.</w:t>
      </w:r>
      <w:r w:rsidR="00F20F36" w:rsidRPr="007E7C5B">
        <w:rPr>
          <w:rFonts w:ascii="Arial Narrow" w:eastAsia="Arial" w:hAnsi="Arial Narrow" w:cs="Arial"/>
          <w:color w:val="000000" w:themeColor="text1"/>
          <w:sz w:val="24"/>
          <w:szCs w:val="24"/>
          <w:lang w:val="fr"/>
        </w:rPr>
        <w:t xml:space="preserve"> </w:t>
      </w:r>
      <w:r w:rsidR="00C53FE5" w:rsidRPr="007E7C5B">
        <w:rPr>
          <w:rFonts w:ascii="Arial Narrow" w:eastAsia="Arial" w:hAnsi="Arial Narrow" w:cs="Arial"/>
          <w:sz w:val="24"/>
          <w:szCs w:val="24"/>
        </w:rPr>
        <w:t xml:space="preserve"> L</w:t>
      </w:r>
      <w:r w:rsidR="00C53FE5" w:rsidRPr="007E7C5B">
        <w:rPr>
          <w:rFonts w:ascii="Arial Narrow" w:eastAsia="Arial" w:hAnsi="Arial Narrow" w:cs="Arial"/>
          <w:color w:val="000000" w:themeColor="text1"/>
          <w:sz w:val="24"/>
          <w:szCs w:val="24"/>
        </w:rPr>
        <w:t>a proportion d'enfants de moins de 5 ans malnutris (</w:t>
      </w:r>
      <w:proofErr w:type="spellStart"/>
      <w:r w:rsidR="00C53FE5" w:rsidRPr="007E7C5B">
        <w:rPr>
          <w:rFonts w:ascii="Arial Narrow" w:eastAsia="Arial" w:hAnsi="Arial Narrow" w:cs="Arial"/>
          <w:color w:val="000000" w:themeColor="text1"/>
          <w:sz w:val="24"/>
          <w:szCs w:val="24"/>
        </w:rPr>
        <w:t>MASsc</w:t>
      </w:r>
      <w:proofErr w:type="spellEnd"/>
      <w:r w:rsidR="00C53FE5" w:rsidRPr="007E7C5B">
        <w:rPr>
          <w:rFonts w:ascii="Arial Narrow" w:eastAsia="Arial" w:hAnsi="Arial Narrow" w:cs="Arial"/>
          <w:color w:val="000000" w:themeColor="text1"/>
          <w:sz w:val="24"/>
          <w:szCs w:val="24"/>
        </w:rPr>
        <w:t xml:space="preserve">, </w:t>
      </w:r>
      <w:proofErr w:type="spellStart"/>
      <w:r w:rsidR="00C53FE5" w:rsidRPr="007E7C5B">
        <w:rPr>
          <w:rFonts w:ascii="Arial Narrow" w:eastAsia="Arial" w:hAnsi="Arial Narrow" w:cs="Arial"/>
          <w:color w:val="000000" w:themeColor="text1"/>
          <w:sz w:val="24"/>
          <w:szCs w:val="24"/>
        </w:rPr>
        <w:t>MASc</w:t>
      </w:r>
      <w:proofErr w:type="spellEnd"/>
      <w:r w:rsidR="00C53FE5" w:rsidRPr="007E7C5B">
        <w:rPr>
          <w:rFonts w:ascii="Arial Narrow" w:eastAsia="Arial" w:hAnsi="Arial Narrow" w:cs="Arial"/>
          <w:color w:val="000000" w:themeColor="text1"/>
          <w:sz w:val="24"/>
          <w:szCs w:val="24"/>
        </w:rPr>
        <w:t xml:space="preserve">) guéris </w:t>
      </w:r>
      <w:r w:rsidR="0048049C">
        <w:rPr>
          <w:rFonts w:ascii="Arial Narrow" w:eastAsia="Arial" w:hAnsi="Arial Narrow" w:cs="Arial"/>
          <w:color w:val="000000" w:themeColor="text1"/>
          <w:sz w:val="24"/>
          <w:szCs w:val="24"/>
        </w:rPr>
        <w:t xml:space="preserve">s’est améliorée passant de </w:t>
      </w:r>
      <w:r w:rsidR="00C53FE5" w:rsidRPr="007E7C5B">
        <w:rPr>
          <w:rFonts w:ascii="Arial Narrow" w:eastAsia="Arial" w:hAnsi="Arial Narrow" w:cs="Arial"/>
          <w:color w:val="000000" w:themeColor="text1"/>
          <w:sz w:val="24"/>
          <w:szCs w:val="24"/>
        </w:rPr>
        <w:t>86% en 2020 à 88% en 2023.</w:t>
      </w:r>
      <w:r w:rsidR="00FC3A57" w:rsidRPr="007E7C5B">
        <w:rPr>
          <w:rFonts w:ascii="Arial Narrow" w:eastAsia="Arial" w:hAnsi="Arial Narrow" w:cs="Arial"/>
          <w:color w:val="000000" w:themeColor="text1"/>
          <w:sz w:val="24"/>
          <w:szCs w:val="24"/>
        </w:rPr>
        <w:t xml:space="preserve"> Aussi, l</w:t>
      </w:r>
      <w:r w:rsidR="00940B58" w:rsidRPr="00A918AC">
        <w:rPr>
          <w:rFonts w:ascii="Arial Narrow" w:hAnsi="Arial Narrow" w:cs="Arial"/>
          <w:sz w:val="24"/>
          <w:szCs w:val="24"/>
        </w:rPr>
        <w:t xml:space="preserve">a proportion de nourrissons de moins de six mois exclusivement allaités </w:t>
      </w:r>
      <w:r w:rsidR="00781AA9" w:rsidRPr="007E7C5B">
        <w:rPr>
          <w:rFonts w:ascii="Arial Narrow" w:hAnsi="Arial Narrow" w:cs="Arial"/>
          <w:bCs/>
          <w:sz w:val="24"/>
          <w:szCs w:val="24"/>
        </w:rPr>
        <w:t>est passée</w:t>
      </w:r>
      <w:r w:rsidR="00940B58" w:rsidRPr="00A918AC">
        <w:rPr>
          <w:rFonts w:ascii="Arial Narrow" w:hAnsi="Arial Narrow" w:cs="Arial"/>
          <w:sz w:val="24"/>
          <w:szCs w:val="24"/>
        </w:rPr>
        <w:t xml:space="preserve"> de 2</w:t>
      </w:r>
      <w:r w:rsidR="00596B9D" w:rsidRPr="007E7C5B">
        <w:rPr>
          <w:rFonts w:ascii="Arial Narrow" w:hAnsi="Arial Narrow" w:cs="Arial"/>
          <w:bCs/>
          <w:sz w:val="24"/>
          <w:szCs w:val="24"/>
        </w:rPr>
        <w:t>3,5</w:t>
      </w:r>
      <w:r w:rsidR="00940B58" w:rsidRPr="00A918AC">
        <w:rPr>
          <w:rFonts w:ascii="Arial Narrow" w:hAnsi="Arial Narrow" w:cs="Arial"/>
          <w:sz w:val="24"/>
          <w:szCs w:val="24"/>
        </w:rPr>
        <w:t>% en 20</w:t>
      </w:r>
      <w:r w:rsidR="00596B9D" w:rsidRPr="007E7C5B">
        <w:rPr>
          <w:rFonts w:ascii="Arial Narrow" w:hAnsi="Arial Narrow" w:cs="Arial"/>
          <w:bCs/>
          <w:sz w:val="24"/>
          <w:szCs w:val="24"/>
        </w:rPr>
        <w:t>16</w:t>
      </w:r>
      <w:r w:rsidR="00940B58" w:rsidRPr="00A918AC">
        <w:rPr>
          <w:rFonts w:ascii="Arial Narrow" w:hAnsi="Arial Narrow" w:cs="Arial"/>
          <w:sz w:val="24"/>
          <w:szCs w:val="24"/>
        </w:rPr>
        <w:t xml:space="preserve"> à 34% en 2023. Ces progrès sont le résultat d'une combinaison d'interventions variées, telles que des séances de causeries sur l'allaitement, le suivi de la croissance et la promotion de l'alimentation complémentaire.</w:t>
      </w:r>
    </w:p>
    <w:p w14:paraId="01ACDCA8" w14:textId="1B7C67A2" w:rsidR="00B2485E" w:rsidRPr="007E7C5B" w:rsidRDefault="003B32BC" w:rsidP="00B34FE2">
      <w:pPr>
        <w:spacing w:line="257" w:lineRule="auto"/>
        <w:jc w:val="both"/>
        <w:rPr>
          <w:rFonts w:ascii="Arial Narrow" w:eastAsia="Arial" w:hAnsi="Arial Narrow" w:cs="Arial"/>
          <w:sz w:val="24"/>
          <w:szCs w:val="24"/>
        </w:rPr>
      </w:pPr>
      <w:r w:rsidRPr="007E7C5B">
        <w:rPr>
          <w:rFonts w:ascii="Arial Narrow" w:eastAsia="Arial" w:hAnsi="Arial Narrow" w:cs="Arial"/>
          <w:sz w:val="24"/>
          <w:szCs w:val="24"/>
        </w:rPr>
        <w:t xml:space="preserve">Malgré ces </w:t>
      </w:r>
      <w:r w:rsidR="00575BEC" w:rsidRPr="007E7C5B">
        <w:rPr>
          <w:rFonts w:ascii="Arial Narrow" w:eastAsia="Arial" w:hAnsi="Arial Narrow" w:cs="Arial"/>
          <w:sz w:val="24"/>
          <w:szCs w:val="24"/>
        </w:rPr>
        <w:t>efforts</w:t>
      </w:r>
      <w:r w:rsidR="00E7532A" w:rsidRPr="007E7C5B">
        <w:rPr>
          <w:rFonts w:ascii="Arial Narrow" w:eastAsia="Arial" w:hAnsi="Arial Narrow" w:cs="Arial"/>
          <w:sz w:val="24"/>
          <w:szCs w:val="24"/>
        </w:rPr>
        <w:t>, l</w:t>
      </w:r>
      <w:r w:rsidR="00B2485E" w:rsidRPr="007E7C5B">
        <w:rPr>
          <w:rFonts w:ascii="Arial Narrow" w:eastAsia="Arial" w:hAnsi="Arial Narrow" w:cs="Arial"/>
          <w:sz w:val="24"/>
          <w:szCs w:val="24"/>
        </w:rPr>
        <w:t>’incidence de la malnutrition aigüe globale chez les enfants de moins de 5 ans est en hausse. Elle est passée de 14,53% à 22, 59% entre 2021 et 2022.</w:t>
      </w:r>
    </w:p>
    <w:p w14:paraId="3B51503A" w14:textId="59C62F58" w:rsidR="00C47346" w:rsidRPr="00A918AC" w:rsidRDefault="00CA12C3" w:rsidP="00A918AC">
      <w:pPr>
        <w:jc w:val="both"/>
        <w:rPr>
          <w:rFonts w:ascii="Arial Narrow" w:eastAsia="ArialMT" w:hAnsi="Arial Narrow" w:cs="ArialMT"/>
          <w:kern w:val="0"/>
          <w:sz w:val="24"/>
          <w:szCs w:val="24"/>
        </w:rPr>
      </w:pPr>
      <w:r w:rsidRPr="00B82295">
        <w:rPr>
          <w:rFonts w:cstheme="minorHAnsi"/>
          <w:noProof/>
          <w:sz w:val="24"/>
          <w:szCs w:val="24"/>
        </w:rPr>
        <mc:AlternateContent>
          <mc:Choice Requires="wps">
            <w:drawing>
              <wp:anchor distT="0" distB="0" distL="114300" distR="114300" simplePos="0" relativeHeight="251658274" behindDoc="1" locked="0" layoutInCell="1" allowOverlap="1" wp14:anchorId="5B5BAB6E" wp14:editId="0D97BE47">
                <wp:simplePos x="0" y="0"/>
                <wp:positionH relativeFrom="margin">
                  <wp:posOffset>2950210</wp:posOffset>
                </wp:positionH>
                <wp:positionV relativeFrom="paragraph">
                  <wp:posOffset>15240</wp:posOffset>
                </wp:positionV>
                <wp:extent cx="2755900" cy="2433320"/>
                <wp:effectExtent l="0" t="0" r="25400" b="24130"/>
                <wp:wrapTight wrapText="bothSides">
                  <wp:wrapPolygon edited="0">
                    <wp:start x="0" y="0"/>
                    <wp:lineTo x="0" y="21645"/>
                    <wp:lineTo x="21650" y="21645"/>
                    <wp:lineTo x="21650" y="0"/>
                    <wp:lineTo x="0" y="0"/>
                  </wp:wrapPolygon>
                </wp:wrapTight>
                <wp:docPr id="1532954295" name="Text Box 7"/>
                <wp:cNvGraphicFramePr/>
                <a:graphic xmlns:a="http://schemas.openxmlformats.org/drawingml/2006/main">
                  <a:graphicData uri="http://schemas.microsoft.com/office/word/2010/wordprocessingShape">
                    <wps:wsp>
                      <wps:cNvSpPr txBox="1"/>
                      <wps:spPr>
                        <a:xfrm>
                          <a:off x="0" y="0"/>
                          <a:ext cx="2755900" cy="2433320"/>
                        </a:xfrm>
                        <a:prstGeom prst="rect">
                          <a:avLst/>
                        </a:prstGeom>
                        <a:solidFill>
                          <a:schemeClr val="lt1"/>
                        </a:solidFill>
                        <a:ln w="6350">
                          <a:solidFill>
                            <a:schemeClr val="bg1">
                              <a:lumMod val="75000"/>
                            </a:schemeClr>
                          </a:solidFill>
                        </a:ln>
                      </wps:spPr>
                      <wps:txbx>
                        <w:txbxContent>
                          <w:p w14:paraId="57AC6040" w14:textId="0471E61A" w:rsidR="00F546EB" w:rsidRDefault="00F546EB" w:rsidP="00F546EB">
                            <w:pPr>
                              <w:pStyle w:val="Lgende"/>
                              <w:keepNext/>
                            </w:pPr>
                            <w:bookmarkStart w:id="85" w:name="_Toc183688811"/>
                            <w:r>
                              <w:t xml:space="preserve">Graphique </w:t>
                            </w:r>
                            <w:r>
                              <w:fldChar w:fldCharType="begin"/>
                            </w:r>
                            <w:r>
                              <w:instrText xml:space="preserve"> SEQ Graphique \* ARABIC </w:instrText>
                            </w:r>
                            <w:r>
                              <w:fldChar w:fldCharType="separate"/>
                            </w:r>
                            <w:r>
                              <w:rPr>
                                <w:noProof/>
                              </w:rPr>
                              <w:t>24</w:t>
                            </w:r>
                            <w:r>
                              <w:fldChar w:fldCharType="end"/>
                            </w:r>
                            <w:r>
                              <w:t xml:space="preserve"> : </w:t>
                            </w:r>
                            <w:r w:rsidRPr="000C3538">
                              <w:t>Proportion d'enfants de moins de 5 ans malnutris (</w:t>
                            </w:r>
                            <w:proofErr w:type="spellStart"/>
                            <w:r w:rsidRPr="000C3538">
                              <w:t>MASsc</w:t>
                            </w:r>
                            <w:proofErr w:type="spellEnd"/>
                            <w:r w:rsidRPr="000C3538">
                              <w:t xml:space="preserve">, </w:t>
                            </w:r>
                            <w:proofErr w:type="spellStart"/>
                            <w:r w:rsidRPr="000C3538">
                              <w:t>MASc</w:t>
                            </w:r>
                            <w:proofErr w:type="spellEnd"/>
                            <w:r w:rsidRPr="000C3538">
                              <w:t>) guéris</w:t>
                            </w:r>
                            <w:bookmarkEnd w:id="85"/>
                          </w:p>
                          <w:p w14:paraId="522FD97F" w14:textId="525E984F" w:rsidR="00D60FC5" w:rsidRPr="00B82295" w:rsidRDefault="00635BB4" w:rsidP="000D72F9">
                            <w:pPr>
                              <w:keepNext/>
                            </w:pPr>
                            <w:r>
                              <w:rPr>
                                <w:noProof/>
                              </w:rPr>
                              <w:drawing>
                                <wp:inline distT="0" distB="0" distL="0" distR="0" wp14:anchorId="1205F44E" wp14:editId="7B7B2745">
                                  <wp:extent cx="2566670" cy="1625600"/>
                                  <wp:effectExtent l="0" t="0" r="5080" b="12700"/>
                                  <wp:docPr id="1810426077" name="Chart 1">
                                    <a:extLst xmlns:a="http://schemas.openxmlformats.org/drawingml/2006/main">
                                      <a:ext uri="{FF2B5EF4-FFF2-40B4-BE49-F238E27FC236}">
                                        <a16:creationId xmlns:a16="http://schemas.microsoft.com/office/drawing/2014/main" id="{53A01E2E-2D38-02A0-5BCF-1F053299D4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0B7C870" w14:textId="77777777" w:rsidR="00D60FC5" w:rsidRPr="00B82295" w:rsidRDefault="00D60FC5" w:rsidP="00635BB4">
                            <w:pPr>
                              <w:pStyle w:val="Lgende"/>
                            </w:pPr>
                            <w:r w:rsidRPr="00B82295">
                              <w:t xml:space="preserve">Sources : </w:t>
                            </w:r>
                            <w:r>
                              <w:t>Rapports d’activités PNN</w:t>
                            </w:r>
                          </w:p>
                          <w:p w14:paraId="7591285B" w14:textId="77777777" w:rsidR="00D60FC5" w:rsidRPr="00B82295" w:rsidRDefault="00D60FC5" w:rsidP="000D72F9">
                            <w:pPr>
                              <w:keepNext/>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B5BAB6E" id="_x0000_s1049" type="#_x0000_t202" style="position:absolute;left:0;text-align:left;margin-left:232.3pt;margin-top:1.2pt;width:217pt;height:191.6pt;z-index:-2516582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" fillcolor="white [3201]" strokecolor="#bfbfbf [2412]" strokeweight=".5pt">
                <v:textbox>
                  <w:txbxContent>
                    <w:p w14:paraId="57AC6040" w14:textId="0471E61A" w:rsidR="00F546EB" w:rsidRDefault="00F546EB" w:rsidP="00F546EB">
                      <w:pPr>
                        <w:pStyle w:val="Lgende"/>
                        <w:keepNext/>
                      </w:pPr>
                      <w:bookmarkStart w:id="111" w:name="_Toc183688811"/>
                      <w:r>
                        <w:t xml:space="preserve">Graphique </w:t>
                      </w:r>
                      <w:r>
                        <w:fldChar w:fldCharType="begin"/>
                      </w:r>
                      <w:r>
                        <w:instrText xml:space="preserve"> SEQ Graphique \* ARABIC </w:instrText>
                      </w:r>
                      <w:r>
                        <w:fldChar w:fldCharType="separate"/>
                      </w:r>
                      <w:r>
                        <w:rPr>
                          <w:noProof/>
                        </w:rPr>
                        <w:t>24</w:t>
                      </w:r>
                      <w:r>
                        <w:fldChar w:fldCharType="end"/>
                      </w:r>
                      <w:r>
                        <w:t xml:space="preserve"> : </w:t>
                      </w:r>
                      <w:r w:rsidRPr="000C3538">
                        <w:t>Proportion d'enfants de moins de 5 ans malnutris (MASsc, MASc) guéris</w:t>
                      </w:r>
                      <w:bookmarkEnd w:id="111"/>
                    </w:p>
                    <w:p w14:paraId="522FD97F" w14:textId="525E984F" w:rsidR="00D60FC5" w:rsidRPr="00B82295" w:rsidRDefault="00635BB4" w:rsidP="000D72F9">
                      <w:pPr>
                        <w:keepNext/>
                      </w:pPr>
                      <w:r>
                        <w:rPr>
                          <w:noProof/>
                        </w:rPr>
                        <w:drawing>
                          <wp:inline distT="0" distB="0" distL="0" distR="0" wp14:anchorId="1205F44E" wp14:editId="7B7B2745">
                            <wp:extent cx="2566670" cy="1625600"/>
                            <wp:effectExtent l="0" t="0" r="5080" b="12700"/>
                            <wp:docPr id="1810426077" name="Chart 1">
                              <a:extLst xmlns:a="http://schemas.openxmlformats.org/drawingml/2006/main">
                                <a:ext uri="{FF2B5EF4-FFF2-40B4-BE49-F238E27FC236}">
                                  <a16:creationId xmlns:a16="http://schemas.microsoft.com/office/drawing/2014/main" id="{53A01E2E-2D38-02A0-5BCF-1F053299D4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10B7C870" w14:textId="77777777" w:rsidR="00D60FC5" w:rsidRPr="00B82295" w:rsidRDefault="00D60FC5" w:rsidP="00635BB4">
                      <w:pPr>
                        <w:pStyle w:val="Lgende"/>
                      </w:pPr>
                      <w:r w:rsidRPr="00B82295">
                        <w:t xml:space="preserve">Sources : </w:t>
                      </w:r>
                      <w:r>
                        <w:t>Rapports d’activités PNN</w:t>
                      </w:r>
                    </w:p>
                    <w:p w14:paraId="7591285B" w14:textId="77777777" w:rsidR="00D60FC5" w:rsidRPr="00B82295" w:rsidRDefault="00D60FC5" w:rsidP="000D72F9">
                      <w:pPr>
                        <w:keepNext/>
                        <w:rPr>
                          <w:sz w:val="14"/>
                          <w:szCs w:val="14"/>
                        </w:rPr>
                      </w:pPr>
                    </w:p>
                  </w:txbxContent>
                </v:textbox>
                <w10:wrap type="tight" anchorx="margin"/>
              </v:shape>
            </w:pict>
          </mc:Fallback>
        </mc:AlternateContent>
      </w:r>
      <w:r w:rsidRPr="00B82295">
        <w:rPr>
          <w:rFonts w:cstheme="minorHAnsi"/>
          <w:noProof/>
          <w:sz w:val="24"/>
          <w:szCs w:val="24"/>
        </w:rPr>
        <mc:AlternateContent>
          <mc:Choice Requires="wps">
            <w:drawing>
              <wp:anchor distT="0" distB="0" distL="114300" distR="114300" simplePos="0" relativeHeight="251658267" behindDoc="1" locked="0" layoutInCell="1" allowOverlap="1" wp14:anchorId="527CE7FF" wp14:editId="11605D9E">
                <wp:simplePos x="0" y="0"/>
                <wp:positionH relativeFrom="margin">
                  <wp:posOffset>0</wp:posOffset>
                </wp:positionH>
                <wp:positionV relativeFrom="paragraph">
                  <wp:posOffset>15240</wp:posOffset>
                </wp:positionV>
                <wp:extent cx="2781300" cy="2433320"/>
                <wp:effectExtent l="0" t="0" r="19050" b="24130"/>
                <wp:wrapTight wrapText="bothSides">
                  <wp:wrapPolygon edited="0">
                    <wp:start x="0" y="0"/>
                    <wp:lineTo x="0" y="21645"/>
                    <wp:lineTo x="21600" y="21645"/>
                    <wp:lineTo x="21600" y="0"/>
                    <wp:lineTo x="0" y="0"/>
                  </wp:wrapPolygon>
                </wp:wrapTight>
                <wp:docPr id="1939521554" name="Text Box 7"/>
                <wp:cNvGraphicFramePr/>
                <a:graphic xmlns:a="http://schemas.openxmlformats.org/drawingml/2006/main">
                  <a:graphicData uri="http://schemas.microsoft.com/office/word/2010/wordprocessingShape">
                    <wps:wsp>
                      <wps:cNvSpPr txBox="1"/>
                      <wps:spPr>
                        <a:xfrm>
                          <a:off x="0" y="0"/>
                          <a:ext cx="2781300" cy="2433320"/>
                        </a:xfrm>
                        <a:prstGeom prst="rect">
                          <a:avLst/>
                        </a:prstGeom>
                        <a:solidFill>
                          <a:schemeClr val="lt1"/>
                        </a:solidFill>
                        <a:ln w="6350">
                          <a:solidFill>
                            <a:schemeClr val="bg1">
                              <a:lumMod val="75000"/>
                            </a:schemeClr>
                          </a:solidFill>
                        </a:ln>
                      </wps:spPr>
                      <wps:txbx>
                        <w:txbxContent>
                          <w:p w14:paraId="2BC5A1AB" w14:textId="7DDB4441" w:rsidR="000D72F9" w:rsidRPr="009F2C0C" w:rsidRDefault="000D72F9" w:rsidP="00DC5897">
                            <w:pPr>
                              <w:pStyle w:val="Lgende"/>
                            </w:pPr>
                            <w:bookmarkStart w:id="86" w:name="_Toc178328926"/>
                            <w:bookmarkStart w:id="87" w:name="_Toc183688812"/>
                            <w:r w:rsidRPr="009F2C0C">
                              <w:t xml:space="preserve">Graphique </w:t>
                            </w:r>
                            <w:r>
                              <w:fldChar w:fldCharType="begin"/>
                            </w:r>
                            <w:r w:rsidRPr="00117554">
                              <w:instrText xml:space="preserve"> SEQ Graphique \* ARABIC </w:instrText>
                            </w:r>
                            <w:r>
                              <w:fldChar w:fldCharType="separate"/>
                            </w:r>
                            <w:r w:rsidR="00F546EB">
                              <w:rPr>
                                <w:noProof/>
                              </w:rPr>
                              <w:t>25</w:t>
                            </w:r>
                            <w:r>
                              <w:fldChar w:fldCharType="end"/>
                            </w:r>
                            <w:r w:rsidRPr="009F2C0C">
                              <w:t xml:space="preserve"> : </w:t>
                            </w:r>
                            <w:bookmarkEnd w:id="86"/>
                            <w:r>
                              <w:t>P</w:t>
                            </w:r>
                            <w:r w:rsidRPr="000D72F9">
                              <w:t>ourcentage d'enfants de moins de 5 ans ayant bénéficié d'une évaluation nutritionnelle</w:t>
                            </w:r>
                            <w:bookmarkEnd w:id="87"/>
                          </w:p>
                          <w:p w14:paraId="57D7E846" w14:textId="5CB9ABD7" w:rsidR="000D72F9" w:rsidRPr="00B82295" w:rsidRDefault="00DF6FA2" w:rsidP="000D72F9">
                            <w:pPr>
                              <w:keepNext/>
                            </w:pPr>
                            <w:r w:rsidRPr="0013528B">
                              <w:rPr>
                                <w:noProof/>
                                <w:shd w:val="clear" w:color="auto" w:fill="538135" w:themeFill="accent6" w:themeFillShade="BF"/>
                              </w:rPr>
                              <w:drawing>
                                <wp:inline distT="0" distB="0" distL="0" distR="0" wp14:anchorId="5A02307E" wp14:editId="79DA82DC">
                                  <wp:extent cx="2559050" cy="1645920"/>
                                  <wp:effectExtent l="0" t="0" r="12700" b="11430"/>
                                  <wp:docPr id="1341712528" name="Chart 1">
                                    <a:extLst xmlns:a="http://schemas.openxmlformats.org/drawingml/2006/main">
                                      <a:ext uri="{FF2B5EF4-FFF2-40B4-BE49-F238E27FC236}">
                                        <a16:creationId xmlns:a16="http://schemas.microsoft.com/office/drawing/2014/main" id="{867F429E-B6D7-AD03-E4E1-A51EF643E9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10F6A664" w14:textId="0534C4BF" w:rsidR="000D72F9" w:rsidRPr="00B82295" w:rsidRDefault="000D72F9" w:rsidP="00DC5897">
                            <w:pPr>
                              <w:pStyle w:val="Lgende"/>
                            </w:pPr>
                            <w:r w:rsidRPr="00B82295">
                              <w:t xml:space="preserve">Sources : </w:t>
                            </w:r>
                            <w:r w:rsidR="008D0A1A">
                              <w:t>Rapports d’activités PNN</w:t>
                            </w:r>
                          </w:p>
                          <w:p w14:paraId="6159FF73" w14:textId="77777777" w:rsidR="000D72F9" w:rsidRPr="00B82295" w:rsidRDefault="000D72F9" w:rsidP="000D72F9">
                            <w:pPr>
                              <w:keepNext/>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27CE7FF" id="_x0000_s1050" type="#_x0000_t202" style="position:absolute;left:0;text-align:left;margin-left:0;margin-top:1.2pt;width:219pt;height:191.6pt;z-index:-2516582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" fillcolor="white [3201]" strokecolor="#bfbfbf [2412]" strokeweight=".5pt">
                <v:textbox>
                  <w:txbxContent>
                    <w:p w14:paraId="2BC5A1AB" w14:textId="7DDB4441" w:rsidR="000D72F9" w:rsidRPr="009F2C0C" w:rsidRDefault="000D72F9" w:rsidP="00DC5897">
                      <w:pPr>
                        <w:pStyle w:val="Lgende"/>
                      </w:pPr>
                      <w:bookmarkStart w:id="114" w:name="_Toc178328926"/>
                      <w:bookmarkStart w:id="115" w:name="_Toc183688812"/>
                      <w:r w:rsidRPr="009F2C0C">
                        <w:t xml:space="preserve">Graphique </w:t>
                      </w:r>
                      <w:r>
                        <w:fldChar w:fldCharType="begin"/>
                      </w:r>
                      <w:r w:rsidRPr="00117554">
                        <w:instrText xml:space="preserve"> SEQ Graphique \* ARABIC </w:instrText>
                      </w:r>
                      <w:r>
                        <w:fldChar w:fldCharType="separate"/>
                      </w:r>
                      <w:r w:rsidR="00F546EB">
                        <w:rPr>
                          <w:noProof/>
                        </w:rPr>
                        <w:t>25</w:t>
                      </w:r>
                      <w:r>
                        <w:fldChar w:fldCharType="end"/>
                      </w:r>
                      <w:r w:rsidRPr="009F2C0C">
                        <w:t xml:space="preserve"> : </w:t>
                      </w:r>
                      <w:bookmarkEnd w:id="114"/>
                      <w:r>
                        <w:t>P</w:t>
                      </w:r>
                      <w:r w:rsidRPr="000D72F9">
                        <w:t>ourcentage d'enfants de moins de 5 ans ayant bénéficié d'une évaluation nutritionnelle</w:t>
                      </w:r>
                      <w:bookmarkEnd w:id="115"/>
                    </w:p>
                    <w:p w14:paraId="57D7E846" w14:textId="5CB9ABD7" w:rsidR="000D72F9" w:rsidRPr="00B82295" w:rsidRDefault="00DF6FA2" w:rsidP="000D72F9">
                      <w:pPr>
                        <w:keepNext/>
                      </w:pPr>
                      <w:r w:rsidRPr="0013528B">
                        <w:rPr>
                          <w:noProof/>
                          <w:shd w:val="clear" w:color="auto" w:fill="538135" w:themeFill="accent6" w:themeFillShade="BF"/>
                        </w:rPr>
                        <w:drawing>
                          <wp:inline distT="0" distB="0" distL="0" distR="0" wp14:anchorId="5A02307E" wp14:editId="79DA82DC">
                            <wp:extent cx="2559050" cy="1645920"/>
                            <wp:effectExtent l="0" t="0" r="12700" b="11430"/>
                            <wp:docPr id="1341712528" name="Chart 1">
                              <a:extLst xmlns:a="http://schemas.openxmlformats.org/drawingml/2006/main">
                                <a:ext uri="{FF2B5EF4-FFF2-40B4-BE49-F238E27FC236}">
                                  <a16:creationId xmlns:a16="http://schemas.microsoft.com/office/drawing/2014/main" id="{867F429E-B6D7-AD03-E4E1-A51EF643E9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10F6A664" w14:textId="0534C4BF" w:rsidR="000D72F9" w:rsidRPr="00B82295" w:rsidRDefault="000D72F9" w:rsidP="00DC5897">
                      <w:pPr>
                        <w:pStyle w:val="Lgende"/>
                      </w:pPr>
                      <w:r w:rsidRPr="00B82295">
                        <w:t xml:space="preserve">Sources : </w:t>
                      </w:r>
                      <w:r w:rsidR="008D0A1A">
                        <w:t>Rapports d’activités PNN</w:t>
                      </w:r>
                    </w:p>
                    <w:p w14:paraId="6159FF73" w14:textId="77777777" w:rsidR="000D72F9" w:rsidRPr="00B82295" w:rsidRDefault="000D72F9" w:rsidP="000D72F9">
                      <w:pPr>
                        <w:keepNext/>
                        <w:rPr>
                          <w:sz w:val="14"/>
                          <w:szCs w:val="14"/>
                        </w:rPr>
                      </w:pPr>
                    </w:p>
                  </w:txbxContent>
                </v:textbox>
                <w10:wrap type="tight" anchorx="margin"/>
              </v:shape>
            </w:pict>
          </mc:Fallback>
        </mc:AlternateContent>
      </w:r>
      <w:r w:rsidR="007119FB" w:rsidRPr="00A918AC">
        <w:rPr>
          <w:rFonts w:ascii="Arial Narrow" w:eastAsia="Arial" w:hAnsi="Arial Narrow" w:cs="Arial"/>
          <w:sz w:val="24"/>
          <w:szCs w:val="24"/>
        </w:rPr>
        <w:t xml:space="preserve">En dépit de ces résultats, certains défis </w:t>
      </w:r>
      <w:r w:rsidR="004872A0" w:rsidRPr="007E7C5B">
        <w:rPr>
          <w:rFonts w:ascii="Arial Narrow" w:eastAsia="Arial" w:hAnsi="Arial Narrow" w:cs="Arial"/>
          <w:sz w:val="24"/>
          <w:szCs w:val="24"/>
        </w:rPr>
        <w:t>doivent être adressés</w:t>
      </w:r>
      <w:r w:rsidR="00A81B2E" w:rsidRPr="007E7C5B">
        <w:rPr>
          <w:rFonts w:ascii="Arial Narrow" w:eastAsia="Arial" w:hAnsi="Arial Narrow" w:cs="Arial"/>
          <w:sz w:val="24"/>
          <w:szCs w:val="24"/>
        </w:rPr>
        <w:t xml:space="preserve"> notamment</w:t>
      </w:r>
      <w:r w:rsidR="008B0759" w:rsidRPr="007E7C5B">
        <w:rPr>
          <w:rFonts w:ascii="Arial Narrow" w:eastAsia="Arial" w:hAnsi="Arial Narrow" w:cs="Arial"/>
          <w:sz w:val="24"/>
          <w:szCs w:val="24"/>
        </w:rPr>
        <w:t xml:space="preserve"> : </w:t>
      </w:r>
      <w:r w:rsidR="008B0759" w:rsidRPr="00A918AC">
        <w:rPr>
          <w:rFonts w:ascii="Arial Narrow" w:eastAsia="Arial" w:hAnsi="Arial Narrow" w:cs="Arial"/>
          <w:i/>
          <w:sz w:val="24"/>
          <w:szCs w:val="24"/>
        </w:rPr>
        <w:t>(i)</w:t>
      </w:r>
      <w:r w:rsidR="008B0759" w:rsidRPr="007E7C5B">
        <w:rPr>
          <w:rFonts w:ascii="Arial Narrow" w:eastAsia="Arial" w:hAnsi="Arial Narrow" w:cs="Arial"/>
          <w:sz w:val="24"/>
          <w:szCs w:val="24"/>
        </w:rPr>
        <w:t xml:space="preserve"> le </w:t>
      </w:r>
      <w:r w:rsidR="008B0759" w:rsidRPr="00A918AC">
        <w:rPr>
          <w:rFonts w:ascii="Arial Narrow" w:eastAsia="Arial" w:hAnsi="Arial Narrow" w:cs="Arial"/>
          <w:sz w:val="24"/>
          <w:szCs w:val="24"/>
        </w:rPr>
        <w:t>r</w:t>
      </w:r>
      <w:r w:rsidR="00757EA8" w:rsidRPr="00A918AC">
        <w:rPr>
          <w:rFonts w:ascii="Arial Narrow" w:eastAsia="Arial" w:hAnsi="Arial Narrow" w:cs="Arial"/>
          <w:sz w:val="24"/>
          <w:szCs w:val="24"/>
        </w:rPr>
        <w:t xml:space="preserve">enforcement de la </w:t>
      </w:r>
      <w:r w:rsidR="00371D95" w:rsidRPr="00A918AC">
        <w:rPr>
          <w:rFonts w:ascii="Arial Narrow" w:eastAsia="Arial" w:hAnsi="Arial Narrow" w:cs="Arial"/>
          <w:sz w:val="24"/>
          <w:szCs w:val="24"/>
        </w:rPr>
        <w:t>coordination entre les différents acteurs impliqués dans la lutte contre la malnutrition</w:t>
      </w:r>
      <w:r w:rsidR="008B0759" w:rsidRPr="00A918AC">
        <w:rPr>
          <w:rFonts w:ascii="Arial Narrow" w:eastAsia="Arial" w:hAnsi="Arial Narrow" w:cs="Arial"/>
          <w:sz w:val="24"/>
          <w:szCs w:val="24"/>
        </w:rPr>
        <w:t> </w:t>
      </w:r>
      <w:r w:rsidR="008B0759" w:rsidRPr="007E7C5B">
        <w:rPr>
          <w:rFonts w:ascii="Arial Narrow" w:eastAsia="Arial" w:hAnsi="Arial Narrow" w:cs="Arial"/>
          <w:sz w:val="24"/>
          <w:szCs w:val="24"/>
        </w:rPr>
        <w:t xml:space="preserve">; </w:t>
      </w:r>
      <w:r w:rsidR="008B0759" w:rsidRPr="00A918AC">
        <w:rPr>
          <w:rFonts w:ascii="Arial Narrow" w:eastAsia="Arial" w:hAnsi="Arial Narrow" w:cs="Arial"/>
          <w:i/>
          <w:sz w:val="24"/>
          <w:szCs w:val="24"/>
        </w:rPr>
        <w:t>(ii)</w:t>
      </w:r>
      <w:r w:rsidR="008B0759" w:rsidRPr="007E7C5B">
        <w:rPr>
          <w:rFonts w:ascii="Arial Narrow" w:eastAsia="Arial" w:hAnsi="Arial Narrow" w:cs="Arial"/>
          <w:sz w:val="24"/>
          <w:szCs w:val="24"/>
        </w:rPr>
        <w:t xml:space="preserve"> </w:t>
      </w:r>
      <w:r w:rsidR="004872A0" w:rsidRPr="007E7C5B">
        <w:rPr>
          <w:rFonts w:ascii="Arial Narrow" w:eastAsia="Arial" w:hAnsi="Arial Narrow" w:cs="Arial"/>
          <w:sz w:val="24"/>
          <w:szCs w:val="24"/>
        </w:rPr>
        <w:t>l</w:t>
      </w:r>
      <w:r w:rsidR="00371D95" w:rsidRPr="00A918AC">
        <w:rPr>
          <w:rFonts w:ascii="Arial Narrow" w:eastAsia="Arial" w:hAnsi="Arial Narrow" w:cs="Arial"/>
          <w:sz w:val="24"/>
          <w:szCs w:val="24"/>
        </w:rPr>
        <w:t xml:space="preserve">'expansion des services </w:t>
      </w:r>
      <w:r w:rsidR="00FB232B" w:rsidRPr="00A918AC">
        <w:rPr>
          <w:rFonts w:ascii="Arial Narrow" w:eastAsia="Arial" w:hAnsi="Arial Narrow" w:cs="Arial"/>
          <w:sz w:val="24"/>
          <w:szCs w:val="24"/>
        </w:rPr>
        <w:t>dans les</w:t>
      </w:r>
      <w:r w:rsidR="00371D95" w:rsidRPr="00A918AC">
        <w:rPr>
          <w:rFonts w:ascii="Arial Narrow" w:eastAsia="Arial" w:hAnsi="Arial Narrow" w:cs="Arial"/>
          <w:sz w:val="24"/>
          <w:szCs w:val="24"/>
        </w:rPr>
        <w:t xml:space="preserve"> zones les plus vulnérables</w:t>
      </w:r>
      <w:r w:rsidR="004872A0" w:rsidRPr="00A918AC">
        <w:rPr>
          <w:rFonts w:ascii="Arial Narrow" w:eastAsia="Arial" w:hAnsi="Arial Narrow" w:cs="Arial"/>
          <w:sz w:val="24"/>
          <w:szCs w:val="24"/>
        </w:rPr>
        <w:t> </w:t>
      </w:r>
      <w:r w:rsidR="004872A0" w:rsidRPr="007E7C5B">
        <w:rPr>
          <w:rFonts w:ascii="Arial Narrow" w:eastAsia="Arial" w:hAnsi="Arial Narrow" w:cs="Arial"/>
          <w:sz w:val="24"/>
          <w:szCs w:val="24"/>
        </w:rPr>
        <w:t xml:space="preserve">; </w:t>
      </w:r>
      <w:r w:rsidR="004872A0" w:rsidRPr="00A918AC">
        <w:rPr>
          <w:rFonts w:ascii="Arial Narrow" w:eastAsia="Arial" w:hAnsi="Arial Narrow" w:cs="Arial"/>
          <w:i/>
          <w:sz w:val="24"/>
          <w:szCs w:val="24"/>
        </w:rPr>
        <w:t>(iii)</w:t>
      </w:r>
      <w:r w:rsidR="004872A0" w:rsidRPr="007E7C5B">
        <w:rPr>
          <w:rFonts w:ascii="Arial Narrow" w:eastAsia="Arial" w:hAnsi="Arial Narrow" w:cs="Arial"/>
          <w:sz w:val="24"/>
          <w:szCs w:val="24"/>
        </w:rPr>
        <w:t xml:space="preserve"> la </w:t>
      </w:r>
      <w:r w:rsidR="004872A0" w:rsidRPr="00A918AC">
        <w:rPr>
          <w:rFonts w:ascii="Arial Narrow" w:eastAsia="ArialMT" w:hAnsi="Arial Narrow" w:cs="ArialMT"/>
          <w:kern w:val="0"/>
          <w:sz w:val="24"/>
          <w:szCs w:val="24"/>
        </w:rPr>
        <w:t>r</w:t>
      </w:r>
      <w:r w:rsidR="0062536D" w:rsidRPr="00A918AC">
        <w:rPr>
          <w:rFonts w:ascii="Arial Narrow" w:eastAsia="ArialMT" w:hAnsi="Arial Narrow" w:cs="ArialMT"/>
          <w:kern w:val="0"/>
          <w:sz w:val="24"/>
          <w:szCs w:val="24"/>
        </w:rPr>
        <w:t>éduction</w:t>
      </w:r>
      <w:r w:rsidR="0062536D" w:rsidRPr="2EC68FFD">
        <w:rPr>
          <w:rFonts w:ascii="Arial Narrow" w:hAnsi="Arial Narrow"/>
          <w:sz w:val="24"/>
          <w:szCs w:val="24"/>
        </w:rPr>
        <w:t xml:space="preserve"> du taux d’anémie chez les enfants de moins de 05 ans et chez les femmes en âge de procréer</w:t>
      </w:r>
      <w:r w:rsidR="00C002C6" w:rsidRPr="2EC68FFD">
        <w:rPr>
          <w:rFonts w:ascii="Arial Narrow" w:hAnsi="Arial Narrow"/>
          <w:sz w:val="24"/>
          <w:szCs w:val="24"/>
        </w:rPr>
        <w:t xml:space="preserve"> ; </w:t>
      </w:r>
      <w:r w:rsidR="00C002C6" w:rsidRPr="2EC68FFD">
        <w:rPr>
          <w:rFonts w:ascii="Arial Narrow" w:hAnsi="Arial Narrow"/>
          <w:i/>
          <w:sz w:val="24"/>
          <w:szCs w:val="24"/>
        </w:rPr>
        <w:t>(iv)</w:t>
      </w:r>
      <w:r w:rsidR="00C002C6" w:rsidRPr="2EC68FFD">
        <w:rPr>
          <w:rFonts w:ascii="Arial Narrow" w:hAnsi="Arial Narrow"/>
          <w:sz w:val="24"/>
          <w:szCs w:val="24"/>
        </w:rPr>
        <w:t xml:space="preserve"> le </w:t>
      </w:r>
      <w:r w:rsidR="00C002C6" w:rsidRPr="00A918AC">
        <w:rPr>
          <w:rFonts w:ascii="Arial Narrow" w:eastAsia="ArialMT" w:hAnsi="Arial Narrow" w:cs="ArialMT"/>
          <w:kern w:val="0"/>
          <w:sz w:val="24"/>
          <w:szCs w:val="24"/>
        </w:rPr>
        <w:t>r</w:t>
      </w:r>
      <w:r w:rsidR="00230F43" w:rsidRPr="00A918AC">
        <w:rPr>
          <w:rFonts w:ascii="Arial Narrow" w:eastAsia="ArialMT" w:hAnsi="Arial Narrow" w:cs="ArialMT"/>
          <w:kern w:val="0"/>
          <w:sz w:val="24"/>
          <w:szCs w:val="24"/>
        </w:rPr>
        <w:t>enforcement d</w:t>
      </w:r>
      <w:r w:rsidR="00953272" w:rsidRPr="00A918AC">
        <w:rPr>
          <w:rFonts w:ascii="Arial Narrow" w:eastAsia="ArialMT" w:hAnsi="Arial Narrow" w:cs="ArialMT"/>
          <w:kern w:val="0"/>
          <w:sz w:val="24"/>
          <w:szCs w:val="24"/>
        </w:rPr>
        <w:t>e la collaboration</w:t>
      </w:r>
      <w:r w:rsidR="00230F43" w:rsidRPr="00A918AC">
        <w:rPr>
          <w:rFonts w:ascii="Arial Narrow" w:eastAsia="ArialMT" w:hAnsi="Arial Narrow" w:cs="ArialMT"/>
          <w:kern w:val="0"/>
          <w:sz w:val="24"/>
          <w:szCs w:val="24"/>
        </w:rPr>
        <w:t xml:space="preserve"> entre les centres de santé et les FRANC</w:t>
      </w:r>
      <w:r w:rsidR="00674D73" w:rsidRPr="007E7C5B">
        <w:rPr>
          <w:rFonts w:ascii="Arial Narrow" w:eastAsia="ArialMT" w:hAnsi="Arial Narrow" w:cs="ArialMT"/>
          <w:kern w:val="0"/>
          <w:sz w:val="24"/>
          <w:szCs w:val="24"/>
        </w:rPr>
        <w:t xml:space="preserve"> ; </w:t>
      </w:r>
      <w:r w:rsidR="00674D73" w:rsidRPr="00A918AC">
        <w:rPr>
          <w:rFonts w:ascii="Arial Narrow" w:eastAsia="ArialMT" w:hAnsi="Arial Narrow" w:cs="ArialMT"/>
          <w:i/>
          <w:kern w:val="0"/>
          <w:sz w:val="24"/>
          <w:szCs w:val="24"/>
        </w:rPr>
        <w:t>(v)</w:t>
      </w:r>
      <w:r w:rsidR="00674D73" w:rsidRPr="007E7C5B">
        <w:rPr>
          <w:rFonts w:ascii="Arial Narrow" w:eastAsia="ArialMT" w:hAnsi="Arial Narrow" w:cs="ArialMT"/>
          <w:kern w:val="0"/>
          <w:sz w:val="24"/>
          <w:szCs w:val="24"/>
        </w:rPr>
        <w:t xml:space="preserve"> </w:t>
      </w:r>
      <w:r w:rsidR="00674D73" w:rsidRPr="00A918AC">
        <w:rPr>
          <w:rFonts w:ascii="Arial Narrow" w:eastAsia="ArialMT" w:hAnsi="Arial Narrow" w:cs="ArialMT"/>
          <w:kern w:val="0"/>
          <w:sz w:val="24"/>
          <w:szCs w:val="24"/>
        </w:rPr>
        <w:t>le r</w:t>
      </w:r>
      <w:r w:rsidR="00230F43" w:rsidRPr="00A918AC">
        <w:rPr>
          <w:rFonts w:ascii="Arial Narrow" w:eastAsia="ArialMT" w:hAnsi="Arial Narrow" w:cs="ArialMT"/>
          <w:kern w:val="0"/>
          <w:sz w:val="24"/>
          <w:szCs w:val="24"/>
        </w:rPr>
        <w:t xml:space="preserve">enforcement de la participation communautaire </w:t>
      </w:r>
      <w:r w:rsidR="00CE0C8D" w:rsidRPr="00A918AC">
        <w:rPr>
          <w:rFonts w:ascii="Arial Narrow" w:eastAsia="ArialMT" w:hAnsi="Arial Narrow" w:cs="ArialMT"/>
          <w:kern w:val="0"/>
          <w:sz w:val="24"/>
          <w:szCs w:val="24"/>
        </w:rPr>
        <w:t>par</w:t>
      </w:r>
      <w:r w:rsidR="00230F43" w:rsidRPr="00A918AC">
        <w:rPr>
          <w:rFonts w:ascii="Arial Narrow" w:eastAsia="ArialMT" w:hAnsi="Arial Narrow" w:cs="ArialMT"/>
          <w:kern w:val="0"/>
          <w:sz w:val="24"/>
          <w:szCs w:val="24"/>
        </w:rPr>
        <w:t xml:space="preserve"> les ASC</w:t>
      </w:r>
      <w:r w:rsidR="00F42877" w:rsidRPr="00A918AC">
        <w:rPr>
          <w:rFonts w:ascii="Arial Narrow" w:eastAsia="ArialMT" w:hAnsi="Arial Narrow" w:cs="ArialMT"/>
          <w:kern w:val="0"/>
          <w:sz w:val="24"/>
          <w:szCs w:val="24"/>
        </w:rPr>
        <w:t xml:space="preserve"> et les FRANC</w:t>
      </w:r>
      <w:r w:rsidR="00230F43" w:rsidRPr="00A918AC">
        <w:rPr>
          <w:rFonts w:ascii="Arial Narrow" w:eastAsia="ArialMT" w:hAnsi="Arial Narrow" w:cs="ArialMT"/>
          <w:kern w:val="0"/>
          <w:sz w:val="24"/>
          <w:szCs w:val="24"/>
        </w:rPr>
        <w:t xml:space="preserve"> ;</w:t>
      </w:r>
      <w:r w:rsidR="00674D73" w:rsidRPr="00A918AC">
        <w:rPr>
          <w:rFonts w:ascii="Arial Narrow" w:eastAsia="ArialMT" w:hAnsi="Arial Narrow" w:cs="ArialMT"/>
          <w:kern w:val="0"/>
          <w:sz w:val="24"/>
          <w:szCs w:val="24"/>
        </w:rPr>
        <w:t xml:space="preserve"> </w:t>
      </w:r>
      <w:r w:rsidR="00674D73" w:rsidRPr="00A918AC">
        <w:rPr>
          <w:rFonts w:ascii="Arial Narrow" w:eastAsia="ArialMT" w:hAnsi="Arial Narrow" w:cs="ArialMT"/>
          <w:i/>
          <w:kern w:val="0"/>
          <w:sz w:val="24"/>
          <w:szCs w:val="24"/>
        </w:rPr>
        <w:t>(vi</w:t>
      </w:r>
      <w:r w:rsidR="00EB6D76" w:rsidRPr="00A918AC">
        <w:rPr>
          <w:rFonts w:ascii="Arial Narrow" w:eastAsia="ArialMT" w:hAnsi="Arial Narrow" w:cs="ArialMT"/>
          <w:i/>
          <w:kern w:val="0"/>
          <w:sz w:val="24"/>
          <w:szCs w:val="24"/>
        </w:rPr>
        <w:t>)</w:t>
      </w:r>
      <w:r w:rsidR="00EB6D76" w:rsidRPr="00A918AC">
        <w:rPr>
          <w:rFonts w:ascii="Arial Narrow" w:eastAsia="ArialMT" w:hAnsi="Arial Narrow" w:cs="ArialMT"/>
          <w:kern w:val="0"/>
          <w:sz w:val="24"/>
          <w:szCs w:val="24"/>
        </w:rPr>
        <w:t xml:space="preserve"> le d</w:t>
      </w:r>
      <w:r w:rsidR="00230F43" w:rsidRPr="00A918AC">
        <w:rPr>
          <w:rFonts w:ascii="Arial Narrow" w:eastAsia="ArialMT" w:hAnsi="Arial Narrow" w:cs="ArialMT"/>
          <w:kern w:val="0"/>
          <w:sz w:val="24"/>
          <w:szCs w:val="24"/>
        </w:rPr>
        <w:t xml:space="preserve">éveloppement du BP-famille afin de renforcer la prévention </w:t>
      </w:r>
      <w:r w:rsidR="00C47346" w:rsidRPr="00A918AC">
        <w:rPr>
          <w:rFonts w:ascii="Arial Narrow" w:eastAsia="ArialMT" w:hAnsi="Arial Narrow" w:cs="ArialMT"/>
          <w:kern w:val="0"/>
          <w:sz w:val="24"/>
          <w:szCs w:val="24"/>
        </w:rPr>
        <w:t>et</w:t>
      </w:r>
      <w:r w:rsidR="00230F43" w:rsidRPr="00A918AC">
        <w:rPr>
          <w:rFonts w:ascii="Arial Narrow" w:eastAsia="ArialMT" w:hAnsi="Arial Narrow" w:cs="ArialMT"/>
          <w:kern w:val="0"/>
          <w:sz w:val="24"/>
          <w:szCs w:val="24"/>
        </w:rPr>
        <w:t xml:space="preserve"> </w:t>
      </w:r>
      <w:r w:rsidR="00EB6D76" w:rsidRPr="00A918AC">
        <w:rPr>
          <w:rFonts w:ascii="Arial Narrow" w:eastAsia="ArialMT" w:hAnsi="Arial Narrow" w:cs="ArialMT"/>
          <w:i/>
          <w:kern w:val="0"/>
          <w:sz w:val="24"/>
          <w:szCs w:val="24"/>
        </w:rPr>
        <w:t>(vii)</w:t>
      </w:r>
      <w:r w:rsidR="00EB6D76" w:rsidRPr="00A918AC">
        <w:rPr>
          <w:rFonts w:ascii="Arial Narrow" w:eastAsia="ArialMT" w:hAnsi="Arial Narrow" w:cs="ArialMT"/>
          <w:kern w:val="0"/>
          <w:sz w:val="24"/>
          <w:szCs w:val="24"/>
        </w:rPr>
        <w:t xml:space="preserve"> </w:t>
      </w:r>
      <w:r w:rsidR="00C47346" w:rsidRPr="00A918AC">
        <w:rPr>
          <w:rFonts w:ascii="Arial Narrow" w:eastAsia="ArialMT" w:hAnsi="Arial Narrow" w:cs="ArialMT"/>
          <w:kern w:val="0"/>
          <w:sz w:val="24"/>
          <w:szCs w:val="24"/>
        </w:rPr>
        <w:t>l’</w:t>
      </w:r>
      <w:r w:rsidR="00412BF3" w:rsidRPr="007E7C5B">
        <w:rPr>
          <w:rFonts w:ascii="Arial Narrow" w:eastAsia="ArialMT" w:hAnsi="Arial Narrow" w:cs="ArialMT"/>
          <w:kern w:val="0"/>
          <w:sz w:val="24"/>
          <w:szCs w:val="24"/>
        </w:rPr>
        <w:t>u</w:t>
      </w:r>
      <w:r w:rsidR="00C47346" w:rsidRPr="00A918AC">
        <w:rPr>
          <w:rFonts w:ascii="Arial Narrow" w:eastAsia="ArialMT" w:hAnsi="Arial Narrow" w:cs="ArialMT"/>
          <w:kern w:val="0"/>
          <w:sz w:val="24"/>
          <w:szCs w:val="24"/>
        </w:rPr>
        <w:t>tilisation des technologies tels que les applications mobiles pour le dépistage et le suivi des enfants</w:t>
      </w:r>
      <w:r w:rsidR="00E33227">
        <w:rPr>
          <w:rFonts w:ascii="Arial Narrow" w:eastAsia="ArialMT" w:hAnsi="Arial Narrow" w:cs="ArialMT"/>
          <w:kern w:val="0"/>
          <w:sz w:val="24"/>
          <w:szCs w:val="24"/>
        </w:rPr>
        <w:t xml:space="preserve"> </w:t>
      </w:r>
      <w:r w:rsidR="00C47346" w:rsidRPr="00A918AC">
        <w:rPr>
          <w:rFonts w:ascii="Arial Narrow" w:eastAsia="ArialMT" w:hAnsi="Arial Narrow" w:cs="ArialMT"/>
          <w:kern w:val="0"/>
          <w:sz w:val="24"/>
          <w:szCs w:val="24"/>
        </w:rPr>
        <w:t>malnutris</w:t>
      </w:r>
      <w:r w:rsidR="00FC53EA" w:rsidRPr="00A918AC">
        <w:rPr>
          <w:rFonts w:ascii="Arial Narrow" w:eastAsia="ArialMT" w:hAnsi="Arial Narrow" w:cs="ArialMT"/>
          <w:kern w:val="0"/>
          <w:sz w:val="24"/>
          <w:szCs w:val="24"/>
        </w:rPr>
        <w:t>.</w:t>
      </w:r>
    </w:p>
    <w:p w14:paraId="608A4ACD" w14:textId="757A1158" w:rsidR="00DE0FC4" w:rsidRPr="0064289E" w:rsidRDefault="00DE0FC4" w:rsidP="00DE0FC4">
      <w:pPr>
        <w:autoSpaceDE w:val="0"/>
        <w:autoSpaceDN w:val="0"/>
        <w:adjustRightInd w:val="0"/>
        <w:jc w:val="both"/>
        <w:rPr>
          <w:rFonts w:ascii="Arial Narrow" w:eastAsia="ArialMT" w:hAnsi="Arial Narrow" w:cs="ArialMT"/>
          <w:b/>
          <w:bCs/>
          <w:kern w:val="0"/>
          <w:sz w:val="24"/>
          <w:szCs w:val="24"/>
        </w:rPr>
      </w:pPr>
      <w:r w:rsidRPr="0064289E">
        <w:rPr>
          <w:rFonts w:ascii="Arial Narrow" w:eastAsia="ArialMT" w:hAnsi="Arial Narrow" w:cs="ArialMT"/>
          <w:b/>
          <w:bCs/>
          <w:kern w:val="0"/>
          <w:sz w:val="24"/>
          <w:szCs w:val="24"/>
        </w:rPr>
        <w:t xml:space="preserve">Encadré : Actions probantes améliorant la situation de la malnutrition </w:t>
      </w:r>
      <w:r w:rsidR="007E4B1D" w:rsidRPr="0064289E">
        <w:rPr>
          <w:rFonts w:ascii="Arial Narrow" w:eastAsia="ArialMT" w:hAnsi="Arial Narrow" w:cs="ArialMT"/>
          <w:b/>
          <w:bCs/>
          <w:kern w:val="0"/>
          <w:sz w:val="24"/>
          <w:szCs w:val="24"/>
        </w:rPr>
        <w:t xml:space="preserve">des </w:t>
      </w:r>
      <w:r w:rsidR="001248C4" w:rsidRPr="0064289E">
        <w:rPr>
          <w:rFonts w:ascii="Arial Narrow" w:eastAsia="ArialMT" w:hAnsi="Arial Narrow" w:cs="ArialMT"/>
          <w:b/>
          <w:bCs/>
          <w:kern w:val="0"/>
          <w:sz w:val="24"/>
          <w:szCs w:val="24"/>
        </w:rPr>
        <w:t xml:space="preserve">enfants </w:t>
      </w:r>
      <w:r w:rsidRPr="0064289E">
        <w:rPr>
          <w:rFonts w:ascii="Arial Narrow" w:eastAsia="ArialMT" w:hAnsi="Arial Narrow" w:cs="ArialMT"/>
          <w:b/>
          <w:bCs/>
          <w:kern w:val="0"/>
          <w:sz w:val="24"/>
          <w:szCs w:val="24"/>
        </w:rPr>
        <w:t>dans les régions</w:t>
      </w:r>
    </w:p>
    <w:tbl>
      <w:tblPr>
        <w:tblW w:w="0" w:type="auto"/>
        <w:tblLook w:val="04A0" w:firstRow="1" w:lastRow="0" w:firstColumn="1" w:lastColumn="0" w:noHBand="0" w:noVBand="1"/>
      </w:tblPr>
      <w:tblGrid>
        <w:gridCol w:w="9016"/>
      </w:tblGrid>
      <w:tr w:rsidR="0064289E" w:rsidRPr="0064289E" w14:paraId="16C45FD3" w14:textId="77777777" w:rsidTr="0064289E">
        <w:tc>
          <w:tcPr>
            <w:tcW w:w="9016" w:type="dxa"/>
            <w:shd w:val="clear" w:color="auto" w:fill="538135" w:themeFill="accent6" w:themeFillShade="BF"/>
          </w:tcPr>
          <w:p w14:paraId="696EA3DF" w14:textId="77777777" w:rsidR="00075770" w:rsidRPr="00B87D30" w:rsidRDefault="00075770" w:rsidP="00DE0FC4">
            <w:pPr>
              <w:jc w:val="both"/>
              <w:rPr>
                <w:rFonts w:ascii="Arial Narrow" w:hAnsi="Arial Narrow" w:cstheme="minorHAnsi"/>
                <w:b/>
                <w:iCs/>
                <w:color w:val="FFFFFF" w:themeColor="background1"/>
                <w:sz w:val="8"/>
                <w:szCs w:val="8"/>
              </w:rPr>
            </w:pPr>
          </w:p>
          <w:p w14:paraId="7B77DA68" w14:textId="2ECB4E38" w:rsidR="001248C4" w:rsidRPr="0064289E" w:rsidRDefault="00DE0FC4" w:rsidP="00DE0FC4">
            <w:pPr>
              <w:jc w:val="both"/>
              <w:rPr>
                <w:rFonts w:ascii="Arial Narrow" w:hAnsi="Arial Narrow"/>
                <w:color w:val="FFFFFF" w:themeColor="background1"/>
              </w:rPr>
            </w:pPr>
            <w:r w:rsidRPr="2EC68FFD">
              <w:rPr>
                <w:rFonts w:ascii="Arial Narrow" w:hAnsi="Arial Narrow"/>
                <w:b/>
                <w:color w:val="FFFFFF" w:themeColor="background1"/>
              </w:rPr>
              <w:t xml:space="preserve">Pour ce qui est des enfants </w:t>
            </w:r>
            <w:r w:rsidR="73B2D018" w:rsidRPr="2EC68FFD">
              <w:rPr>
                <w:rFonts w:ascii="Arial Narrow" w:hAnsi="Arial Narrow"/>
                <w:b/>
                <w:bCs/>
                <w:color w:val="FFFFFF" w:themeColor="background1"/>
              </w:rPr>
              <w:t>malnutris</w:t>
            </w:r>
            <w:r w:rsidRPr="2EC68FFD">
              <w:rPr>
                <w:rFonts w:ascii="Arial Narrow" w:hAnsi="Arial Narrow"/>
                <w:b/>
                <w:color w:val="FFFFFF" w:themeColor="background1"/>
              </w:rPr>
              <w:t xml:space="preserve"> aigu sévère, </w:t>
            </w:r>
            <w:r w:rsidRPr="2EC68FFD">
              <w:rPr>
                <w:rFonts w:ascii="Arial Narrow" w:hAnsi="Arial Narrow"/>
                <w:color w:val="FFFFFF" w:themeColor="background1"/>
              </w:rPr>
              <w:t xml:space="preserve">différentes interventions ont été menées à savoir : </w:t>
            </w:r>
          </w:p>
          <w:p w14:paraId="0CB4567E" w14:textId="77777777" w:rsidR="00075770" w:rsidRPr="0064289E" w:rsidRDefault="00075770" w:rsidP="00DE0FC4">
            <w:pPr>
              <w:jc w:val="both"/>
              <w:rPr>
                <w:rFonts w:ascii="Arial Narrow" w:hAnsi="Arial Narrow" w:cstheme="minorHAnsi"/>
                <w:iCs/>
                <w:color w:val="FFFFFF" w:themeColor="background1"/>
              </w:rPr>
            </w:pPr>
          </w:p>
          <w:p w14:paraId="6F3F38FD" w14:textId="5B204D85" w:rsidR="001248C4" w:rsidRPr="0064289E" w:rsidRDefault="00075770" w:rsidP="000A1A7B">
            <w:pPr>
              <w:pStyle w:val="Paragraphedeliste"/>
              <w:numPr>
                <w:ilvl w:val="0"/>
                <w:numId w:val="26"/>
              </w:numPr>
              <w:jc w:val="both"/>
              <w:rPr>
                <w:rFonts w:ascii="Arial Narrow" w:hAnsi="Arial Narrow" w:cstheme="minorHAnsi"/>
                <w:color w:val="FFFFFF" w:themeColor="background1"/>
              </w:rPr>
            </w:pPr>
            <w:r w:rsidRPr="0064289E">
              <w:rPr>
                <w:rFonts w:ascii="Arial Narrow" w:hAnsi="Arial Narrow" w:cstheme="minorHAnsi"/>
                <w:iCs/>
                <w:color w:val="FFFFFF" w:themeColor="background1"/>
              </w:rPr>
              <w:t>La</w:t>
            </w:r>
            <w:r w:rsidR="00DE0FC4" w:rsidRPr="0064289E">
              <w:rPr>
                <w:rFonts w:ascii="Arial Narrow" w:hAnsi="Arial Narrow" w:cstheme="minorHAnsi"/>
                <w:color w:val="FFFFFF" w:themeColor="background1"/>
              </w:rPr>
              <w:t xml:space="preserve"> mise à disposition de local dédié aux activités de nutrition et de vaccination sous l'exigence du PBF ; </w:t>
            </w:r>
          </w:p>
          <w:p w14:paraId="4D4B317C" w14:textId="506D97A9" w:rsidR="001248C4" w:rsidRPr="0064289E" w:rsidRDefault="00075770" w:rsidP="000A1A7B">
            <w:pPr>
              <w:pStyle w:val="Paragraphedeliste"/>
              <w:numPr>
                <w:ilvl w:val="0"/>
                <w:numId w:val="26"/>
              </w:numPr>
              <w:jc w:val="both"/>
              <w:rPr>
                <w:rFonts w:ascii="Arial Narrow" w:hAnsi="Arial Narrow" w:cstheme="minorHAnsi"/>
                <w:color w:val="FFFFFF" w:themeColor="background1"/>
              </w:rPr>
            </w:pPr>
            <w:r w:rsidRPr="0064289E">
              <w:rPr>
                <w:rFonts w:ascii="Arial Narrow" w:hAnsi="Arial Narrow" w:cstheme="minorHAnsi"/>
                <w:iCs/>
                <w:color w:val="FFFFFF" w:themeColor="background1"/>
              </w:rPr>
              <w:t>L’équipement</w:t>
            </w:r>
            <w:r w:rsidR="00DE0FC4" w:rsidRPr="0064289E">
              <w:rPr>
                <w:rFonts w:ascii="Arial Narrow" w:hAnsi="Arial Narrow" w:cstheme="minorHAnsi"/>
                <w:color w:val="FFFFFF" w:themeColor="background1"/>
              </w:rPr>
              <w:t xml:space="preserve"> des centres de santé en matériels anthropométriques et en intrants de prise en charge ; </w:t>
            </w:r>
          </w:p>
          <w:p w14:paraId="39F1410E" w14:textId="4EE605AF" w:rsidR="00DE0FC4" w:rsidRPr="0064289E" w:rsidRDefault="00075770" w:rsidP="000A1A7B">
            <w:pPr>
              <w:pStyle w:val="Paragraphedeliste"/>
              <w:numPr>
                <w:ilvl w:val="0"/>
                <w:numId w:val="26"/>
              </w:numPr>
              <w:jc w:val="both"/>
              <w:rPr>
                <w:rFonts w:ascii="Arial Narrow" w:hAnsi="Arial Narrow" w:cstheme="minorHAnsi"/>
                <w:color w:val="FFFFFF" w:themeColor="background1"/>
              </w:rPr>
            </w:pPr>
            <w:r w:rsidRPr="0064289E">
              <w:rPr>
                <w:rFonts w:ascii="Arial Narrow" w:hAnsi="Arial Narrow" w:cstheme="minorHAnsi"/>
                <w:iCs/>
                <w:color w:val="FFFFFF" w:themeColor="background1"/>
              </w:rPr>
              <w:t>La</w:t>
            </w:r>
            <w:r w:rsidR="00DE0FC4" w:rsidRPr="0064289E">
              <w:rPr>
                <w:rFonts w:ascii="Arial Narrow" w:hAnsi="Arial Narrow" w:cstheme="minorHAnsi"/>
                <w:color w:val="FFFFFF" w:themeColor="background1"/>
              </w:rPr>
              <w:t xml:space="preserve"> mise en place des Foyers de Renforcement des Activités de Nutrition en Communautés (FRANC).</w:t>
            </w:r>
          </w:p>
          <w:p w14:paraId="25AA2BD0" w14:textId="77777777" w:rsidR="00075770" w:rsidRPr="0064289E" w:rsidRDefault="00075770" w:rsidP="00DE0FC4">
            <w:pPr>
              <w:jc w:val="both"/>
              <w:rPr>
                <w:rFonts w:ascii="Arial Narrow" w:hAnsi="Arial Narrow" w:cstheme="minorHAnsi"/>
                <w:bCs/>
                <w:iCs/>
                <w:color w:val="FFFFFF" w:themeColor="background1"/>
              </w:rPr>
            </w:pPr>
          </w:p>
          <w:p w14:paraId="5B8CB7C0" w14:textId="77777777" w:rsidR="00B611C4" w:rsidRDefault="00DE0FC4" w:rsidP="0065605C">
            <w:pPr>
              <w:jc w:val="both"/>
              <w:rPr>
                <w:rFonts w:ascii="Arial Narrow" w:hAnsi="Arial Narrow" w:cstheme="minorHAnsi"/>
                <w:bCs/>
                <w:iCs/>
                <w:color w:val="FFFFFF" w:themeColor="background1"/>
              </w:rPr>
            </w:pPr>
            <w:r w:rsidRPr="0064289E">
              <w:rPr>
                <w:rFonts w:ascii="Arial Narrow" w:hAnsi="Arial Narrow" w:cstheme="minorHAnsi"/>
                <w:bCs/>
                <w:iCs/>
                <w:color w:val="FFFFFF" w:themeColor="background1"/>
              </w:rPr>
              <w:t>Toutes ces actions ont permis l’augmentation de la proportion d’enfants malnutris aigu sévère de 0 à 59 mois dépistés et pris en charge dans</w:t>
            </w:r>
            <w:r w:rsidRPr="0064289E">
              <w:rPr>
                <w:rFonts w:ascii="Arial Narrow" w:hAnsi="Arial Narrow" w:cstheme="minorHAnsi"/>
                <w:iCs/>
                <w:color w:val="FFFFFF" w:themeColor="background1"/>
              </w:rPr>
              <w:t xml:space="preserve"> les régions du</w:t>
            </w:r>
            <w:r w:rsidRPr="0064289E">
              <w:rPr>
                <w:rFonts w:ascii="Arial Narrow" w:hAnsi="Arial Narrow" w:cstheme="minorHAnsi"/>
                <w:bCs/>
                <w:iCs/>
                <w:color w:val="FFFFFF" w:themeColor="background1"/>
              </w:rPr>
              <w:t xml:space="preserve"> Cavally (de 59% en 2021 à 100% en 2023), </w:t>
            </w:r>
            <w:r w:rsidRPr="0064289E">
              <w:rPr>
                <w:rFonts w:ascii="Arial Narrow" w:hAnsi="Arial Narrow" w:cstheme="minorHAnsi"/>
                <w:iCs/>
                <w:color w:val="FFFFFF" w:themeColor="background1"/>
              </w:rPr>
              <w:t>d’</w:t>
            </w:r>
            <w:r w:rsidRPr="0064289E">
              <w:rPr>
                <w:rFonts w:ascii="Arial Narrow" w:hAnsi="Arial Narrow" w:cstheme="minorHAnsi"/>
                <w:bCs/>
                <w:iCs/>
                <w:color w:val="FFFFFF" w:themeColor="background1"/>
              </w:rPr>
              <w:t xml:space="preserve">Abidjan 2 (72,4% à 77%), </w:t>
            </w:r>
            <w:r w:rsidRPr="0064289E">
              <w:rPr>
                <w:rFonts w:ascii="Arial Narrow" w:hAnsi="Arial Narrow" w:cstheme="minorHAnsi"/>
                <w:iCs/>
                <w:color w:val="FFFFFF" w:themeColor="background1"/>
              </w:rPr>
              <w:t>du</w:t>
            </w:r>
            <w:r w:rsidRPr="0064289E">
              <w:rPr>
                <w:rFonts w:ascii="Arial Narrow" w:hAnsi="Arial Narrow" w:cstheme="minorHAnsi"/>
                <w:bCs/>
                <w:iCs/>
                <w:color w:val="FFFFFF" w:themeColor="background1"/>
              </w:rPr>
              <w:t xml:space="preserve"> </w:t>
            </w:r>
            <w:proofErr w:type="spellStart"/>
            <w:r w:rsidRPr="0064289E">
              <w:rPr>
                <w:rFonts w:ascii="Arial Narrow" w:hAnsi="Arial Narrow" w:cstheme="minorHAnsi"/>
                <w:bCs/>
                <w:iCs/>
                <w:color w:val="FFFFFF" w:themeColor="background1"/>
              </w:rPr>
              <w:t>Gbêkê</w:t>
            </w:r>
            <w:proofErr w:type="spellEnd"/>
            <w:r w:rsidRPr="0064289E">
              <w:rPr>
                <w:rFonts w:ascii="Arial Narrow" w:hAnsi="Arial Narrow" w:cstheme="minorHAnsi"/>
                <w:bCs/>
                <w:iCs/>
                <w:color w:val="FFFFFF" w:themeColor="background1"/>
              </w:rPr>
              <w:t xml:space="preserve"> (47% à 42%), </w:t>
            </w:r>
            <w:r w:rsidRPr="0064289E">
              <w:rPr>
                <w:rFonts w:ascii="Arial Narrow" w:hAnsi="Arial Narrow" w:cstheme="minorHAnsi"/>
                <w:iCs/>
                <w:color w:val="FFFFFF" w:themeColor="background1"/>
              </w:rPr>
              <w:t>de</w:t>
            </w:r>
            <w:r w:rsidRPr="0064289E">
              <w:rPr>
                <w:rFonts w:ascii="Arial Narrow" w:hAnsi="Arial Narrow" w:cstheme="minorHAnsi"/>
                <w:bCs/>
                <w:iCs/>
                <w:color w:val="FFFFFF" w:themeColor="background1"/>
              </w:rPr>
              <w:t xml:space="preserve"> l’</w:t>
            </w:r>
            <w:proofErr w:type="spellStart"/>
            <w:r w:rsidRPr="0064289E">
              <w:rPr>
                <w:rFonts w:ascii="Arial Narrow" w:hAnsi="Arial Narrow" w:cstheme="minorHAnsi"/>
                <w:bCs/>
                <w:iCs/>
                <w:color w:val="FFFFFF" w:themeColor="background1"/>
              </w:rPr>
              <w:t>Agneby-Tiassa</w:t>
            </w:r>
            <w:proofErr w:type="spellEnd"/>
            <w:r w:rsidRPr="0064289E">
              <w:rPr>
                <w:rFonts w:ascii="Arial Narrow" w:hAnsi="Arial Narrow" w:cstheme="minorHAnsi"/>
                <w:bCs/>
                <w:iCs/>
                <w:color w:val="FFFFFF" w:themeColor="background1"/>
              </w:rPr>
              <w:t xml:space="preserve"> (43,6% à 59,8%), </w:t>
            </w:r>
            <w:r w:rsidRPr="0064289E">
              <w:rPr>
                <w:rFonts w:ascii="Arial Narrow" w:hAnsi="Arial Narrow" w:cstheme="minorHAnsi"/>
                <w:iCs/>
                <w:color w:val="FFFFFF" w:themeColor="background1"/>
              </w:rPr>
              <w:t>du</w:t>
            </w:r>
            <w:r w:rsidRPr="0064289E">
              <w:rPr>
                <w:rFonts w:ascii="Arial Narrow" w:hAnsi="Arial Narrow" w:cstheme="minorHAnsi"/>
                <w:bCs/>
                <w:iCs/>
                <w:color w:val="FFFFFF" w:themeColor="background1"/>
              </w:rPr>
              <w:t xml:space="preserve"> </w:t>
            </w:r>
            <w:proofErr w:type="spellStart"/>
            <w:r w:rsidRPr="0064289E">
              <w:rPr>
                <w:rFonts w:ascii="Arial Narrow" w:hAnsi="Arial Narrow" w:cstheme="minorHAnsi"/>
                <w:bCs/>
                <w:iCs/>
                <w:color w:val="FFFFFF" w:themeColor="background1"/>
              </w:rPr>
              <w:t>Hambol</w:t>
            </w:r>
            <w:proofErr w:type="spellEnd"/>
            <w:r w:rsidRPr="0064289E">
              <w:rPr>
                <w:rFonts w:ascii="Arial Narrow" w:hAnsi="Arial Narrow" w:cstheme="minorHAnsi"/>
                <w:bCs/>
                <w:iCs/>
                <w:color w:val="FFFFFF" w:themeColor="background1"/>
              </w:rPr>
              <w:t xml:space="preserve"> (73,8% à 92,8%), </w:t>
            </w:r>
            <w:r w:rsidRPr="0064289E">
              <w:rPr>
                <w:rFonts w:ascii="Arial Narrow" w:hAnsi="Arial Narrow" w:cstheme="minorHAnsi"/>
                <w:iCs/>
                <w:color w:val="FFFFFF" w:themeColor="background1"/>
              </w:rPr>
              <w:t>de</w:t>
            </w:r>
            <w:r w:rsidRPr="0064289E">
              <w:rPr>
                <w:rFonts w:ascii="Arial Narrow" w:hAnsi="Arial Narrow" w:cstheme="minorHAnsi"/>
                <w:bCs/>
                <w:iCs/>
                <w:color w:val="FFFFFF" w:themeColor="background1"/>
              </w:rPr>
              <w:t xml:space="preserve"> la Mé (51,7% à 61,9%) et </w:t>
            </w:r>
            <w:r w:rsidRPr="0064289E">
              <w:rPr>
                <w:rFonts w:ascii="Arial Narrow" w:hAnsi="Arial Narrow" w:cstheme="minorHAnsi"/>
                <w:iCs/>
                <w:color w:val="FFFFFF" w:themeColor="background1"/>
              </w:rPr>
              <w:t>du</w:t>
            </w:r>
            <w:r w:rsidRPr="0064289E">
              <w:rPr>
                <w:rFonts w:ascii="Arial Narrow" w:hAnsi="Arial Narrow" w:cstheme="minorHAnsi"/>
                <w:bCs/>
                <w:iCs/>
                <w:color w:val="FFFFFF" w:themeColor="background1"/>
              </w:rPr>
              <w:t xml:space="preserve"> Sud-</w:t>
            </w:r>
            <w:r w:rsidR="0065605C" w:rsidRPr="0064289E">
              <w:rPr>
                <w:rFonts w:ascii="Arial Narrow" w:hAnsi="Arial Narrow" w:cstheme="minorHAnsi"/>
                <w:color w:val="FFFFFF" w:themeColor="background1"/>
              </w:rPr>
              <w:t>Comoé</w:t>
            </w:r>
            <w:r w:rsidRPr="0064289E">
              <w:rPr>
                <w:rFonts w:ascii="Arial Narrow" w:hAnsi="Arial Narrow" w:cstheme="minorHAnsi"/>
                <w:bCs/>
                <w:iCs/>
                <w:color w:val="FFFFFF" w:themeColor="background1"/>
              </w:rPr>
              <w:t xml:space="preserve"> (20,5% à 29,2%). </w:t>
            </w:r>
          </w:p>
          <w:p w14:paraId="72072286" w14:textId="2E525662" w:rsidR="00B87D30" w:rsidRPr="00B87D30" w:rsidRDefault="00B87D30" w:rsidP="0065605C">
            <w:pPr>
              <w:jc w:val="both"/>
              <w:rPr>
                <w:rFonts w:ascii="Arial Narrow" w:hAnsi="Arial Narrow" w:cstheme="minorHAnsi"/>
                <w:bCs/>
                <w:iCs/>
                <w:color w:val="FFFFFF" w:themeColor="background1"/>
                <w:sz w:val="8"/>
                <w:szCs w:val="8"/>
              </w:rPr>
            </w:pPr>
          </w:p>
        </w:tc>
      </w:tr>
      <w:tr w:rsidR="000B4847" w:rsidRPr="0064289E" w14:paraId="50D62B3D" w14:textId="77777777" w:rsidTr="0064289E">
        <w:tc>
          <w:tcPr>
            <w:tcW w:w="9016" w:type="dxa"/>
            <w:shd w:val="clear" w:color="auto" w:fill="538135" w:themeFill="accent6" w:themeFillShade="BF"/>
          </w:tcPr>
          <w:p w14:paraId="453301BB" w14:textId="77777777" w:rsidR="000B4847" w:rsidRPr="00B87D30" w:rsidRDefault="000B4847" w:rsidP="00DE0FC4">
            <w:pPr>
              <w:jc w:val="both"/>
              <w:rPr>
                <w:rFonts w:ascii="Arial Narrow" w:hAnsi="Arial Narrow" w:cstheme="minorHAnsi"/>
                <w:b/>
                <w:iCs/>
                <w:color w:val="FFFFFF" w:themeColor="background1"/>
                <w:sz w:val="8"/>
                <w:szCs w:val="8"/>
              </w:rPr>
            </w:pPr>
          </w:p>
        </w:tc>
      </w:tr>
    </w:tbl>
    <w:p w14:paraId="70C9C8EA" w14:textId="25FC184D" w:rsidR="0068506A" w:rsidRPr="007E7C5B" w:rsidRDefault="00F62211" w:rsidP="00AA7D22">
      <w:pPr>
        <w:pStyle w:val="Titre5"/>
        <w:shd w:val="clear" w:color="auto" w:fill="FBE4D5" w:themeFill="accent2" w:themeFillTint="33"/>
        <w:rPr>
          <w:rFonts w:ascii="Arial Narrow" w:hAnsi="Arial Narrow"/>
          <w:b/>
          <w:color w:val="auto"/>
          <w:sz w:val="24"/>
          <w:szCs w:val="24"/>
        </w:rPr>
      </w:pPr>
      <w:r w:rsidRPr="007E7C5B">
        <w:rPr>
          <w:rFonts w:ascii="Arial Narrow" w:hAnsi="Arial Narrow"/>
          <w:b/>
          <w:color w:val="auto"/>
          <w:sz w:val="24"/>
          <w:szCs w:val="24"/>
        </w:rPr>
        <w:t>U</w:t>
      </w:r>
      <w:r w:rsidR="0068506A" w:rsidRPr="007E7C5B">
        <w:rPr>
          <w:rFonts w:ascii="Arial Narrow" w:hAnsi="Arial Narrow"/>
          <w:b/>
          <w:color w:val="auto"/>
          <w:sz w:val="24"/>
          <w:szCs w:val="24"/>
        </w:rPr>
        <w:t>rgences de santé publique</w:t>
      </w:r>
    </w:p>
    <w:p w14:paraId="47B91187" w14:textId="77777777" w:rsidR="0048049C" w:rsidRPr="00D67F75" w:rsidRDefault="0048049C" w:rsidP="0048049C">
      <w:pPr>
        <w:jc w:val="both"/>
        <w:rPr>
          <w:rFonts w:ascii="Arial Narrow" w:hAnsi="Arial Narrow" w:cs="Arial"/>
          <w:color w:val="000000" w:themeColor="text1"/>
          <w:sz w:val="24"/>
          <w:szCs w:val="24"/>
        </w:rPr>
      </w:pPr>
      <w:r w:rsidRPr="00D67F75">
        <w:rPr>
          <w:rFonts w:ascii="Arial Narrow" w:hAnsi="Arial Narrow" w:cs="Arial"/>
          <w:color w:val="000000" w:themeColor="text1"/>
          <w:sz w:val="24"/>
          <w:szCs w:val="24"/>
        </w:rPr>
        <w:t xml:space="preserve">Le Règlement sanitaire international (RSI, 2005), entré en vigueur le 15 juin 2007, est un instrument juridique international contraignant. Son objectif principal est de prévenir la propagation internationale des maladies, de les détecter, de s’en protéger et d’y réagir par des mesures de santé publique appropriées, tout en évitant de créer des obstacles inutiles au trafic et au commerce internationaux. </w:t>
      </w:r>
    </w:p>
    <w:p w14:paraId="21E24E19" w14:textId="77777777" w:rsidR="0048049C" w:rsidRPr="00D67F75" w:rsidRDefault="0048049C" w:rsidP="0048049C">
      <w:pPr>
        <w:jc w:val="both"/>
        <w:rPr>
          <w:rFonts w:ascii="Arial Narrow" w:hAnsi="Arial Narrow" w:cs="Arial"/>
          <w:color w:val="000000" w:themeColor="text1"/>
          <w:sz w:val="24"/>
          <w:szCs w:val="24"/>
        </w:rPr>
      </w:pPr>
      <w:r w:rsidRPr="00D67F75">
        <w:rPr>
          <w:rFonts w:ascii="Arial Narrow" w:hAnsi="Arial Narrow" w:cs="Arial"/>
          <w:color w:val="000000" w:themeColor="text1"/>
          <w:sz w:val="24"/>
          <w:szCs w:val="24"/>
        </w:rPr>
        <w:t>L’OMS a défini 4 mécanismes de Suivi Evaluation du RSI dont l’Evaluation Externe Conjointe (EEC) qui a été réalisée en Décembre 2023</w:t>
      </w:r>
      <w:r>
        <w:rPr>
          <w:rFonts w:ascii="Arial Narrow" w:hAnsi="Arial Narrow" w:cs="Arial"/>
          <w:color w:val="000000" w:themeColor="text1"/>
          <w:sz w:val="24"/>
          <w:szCs w:val="24"/>
        </w:rPr>
        <w:t xml:space="preserve"> après celle de Décembre 2017</w:t>
      </w:r>
      <w:r w:rsidRPr="00D67F75">
        <w:rPr>
          <w:rFonts w:ascii="Arial Narrow" w:hAnsi="Arial Narrow" w:cs="Arial"/>
          <w:color w:val="000000" w:themeColor="text1"/>
          <w:sz w:val="24"/>
          <w:szCs w:val="24"/>
        </w:rPr>
        <w:t xml:space="preserve">. Cette évaluation a permis d’actualiser les scores </w:t>
      </w:r>
      <w:r>
        <w:rPr>
          <w:rFonts w:ascii="Arial Narrow" w:hAnsi="Arial Narrow" w:cs="Arial"/>
          <w:color w:val="000000" w:themeColor="text1"/>
          <w:sz w:val="24"/>
          <w:szCs w:val="24"/>
        </w:rPr>
        <w:t>d</w:t>
      </w:r>
      <w:r w:rsidRPr="00D67F75">
        <w:rPr>
          <w:rFonts w:ascii="Arial Narrow" w:hAnsi="Arial Narrow" w:cs="Arial"/>
          <w:color w:val="000000" w:themeColor="text1"/>
          <w:sz w:val="24"/>
          <w:szCs w:val="24"/>
        </w:rPr>
        <w:t>es 19 domaines techniques du</w:t>
      </w:r>
      <w:r>
        <w:rPr>
          <w:rFonts w:ascii="Arial Narrow" w:hAnsi="Arial Narrow" w:cs="Arial"/>
          <w:color w:val="000000" w:themeColor="text1"/>
          <w:sz w:val="24"/>
          <w:szCs w:val="24"/>
        </w:rPr>
        <w:t xml:space="preserve"> </w:t>
      </w:r>
      <w:r w:rsidRPr="00D67F75">
        <w:rPr>
          <w:rFonts w:ascii="Arial Narrow" w:hAnsi="Arial Narrow" w:cs="Arial"/>
          <w:color w:val="000000" w:themeColor="text1"/>
          <w:sz w:val="24"/>
          <w:szCs w:val="24"/>
        </w:rPr>
        <w:t>RSI à partir de l’outil JEE version 3. Concernant le domaine de la gestion des urgences sanitaires, les scores des 6 indicateurs varient de 1 à 3 et les principales recommandations portent sur la mise à jour de la cartographie des risques, l’élaboration des plans de contingence et des procédures, le renforcement des ressources humaines des COU régionaux et le cadre règlementaire pour le déploiement des équipes médicales d’urgence.</w:t>
      </w:r>
    </w:p>
    <w:p w14:paraId="01DAD7B3" w14:textId="77777777" w:rsidR="0048049C" w:rsidRPr="00D67F75" w:rsidRDefault="0048049C" w:rsidP="0048049C">
      <w:pPr>
        <w:jc w:val="both"/>
        <w:rPr>
          <w:rFonts w:ascii="Arial Narrow" w:hAnsi="Arial Narrow" w:cs="Arial"/>
          <w:color w:val="000000" w:themeColor="text1"/>
          <w:sz w:val="24"/>
          <w:szCs w:val="24"/>
        </w:rPr>
      </w:pPr>
      <w:r w:rsidRPr="00D67F75">
        <w:rPr>
          <w:rFonts w:ascii="Arial Narrow" w:hAnsi="Arial Narrow" w:cs="Arial"/>
          <w:color w:val="000000" w:themeColor="text1"/>
          <w:sz w:val="24"/>
          <w:szCs w:val="24"/>
        </w:rPr>
        <w:t xml:space="preserve">Dans le cadre de la réponse </w:t>
      </w:r>
      <w:bookmarkStart w:id="88" w:name="_Hlk185319085"/>
      <w:r w:rsidRPr="00D67F75">
        <w:rPr>
          <w:rFonts w:ascii="Arial Narrow" w:hAnsi="Arial Narrow" w:cs="Arial"/>
          <w:color w:val="000000" w:themeColor="text1"/>
          <w:sz w:val="24"/>
          <w:szCs w:val="24"/>
        </w:rPr>
        <w:t>aux épidémies et urgences de santé publique</w:t>
      </w:r>
      <w:bookmarkEnd w:id="88"/>
      <w:r w:rsidRPr="00D67F75">
        <w:rPr>
          <w:rFonts w:ascii="Arial Narrow" w:hAnsi="Arial Narrow" w:cs="Arial"/>
          <w:color w:val="000000" w:themeColor="text1"/>
          <w:sz w:val="24"/>
          <w:szCs w:val="24"/>
        </w:rPr>
        <w:t xml:space="preserve">, la Côte d’Ivoire s’est dotée d’un Centre des Opérations d’Urgence de Santé Publique (COUSP). De 2021 à </w:t>
      </w:r>
      <w:r w:rsidRPr="00D01828">
        <w:rPr>
          <w:rFonts w:ascii="Arial Narrow" w:hAnsi="Arial Narrow" w:cs="Arial"/>
          <w:sz w:val="24"/>
          <w:szCs w:val="24"/>
        </w:rPr>
        <w:t xml:space="preserve">2023 le COUSP a élaboré des documents normatifs : le </w:t>
      </w:r>
      <w:r w:rsidRPr="00D01828">
        <w:rPr>
          <w:rFonts w:ascii="Arial Narrow" w:hAnsi="Arial Narrow" w:cs="Arial"/>
          <w:b/>
          <w:bCs/>
          <w:sz w:val="24"/>
          <w:szCs w:val="24"/>
        </w:rPr>
        <w:t>Concept des Opérations (CONOPS), les Procédures opérationnelles Standard (POS) de déploiement des Equipes d’intervention rapide et les POS de la logistique d’urgence</w:t>
      </w:r>
      <w:r w:rsidRPr="00D01828">
        <w:rPr>
          <w:rFonts w:ascii="Arial Narrow" w:hAnsi="Arial Narrow" w:cs="Arial"/>
          <w:sz w:val="24"/>
          <w:szCs w:val="24"/>
        </w:rPr>
        <w:t xml:space="preserve">. Concernant les </w:t>
      </w:r>
      <w:r w:rsidRPr="00D67F75">
        <w:rPr>
          <w:rFonts w:ascii="Arial Narrow" w:hAnsi="Arial Narrow" w:cs="Arial"/>
          <w:color w:val="000000" w:themeColor="text1"/>
          <w:sz w:val="24"/>
          <w:szCs w:val="24"/>
        </w:rPr>
        <w:t>principales activités de riposte, le COUSP a ét</w:t>
      </w:r>
      <w:r>
        <w:rPr>
          <w:rFonts w:ascii="Arial Narrow" w:hAnsi="Arial Narrow" w:cs="Arial"/>
          <w:color w:val="000000" w:themeColor="text1"/>
          <w:sz w:val="24"/>
          <w:szCs w:val="24"/>
        </w:rPr>
        <w:t xml:space="preserve">é activé </w:t>
      </w:r>
      <w:r w:rsidRPr="00D67F75">
        <w:rPr>
          <w:rFonts w:ascii="Arial Narrow" w:hAnsi="Arial Narrow" w:cs="Arial"/>
          <w:color w:val="000000" w:themeColor="text1"/>
          <w:sz w:val="24"/>
          <w:szCs w:val="24"/>
        </w:rPr>
        <w:t>en mode réponse niveau 1 pour la gestion de la dengue</w:t>
      </w:r>
      <w:r>
        <w:rPr>
          <w:rFonts w:ascii="Arial Narrow" w:hAnsi="Arial Narrow" w:cs="Arial"/>
          <w:color w:val="000000" w:themeColor="text1"/>
          <w:sz w:val="24"/>
          <w:szCs w:val="24"/>
        </w:rPr>
        <w:t xml:space="preserve"> et</w:t>
      </w:r>
      <w:r w:rsidRPr="00D67F75">
        <w:rPr>
          <w:rFonts w:ascii="Arial Narrow" w:hAnsi="Arial Narrow" w:cs="Arial"/>
          <w:color w:val="000000" w:themeColor="text1"/>
          <w:sz w:val="24"/>
          <w:szCs w:val="24"/>
        </w:rPr>
        <w:t xml:space="preserve"> la gestion des conséquences sanitaires des inondations</w:t>
      </w:r>
      <w:r>
        <w:rPr>
          <w:rFonts w:ascii="Arial Narrow" w:hAnsi="Arial Narrow" w:cs="Arial"/>
          <w:color w:val="000000" w:themeColor="text1"/>
          <w:sz w:val="24"/>
          <w:szCs w:val="24"/>
        </w:rPr>
        <w:t xml:space="preserve">. </w:t>
      </w:r>
    </w:p>
    <w:p w14:paraId="43918D7F" w14:textId="0587F7CE" w:rsidR="0048049C" w:rsidRPr="00D67F75" w:rsidRDefault="0048049C" w:rsidP="0048049C">
      <w:pPr>
        <w:jc w:val="both"/>
        <w:rPr>
          <w:rFonts w:ascii="Arial Narrow" w:hAnsi="Arial Narrow" w:cs="Arial"/>
          <w:color w:val="000000" w:themeColor="text1"/>
          <w:sz w:val="24"/>
          <w:szCs w:val="24"/>
        </w:rPr>
      </w:pPr>
      <w:bookmarkStart w:id="89" w:name="_Hlk185319059"/>
      <w:r w:rsidRPr="00D67F75">
        <w:rPr>
          <w:rFonts w:ascii="Arial Narrow" w:hAnsi="Arial Narrow" w:cs="Arial"/>
          <w:color w:val="000000" w:themeColor="text1"/>
          <w:sz w:val="24"/>
          <w:szCs w:val="24"/>
        </w:rPr>
        <w:t>Afin d’améliorer la réponse au niveau tactique, le pays s’est engagé dans la décentralisation</w:t>
      </w:r>
      <w:r>
        <w:rPr>
          <w:rFonts w:ascii="Arial Narrow" w:hAnsi="Arial Narrow" w:cs="Arial"/>
          <w:color w:val="000000" w:themeColor="text1"/>
          <w:sz w:val="24"/>
          <w:szCs w:val="24"/>
        </w:rPr>
        <w:t xml:space="preserve"> du </w:t>
      </w:r>
      <w:r w:rsidRPr="00D67F75">
        <w:rPr>
          <w:rFonts w:ascii="Arial Narrow" w:hAnsi="Arial Narrow" w:cs="Arial"/>
          <w:color w:val="000000" w:themeColor="text1"/>
          <w:sz w:val="24"/>
          <w:szCs w:val="24"/>
        </w:rPr>
        <w:t xml:space="preserve">COUSP au niveau des pôles régionaux d’excellence avec la mise en place des COUSP régionaux. Ainsi, le pays dispose de 06 COUSP régionaux fonctionnels sur 13 COUSP régionaux planifiés, soit un taux de couverture 46%. </w:t>
      </w:r>
      <w:bookmarkEnd w:id="89"/>
      <w:r w:rsidRPr="00D01828">
        <w:rPr>
          <w:rFonts w:ascii="Arial Narrow" w:hAnsi="Arial Narrow" w:cs="Arial"/>
          <w:b/>
          <w:bCs/>
          <w:color w:val="000000" w:themeColor="text1"/>
          <w:sz w:val="24"/>
          <w:szCs w:val="24"/>
        </w:rPr>
        <w:t xml:space="preserve">Les régions disposant de COU sont le Sud Comoé, le </w:t>
      </w:r>
      <w:proofErr w:type="spellStart"/>
      <w:r w:rsidRPr="00D01828">
        <w:rPr>
          <w:rFonts w:ascii="Arial Narrow" w:hAnsi="Arial Narrow" w:cs="Arial"/>
          <w:b/>
          <w:bCs/>
          <w:color w:val="000000" w:themeColor="text1"/>
          <w:sz w:val="24"/>
          <w:szCs w:val="24"/>
        </w:rPr>
        <w:t>Tonpki</w:t>
      </w:r>
      <w:proofErr w:type="spellEnd"/>
      <w:r w:rsidRPr="00D01828">
        <w:rPr>
          <w:rFonts w:ascii="Arial Narrow" w:hAnsi="Arial Narrow" w:cs="Arial"/>
          <w:b/>
          <w:bCs/>
          <w:color w:val="000000" w:themeColor="text1"/>
          <w:sz w:val="24"/>
          <w:szCs w:val="24"/>
        </w:rPr>
        <w:t xml:space="preserve">, le </w:t>
      </w:r>
      <w:proofErr w:type="spellStart"/>
      <w:r w:rsidRPr="00D01828">
        <w:rPr>
          <w:rFonts w:ascii="Arial Narrow" w:hAnsi="Arial Narrow" w:cs="Arial"/>
          <w:b/>
          <w:bCs/>
          <w:color w:val="000000" w:themeColor="text1"/>
          <w:sz w:val="24"/>
          <w:szCs w:val="24"/>
        </w:rPr>
        <w:t>Kabadougou</w:t>
      </w:r>
      <w:proofErr w:type="spellEnd"/>
      <w:r w:rsidRPr="00D01828">
        <w:rPr>
          <w:rFonts w:ascii="Arial Narrow" w:hAnsi="Arial Narrow" w:cs="Arial"/>
          <w:b/>
          <w:bCs/>
          <w:color w:val="000000" w:themeColor="text1"/>
          <w:sz w:val="24"/>
          <w:szCs w:val="24"/>
        </w:rPr>
        <w:t xml:space="preserve">, le Cavally, le </w:t>
      </w:r>
      <w:proofErr w:type="spellStart"/>
      <w:r w:rsidRPr="00D01828">
        <w:rPr>
          <w:rFonts w:ascii="Arial Narrow" w:hAnsi="Arial Narrow" w:cs="Arial"/>
          <w:b/>
          <w:bCs/>
          <w:color w:val="000000" w:themeColor="text1"/>
          <w:sz w:val="24"/>
          <w:szCs w:val="24"/>
        </w:rPr>
        <w:t>Gbèke</w:t>
      </w:r>
      <w:proofErr w:type="spellEnd"/>
      <w:r w:rsidRPr="00D01828">
        <w:rPr>
          <w:rFonts w:ascii="Arial Narrow" w:hAnsi="Arial Narrow" w:cs="Arial"/>
          <w:b/>
          <w:bCs/>
          <w:color w:val="000000" w:themeColor="text1"/>
          <w:sz w:val="24"/>
          <w:szCs w:val="24"/>
        </w:rPr>
        <w:t xml:space="preserve"> et San Pedro.</w:t>
      </w:r>
      <w:r>
        <w:rPr>
          <w:rFonts w:ascii="Arial Narrow" w:hAnsi="Arial Narrow" w:cs="Arial"/>
          <w:color w:val="000000" w:themeColor="text1"/>
          <w:sz w:val="24"/>
          <w:szCs w:val="24"/>
        </w:rPr>
        <w:t xml:space="preserve"> </w:t>
      </w:r>
      <w:r w:rsidRPr="00D67F75">
        <w:rPr>
          <w:rFonts w:ascii="Arial Narrow" w:hAnsi="Arial Narrow" w:cs="Arial"/>
          <w:color w:val="000000" w:themeColor="text1"/>
          <w:sz w:val="24"/>
          <w:szCs w:val="24"/>
        </w:rPr>
        <w:t xml:space="preserve">Un processus de réhabilitation et d’équipements des COU régionaux est en cours. </w:t>
      </w:r>
    </w:p>
    <w:p w14:paraId="41EE2611" w14:textId="77777777" w:rsidR="0048049C" w:rsidRPr="00D67F75" w:rsidRDefault="0048049C" w:rsidP="0048049C">
      <w:pPr>
        <w:jc w:val="both"/>
        <w:rPr>
          <w:rFonts w:ascii="Arial Narrow" w:hAnsi="Arial Narrow" w:cs="Arial"/>
          <w:color w:val="000000" w:themeColor="text1"/>
          <w:sz w:val="24"/>
          <w:szCs w:val="24"/>
        </w:rPr>
      </w:pPr>
      <w:bookmarkStart w:id="90" w:name="_Hlk185318843"/>
      <w:r w:rsidRPr="00D67F75">
        <w:rPr>
          <w:rFonts w:ascii="Arial Narrow" w:hAnsi="Arial Narrow" w:cs="Arial"/>
          <w:color w:val="000000" w:themeColor="text1"/>
          <w:sz w:val="24"/>
          <w:szCs w:val="24"/>
        </w:rPr>
        <w:t>Concernant la prévention des urgences sanitaires</w:t>
      </w:r>
      <w:bookmarkEnd w:id="90"/>
      <w:r w:rsidRPr="00D67F75">
        <w:rPr>
          <w:rFonts w:ascii="Arial Narrow" w:hAnsi="Arial Narrow" w:cs="Arial"/>
          <w:color w:val="000000" w:themeColor="text1"/>
          <w:sz w:val="24"/>
          <w:szCs w:val="24"/>
        </w:rPr>
        <w:t xml:space="preserve">, la formation à la </w:t>
      </w:r>
      <w:r>
        <w:rPr>
          <w:rFonts w:ascii="Arial Narrow" w:hAnsi="Arial Narrow" w:cs="Arial"/>
          <w:color w:val="000000" w:themeColor="text1"/>
          <w:sz w:val="24"/>
          <w:szCs w:val="24"/>
        </w:rPr>
        <w:t>S</w:t>
      </w:r>
      <w:r w:rsidRPr="00D67F75">
        <w:rPr>
          <w:rFonts w:ascii="Arial Narrow" w:hAnsi="Arial Narrow" w:cs="Arial"/>
          <w:color w:val="000000" w:themeColor="text1"/>
          <w:sz w:val="24"/>
          <w:szCs w:val="24"/>
        </w:rPr>
        <w:t xml:space="preserve">urveillance Intégrée de la Maladie et de la Riposte (SIMR) constitue une stratégie essentielle dont la mise en œuvre est en progression.  </w:t>
      </w:r>
      <w:r w:rsidRPr="00D01828">
        <w:rPr>
          <w:rFonts w:ascii="Arial Narrow" w:hAnsi="Arial Narrow" w:cs="Arial"/>
          <w:b/>
          <w:bCs/>
          <w:color w:val="000000" w:themeColor="text1"/>
          <w:sz w:val="24"/>
          <w:szCs w:val="24"/>
        </w:rPr>
        <w:t xml:space="preserve">Les régions sanitaires formées sont : le </w:t>
      </w:r>
      <w:proofErr w:type="spellStart"/>
      <w:r w:rsidRPr="00D01828">
        <w:rPr>
          <w:rFonts w:ascii="Arial Narrow" w:hAnsi="Arial Narrow" w:cs="Arial"/>
          <w:b/>
          <w:bCs/>
          <w:color w:val="000000" w:themeColor="text1"/>
          <w:sz w:val="24"/>
          <w:szCs w:val="24"/>
        </w:rPr>
        <w:t>Gbèkè</w:t>
      </w:r>
      <w:proofErr w:type="spellEnd"/>
      <w:r w:rsidRPr="00D01828">
        <w:rPr>
          <w:rFonts w:ascii="Arial Narrow" w:hAnsi="Arial Narrow" w:cs="Arial"/>
          <w:b/>
          <w:bCs/>
          <w:color w:val="000000" w:themeColor="text1"/>
          <w:sz w:val="24"/>
          <w:szCs w:val="24"/>
        </w:rPr>
        <w:t xml:space="preserve"> (6), le Sud Comoé (4), le </w:t>
      </w:r>
      <w:proofErr w:type="spellStart"/>
      <w:r w:rsidRPr="00D01828">
        <w:rPr>
          <w:rFonts w:ascii="Arial Narrow" w:hAnsi="Arial Narrow" w:cs="Arial"/>
          <w:b/>
          <w:bCs/>
          <w:color w:val="000000" w:themeColor="text1"/>
          <w:sz w:val="24"/>
          <w:szCs w:val="24"/>
        </w:rPr>
        <w:t>Tonpki</w:t>
      </w:r>
      <w:proofErr w:type="spellEnd"/>
      <w:r w:rsidRPr="00D01828">
        <w:rPr>
          <w:rFonts w:ascii="Arial Narrow" w:hAnsi="Arial Narrow" w:cs="Arial"/>
          <w:b/>
          <w:bCs/>
          <w:color w:val="000000" w:themeColor="text1"/>
          <w:sz w:val="24"/>
          <w:szCs w:val="24"/>
        </w:rPr>
        <w:t xml:space="preserve"> (4), l’</w:t>
      </w:r>
      <w:proofErr w:type="spellStart"/>
      <w:r w:rsidRPr="00D01828">
        <w:rPr>
          <w:rFonts w:ascii="Arial Narrow" w:hAnsi="Arial Narrow" w:cs="Arial"/>
          <w:b/>
          <w:bCs/>
          <w:color w:val="000000" w:themeColor="text1"/>
          <w:sz w:val="24"/>
          <w:szCs w:val="24"/>
        </w:rPr>
        <w:t>Agnéby</w:t>
      </w:r>
      <w:proofErr w:type="spellEnd"/>
      <w:r w:rsidRPr="00D01828">
        <w:rPr>
          <w:rFonts w:ascii="Arial Narrow" w:hAnsi="Arial Narrow" w:cs="Arial"/>
          <w:b/>
          <w:bCs/>
          <w:color w:val="000000" w:themeColor="text1"/>
          <w:sz w:val="24"/>
          <w:szCs w:val="24"/>
        </w:rPr>
        <w:t xml:space="preserve"> </w:t>
      </w:r>
      <w:proofErr w:type="spellStart"/>
      <w:r w:rsidRPr="00D01828">
        <w:rPr>
          <w:rFonts w:ascii="Arial Narrow" w:hAnsi="Arial Narrow" w:cs="Arial"/>
          <w:b/>
          <w:bCs/>
          <w:color w:val="000000" w:themeColor="text1"/>
          <w:sz w:val="24"/>
          <w:szCs w:val="24"/>
        </w:rPr>
        <w:t>Tiassa</w:t>
      </w:r>
      <w:proofErr w:type="spellEnd"/>
      <w:r w:rsidRPr="00D01828">
        <w:rPr>
          <w:rFonts w:ascii="Arial Narrow" w:hAnsi="Arial Narrow" w:cs="Arial"/>
          <w:b/>
          <w:bCs/>
          <w:color w:val="000000" w:themeColor="text1"/>
          <w:sz w:val="24"/>
          <w:szCs w:val="24"/>
        </w:rPr>
        <w:t xml:space="preserve"> (3), de la Mé (4), de l’</w:t>
      </w:r>
      <w:proofErr w:type="spellStart"/>
      <w:r w:rsidRPr="00D01828">
        <w:rPr>
          <w:rFonts w:ascii="Arial Narrow" w:hAnsi="Arial Narrow" w:cs="Arial"/>
          <w:b/>
          <w:bCs/>
          <w:color w:val="000000" w:themeColor="text1"/>
          <w:sz w:val="24"/>
          <w:szCs w:val="24"/>
        </w:rPr>
        <w:t>Indénié</w:t>
      </w:r>
      <w:proofErr w:type="spellEnd"/>
      <w:r w:rsidRPr="00D01828">
        <w:rPr>
          <w:rFonts w:ascii="Arial Narrow" w:hAnsi="Arial Narrow" w:cs="Arial"/>
          <w:b/>
          <w:bCs/>
          <w:color w:val="000000" w:themeColor="text1"/>
          <w:sz w:val="24"/>
          <w:szCs w:val="24"/>
        </w:rPr>
        <w:t xml:space="preserve"> </w:t>
      </w:r>
      <w:proofErr w:type="spellStart"/>
      <w:r w:rsidRPr="00D01828">
        <w:rPr>
          <w:rFonts w:ascii="Arial Narrow" w:hAnsi="Arial Narrow" w:cs="Arial"/>
          <w:b/>
          <w:bCs/>
          <w:color w:val="000000" w:themeColor="text1"/>
          <w:sz w:val="24"/>
          <w:szCs w:val="24"/>
        </w:rPr>
        <w:t>Djaublin</w:t>
      </w:r>
      <w:proofErr w:type="spellEnd"/>
      <w:r w:rsidRPr="00D01828">
        <w:rPr>
          <w:rFonts w:ascii="Arial Narrow" w:hAnsi="Arial Narrow" w:cs="Arial"/>
          <w:b/>
          <w:bCs/>
          <w:color w:val="000000" w:themeColor="text1"/>
          <w:sz w:val="24"/>
          <w:szCs w:val="24"/>
        </w:rPr>
        <w:t xml:space="preserve"> (3), du </w:t>
      </w:r>
      <w:proofErr w:type="spellStart"/>
      <w:r w:rsidRPr="00D01828">
        <w:rPr>
          <w:rFonts w:ascii="Arial Narrow" w:hAnsi="Arial Narrow" w:cs="Arial"/>
          <w:b/>
          <w:bCs/>
          <w:color w:val="000000" w:themeColor="text1"/>
          <w:sz w:val="24"/>
          <w:szCs w:val="24"/>
        </w:rPr>
        <w:t>Boukani</w:t>
      </w:r>
      <w:proofErr w:type="spellEnd"/>
      <w:r w:rsidRPr="00D01828">
        <w:rPr>
          <w:rFonts w:ascii="Arial Narrow" w:hAnsi="Arial Narrow" w:cs="Arial"/>
          <w:b/>
          <w:bCs/>
          <w:color w:val="000000" w:themeColor="text1"/>
          <w:sz w:val="24"/>
          <w:szCs w:val="24"/>
        </w:rPr>
        <w:t xml:space="preserve"> (4), du </w:t>
      </w:r>
      <w:proofErr w:type="spellStart"/>
      <w:r w:rsidRPr="00D01828">
        <w:rPr>
          <w:rFonts w:ascii="Arial Narrow" w:hAnsi="Arial Narrow" w:cs="Arial"/>
          <w:b/>
          <w:bCs/>
          <w:color w:val="000000" w:themeColor="text1"/>
          <w:sz w:val="24"/>
          <w:szCs w:val="24"/>
        </w:rPr>
        <w:t>Gontougo</w:t>
      </w:r>
      <w:proofErr w:type="spellEnd"/>
      <w:r w:rsidRPr="00D01828">
        <w:rPr>
          <w:rFonts w:ascii="Arial Narrow" w:hAnsi="Arial Narrow" w:cs="Arial"/>
          <w:b/>
          <w:bCs/>
          <w:color w:val="000000" w:themeColor="text1"/>
          <w:sz w:val="24"/>
          <w:szCs w:val="24"/>
        </w:rPr>
        <w:t xml:space="preserve"> (5), du </w:t>
      </w:r>
      <w:proofErr w:type="spellStart"/>
      <w:r w:rsidRPr="00D01828">
        <w:rPr>
          <w:rFonts w:ascii="Arial Narrow" w:hAnsi="Arial Narrow" w:cs="Arial"/>
          <w:b/>
          <w:bCs/>
          <w:color w:val="000000" w:themeColor="text1"/>
          <w:sz w:val="24"/>
          <w:szCs w:val="24"/>
        </w:rPr>
        <w:t>Tchologo</w:t>
      </w:r>
      <w:proofErr w:type="spellEnd"/>
      <w:r w:rsidRPr="00D01828">
        <w:rPr>
          <w:rFonts w:ascii="Arial Narrow" w:hAnsi="Arial Narrow" w:cs="Arial"/>
          <w:b/>
          <w:bCs/>
          <w:color w:val="000000" w:themeColor="text1"/>
          <w:sz w:val="24"/>
          <w:szCs w:val="24"/>
        </w:rPr>
        <w:t xml:space="preserve"> (3) et du </w:t>
      </w:r>
      <w:proofErr w:type="spellStart"/>
      <w:r w:rsidRPr="00D01828">
        <w:rPr>
          <w:rFonts w:ascii="Arial Narrow" w:hAnsi="Arial Narrow" w:cs="Arial"/>
          <w:b/>
          <w:bCs/>
          <w:color w:val="000000" w:themeColor="text1"/>
          <w:sz w:val="24"/>
          <w:szCs w:val="24"/>
        </w:rPr>
        <w:t>Poro</w:t>
      </w:r>
      <w:proofErr w:type="spellEnd"/>
      <w:r w:rsidRPr="00D01828">
        <w:rPr>
          <w:rFonts w:ascii="Arial Narrow" w:hAnsi="Arial Narrow" w:cs="Arial"/>
          <w:b/>
          <w:bCs/>
          <w:color w:val="000000" w:themeColor="text1"/>
          <w:sz w:val="24"/>
          <w:szCs w:val="24"/>
        </w:rPr>
        <w:t xml:space="preserve"> (4).</w:t>
      </w:r>
      <w:r w:rsidRPr="00F663E5">
        <w:rPr>
          <w:rFonts w:ascii="Arial Narrow" w:hAnsi="Arial Narrow" w:cs="Arial"/>
          <w:color w:val="000000" w:themeColor="text1"/>
          <w:sz w:val="24"/>
          <w:szCs w:val="24"/>
        </w:rPr>
        <w:t xml:space="preserve"> </w:t>
      </w:r>
      <w:proofErr w:type="gramStart"/>
      <w:r w:rsidRPr="00F663E5">
        <w:rPr>
          <w:rFonts w:ascii="Arial Narrow" w:hAnsi="Arial Narrow" w:cs="Arial"/>
          <w:color w:val="000000" w:themeColor="text1"/>
          <w:sz w:val="24"/>
          <w:szCs w:val="24"/>
        </w:rPr>
        <w:t>soit</w:t>
      </w:r>
      <w:proofErr w:type="gramEnd"/>
      <w:r w:rsidRPr="00F663E5">
        <w:rPr>
          <w:rFonts w:ascii="Arial Narrow" w:hAnsi="Arial Narrow" w:cs="Arial"/>
          <w:color w:val="000000" w:themeColor="text1"/>
          <w:sz w:val="24"/>
          <w:szCs w:val="24"/>
        </w:rPr>
        <w:t xml:space="preserve"> 10/33 régions sanitaires</w:t>
      </w:r>
      <w:r>
        <w:rPr>
          <w:rFonts w:ascii="Arial Narrow" w:hAnsi="Arial Narrow" w:cs="Arial"/>
          <w:color w:val="000000" w:themeColor="text1"/>
          <w:sz w:val="24"/>
          <w:szCs w:val="24"/>
        </w:rPr>
        <w:t xml:space="preserve"> formées ou </w:t>
      </w:r>
      <w:r w:rsidRPr="00F663E5">
        <w:rPr>
          <w:rFonts w:ascii="Arial Narrow" w:hAnsi="Arial Narrow" w:cs="Arial"/>
          <w:color w:val="000000" w:themeColor="text1"/>
          <w:sz w:val="24"/>
          <w:szCs w:val="24"/>
        </w:rPr>
        <w:t>(40/113)</w:t>
      </w:r>
      <w:r>
        <w:rPr>
          <w:rFonts w:ascii="Arial Narrow" w:hAnsi="Arial Narrow" w:cs="Arial"/>
          <w:color w:val="000000" w:themeColor="text1"/>
          <w:sz w:val="24"/>
          <w:szCs w:val="24"/>
        </w:rPr>
        <w:t xml:space="preserve"> districts sanitaires formés</w:t>
      </w:r>
      <w:r w:rsidRPr="00F663E5">
        <w:rPr>
          <w:rFonts w:ascii="Arial Narrow" w:hAnsi="Arial Narrow" w:cs="Arial"/>
          <w:color w:val="000000" w:themeColor="text1"/>
          <w:sz w:val="24"/>
          <w:szCs w:val="24"/>
        </w:rPr>
        <w:t>.</w:t>
      </w:r>
      <w:r>
        <w:rPr>
          <w:rFonts w:ascii="Arial Narrow" w:hAnsi="Arial Narrow" w:cs="Arial"/>
          <w:color w:val="000000" w:themeColor="text1"/>
          <w:sz w:val="24"/>
          <w:szCs w:val="24"/>
        </w:rPr>
        <w:t xml:space="preserve"> </w:t>
      </w:r>
      <w:r w:rsidRPr="00D67F75">
        <w:rPr>
          <w:rFonts w:ascii="Arial Narrow" w:hAnsi="Arial Narrow" w:cs="Arial"/>
          <w:color w:val="000000" w:themeColor="text1"/>
          <w:sz w:val="24"/>
          <w:szCs w:val="24"/>
        </w:rPr>
        <w:t xml:space="preserve">Ainsi, le taux </w:t>
      </w:r>
      <w:r w:rsidRPr="00D67F75">
        <w:rPr>
          <w:rFonts w:ascii="Arial Narrow" w:hAnsi="Arial Narrow" w:cs="Arial"/>
          <w:color w:val="000000" w:themeColor="text1"/>
          <w:sz w:val="24"/>
          <w:szCs w:val="24"/>
        </w:rPr>
        <w:lastRenderedPageBreak/>
        <w:t xml:space="preserve">de couverture des Districts Sanitaires formés est passé de 11% en 2022 à </w:t>
      </w:r>
      <w:r>
        <w:rPr>
          <w:rFonts w:ascii="Arial Narrow" w:hAnsi="Arial Narrow" w:cs="Arial"/>
          <w:color w:val="000000" w:themeColor="text1"/>
          <w:sz w:val="24"/>
          <w:szCs w:val="24"/>
        </w:rPr>
        <w:t>35,4</w:t>
      </w:r>
      <w:r w:rsidRPr="00D67F75">
        <w:rPr>
          <w:rFonts w:ascii="Arial Narrow" w:hAnsi="Arial Narrow" w:cs="Arial"/>
          <w:color w:val="000000" w:themeColor="text1"/>
          <w:sz w:val="24"/>
          <w:szCs w:val="24"/>
        </w:rPr>
        <w:t>% en 2023 avec 1250 prestataires formés dans 40 districts sanitaires.</w:t>
      </w:r>
    </w:p>
    <w:p w14:paraId="68373E5A" w14:textId="77777777" w:rsidR="0048049C" w:rsidRPr="00D67F75" w:rsidRDefault="0048049C" w:rsidP="0048049C">
      <w:pPr>
        <w:jc w:val="both"/>
        <w:rPr>
          <w:rFonts w:ascii="Arial Narrow" w:hAnsi="Arial Narrow" w:cs="Arial"/>
          <w:color w:val="000000" w:themeColor="text1"/>
          <w:sz w:val="24"/>
          <w:szCs w:val="24"/>
        </w:rPr>
      </w:pPr>
      <w:r w:rsidRPr="00D67F75">
        <w:rPr>
          <w:rFonts w:ascii="Arial Narrow" w:hAnsi="Arial Narrow" w:cs="Arial"/>
          <w:color w:val="000000" w:themeColor="text1"/>
          <w:sz w:val="24"/>
          <w:szCs w:val="24"/>
        </w:rPr>
        <w:t xml:space="preserve">Par ailleurs le </w:t>
      </w:r>
      <w:r>
        <w:rPr>
          <w:rFonts w:ascii="Arial Narrow" w:hAnsi="Arial Narrow" w:cs="Arial"/>
          <w:color w:val="000000" w:themeColor="text1"/>
          <w:sz w:val="24"/>
          <w:szCs w:val="24"/>
        </w:rPr>
        <w:t>P</w:t>
      </w:r>
      <w:r w:rsidRPr="00D67F75">
        <w:rPr>
          <w:rFonts w:ascii="Arial Narrow" w:hAnsi="Arial Narrow" w:cs="Arial"/>
          <w:color w:val="000000" w:themeColor="text1"/>
          <w:sz w:val="24"/>
          <w:szCs w:val="24"/>
        </w:rPr>
        <w:t xml:space="preserve">rogramme de </w:t>
      </w:r>
      <w:r>
        <w:rPr>
          <w:rFonts w:ascii="Arial Narrow" w:hAnsi="Arial Narrow" w:cs="Arial"/>
          <w:color w:val="000000" w:themeColor="text1"/>
          <w:sz w:val="24"/>
          <w:szCs w:val="24"/>
        </w:rPr>
        <w:t>F</w:t>
      </w:r>
      <w:r w:rsidRPr="00D67F75">
        <w:rPr>
          <w:rFonts w:ascii="Arial Narrow" w:hAnsi="Arial Narrow" w:cs="Arial"/>
          <w:color w:val="000000" w:themeColor="text1"/>
          <w:sz w:val="24"/>
          <w:szCs w:val="24"/>
        </w:rPr>
        <w:t xml:space="preserve">ormation en </w:t>
      </w:r>
      <w:r>
        <w:rPr>
          <w:rFonts w:ascii="Arial Narrow" w:hAnsi="Arial Narrow" w:cs="Arial"/>
          <w:color w:val="000000" w:themeColor="text1"/>
          <w:sz w:val="24"/>
          <w:szCs w:val="24"/>
        </w:rPr>
        <w:t>E</w:t>
      </w:r>
      <w:r w:rsidRPr="00D67F75">
        <w:rPr>
          <w:rFonts w:ascii="Arial Narrow" w:hAnsi="Arial Narrow" w:cs="Arial"/>
          <w:color w:val="000000" w:themeColor="text1"/>
          <w:sz w:val="24"/>
          <w:szCs w:val="24"/>
        </w:rPr>
        <w:t xml:space="preserve">pidémiologie de </w:t>
      </w:r>
      <w:r>
        <w:rPr>
          <w:rFonts w:ascii="Arial Narrow" w:hAnsi="Arial Narrow" w:cs="Arial"/>
          <w:color w:val="000000" w:themeColor="text1"/>
          <w:sz w:val="24"/>
          <w:szCs w:val="24"/>
        </w:rPr>
        <w:t>T</w:t>
      </w:r>
      <w:r w:rsidRPr="00D67F75">
        <w:rPr>
          <w:rFonts w:ascii="Arial Narrow" w:hAnsi="Arial Narrow" w:cs="Arial"/>
          <w:color w:val="000000" w:themeColor="text1"/>
          <w:sz w:val="24"/>
          <w:szCs w:val="24"/>
        </w:rPr>
        <w:t xml:space="preserve">errain </w:t>
      </w:r>
      <w:r>
        <w:rPr>
          <w:rFonts w:ascii="Arial Narrow" w:hAnsi="Arial Narrow" w:cs="Arial"/>
          <w:color w:val="000000" w:themeColor="text1"/>
          <w:sz w:val="24"/>
          <w:szCs w:val="24"/>
        </w:rPr>
        <w:t>(</w:t>
      </w:r>
      <w:r w:rsidRPr="00D67F75">
        <w:rPr>
          <w:rFonts w:ascii="Arial Narrow" w:hAnsi="Arial Narrow" w:cs="Arial"/>
          <w:color w:val="000000" w:themeColor="text1"/>
          <w:sz w:val="24"/>
          <w:szCs w:val="24"/>
        </w:rPr>
        <w:t>FETP</w:t>
      </w:r>
      <w:r>
        <w:rPr>
          <w:rFonts w:ascii="Arial Narrow" w:hAnsi="Arial Narrow" w:cs="Arial"/>
          <w:color w:val="000000" w:themeColor="text1"/>
          <w:sz w:val="24"/>
          <w:szCs w:val="24"/>
        </w:rPr>
        <w:t>)</w:t>
      </w:r>
      <w:r w:rsidRPr="00D67F75">
        <w:rPr>
          <w:rFonts w:ascii="Arial Narrow" w:hAnsi="Arial Narrow" w:cs="Arial"/>
          <w:color w:val="000000" w:themeColor="text1"/>
          <w:sz w:val="24"/>
          <w:szCs w:val="24"/>
        </w:rPr>
        <w:t xml:space="preserve"> réalisé pour le niveau </w:t>
      </w:r>
      <w:proofErr w:type="spellStart"/>
      <w:r w:rsidRPr="00D67F75">
        <w:rPr>
          <w:rFonts w:ascii="Arial Narrow" w:hAnsi="Arial Narrow" w:cs="Arial"/>
          <w:color w:val="000000" w:themeColor="text1"/>
          <w:sz w:val="24"/>
          <w:szCs w:val="24"/>
        </w:rPr>
        <w:t>Frontline</w:t>
      </w:r>
      <w:proofErr w:type="spellEnd"/>
      <w:r w:rsidRPr="00D67F75">
        <w:rPr>
          <w:rFonts w:ascii="Arial Narrow" w:hAnsi="Arial Narrow" w:cs="Arial"/>
          <w:color w:val="000000" w:themeColor="text1"/>
          <w:sz w:val="24"/>
          <w:szCs w:val="24"/>
        </w:rPr>
        <w:t xml:space="preserve"> sur la période 2016- 2020, a redémarré en 2021 avec le niveau </w:t>
      </w:r>
      <w:proofErr w:type="spellStart"/>
      <w:r w:rsidRPr="00D67F75">
        <w:rPr>
          <w:rFonts w:ascii="Arial Narrow" w:hAnsi="Arial Narrow" w:cs="Arial"/>
          <w:color w:val="000000" w:themeColor="text1"/>
          <w:sz w:val="24"/>
          <w:szCs w:val="24"/>
        </w:rPr>
        <w:t>Frontline</w:t>
      </w:r>
      <w:proofErr w:type="spellEnd"/>
      <w:r>
        <w:rPr>
          <w:rFonts w:ascii="Arial Narrow" w:hAnsi="Arial Narrow" w:cs="Arial"/>
          <w:color w:val="000000" w:themeColor="text1"/>
          <w:sz w:val="24"/>
          <w:szCs w:val="24"/>
        </w:rPr>
        <w:t xml:space="preserve"> dont la durée de formation est de 3 mois</w:t>
      </w:r>
      <w:r w:rsidRPr="00D67F75">
        <w:rPr>
          <w:rFonts w:ascii="Arial Narrow" w:hAnsi="Arial Narrow" w:cs="Arial"/>
          <w:color w:val="000000" w:themeColor="text1"/>
          <w:sz w:val="24"/>
          <w:szCs w:val="24"/>
        </w:rPr>
        <w:t xml:space="preserve"> et le volet intermédiaire</w:t>
      </w:r>
      <w:r>
        <w:rPr>
          <w:rFonts w:ascii="Arial Narrow" w:hAnsi="Arial Narrow" w:cs="Arial"/>
          <w:color w:val="000000" w:themeColor="text1"/>
          <w:sz w:val="24"/>
          <w:szCs w:val="24"/>
        </w:rPr>
        <w:t xml:space="preserve"> avec une durée de 9 mois</w:t>
      </w:r>
      <w:r w:rsidRPr="00D67F75">
        <w:rPr>
          <w:rFonts w:ascii="Arial Narrow" w:hAnsi="Arial Narrow" w:cs="Arial"/>
          <w:color w:val="000000" w:themeColor="text1"/>
          <w:sz w:val="24"/>
          <w:szCs w:val="24"/>
        </w:rPr>
        <w:t xml:space="preserve">. </w:t>
      </w:r>
      <w:r w:rsidRPr="00D01828">
        <w:rPr>
          <w:rFonts w:ascii="Arial Narrow" w:hAnsi="Arial Narrow" w:cs="Arial"/>
          <w:b/>
          <w:bCs/>
          <w:color w:val="000000" w:themeColor="text1"/>
          <w:sz w:val="24"/>
          <w:szCs w:val="24"/>
        </w:rPr>
        <w:t xml:space="preserve">Jusqu’en 2023, le pays compte 481 certifiés FETP </w:t>
      </w:r>
      <w:proofErr w:type="spellStart"/>
      <w:r w:rsidRPr="00D01828">
        <w:rPr>
          <w:rFonts w:ascii="Arial Narrow" w:hAnsi="Arial Narrow" w:cs="Arial"/>
          <w:b/>
          <w:bCs/>
          <w:color w:val="000000" w:themeColor="text1"/>
          <w:sz w:val="24"/>
          <w:szCs w:val="24"/>
        </w:rPr>
        <w:t>Frontline</w:t>
      </w:r>
      <w:proofErr w:type="spellEnd"/>
      <w:r w:rsidRPr="00D01828">
        <w:rPr>
          <w:rFonts w:ascii="Arial Narrow" w:hAnsi="Arial Narrow" w:cs="Arial"/>
          <w:b/>
          <w:bCs/>
          <w:color w:val="000000" w:themeColor="text1"/>
          <w:sz w:val="24"/>
          <w:szCs w:val="24"/>
        </w:rPr>
        <w:t xml:space="preserve"> et 29 FETP Intermédiaires.</w:t>
      </w:r>
      <w:r w:rsidRPr="00D67F75">
        <w:rPr>
          <w:rFonts w:ascii="Arial Narrow" w:hAnsi="Arial Narrow" w:cs="Arial"/>
          <w:color w:val="000000" w:themeColor="text1"/>
          <w:sz w:val="24"/>
          <w:szCs w:val="24"/>
        </w:rPr>
        <w:t xml:space="preserve"> Ces FETP certifiés sont issus des secteurs de la santé humaine, animale et environnementale et sont r</w:t>
      </w:r>
      <w:r>
        <w:rPr>
          <w:rFonts w:ascii="Arial Narrow" w:hAnsi="Arial Narrow" w:cs="Arial"/>
          <w:color w:val="000000" w:themeColor="text1"/>
          <w:sz w:val="24"/>
          <w:szCs w:val="24"/>
        </w:rPr>
        <w:t>é</w:t>
      </w:r>
      <w:r w:rsidRPr="00D67F75">
        <w:rPr>
          <w:rFonts w:ascii="Arial Narrow" w:hAnsi="Arial Narrow" w:cs="Arial"/>
          <w:color w:val="000000" w:themeColor="text1"/>
          <w:sz w:val="24"/>
          <w:szCs w:val="24"/>
        </w:rPr>
        <w:t xml:space="preserve">partis dans l’ensemble des districts sanitaires. </w:t>
      </w:r>
      <w:r>
        <w:rPr>
          <w:rFonts w:ascii="Arial Narrow" w:hAnsi="Arial Narrow" w:cs="Arial"/>
          <w:color w:val="000000" w:themeColor="text1"/>
          <w:sz w:val="24"/>
          <w:szCs w:val="24"/>
        </w:rPr>
        <w:t>Il</w:t>
      </w:r>
      <w:r w:rsidRPr="00D67F75">
        <w:rPr>
          <w:rFonts w:ascii="Arial Narrow" w:hAnsi="Arial Narrow" w:cs="Arial"/>
          <w:color w:val="000000" w:themeColor="text1"/>
          <w:sz w:val="24"/>
          <w:szCs w:val="24"/>
        </w:rPr>
        <w:t>s jouent un rôle essentiel dans l</w:t>
      </w:r>
      <w:r>
        <w:rPr>
          <w:rFonts w:ascii="Arial Narrow" w:hAnsi="Arial Narrow" w:cs="Arial"/>
          <w:color w:val="000000" w:themeColor="text1"/>
          <w:sz w:val="24"/>
          <w:szCs w:val="24"/>
        </w:rPr>
        <w:t>’</w:t>
      </w:r>
      <w:r w:rsidRPr="00D67F75">
        <w:rPr>
          <w:rFonts w:ascii="Arial Narrow" w:hAnsi="Arial Narrow" w:cs="Arial"/>
          <w:color w:val="000000" w:themeColor="text1"/>
          <w:sz w:val="24"/>
          <w:szCs w:val="24"/>
        </w:rPr>
        <w:t>investigations</w:t>
      </w:r>
      <w:r>
        <w:rPr>
          <w:rFonts w:ascii="Arial Narrow" w:hAnsi="Arial Narrow" w:cs="Arial"/>
          <w:color w:val="000000" w:themeColor="text1"/>
          <w:sz w:val="24"/>
          <w:szCs w:val="24"/>
        </w:rPr>
        <w:t xml:space="preserve"> des risques et des alertes, </w:t>
      </w:r>
      <w:r w:rsidRPr="00D67F75">
        <w:rPr>
          <w:rFonts w:ascii="Arial Narrow" w:hAnsi="Arial Narrow" w:cs="Arial"/>
          <w:color w:val="000000" w:themeColor="text1"/>
          <w:sz w:val="24"/>
          <w:szCs w:val="24"/>
        </w:rPr>
        <w:t>la gestion des données de surveillance épidémiologique et dans l</w:t>
      </w:r>
      <w:r>
        <w:rPr>
          <w:rFonts w:ascii="Arial Narrow" w:hAnsi="Arial Narrow" w:cs="Arial"/>
          <w:color w:val="000000" w:themeColor="text1"/>
          <w:sz w:val="24"/>
          <w:szCs w:val="24"/>
        </w:rPr>
        <w:t>es activités de</w:t>
      </w:r>
      <w:r w:rsidRPr="00D67F75">
        <w:rPr>
          <w:rFonts w:ascii="Arial Narrow" w:hAnsi="Arial Narrow" w:cs="Arial"/>
          <w:color w:val="000000" w:themeColor="text1"/>
          <w:sz w:val="24"/>
          <w:szCs w:val="24"/>
        </w:rPr>
        <w:t xml:space="preserve"> riposte.</w:t>
      </w:r>
    </w:p>
    <w:p w14:paraId="2A5FFD48" w14:textId="77777777" w:rsidR="0048049C" w:rsidRPr="00D67F75" w:rsidRDefault="0048049C" w:rsidP="0048049C">
      <w:pPr>
        <w:jc w:val="both"/>
        <w:rPr>
          <w:rFonts w:ascii="Arial Narrow" w:eastAsia="Times New Roman" w:hAnsi="Arial Narrow" w:cs="Helvetica"/>
          <w:color w:val="000000" w:themeColor="text1"/>
          <w:kern w:val="0"/>
          <w:sz w:val="24"/>
          <w:szCs w:val="24"/>
          <w:lang w:eastAsia="fr-FR"/>
          <w14:ligatures w14:val="none"/>
        </w:rPr>
      </w:pPr>
      <w:r w:rsidRPr="00D67F75">
        <w:rPr>
          <w:rFonts w:ascii="Arial Narrow" w:hAnsi="Arial Narrow" w:cs="Arial"/>
          <w:color w:val="000000" w:themeColor="text1"/>
          <w:sz w:val="24"/>
          <w:szCs w:val="24"/>
        </w:rPr>
        <w:t xml:space="preserve">Par ailleurs, sur la période, le pays a fait face à </w:t>
      </w:r>
      <w:r>
        <w:rPr>
          <w:rFonts w:ascii="Arial Narrow" w:hAnsi="Arial Narrow" w:cs="Arial"/>
          <w:color w:val="000000" w:themeColor="text1"/>
          <w:sz w:val="24"/>
          <w:szCs w:val="24"/>
        </w:rPr>
        <w:t>plusieurs</w:t>
      </w:r>
      <w:r w:rsidRPr="00D67F75">
        <w:rPr>
          <w:rFonts w:ascii="Arial Narrow" w:hAnsi="Arial Narrow" w:cs="Arial"/>
          <w:color w:val="000000" w:themeColor="text1"/>
          <w:sz w:val="24"/>
          <w:szCs w:val="24"/>
        </w:rPr>
        <w:t xml:space="preserve"> urgences de santé publique</w:t>
      </w:r>
      <w:r>
        <w:rPr>
          <w:rFonts w:ascii="Arial Narrow" w:hAnsi="Arial Narrow" w:cs="Arial"/>
          <w:color w:val="000000" w:themeColor="text1"/>
          <w:sz w:val="24"/>
          <w:szCs w:val="24"/>
        </w:rPr>
        <w:t xml:space="preserve"> dont</w:t>
      </w:r>
      <w:r w:rsidRPr="00D67F75">
        <w:rPr>
          <w:rFonts w:ascii="Arial Narrow" w:hAnsi="Arial Narrow" w:cs="Arial"/>
          <w:color w:val="000000" w:themeColor="text1"/>
          <w:sz w:val="24"/>
          <w:szCs w:val="24"/>
        </w:rPr>
        <w:t xml:space="preserve"> la c</w:t>
      </w:r>
      <w:r w:rsidRPr="00D67F75">
        <w:rPr>
          <w:rFonts w:ascii="Arial Narrow" w:eastAsia="Times New Roman" w:hAnsi="Arial Narrow" w:cs="Helvetica"/>
          <w:color w:val="000000" w:themeColor="text1"/>
          <w:kern w:val="0"/>
          <w:sz w:val="24"/>
          <w:szCs w:val="24"/>
          <w:lang w:eastAsia="fr-FR"/>
          <w14:ligatures w14:val="none"/>
        </w:rPr>
        <w:t xml:space="preserve">ovid-19, les épidémies de dengue, </w:t>
      </w:r>
      <w:r>
        <w:rPr>
          <w:rFonts w:ascii="Arial Narrow" w:eastAsia="Times New Roman" w:hAnsi="Arial Narrow" w:cs="Helvetica"/>
          <w:color w:val="000000" w:themeColor="text1"/>
          <w:kern w:val="0"/>
          <w:sz w:val="24"/>
          <w:szCs w:val="24"/>
          <w:lang w:eastAsia="fr-FR"/>
          <w14:ligatures w14:val="none"/>
        </w:rPr>
        <w:t>de rougeole, l</w:t>
      </w:r>
      <w:r w:rsidRPr="00D67F75">
        <w:rPr>
          <w:rFonts w:ascii="Arial Narrow" w:eastAsia="Times New Roman" w:hAnsi="Arial Narrow" w:cs="Helvetica"/>
          <w:color w:val="000000" w:themeColor="text1"/>
          <w:kern w:val="0"/>
          <w:sz w:val="24"/>
          <w:szCs w:val="24"/>
          <w:lang w:eastAsia="fr-FR"/>
          <w14:ligatures w14:val="none"/>
        </w:rPr>
        <w:t>es</w:t>
      </w:r>
      <w:r>
        <w:rPr>
          <w:rFonts w:ascii="Arial Narrow" w:eastAsia="Times New Roman" w:hAnsi="Arial Narrow" w:cs="Helvetica"/>
          <w:color w:val="000000" w:themeColor="text1"/>
          <w:kern w:val="0"/>
          <w:sz w:val="24"/>
          <w:szCs w:val="24"/>
          <w:lang w:eastAsia="fr-FR"/>
          <w14:ligatures w14:val="none"/>
        </w:rPr>
        <w:t xml:space="preserve"> épisodes de</w:t>
      </w:r>
      <w:r w:rsidRPr="00D67F75">
        <w:rPr>
          <w:rFonts w:ascii="Arial Narrow" w:eastAsia="Times New Roman" w:hAnsi="Arial Narrow" w:cs="Helvetica"/>
          <w:color w:val="000000" w:themeColor="text1"/>
          <w:kern w:val="0"/>
          <w:sz w:val="24"/>
          <w:szCs w:val="24"/>
          <w:lang w:eastAsia="fr-FR"/>
          <w14:ligatures w14:val="none"/>
        </w:rPr>
        <w:t xml:space="preserve"> </w:t>
      </w:r>
      <w:proofErr w:type="spellStart"/>
      <w:r w:rsidRPr="00D67F75">
        <w:rPr>
          <w:rFonts w:ascii="Arial Narrow" w:eastAsia="Times New Roman" w:hAnsi="Arial Narrow" w:cs="Helvetica"/>
          <w:color w:val="000000" w:themeColor="text1"/>
          <w:kern w:val="0"/>
          <w:sz w:val="24"/>
          <w:szCs w:val="24"/>
          <w:lang w:eastAsia="fr-FR"/>
          <w14:ligatures w14:val="none"/>
        </w:rPr>
        <w:t>toxi</w:t>
      </w:r>
      <w:proofErr w:type="spellEnd"/>
      <w:r w:rsidRPr="00D67F75">
        <w:rPr>
          <w:rFonts w:ascii="Arial Narrow" w:eastAsia="Times New Roman" w:hAnsi="Arial Narrow" w:cs="Helvetica"/>
          <w:color w:val="000000" w:themeColor="text1"/>
          <w:kern w:val="0"/>
          <w:sz w:val="24"/>
          <w:szCs w:val="24"/>
          <w:lang w:eastAsia="fr-FR"/>
          <w14:ligatures w14:val="none"/>
        </w:rPr>
        <w:t xml:space="preserve"> infections alimentaires et les conséquences sanitaires des inondations.</w:t>
      </w:r>
    </w:p>
    <w:p w14:paraId="3F846CED" w14:textId="77777777" w:rsidR="0048049C" w:rsidRPr="00D67F75" w:rsidRDefault="0048049C" w:rsidP="0048049C">
      <w:pPr>
        <w:jc w:val="both"/>
        <w:rPr>
          <w:noProof/>
          <w:color w:val="000000" w:themeColor="text1"/>
          <w14:ligatures w14:val="none"/>
        </w:rPr>
      </w:pPr>
    </w:p>
    <w:p w14:paraId="56539BA9" w14:textId="77777777" w:rsidR="0048049C" w:rsidRPr="00D67F75" w:rsidRDefault="0048049C" w:rsidP="0048049C">
      <w:pPr>
        <w:jc w:val="both"/>
        <w:rPr>
          <w:rFonts w:ascii="Arial Narrow" w:eastAsia="Times New Roman" w:hAnsi="Arial Narrow" w:cs="Helvetica"/>
          <w:color w:val="000000" w:themeColor="text1"/>
          <w:kern w:val="0"/>
          <w:sz w:val="24"/>
          <w:szCs w:val="24"/>
          <w:lang w:eastAsia="fr-FR"/>
          <w14:ligatures w14:val="none"/>
        </w:rPr>
      </w:pPr>
      <w:r w:rsidRPr="00D67F75">
        <w:rPr>
          <w:rFonts w:ascii="Arial Narrow" w:eastAsia="Times New Roman" w:hAnsi="Arial Narrow" w:cs="Helvetica"/>
          <w:noProof/>
          <w:color w:val="000000" w:themeColor="text1"/>
          <w:kern w:val="0"/>
          <w:sz w:val="24"/>
          <w:szCs w:val="24"/>
          <w:lang w:eastAsia="fr-FR"/>
          <w14:ligatures w14:val="none"/>
        </w:rPr>
        <w:drawing>
          <wp:inline distT="0" distB="0" distL="0" distR="0" wp14:anchorId="4F9D543C" wp14:editId="61B56753">
            <wp:extent cx="5888736" cy="2828773"/>
            <wp:effectExtent l="0" t="0" r="0" b="0"/>
            <wp:docPr id="5842081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208157" name=""/>
                    <pic:cNvPicPr/>
                  </pic:nvPicPr>
                  <pic:blipFill>
                    <a:blip r:embed="rId81"/>
                    <a:stretch>
                      <a:fillRect/>
                    </a:stretch>
                  </pic:blipFill>
                  <pic:spPr>
                    <a:xfrm>
                      <a:off x="0" y="0"/>
                      <a:ext cx="5924061" cy="2845742"/>
                    </a:xfrm>
                    <a:prstGeom prst="rect">
                      <a:avLst/>
                    </a:prstGeom>
                  </pic:spPr>
                </pic:pic>
              </a:graphicData>
            </a:graphic>
          </wp:inline>
        </w:drawing>
      </w:r>
    </w:p>
    <w:p w14:paraId="60877AE2" w14:textId="77777777" w:rsidR="0048049C" w:rsidRPr="00D67F75" w:rsidRDefault="0048049C" w:rsidP="0048049C">
      <w:pPr>
        <w:jc w:val="both"/>
        <w:rPr>
          <w:rFonts w:ascii="Arial Narrow" w:eastAsia="Times New Roman" w:hAnsi="Arial Narrow" w:cs="Helvetica"/>
          <w:color w:val="000000" w:themeColor="text1"/>
          <w:kern w:val="0"/>
          <w:sz w:val="24"/>
          <w:szCs w:val="24"/>
          <w:lang w:eastAsia="fr-FR"/>
          <w14:ligatures w14:val="none"/>
        </w:rPr>
      </w:pPr>
      <w:r w:rsidRPr="00D67F75">
        <w:rPr>
          <w:rFonts w:ascii="Arial Narrow" w:eastAsia="Times New Roman" w:hAnsi="Arial Narrow" w:cs="Helvetica"/>
          <w:color w:val="000000" w:themeColor="text1"/>
          <w:kern w:val="0"/>
          <w:sz w:val="24"/>
          <w:szCs w:val="24"/>
          <w:u w:val="single"/>
          <w:lang w:eastAsia="fr-FR"/>
          <w14:ligatures w14:val="none"/>
        </w:rPr>
        <w:t>Figure </w:t>
      </w:r>
      <w:r w:rsidRPr="00D67F75">
        <w:rPr>
          <w:rFonts w:ascii="Arial Narrow" w:eastAsia="Times New Roman" w:hAnsi="Arial Narrow" w:cs="Helvetica"/>
          <w:color w:val="000000" w:themeColor="text1"/>
          <w:kern w:val="0"/>
          <w:sz w:val="24"/>
          <w:szCs w:val="24"/>
          <w:lang w:eastAsia="fr-FR"/>
          <w14:ligatures w14:val="none"/>
        </w:rPr>
        <w:t xml:space="preserve">: calendrier des </w:t>
      </w:r>
      <w:r>
        <w:rPr>
          <w:rFonts w:ascii="Arial Narrow" w:eastAsia="Times New Roman" w:hAnsi="Arial Narrow" w:cs="Helvetica"/>
          <w:color w:val="000000" w:themeColor="text1"/>
          <w:kern w:val="0"/>
          <w:sz w:val="24"/>
          <w:szCs w:val="24"/>
          <w:lang w:eastAsia="fr-FR"/>
          <w14:ligatures w14:val="none"/>
        </w:rPr>
        <w:t xml:space="preserve">maladies à potentiel </w:t>
      </w:r>
      <w:r w:rsidRPr="00D67F75">
        <w:rPr>
          <w:rFonts w:ascii="Arial Narrow" w:eastAsia="Times New Roman" w:hAnsi="Arial Narrow" w:cs="Helvetica"/>
          <w:color w:val="000000" w:themeColor="text1"/>
          <w:kern w:val="0"/>
          <w:sz w:val="24"/>
          <w:szCs w:val="24"/>
          <w:lang w:eastAsia="fr-FR"/>
          <w14:ligatures w14:val="none"/>
        </w:rPr>
        <w:t>épidémi</w:t>
      </w:r>
      <w:r>
        <w:rPr>
          <w:rFonts w:ascii="Arial Narrow" w:eastAsia="Times New Roman" w:hAnsi="Arial Narrow" w:cs="Helvetica"/>
          <w:color w:val="000000" w:themeColor="text1"/>
          <w:kern w:val="0"/>
          <w:sz w:val="24"/>
          <w:szCs w:val="24"/>
          <w:lang w:eastAsia="fr-FR"/>
          <w14:ligatures w14:val="none"/>
        </w:rPr>
        <w:t>qu</w:t>
      </w:r>
      <w:r w:rsidRPr="00D67F75">
        <w:rPr>
          <w:rFonts w:ascii="Arial Narrow" w:eastAsia="Times New Roman" w:hAnsi="Arial Narrow" w:cs="Helvetica"/>
          <w:color w:val="000000" w:themeColor="text1"/>
          <w:kern w:val="0"/>
          <w:sz w:val="24"/>
          <w:szCs w:val="24"/>
          <w:lang w:eastAsia="fr-FR"/>
          <w14:ligatures w14:val="none"/>
        </w:rPr>
        <w:t>es</w:t>
      </w:r>
      <w:r>
        <w:rPr>
          <w:rFonts w:ascii="Arial Narrow" w:eastAsia="Times New Roman" w:hAnsi="Arial Narrow" w:cs="Helvetica"/>
          <w:color w:val="000000" w:themeColor="text1"/>
          <w:kern w:val="0"/>
          <w:sz w:val="24"/>
          <w:szCs w:val="24"/>
          <w:lang w:eastAsia="fr-FR"/>
          <w14:ligatures w14:val="none"/>
        </w:rPr>
        <w:t xml:space="preserve"> survenue dans le pays</w:t>
      </w:r>
      <w:r w:rsidRPr="00D67F75">
        <w:rPr>
          <w:rFonts w:ascii="Arial Narrow" w:eastAsia="Times New Roman" w:hAnsi="Arial Narrow" w:cs="Helvetica"/>
          <w:color w:val="000000" w:themeColor="text1"/>
          <w:kern w:val="0"/>
          <w:sz w:val="24"/>
          <w:szCs w:val="24"/>
          <w:lang w:eastAsia="fr-FR"/>
          <w14:ligatures w14:val="none"/>
        </w:rPr>
        <w:t xml:space="preserve"> de 2021 à 2023</w:t>
      </w:r>
    </w:p>
    <w:p w14:paraId="48821DCC" w14:textId="77777777" w:rsidR="0048049C" w:rsidRPr="00D67F75" w:rsidRDefault="0048049C" w:rsidP="0048049C">
      <w:pPr>
        <w:jc w:val="both"/>
        <w:rPr>
          <w:rFonts w:ascii="Arial Narrow" w:hAnsi="Arial Narrow" w:cs="Arial"/>
          <w:color w:val="000000" w:themeColor="text1"/>
          <w:sz w:val="24"/>
          <w:szCs w:val="24"/>
        </w:rPr>
      </w:pPr>
      <w:r w:rsidRPr="00D67F75">
        <w:rPr>
          <w:rFonts w:ascii="Arial Narrow" w:hAnsi="Arial Narrow" w:cs="Arial"/>
          <w:color w:val="000000" w:themeColor="text1"/>
          <w:sz w:val="24"/>
          <w:szCs w:val="24"/>
        </w:rPr>
        <w:t xml:space="preserve">Il faut noter que certaines avancées </w:t>
      </w:r>
      <w:r>
        <w:rPr>
          <w:rFonts w:ascii="Arial Narrow" w:hAnsi="Arial Narrow" w:cs="Arial"/>
          <w:color w:val="000000" w:themeColor="text1"/>
          <w:sz w:val="24"/>
          <w:szCs w:val="24"/>
        </w:rPr>
        <w:t>favoris</w:t>
      </w:r>
      <w:r w:rsidRPr="00D67F75">
        <w:rPr>
          <w:rFonts w:ascii="Arial Narrow" w:hAnsi="Arial Narrow" w:cs="Arial"/>
          <w:color w:val="000000" w:themeColor="text1"/>
          <w:sz w:val="24"/>
          <w:szCs w:val="24"/>
        </w:rPr>
        <w:t xml:space="preserve">ent </w:t>
      </w:r>
      <w:r>
        <w:rPr>
          <w:rFonts w:ascii="Arial Narrow" w:hAnsi="Arial Narrow" w:cs="Arial"/>
          <w:color w:val="000000" w:themeColor="text1"/>
          <w:sz w:val="24"/>
          <w:szCs w:val="24"/>
        </w:rPr>
        <w:t xml:space="preserve">la </w:t>
      </w:r>
      <w:r w:rsidRPr="00D67F75">
        <w:rPr>
          <w:rFonts w:ascii="Arial Narrow" w:hAnsi="Arial Narrow" w:cs="Arial"/>
          <w:color w:val="000000" w:themeColor="text1"/>
          <w:sz w:val="24"/>
          <w:szCs w:val="24"/>
        </w:rPr>
        <w:t>gestion</w:t>
      </w:r>
      <w:r>
        <w:rPr>
          <w:rFonts w:ascii="Arial Narrow" w:hAnsi="Arial Narrow" w:cs="Arial"/>
          <w:color w:val="000000" w:themeColor="text1"/>
          <w:sz w:val="24"/>
          <w:szCs w:val="24"/>
        </w:rPr>
        <w:t xml:space="preserve"> multisectorielle </w:t>
      </w:r>
      <w:r w:rsidRPr="00D67F75">
        <w:rPr>
          <w:rFonts w:ascii="Arial Narrow" w:hAnsi="Arial Narrow" w:cs="Arial"/>
          <w:color w:val="000000" w:themeColor="text1"/>
          <w:sz w:val="24"/>
          <w:szCs w:val="24"/>
        </w:rPr>
        <w:t xml:space="preserve">des urgences notamment la mise en place de la </w:t>
      </w:r>
      <w:r w:rsidRPr="00D01828">
        <w:rPr>
          <w:rFonts w:ascii="Arial Narrow" w:hAnsi="Arial Narrow" w:cs="Arial"/>
          <w:b/>
          <w:bCs/>
          <w:color w:val="000000" w:themeColor="text1"/>
          <w:sz w:val="24"/>
          <w:szCs w:val="24"/>
        </w:rPr>
        <w:t xml:space="preserve">Plateforme </w:t>
      </w:r>
      <w:r w:rsidRPr="00D01828">
        <w:rPr>
          <w:rFonts w:ascii="Arial Narrow" w:hAnsi="Arial Narrow" w:cs="Arial"/>
          <w:b/>
          <w:bCs/>
          <w:iCs/>
          <w:color w:val="000000" w:themeColor="text1"/>
          <w:sz w:val="24"/>
          <w:szCs w:val="24"/>
        </w:rPr>
        <w:t>« Une seule santé », l’élaboration de la cartographie des ressources humaines selon l’approche « Une seule santé »,</w:t>
      </w:r>
      <w:r>
        <w:rPr>
          <w:rFonts w:ascii="Arial Narrow" w:hAnsi="Arial Narrow" w:cs="Arial"/>
          <w:color w:val="000000" w:themeColor="text1"/>
          <w:sz w:val="24"/>
          <w:szCs w:val="24"/>
        </w:rPr>
        <w:t xml:space="preserve"> </w:t>
      </w:r>
      <w:r w:rsidRPr="00D67F75">
        <w:rPr>
          <w:rFonts w:ascii="Arial Narrow" w:hAnsi="Arial Narrow" w:cs="Arial"/>
          <w:color w:val="000000" w:themeColor="text1"/>
          <w:sz w:val="24"/>
          <w:szCs w:val="24"/>
        </w:rPr>
        <w:t xml:space="preserve">l’élaboration du plan stratégique national de </w:t>
      </w:r>
      <w:r>
        <w:rPr>
          <w:rFonts w:ascii="Arial Narrow" w:hAnsi="Arial Narrow" w:cs="Arial"/>
          <w:color w:val="000000" w:themeColor="text1"/>
          <w:sz w:val="24"/>
          <w:szCs w:val="24"/>
        </w:rPr>
        <w:t xml:space="preserve">prévention et </w:t>
      </w:r>
      <w:r w:rsidRPr="00D67F75">
        <w:rPr>
          <w:rFonts w:ascii="Arial Narrow" w:hAnsi="Arial Narrow" w:cs="Arial"/>
          <w:color w:val="000000" w:themeColor="text1"/>
          <w:sz w:val="24"/>
          <w:szCs w:val="24"/>
        </w:rPr>
        <w:t>contrôle de l’infection (2023-2027), et les plans de communication des risques intégrant les populations marginalisées et vulnérables.</w:t>
      </w:r>
    </w:p>
    <w:p w14:paraId="0E5C29FD" w14:textId="424EDFBA" w:rsidR="0048049C" w:rsidRPr="00D67F75" w:rsidRDefault="0048049C" w:rsidP="00BE6A1E">
      <w:pPr>
        <w:jc w:val="both"/>
        <w:rPr>
          <w:rFonts w:ascii="Arial Narrow" w:hAnsi="Arial Narrow" w:cs="Arial"/>
          <w:color w:val="000000" w:themeColor="text1"/>
          <w:sz w:val="24"/>
          <w:szCs w:val="24"/>
        </w:rPr>
      </w:pPr>
      <w:r w:rsidRPr="00D67F75">
        <w:rPr>
          <w:rFonts w:ascii="Arial Narrow" w:hAnsi="Arial Narrow" w:cs="Arial"/>
          <w:color w:val="000000" w:themeColor="text1"/>
          <w:sz w:val="24"/>
          <w:szCs w:val="24"/>
        </w:rPr>
        <w:t>En dépit de ces acquis importants, à l’</w:t>
      </w:r>
      <w:r>
        <w:rPr>
          <w:rFonts w:ascii="Arial Narrow" w:hAnsi="Arial Narrow" w:cs="Arial"/>
          <w:color w:val="000000" w:themeColor="text1"/>
          <w:sz w:val="24"/>
          <w:szCs w:val="24"/>
        </w:rPr>
        <w:t>issue</w:t>
      </w:r>
      <w:r w:rsidRPr="00D67F75">
        <w:rPr>
          <w:rFonts w:ascii="Arial Narrow" w:hAnsi="Arial Narrow" w:cs="Arial"/>
          <w:color w:val="000000" w:themeColor="text1"/>
          <w:sz w:val="24"/>
          <w:szCs w:val="24"/>
        </w:rPr>
        <w:t xml:space="preserve"> de</w:t>
      </w:r>
      <w:r>
        <w:rPr>
          <w:rFonts w:ascii="Arial Narrow" w:hAnsi="Arial Narrow" w:cs="Arial"/>
          <w:color w:val="000000" w:themeColor="text1"/>
          <w:sz w:val="24"/>
          <w:szCs w:val="24"/>
        </w:rPr>
        <w:t xml:space="preserve"> l’é</w:t>
      </w:r>
      <w:r w:rsidRPr="00D67F75">
        <w:rPr>
          <w:rFonts w:ascii="Arial Narrow" w:hAnsi="Arial Narrow" w:cs="Arial"/>
          <w:color w:val="000000" w:themeColor="text1"/>
          <w:sz w:val="24"/>
          <w:szCs w:val="24"/>
        </w:rPr>
        <w:t>valuation des capacités du RSI, des recommandations ont été faites au pays relativement à la gestion des urgences. Il s’agit essentiellement de</w:t>
      </w:r>
      <w:bookmarkStart w:id="91" w:name="_Hlk153185964"/>
      <w:r w:rsidRPr="00D67F75">
        <w:rPr>
          <w:rFonts w:ascii="Arial Narrow" w:hAnsi="Arial Narrow" w:cs="Arial"/>
          <w:color w:val="000000" w:themeColor="text1"/>
          <w:sz w:val="24"/>
          <w:szCs w:val="24"/>
        </w:rPr>
        <w:t xml:space="preserve"> (i)</w:t>
      </w:r>
      <w:r>
        <w:rPr>
          <w:rFonts w:ascii="Arial Narrow" w:hAnsi="Arial Narrow" w:cs="Arial"/>
          <w:color w:val="000000" w:themeColor="text1"/>
          <w:sz w:val="24"/>
          <w:szCs w:val="24"/>
        </w:rPr>
        <w:t xml:space="preserve"> la mise</w:t>
      </w:r>
      <w:r w:rsidRPr="00D67F75">
        <w:rPr>
          <w:rFonts w:ascii="Arial Narrow" w:hAnsi="Arial Narrow" w:cs="Arial"/>
          <w:color w:val="000000" w:themeColor="text1"/>
          <w:sz w:val="24"/>
          <w:szCs w:val="24"/>
        </w:rPr>
        <w:t xml:space="preserve"> à jour</w:t>
      </w:r>
      <w:r>
        <w:rPr>
          <w:rFonts w:ascii="Arial Narrow" w:hAnsi="Arial Narrow" w:cs="Arial"/>
          <w:color w:val="000000" w:themeColor="text1"/>
          <w:sz w:val="24"/>
          <w:szCs w:val="24"/>
        </w:rPr>
        <w:t xml:space="preserve"> de</w:t>
      </w:r>
      <w:r w:rsidRPr="00D67F75">
        <w:rPr>
          <w:rFonts w:ascii="Arial Narrow" w:hAnsi="Arial Narrow" w:cs="Arial"/>
          <w:color w:val="000000" w:themeColor="text1"/>
          <w:sz w:val="24"/>
          <w:szCs w:val="24"/>
        </w:rPr>
        <w:t xml:space="preserve"> la cartographie des risques aux niveaux national et régional en tenant compte de la multisectorialité, (ii) d</w:t>
      </w:r>
      <w:r>
        <w:rPr>
          <w:rFonts w:ascii="Arial Narrow" w:hAnsi="Arial Narrow" w:cs="Arial"/>
          <w:color w:val="000000" w:themeColor="text1"/>
          <w:sz w:val="24"/>
          <w:szCs w:val="24"/>
        </w:rPr>
        <w:t>u</w:t>
      </w:r>
      <w:r w:rsidRPr="00D67F75">
        <w:rPr>
          <w:rFonts w:ascii="Arial Narrow" w:hAnsi="Arial Narrow" w:cs="Arial"/>
          <w:color w:val="000000" w:themeColor="text1"/>
          <w:sz w:val="24"/>
          <w:szCs w:val="24"/>
        </w:rPr>
        <w:t xml:space="preserve"> </w:t>
      </w:r>
      <w:bookmarkEnd w:id="91"/>
      <w:r w:rsidRPr="00D67F75">
        <w:rPr>
          <w:rFonts w:ascii="Arial Narrow" w:hAnsi="Arial Narrow" w:cs="Arial"/>
          <w:color w:val="000000" w:themeColor="text1"/>
          <w:sz w:val="24"/>
          <w:szCs w:val="24"/>
        </w:rPr>
        <w:t>renforce</w:t>
      </w:r>
      <w:r>
        <w:rPr>
          <w:rFonts w:ascii="Arial Narrow" w:hAnsi="Arial Narrow" w:cs="Arial"/>
          <w:color w:val="000000" w:themeColor="text1"/>
          <w:sz w:val="24"/>
          <w:szCs w:val="24"/>
        </w:rPr>
        <w:t>ment</w:t>
      </w:r>
      <w:r w:rsidRPr="00D67F75">
        <w:rPr>
          <w:rFonts w:ascii="Arial Narrow" w:hAnsi="Arial Narrow" w:cs="Arial"/>
          <w:color w:val="000000" w:themeColor="text1"/>
          <w:sz w:val="24"/>
          <w:szCs w:val="24"/>
        </w:rPr>
        <w:t xml:space="preserve"> </w:t>
      </w:r>
      <w:r>
        <w:rPr>
          <w:rFonts w:ascii="Arial Narrow" w:hAnsi="Arial Narrow" w:cs="Arial"/>
          <w:color w:val="000000" w:themeColor="text1"/>
          <w:sz w:val="24"/>
          <w:szCs w:val="24"/>
        </w:rPr>
        <w:t>du</w:t>
      </w:r>
      <w:r w:rsidRPr="00D67F75">
        <w:rPr>
          <w:rFonts w:ascii="Arial Narrow" w:hAnsi="Arial Narrow" w:cs="Arial"/>
          <w:color w:val="000000" w:themeColor="text1"/>
          <w:sz w:val="24"/>
          <w:szCs w:val="24"/>
        </w:rPr>
        <w:t xml:space="preserve"> COUSP national et </w:t>
      </w:r>
      <w:r>
        <w:rPr>
          <w:rFonts w:ascii="Arial Narrow" w:hAnsi="Arial Narrow" w:cs="Arial"/>
          <w:color w:val="000000" w:themeColor="text1"/>
          <w:sz w:val="24"/>
          <w:szCs w:val="24"/>
        </w:rPr>
        <w:t>d</w:t>
      </w:r>
      <w:r w:rsidRPr="00D67F75">
        <w:rPr>
          <w:rFonts w:ascii="Arial Narrow" w:hAnsi="Arial Narrow" w:cs="Arial"/>
          <w:color w:val="000000" w:themeColor="text1"/>
          <w:sz w:val="24"/>
          <w:szCs w:val="24"/>
        </w:rPr>
        <w:t xml:space="preserve">es </w:t>
      </w:r>
      <w:proofErr w:type="spellStart"/>
      <w:r w:rsidRPr="00D67F75">
        <w:rPr>
          <w:rFonts w:ascii="Arial Narrow" w:hAnsi="Arial Narrow" w:cs="Arial"/>
          <w:color w:val="000000" w:themeColor="text1"/>
          <w:sz w:val="24"/>
          <w:szCs w:val="24"/>
        </w:rPr>
        <w:t>COUSPs</w:t>
      </w:r>
      <w:proofErr w:type="spellEnd"/>
      <w:r w:rsidRPr="00D67F75">
        <w:rPr>
          <w:rFonts w:ascii="Arial Narrow" w:hAnsi="Arial Narrow" w:cs="Arial"/>
          <w:color w:val="000000" w:themeColor="text1"/>
          <w:sz w:val="24"/>
          <w:szCs w:val="24"/>
        </w:rPr>
        <w:t xml:space="preserve"> régionaux en ressources humaines et matérielles, (iii) de </w:t>
      </w:r>
      <w:r>
        <w:rPr>
          <w:rFonts w:ascii="Arial Narrow" w:hAnsi="Arial Narrow" w:cs="Arial"/>
          <w:color w:val="000000" w:themeColor="text1"/>
          <w:sz w:val="24"/>
          <w:szCs w:val="24"/>
        </w:rPr>
        <w:t xml:space="preserve">la </w:t>
      </w:r>
      <w:r w:rsidRPr="00D67F75">
        <w:rPr>
          <w:rFonts w:ascii="Arial Narrow" w:hAnsi="Arial Narrow" w:cs="Arial"/>
          <w:color w:val="000000" w:themeColor="text1"/>
          <w:sz w:val="24"/>
          <w:szCs w:val="24"/>
        </w:rPr>
        <w:t>cré</w:t>
      </w:r>
      <w:r>
        <w:rPr>
          <w:rFonts w:ascii="Arial Narrow" w:hAnsi="Arial Narrow" w:cs="Arial"/>
          <w:color w:val="000000" w:themeColor="text1"/>
          <w:sz w:val="24"/>
          <w:szCs w:val="24"/>
        </w:rPr>
        <w:t>ation</w:t>
      </w:r>
      <w:r w:rsidRPr="00D67F75">
        <w:rPr>
          <w:rFonts w:ascii="Arial Narrow" w:hAnsi="Arial Narrow" w:cs="Arial"/>
          <w:color w:val="000000" w:themeColor="text1"/>
          <w:sz w:val="24"/>
          <w:szCs w:val="24"/>
        </w:rPr>
        <w:t xml:space="preserve"> </w:t>
      </w:r>
      <w:r>
        <w:rPr>
          <w:rFonts w:ascii="Arial Narrow" w:hAnsi="Arial Narrow" w:cs="Arial"/>
          <w:color w:val="000000" w:themeColor="text1"/>
          <w:sz w:val="24"/>
          <w:szCs w:val="24"/>
        </w:rPr>
        <w:t>du</w:t>
      </w:r>
      <w:r w:rsidRPr="00D67F75">
        <w:rPr>
          <w:rFonts w:ascii="Arial Narrow" w:hAnsi="Arial Narrow" w:cs="Arial"/>
          <w:color w:val="000000" w:themeColor="text1"/>
          <w:sz w:val="24"/>
          <w:szCs w:val="24"/>
        </w:rPr>
        <w:t xml:space="preserve"> cadre réglementaire de la mise en place de l’équipe médicale d’urgence (EMU) en Côte d’Ivoire, (iv) d</w:t>
      </w:r>
      <w:r>
        <w:rPr>
          <w:rFonts w:ascii="Arial Narrow" w:hAnsi="Arial Narrow" w:cs="Arial"/>
          <w:color w:val="000000" w:themeColor="text1"/>
          <w:sz w:val="24"/>
          <w:szCs w:val="24"/>
        </w:rPr>
        <w:t>e l’</w:t>
      </w:r>
      <w:r w:rsidRPr="00D67F75">
        <w:rPr>
          <w:rFonts w:ascii="Arial Narrow" w:hAnsi="Arial Narrow" w:cs="Arial"/>
          <w:color w:val="000000" w:themeColor="text1"/>
          <w:sz w:val="24"/>
          <w:szCs w:val="24"/>
        </w:rPr>
        <w:t>élabor</w:t>
      </w:r>
      <w:r>
        <w:rPr>
          <w:rFonts w:ascii="Arial Narrow" w:hAnsi="Arial Narrow" w:cs="Arial"/>
          <w:color w:val="000000" w:themeColor="text1"/>
          <w:sz w:val="24"/>
          <w:szCs w:val="24"/>
        </w:rPr>
        <w:t>ation</w:t>
      </w:r>
      <w:r w:rsidRPr="00D67F75">
        <w:rPr>
          <w:rFonts w:ascii="Arial Narrow" w:hAnsi="Arial Narrow" w:cs="Arial"/>
          <w:color w:val="000000" w:themeColor="text1"/>
          <w:sz w:val="24"/>
          <w:szCs w:val="24"/>
        </w:rPr>
        <w:t xml:space="preserve"> </w:t>
      </w:r>
      <w:r>
        <w:rPr>
          <w:rFonts w:ascii="Arial Narrow" w:hAnsi="Arial Narrow" w:cs="Arial"/>
          <w:color w:val="000000" w:themeColor="text1"/>
          <w:sz w:val="24"/>
          <w:szCs w:val="24"/>
        </w:rPr>
        <w:t>d’</w:t>
      </w:r>
      <w:r w:rsidRPr="00D67F75">
        <w:rPr>
          <w:rFonts w:ascii="Arial Narrow" w:hAnsi="Arial Narrow" w:cs="Arial"/>
          <w:color w:val="000000" w:themeColor="text1"/>
          <w:sz w:val="24"/>
          <w:szCs w:val="24"/>
        </w:rPr>
        <w:t xml:space="preserve">un plan directeur de la recherche et du développement incluant la réglementation en matière de préparation et de riposte aux situations d’urgence et de (v) </w:t>
      </w:r>
      <w:r>
        <w:rPr>
          <w:rFonts w:ascii="Arial Narrow" w:hAnsi="Arial Narrow" w:cs="Arial"/>
          <w:color w:val="000000" w:themeColor="text1"/>
          <w:sz w:val="24"/>
          <w:szCs w:val="24"/>
        </w:rPr>
        <w:t>l’élaboration d</w:t>
      </w:r>
      <w:r w:rsidRPr="00D67F75">
        <w:rPr>
          <w:rFonts w:ascii="Arial Narrow" w:hAnsi="Arial Narrow" w:cs="Arial"/>
          <w:color w:val="000000" w:themeColor="text1"/>
          <w:sz w:val="24"/>
          <w:szCs w:val="24"/>
        </w:rPr>
        <w:t xml:space="preserve">es plans et procédures du COUSP (manuel, procédures…). En ce qui concerne la coordination du </w:t>
      </w:r>
      <w:r>
        <w:rPr>
          <w:rFonts w:ascii="Arial Narrow" w:hAnsi="Arial Narrow" w:cs="Arial"/>
          <w:color w:val="000000" w:themeColor="text1"/>
          <w:sz w:val="24"/>
          <w:szCs w:val="24"/>
        </w:rPr>
        <w:t>P</w:t>
      </w:r>
      <w:r w:rsidRPr="00D67F75">
        <w:rPr>
          <w:rFonts w:ascii="Arial Narrow" w:hAnsi="Arial Narrow" w:cs="Arial"/>
          <w:color w:val="000000" w:themeColor="text1"/>
          <w:sz w:val="24"/>
          <w:szCs w:val="24"/>
        </w:rPr>
        <w:t xml:space="preserve">oint focal RSI, il est demandé aux pays de (i) doter le point focal national </w:t>
      </w:r>
      <w:r w:rsidRPr="00D67F75">
        <w:rPr>
          <w:rFonts w:ascii="Arial Narrow" w:hAnsi="Arial Narrow" w:cs="Arial"/>
          <w:color w:val="000000" w:themeColor="text1"/>
          <w:sz w:val="24"/>
          <w:szCs w:val="24"/>
        </w:rPr>
        <w:lastRenderedPageBreak/>
        <w:t>(PFN) RSI de ressources humaines, matérielles et financières propres, (ii) d’élaborer des procédures opérationnelles standard (POS) de notification/communication entre le PFN et les différents secteurs, (iii) d’élaborer un plan de contingence multirisque et multisectoriel et d’élaborer un Plan d’action national de la sécurité sanitaire (PANSS) après la publication du rapport d’EEC.</w:t>
      </w:r>
      <w:r>
        <w:rPr>
          <w:rFonts w:ascii="Arial Narrow" w:hAnsi="Arial Narrow" w:cs="Arial"/>
          <w:color w:val="000000" w:themeColor="text1"/>
          <w:sz w:val="24"/>
          <w:szCs w:val="24"/>
        </w:rPr>
        <w:t xml:space="preserve"> De même la mise en place </w:t>
      </w:r>
      <w:r w:rsidRPr="00D67F75">
        <w:rPr>
          <w:rFonts w:ascii="Arial Narrow" w:hAnsi="Arial Narrow" w:cs="Arial"/>
          <w:color w:val="000000" w:themeColor="text1"/>
          <w:sz w:val="24"/>
          <w:szCs w:val="24"/>
        </w:rPr>
        <w:t>de fonds d’urgence avec des procédures simplifiées de décaissement demeure un défi majeur pour la réponse prompte aux urgences.</w:t>
      </w:r>
    </w:p>
    <w:p w14:paraId="0835C7A2" w14:textId="62D2D6ED" w:rsidR="0044167B" w:rsidRPr="007E7C5B" w:rsidRDefault="007D684B" w:rsidP="0048049C">
      <w:pPr>
        <w:jc w:val="both"/>
        <w:rPr>
          <w:rFonts w:ascii="Arial Narrow" w:hAnsi="Arial Narrow" w:cs="Arial"/>
          <w:sz w:val="24"/>
          <w:szCs w:val="24"/>
        </w:rPr>
      </w:pPr>
      <w:r w:rsidRPr="007E7C5B">
        <w:rPr>
          <w:rFonts w:ascii="Arial Narrow" w:hAnsi="Arial Narrow" w:cs="Arial"/>
          <w:sz w:val="24"/>
          <w:szCs w:val="24"/>
        </w:rPr>
        <w:t xml:space="preserve">En outre, le pays a fait face à </w:t>
      </w:r>
      <w:r w:rsidR="00CD0139" w:rsidRPr="007E7C5B">
        <w:rPr>
          <w:rFonts w:ascii="Arial Narrow" w:hAnsi="Arial Narrow" w:cs="Arial"/>
          <w:sz w:val="24"/>
          <w:szCs w:val="24"/>
        </w:rPr>
        <w:t>des urgences de santé publique, à savoir la pandémie à c</w:t>
      </w:r>
      <w:r w:rsidR="00CD0139" w:rsidRPr="007E7C5B">
        <w:rPr>
          <w:rFonts w:ascii="Arial Narrow" w:eastAsia="Times New Roman" w:hAnsi="Arial Narrow" w:cs="Helvetica"/>
          <w:color w:val="26282A"/>
          <w:kern w:val="0"/>
          <w:sz w:val="24"/>
          <w:szCs w:val="24"/>
          <w:lang w:eastAsia="fr-FR"/>
          <w14:ligatures w14:val="none"/>
        </w:rPr>
        <w:t>ovid</w:t>
      </w:r>
      <w:r w:rsidRPr="007E7C5B">
        <w:rPr>
          <w:rFonts w:ascii="Arial Narrow" w:eastAsia="Times New Roman" w:hAnsi="Arial Narrow" w:cs="Helvetica"/>
          <w:color w:val="26282A"/>
          <w:kern w:val="0"/>
          <w:sz w:val="24"/>
          <w:szCs w:val="24"/>
          <w:lang w:eastAsia="fr-FR"/>
          <w14:ligatures w14:val="none"/>
        </w:rPr>
        <w:t>-19</w:t>
      </w:r>
      <w:r w:rsidR="00CD0139" w:rsidRPr="007E7C5B">
        <w:rPr>
          <w:rFonts w:ascii="Arial Narrow" w:eastAsia="Times New Roman" w:hAnsi="Arial Narrow" w:cs="Helvetica"/>
          <w:color w:val="26282A"/>
          <w:kern w:val="0"/>
          <w:sz w:val="24"/>
          <w:szCs w:val="24"/>
          <w:lang w:eastAsia="fr-FR"/>
          <w14:ligatures w14:val="none"/>
        </w:rPr>
        <w:t xml:space="preserve"> et l’épidémie de la</w:t>
      </w:r>
      <w:r w:rsidRPr="007E7C5B">
        <w:rPr>
          <w:rFonts w:ascii="Arial Narrow" w:eastAsia="Times New Roman" w:hAnsi="Arial Narrow" w:cs="Helvetica"/>
          <w:color w:val="26282A"/>
          <w:kern w:val="0"/>
          <w:sz w:val="24"/>
          <w:szCs w:val="24"/>
          <w:lang w:eastAsia="fr-FR"/>
          <w14:ligatures w14:val="none"/>
        </w:rPr>
        <w:t xml:space="preserve"> dengue</w:t>
      </w:r>
      <w:r w:rsidRPr="007E7C5B">
        <w:rPr>
          <w:rFonts w:ascii="Arial Narrow" w:hAnsi="Arial Narrow" w:cs="Arial"/>
          <w:sz w:val="24"/>
          <w:szCs w:val="24"/>
        </w:rPr>
        <w:t>.</w:t>
      </w:r>
      <w:r w:rsidR="0048049C">
        <w:rPr>
          <w:rFonts w:ascii="Arial Narrow" w:hAnsi="Arial Narrow" w:cs="Arial"/>
          <w:sz w:val="24"/>
          <w:szCs w:val="24"/>
        </w:rPr>
        <w:t xml:space="preserve"> </w:t>
      </w:r>
      <w:r w:rsidR="0048049C" w:rsidRPr="007E7C5B">
        <w:rPr>
          <w:rFonts w:ascii="Arial Narrow" w:hAnsi="Arial Narrow" w:cs="Arial"/>
          <w:sz w:val="24"/>
          <w:szCs w:val="24"/>
        </w:rPr>
        <w:t>Concernant la dengue, le pays a enregistré 341 cas positifs en 2023. Dans le cadre de la riposte contre cette épidémie, la recherche active des cas, la prise en charge des cas confirmés dans les structures sanitaires, la conduite des opérations de lutte antivectorielle dans les foyers épidémiques et l’organisation de sensibilisation de masse dans les zones en épidémies ont été réalisées.</w:t>
      </w:r>
      <w:r w:rsidR="0048049C">
        <w:rPr>
          <w:rFonts w:ascii="Arial Narrow" w:hAnsi="Arial Narrow" w:cs="Arial"/>
          <w:sz w:val="24"/>
          <w:szCs w:val="24"/>
        </w:rPr>
        <w:t xml:space="preserve"> </w:t>
      </w:r>
    </w:p>
    <w:p w14:paraId="28882CBC" w14:textId="7B2115DC" w:rsidR="00CC0F54" w:rsidRPr="007E7C5B" w:rsidRDefault="00CC0F54" w:rsidP="003C02AE">
      <w:pPr>
        <w:jc w:val="both"/>
        <w:rPr>
          <w:rFonts w:ascii="Arial Narrow" w:hAnsi="Arial Narrow" w:cs="Times New Roman"/>
          <w:sz w:val="24"/>
          <w:szCs w:val="24"/>
          <w:lang w:val="fr-CI"/>
        </w:rPr>
      </w:pPr>
    </w:p>
    <w:p w14:paraId="155D924F" w14:textId="3594403F" w:rsidR="00CC0F54" w:rsidRPr="000F6D4A" w:rsidRDefault="00CC0F54" w:rsidP="003C02AE">
      <w:pPr>
        <w:jc w:val="both"/>
        <w:rPr>
          <w:rFonts w:ascii="Arial Narrow" w:hAnsi="Arial Narrow" w:cs="Times New Roman"/>
          <w:b/>
          <w:sz w:val="24"/>
          <w:szCs w:val="24"/>
          <w:lang w:val="fr-CI"/>
        </w:rPr>
      </w:pPr>
      <w:r w:rsidRPr="000F6D4A">
        <w:rPr>
          <w:rFonts w:ascii="Arial Narrow" w:hAnsi="Arial Narrow" w:cs="Times New Roman"/>
          <w:b/>
          <w:sz w:val="24"/>
          <w:szCs w:val="24"/>
          <w:lang w:val="fr-CI"/>
        </w:rPr>
        <w:t xml:space="preserve">Encadré : Gestion de la </w:t>
      </w:r>
      <w:r w:rsidR="00CE42E3" w:rsidRPr="000F6D4A">
        <w:rPr>
          <w:rFonts w:ascii="Arial Narrow" w:hAnsi="Arial Narrow" w:cs="Times New Roman"/>
          <w:b/>
          <w:sz w:val="24"/>
          <w:szCs w:val="24"/>
          <w:lang w:val="fr-CI"/>
        </w:rPr>
        <w:t>COVID-19</w:t>
      </w:r>
      <w:r w:rsidRPr="000F6D4A">
        <w:rPr>
          <w:rFonts w:ascii="Arial Narrow" w:hAnsi="Arial Narrow" w:cs="Times New Roman"/>
          <w:b/>
          <w:sz w:val="24"/>
          <w:szCs w:val="24"/>
          <w:lang w:val="fr-CI"/>
        </w:rPr>
        <w:t xml:space="preserve"> par le Système de Santé</w:t>
      </w:r>
    </w:p>
    <w:tbl>
      <w:tblPr>
        <w:tblW w:w="0" w:type="auto"/>
        <w:shd w:val="clear" w:color="auto" w:fill="538135" w:themeFill="accent6" w:themeFillShade="BF"/>
        <w:tblLook w:val="04A0" w:firstRow="1" w:lastRow="0" w:firstColumn="1" w:lastColumn="0" w:noHBand="0" w:noVBand="1"/>
      </w:tblPr>
      <w:tblGrid>
        <w:gridCol w:w="9016"/>
      </w:tblGrid>
      <w:tr w:rsidR="00CC0F54" w:rsidRPr="003A5502" w14:paraId="7765A47E" w14:textId="77777777" w:rsidTr="00AE1865">
        <w:tc>
          <w:tcPr>
            <w:tcW w:w="9016" w:type="dxa"/>
            <w:shd w:val="clear" w:color="auto" w:fill="538135" w:themeFill="accent6" w:themeFillShade="BF"/>
          </w:tcPr>
          <w:p w14:paraId="15E7E37E" w14:textId="77777777" w:rsidR="001A3EB2" w:rsidRPr="003A5502" w:rsidRDefault="001A3EB2" w:rsidP="00CC0F54">
            <w:pPr>
              <w:jc w:val="both"/>
              <w:rPr>
                <w:rFonts w:ascii="Arial Narrow" w:eastAsia="Times New Roman" w:hAnsi="Arial Narrow" w:cs="Times New Roman"/>
                <w:color w:val="FFFFFF" w:themeColor="background1"/>
                <w:sz w:val="24"/>
                <w:szCs w:val="24"/>
                <w:lang w:eastAsia="fr-FR"/>
              </w:rPr>
            </w:pPr>
          </w:p>
          <w:p w14:paraId="0A0065ED" w14:textId="4D8C21A1" w:rsidR="001A3EB2" w:rsidRPr="003A5502" w:rsidRDefault="00CC0F54" w:rsidP="00CC0F54">
            <w:pPr>
              <w:jc w:val="both"/>
              <w:rPr>
                <w:rFonts w:ascii="Arial Narrow" w:eastAsia="Times New Roman" w:hAnsi="Arial Narrow" w:cs="Times New Roman"/>
                <w:color w:val="FFFFFF" w:themeColor="background1"/>
                <w:sz w:val="24"/>
                <w:szCs w:val="24"/>
                <w:lang w:eastAsia="fr-FR"/>
              </w:rPr>
            </w:pPr>
            <w:r w:rsidRPr="003A5502">
              <w:rPr>
                <w:rFonts w:ascii="Arial Narrow" w:eastAsia="Times New Roman" w:hAnsi="Arial Narrow" w:cs="Times New Roman"/>
                <w:color w:val="FFFFFF" w:themeColor="background1"/>
                <w:sz w:val="24"/>
                <w:szCs w:val="24"/>
                <w:lang w:eastAsia="fr-FR"/>
              </w:rPr>
              <w:t xml:space="preserve">À fin décembre 2019, les autorités de </w:t>
            </w:r>
            <w:r w:rsidR="00F33B26" w:rsidRPr="003A5502">
              <w:rPr>
                <w:rFonts w:ascii="Arial Narrow" w:eastAsia="Times New Roman" w:hAnsi="Arial Narrow" w:cs="Times New Roman"/>
                <w:color w:val="FFFFFF" w:themeColor="background1"/>
                <w:sz w:val="24"/>
                <w:szCs w:val="24"/>
                <w:lang w:eastAsia="fr-FR"/>
              </w:rPr>
              <w:t>s</w:t>
            </w:r>
            <w:r w:rsidRPr="003A5502">
              <w:rPr>
                <w:rFonts w:ascii="Arial Narrow" w:eastAsia="Times New Roman" w:hAnsi="Arial Narrow" w:cs="Times New Roman"/>
                <w:color w:val="FFFFFF" w:themeColor="background1"/>
                <w:sz w:val="24"/>
                <w:szCs w:val="24"/>
                <w:lang w:eastAsia="fr-FR"/>
              </w:rPr>
              <w:t xml:space="preserve">anté </w:t>
            </w:r>
            <w:r w:rsidR="00F33B26" w:rsidRPr="003A5502">
              <w:rPr>
                <w:rFonts w:ascii="Arial Narrow" w:eastAsia="Times New Roman" w:hAnsi="Arial Narrow" w:cs="Times New Roman"/>
                <w:color w:val="FFFFFF" w:themeColor="background1"/>
                <w:sz w:val="24"/>
                <w:szCs w:val="24"/>
                <w:lang w:eastAsia="fr-FR"/>
              </w:rPr>
              <w:t>p</w:t>
            </w:r>
            <w:r w:rsidRPr="003A5502">
              <w:rPr>
                <w:rFonts w:ascii="Arial Narrow" w:eastAsia="Times New Roman" w:hAnsi="Arial Narrow" w:cs="Times New Roman"/>
                <w:color w:val="FFFFFF" w:themeColor="background1"/>
                <w:sz w:val="24"/>
                <w:szCs w:val="24"/>
                <w:lang w:eastAsia="fr-FR"/>
              </w:rPr>
              <w:t xml:space="preserve">ublique </w:t>
            </w:r>
            <w:r w:rsidR="00F33B26" w:rsidRPr="003A5502">
              <w:rPr>
                <w:rFonts w:ascii="Arial Narrow" w:eastAsia="Times New Roman" w:hAnsi="Arial Narrow" w:cs="Times New Roman"/>
                <w:color w:val="FFFFFF" w:themeColor="background1"/>
                <w:sz w:val="24"/>
                <w:szCs w:val="24"/>
                <w:lang w:eastAsia="fr-FR"/>
              </w:rPr>
              <w:t>de la Chine</w:t>
            </w:r>
            <w:r w:rsidRPr="003A5502">
              <w:rPr>
                <w:rFonts w:ascii="Arial Narrow" w:eastAsia="Times New Roman" w:hAnsi="Arial Narrow" w:cs="Times New Roman"/>
                <w:color w:val="FFFFFF" w:themeColor="background1"/>
                <w:sz w:val="24"/>
                <w:szCs w:val="24"/>
                <w:lang w:eastAsia="fr-FR"/>
              </w:rPr>
              <w:t xml:space="preserve"> ont signalé plusieurs cas de syndrome respiratoire aigu dans la ville de Wuhan. Il s'agissait d'une nouvelle souche de coronavirus qui n'a pas été identifiée auparavant chez l'homme. Le virus responsable est appelé coronavirus du syndrome respiratoire aigu sévère 2 (SARS-CoV-2) et la maladie est dénommée coronavirus 2019 (COVID-19). En réponse, l'OMS a émis une alerte mondiale, demandant à tous les pays d'activer leurs </w:t>
            </w:r>
            <w:r w:rsidR="00F33B26" w:rsidRPr="003A5502">
              <w:rPr>
                <w:rFonts w:ascii="Arial Narrow" w:eastAsia="Times New Roman" w:hAnsi="Arial Narrow" w:cs="Times New Roman"/>
                <w:color w:val="FFFFFF" w:themeColor="background1"/>
                <w:sz w:val="24"/>
                <w:szCs w:val="24"/>
                <w:lang w:eastAsia="fr-FR"/>
              </w:rPr>
              <w:t>c</w:t>
            </w:r>
            <w:r w:rsidRPr="003A5502">
              <w:rPr>
                <w:rFonts w:ascii="Arial Narrow" w:eastAsia="Times New Roman" w:hAnsi="Arial Narrow" w:cs="Times New Roman"/>
                <w:color w:val="FFFFFF" w:themeColor="background1"/>
                <w:sz w:val="24"/>
                <w:szCs w:val="24"/>
                <w:lang w:eastAsia="fr-FR"/>
              </w:rPr>
              <w:t xml:space="preserve">entres des opérations d'urgence en santé publique. Ainsi, le </w:t>
            </w:r>
            <w:r w:rsidR="009C1A62" w:rsidRPr="003A5502">
              <w:rPr>
                <w:rFonts w:ascii="Arial Narrow" w:eastAsia="Times New Roman" w:hAnsi="Arial Narrow" w:cs="Times New Roman"/>
                <w:color w:val="FFFFFF" w:themeColor="background1"/>
                <w:sz w:val="24"/>
                <w:szCs w:val="24"/>
                <w:lang w:eastAsia="fr-FR"/>
              </w:rPr>
              <w:t>M</w:t>
            </w:r>
            <w:r w:rsidRPr="003A5502">
              <w:rPr>
                <w:rFonts w:ascii="Arial Narrow" w:eastAsia="Times New Roman" w:hAnsi="Arial Narrow" w:cs="Times New Roman"/>
                <w:color w:val="FFFFFF" w:themeColor="background1"/>
                <w:sz w:val="24"/>
                <w:szCs w:val="24"/>
                <w:lang w:eastAsia="fr-FR"/>
              </w:rPr>
              <w:t>inistère de la Santé et de l'Hygiène Publique et la Couverture Maladie Universelle a activé son COUSP le 31 décembre 2019.</w:t>
            </w:r>
          </w:p>
          <w:p w14:paraId="09002C41" w14:textId="13F30E09" w:rsidR="001A3EB2" w:rsidRPr="003A5502" w:rsidRDefault="00CC0F54" w:rsidP="00CC0F54">
            <w:pPr>
              <w:jc w:val="both"/>
              <w:rPr>
                <w:rFonts w:ascii="Arial Narrow" w:eastAsia="Times New Roman" w:hAnsi="Arial Narrow" w:cs="Times New Roman"/>
                <w:color w:val="FFFFFF" w:themeColor="background1"/>
                <w:sz w:val="24"/>
                <w:szCs w:val="24"/>
                <w:lang w:eastAsia="fr-FR"/>
              </w:rPr>
            </w:pPr>
            <w:r w:rsidRPr="003A5502">
              <w:rPr>
                <w:rFonts w:ascii="Arial Narrow" w:eastAsia="Times New Roman" w:hAnsi="Arial Narrow" w:cs="Times New Roman"/>
                <w:color w:val="FFFFFF" w:themeColor="background1"/>
                <w:sz w:val="24"/>
                <w:szCs w:val="24"/>
                <w:lang w:eastAsia="fr-FR"/>
              </w:rPr>
              <w:t xml:space="preserve">Le mercredi 11 mars 2020, la Côte d'Ivoire a enregistré son premier cas de COVID-19, pris en charge par le Service des Maladies Infectieuses et Tropicales (SMIT). Dès le début de la crise sanitaire, plusieurs actions ont été entreprises par le gouvernement : </w:t>
            </w:r>
            <w:r w:rsidRPr="003A5502">
              <w:rPr>
                <w:rFonts w:ascii="Arial Narrow" w:eastAsia="Times New Roman" w:hAnsi="Arial Narrow" w:cs="Times New Roman"/>
                <w:i/>
                <w:color w:val="FFFFFF" w:themeColor="background1"/>
                <w:sz w:val="24"/>
                <w:szCs w:val="24"/>
                <w:lang w:eastAsia="fr-FR"/>
              </w:rPr>
              <w:t>(i)</w:t>
            </w:r>
            <w:r w:rsidRPr="003A5502">
              <w:rPr>
                <w:rFonts w:ascii="Arial Narrow" w:eastAsia="Times New Roman" w:hAnsi="Arial Narrow" w:cs="Times New Roman"/>
                <w:color w:val="FFFFFF" w:themeColor="background1"/>
                <w:sz w:val="24"/>
                <w:szCs w:val="24"/>
                <w:lang w:eastAsia="fr-FR"/>
              </w:rPr>
              <w:t xml:space="preserve"> création d'un comité de crise</w:t>
            </w:r>
            <w:r w:rsidR="00B21BF5" w:rsidRPr="003A5502">
              <w:rPr>
                <w:rFonts w:ascii="Arial Narrow" w:eastAsia="Times New Roman" w:hAnsi="Arial Narrow" w:cs="Times New Roman"/>
                <w:color w:val="FFFFFF" w:themeColor="background1"/>
                <w:sz w:val="24"/>
                <w:szCs w:val="24"/>
                <w:lang w:eastAsia="fr-FR"/>
              </w:rPr>
              <w:t> ;</w:t>
            </w:r>
            <w:r w:rsidRPr="003A5502">
              <w:rPr>
                <w:rFonts w:ascii="Arial Narrow" w:eastAsia="Times New Roman" w:hAnsi="Arial Narrow" w:cs="Times New Roman"/>
                <w:color w:val="FFFFFF" w:themeColor="background1"/>
                <w:sz w:val="24"/>
                <w:szCs w:val="24"/>
                <w:lang w:eastAsia="fr-FR"/>
              </w:rPr>
              <w:t xml:space="preserve"> </w:t>
            </w:r>
            <w:r w:rsidRPr="003A5502">
              <w:rPr>
                <w:rFonts w:ascii="Arial Narrow" w:eastAsia="Times New Roman" w:hAnsi="Arial Narrow" w:cs="Times New Roman"/>
                <w:i/>
                <w:color w:val="FFFFFF" w:themeColor="background1"/>
                <w:sz w:val="24"/>
                <w:szCs w:val="24"/>
                <w:lang w:eastAsia="fr-FR"/>
              </w:rPr>
              <w:t>(ii)</w:t>
            </w:r>
            <w:r w:rsidRPr="003A5502">
              <w:rPr>
                <w:rFonts w:ascii="Arial Narrow" w:eastAsia="Times New Roman" w:hAnsi="Arial Narrow" w:cs="Times New Roman"/>
                <w:color w:val="FFFFFF" w:themeColor="background1"/>
                <w:sz w:val="24"/>
                <w:szCs w:val="24"/>
                <w:lang w:eastAsia="fr-FR"/>
              </w:rPr>
              <w:t xml:space="preserve"> sensibilisation de la population aux mesures préventives</w:t>
            </w:r>
            <w:r w:rsidR="00B21BF5" w:rsidRPr="003A5502">
              <w:rPr>
                <w:rFonts w:ascii="Arial Narrow" w:eastAsia="Times New Roman" w:hAnsi="Arial Narrow" w:cs="Times New Roman"/>
                <w:color w:val="FFFFFF" w:themeColor="background1"/>
                <w:sz w:val="24"/>
                <w:szCs w:val="24"/>
                <w:lang w:eastAsia="fr-FR"/>
              </w:rPr>
              <w:t> ;</w:t>
            </w:r>
            <w:r w:rsidRPr="003A5502">
              <w:rPr>
                <w:rFonts w:ascii="Arial Narrow" w:eastAsia="Times New Roman" w:hAnsi="Arial Narrow" w:cs="Times New Roman"/>
                <w:color w:val="FFFFFF" w:themeColor="background1"/>
                <w:sz w:val="24"/>
                <w:szCs w:val="24"/>
                <w:lang w:eastAsia="fr-FR"/>
              </w:rPr>
              <w:t xml:space="preserve"> </w:t>
            </w:r>
            <w:r w:rsidRPr="003A5502">
              <w:rPr>
                <w:rFonts w:ascii="Arial Narrow" w:eastAsia="Times New Roman" w:hAnsi="Arial Narrow" w:cs="Times New Roman"/>
                <w:i/>
                <w:color w:val="FFFFFF" w:themeColor="background1"/>
                <w:sz w:val="24"/>
                <w:szCs w:val="24"/>
                <w:lang w:eastAsia="fr-FR"/>
              </w:rPr>
              <w:t>(iii)</w:t>
            </w:r>
            <w:r w:rsidR="00F33B26" w:rsidRPr="003A5502">
              <w:rPr>
                <w:rFonts w:ascii="Arial Narrow" w:eastAsia="Times New Roman" w:hAnsi="Arial Narrow" w:cs="Times New Roman"/>
                <w:i/>
                <w:color w:val="FFFFFF" w:themeColor="background1"/>
                <w:sz w:val="24"/>
                <w:szCs w:val="24"/>
                <w:lang w:eastAsia="fr-FR"/>
              </w:rPr>
              <w:t> </w:t>
            </w:r>
            <w:r w:rsidRPr="003A5502">
              <w:rPr>
                <w:rFonts w:ascii="Arial Narrow" w:eastAsia="Times New Roman" w:hAnsi="Arial Narrow" w:cs="Times New Roman"/>
                <w:color w:val="FFFFFF" w:themeColor="background1"/>
                <w:sz w:val="24"/>
                <w:szCs w:val="24"/>
                <w:lang w:eastAsia="fr-FR"/>
              </w:rPr>
              <w:t>élaboration d'un plan d'urgence de riposte</w:t>
            </w:r>
            <w:r w:rsidR="00B21BF5" w:rsidRPr="003A5502">
              <w:rPr>
                <w:rFonts w:ascii="Arial Narrow" w:eastAsia="Times New Roman" w:hAnsi="Arial Narrow" w:cs="Times New Roman"/>
                <w:color w:val="FFFFFF" w:themeColor="background1"/>
                <w:sz w:val="24"/>
                <w:szCs w:val="24"/>
                <w:lang w:eastAsia="fr-FR"/>
              </w:rPr>
              <w:t> ;</w:t>
            </w:r>
            <w:r w:rsidRPr="003A5502">
              <w:rPr>
                <w:rFonts w:ascii="Arial Narrow" w:eastAsia="Times New Roman" w:hAnsi="Arial Narrow" w:cs="Times New Roman"/>
                <w:color w:val="FFFFFF" w:themeColor="background1"/>
                <w:sz w:val="24"/>
                <w:szCs w:val="24"/>
                <w:lang w:eastAsia="fr-FR"/>
              </w:rPr>
              <w:t xml:space="preserve"> </w:t>
            </w:r>
            <w:r w:rsidRPr="003A5502">
              <w:rPr>
                <w:rFonts w:ascii="Arial Narrow" w:eastAsia="Times New Roman" w:hAnsi="Arial Narrow" w:cs="Times New Roman"/>
                <w:i/>
                <w:color w:val="FFFFFF" w:themeColor="background1"/>
                <w:sz w:val="24"/>
                <w:szCs w:val="24"/>
                <w:lang w:eastAsia="fr-FR"/>
              </w:rPr>
              <w:t>(iv)</w:t>
            </w:r>
            <w:r w:rsidRPr="003A5502">
              <w:rPr>
                <w:rFonts w:ascii="Arial Narrow" w:eastAsia="Times New Roman" w:hAnsi="Arial Narrow" w:cs="Times New Roman"/>
                <w:color w:val="FFFFFF" w:themeColor="background1"/>
                <w:sz w:val="24"/>
                <w:szCs w:val="24"/>
                <w:lang w:eastAsia="fr-FR"/>
              </w:rPr>
              <w:t xml:space="preserve"> dépistage systématique des voyageurs venant de pays affectés</w:t>
            </w:r>
            <w:r w:rsidR="00B21BF5" w:rsidRPr="003A5502">
              <w:rPr>
                <w:rFonts w:ascii="Arial Narrow" w:eastAsia="Times New Roman" w:hAnsi="Arial Narrow" w:cs="Times New Roman"/>
                <w:color w:val="FFFFFF" w:themeColor="background1"/>
                <w:sz w:val="24"/>
                <w:szCs w:val="24"/>
                <w:lang w:eastAsia="fr-FR"/>
              </w:rPr>
              <w:t> ;</w:t>
            </w:r>
            <w:r w:rsidRPr="003A5502">
              <w:rPr>
                <w:rFonts w:ascii="Arial Narrow" w:eastAsia="Times New Roman" w:hAnsi="Arial Narrow" w:cs="Times New Roman"/>
                <w:color w:val="FFFFFF" w:themeColor="background1"/>
                <w:sz w:val="24"/>
                <w:szCs w:val="24"/>
                <w:lang w:eastAsia="fr-FR"/>
              </w:rPr>
              <w:t xml:space="preserve"> </w:t>
            </w:r>
            <w:r w:rsidRPr="003A5502">
              <w:rPr>
                <w:rFonts w:ascii="Arial Narrow" w:eastAsia="Times New Roman" w:hAnsi="Arial Narrow" w:cs="Times New Roman"/>
                <w:i/>
                <w:color w:val="FFFFFF" w:themeColor="background1"/>
                <w:sz w:val="24"/>
                <w:szCs w:val="24"/>
                <w:lang w:eastAsia="fr-FR"/>
              </w:rPr>
              <w:t>(v)</w:t>
            </w:r>
            <w:r w:rsidR="00F33B26" w:rsidRPr="003A5502">
              <w:rPr>
                <w:rFonts w:ascii="Arial Narrow" w:eastAsia="Times New Roman" w:hAnsi="Arial Narrow" w:cs="Times New Roman"/>
                <w:color w:val="FFFFFF" w:themeColor="background1"/>
                <w:sz w:val="24"/>
                <w:szCs w:val="24"/>
                <w:lang w:eastAsia="fr-FR"/>
              </w:rPr>
              <w:t> </w:t>
            </w:r>
            <w:r w:rsidRPr="003A5502">
              <w:rPr>
                <w:rFonts w:ascii="Arial Narrow" w:eastAsia="Times New Roman" w:hAnsi="Arial Narrow" w:cs="Times New Roman"/>
                <w:color w:val="FFFFFF" w:themeColor="background1"/>
                <w:sz w:val="24"/>
                <w:szCs w:val="24"/>
                <w:lang w:eastAsia="fr-FR"/>
              </w:rPr>
              <w:t xml:space="preserve">mise en place de mesures de quarantaine et de confinement et </w:t>
            </w:r>
            <w:r w:rsidRPr="003A5502">
              <w:rPr>
                <w:rFonts w:ascii="Arial Narrow" w:eastAsia="Times New Roman" w:hAnsi="Arial Narrow" w:cs="Times New Roman"/>
                <w:i/>
                <w:color w:val="FFFFFF" w:themeColor="background1"/>
                <w:sz w:val="24"/>
                <w:szCs w:val="24"/>
                <w:lang w:eastAsia="fr-FR"/>
              </w:rPr>
              <w:t>(vi)</w:t>
            </w:r>
            <w:r w:rsidRPr="003A5502">
              <w:rPr>
                <w:rFonts w:ascii="Arial Narrow" w:eastAsia="Times New Roman" w:hAnsi="Arial Narrow" w:cs="Times New Roman"/>
                <w:color w:val="FFFFFF" w:themeColor="background1"/>
                <w:sz w:val="24"/>
                <w:szCs w:val="24"/>
                <w:lang w:eastAsia="fr-FR"/>
              </w:rPr>
              <w:t xml:space="preserve"> prise en charge des cas confirmés.</w:t>
            </w:r>
          </w:p>
          <w:p w14:paraId="5ED9BBD2" w14:textId="3CB49DAE" w:rsidR="00CC0F54" w:rsidRPr="003A5502" w:rsidRDefault="00CC0F54" w:rsidP="00CC0F54">
            <w:pPr>
              <w:jc w:val="both"/>
              <w:rPr>
                <w:rFonts w:ascii="Arial Narrow" w:eastAsia="Times New Roman" w:hAnsi="Arial Narrow" w:cs="Times New Roman"/>
                <w:color w:val="FFFFFF" w:themeColor="background1"/>
                <w:sz w:val="24"/>
                <w:szCs w:val="24"/>
                <w:lang w:eastAsia="fr-FR"/>
              </w:rPr>
            </w:pPr>
            <w:bookmarkStart w:id="92" w:name="_Hlk185319378"/>
            <w:r w:rsidRPr="003A5502">
              <w:rPr>
                <w:rFonts w:ascii="Arial Narrow" w:eastAsia="Times New Roman" w:hAnsi="Arial Narrow" w:cs="Times New Roman"/>
                <w:color w:val="FFFFFF" w:themeColor="background1"/>
                <w:sz w:val="24"/>
                <w:szCs w:val="24"/>
                <w:lang w:eastAsia="fr-FR"/>
              </w:rPr>
              <w:t>Pour répondre à l'urgence sanitaire, des capacités de soins supplémentaires ont été mises en place</w:t>
            </w:r>
            <w:bookmarkEnd w:id="92"/>
            <w:r w:rsidRPr="003A5502">
              <w:rPr>
                <w:rFonts w:ascii="Arial Narrow" w:eastAsia="Times New Roman" w:hAnsi="Arial Narrow" w:cs="Times New Roman"/>
                <w:color w:val="FFFFFF" w:themeColor="background1"/>
                <w:sz w:val="24"/>
                <w:szCs w:val="24"/>
                <w:lang w:eastAsia="fr-FR"/>
              </w:rPr>
              <w:t xml:space="preserve">, notamment des sites de dépistage volontaire, des centres de traitement pour les malades, ainsi que des sites de quarantaine. De plus, la capacité d'accueil de ces structures a été renforcée avec la construction de préfabriqués et la mise à disposition de moyens logistiques pour faciliter le transport des patients entre les structures de soins. </w:t>
            </w:r>
            <w:proofErr w:type="gramStart"/>
            <w:r w:rsidRPr="003A5502">
              <w:rPr>
                <w:rFonts w:ascii="Arial Narrow" w:eastAsia="Times New Roman" w:hAnsi="Arial Narrow" w:cs="Times New Roman"/>
                <w:color w:val="FFFFFF" w:themeColor="background1"/>
                <w:sz w:val="24"/>
                <w:szCs w:val="24"/>
                <w:lang w:eastAsia="fr-FR"/>
              </w:rPr>
              <w:t>prélèvements</w:t>
            </w:r>
            <w:proofErr w:type="gramEnd"/>
            <w:r w:rsidRPr="003A5502">
              <w:rPr>
                <w:rFonts w:ascii="Arial Narrow" w:eastAsia="Times New Roman" w:hAnsi="Arial Narrow" w:cs="Times New Roman"/>
                <w:color w:val="FFFFFF" w:themeColor="background1"/>
                <w:sz w:val="24"/>
                <w:szCs w:val="24"/>
                <w:lang w:eastAsia="fr-FR"/>
              </w:rPr>
              <w:t xml:space="preserve"> nasopharyngés effectués chez les cas suspects par l'Institut National d'Hygiène Publique étaient envoyés à l'Institut Pasteur de Côte d'Ivoire (IPCI), laboratoire de référence. Pour renforcer les capacités des acteurs régionaux, 210 membres des COUSP ont été formés.</w:t>
            </w:r>
          </w:p>
          <w:p w14:paraId="4A97B617" w14:textId="7811EF14" w:rsidR="00CC0F54" w:rsidRPr="003A5502" w:rsidRDefault="00CC0F54" w:rsidP="00CC0F54">
            <w:pPr>
              <w:jc w:val="both"/>
              <w:rPr>
                <w:rFonts w:ascii="Arial Narrow" w:hAnsi="Arial Narrow"/>
                <w:color w:val="FFFFFF" w:themeColor="background1"/>
                <w:sz w:val="24"/>
                <w:szCs w:val="24"/>
              </w:rPr>
            </w:pPr>
            <w:r w:rsidRPr="003A5502">
              <w:rPr>
                <w:rFonts w:ascii="Arial Narrow" w:hAnsi="Arial Narrow"/>
                <w:color w:val="FFFFFF" w:themeColor="background1"/>
                <w:sz w:val="24"/>
                <w:szCs w:val="24"/>
              </w:rPr>
              <w:t xml:space="preserve">En plus de ces mesures, </w:t>
            </w:r>
            <w:bookmarkStart w:id="93" w:name="_Hlk185319485"/>
            <w:r w:rsidRPr="003A5502">
              <w:rPr>
                <w:rFonts w:ascii="Arial Narrow" w:hAnsi="Arial Narrow"/>
                <w:color w:val="FFFFFF" w:themeColor="background1"/>
                <w:sz w:val="24"/>
                <w:szCs w:val="24"/>
              </w:rPr>
              <w:t>la vaccination a été adoptée comme une stratégie majeure de lutte contre le virus.</w:t>
            </w:r>
            <w:bookmarkEnd w:id="93"/>
            <w:r w:rsidRPr="003A5502">
              <w:rPr>
                <w:rFonts w:ascii="Arial Narrow" w:hAnsi="Arial Narrow"/>
                <w:color w:val="FFFFFF" w:themeColor="background1"/>
                <w:sz w:val="24"/>
                <w:szCs w:val="24"/>
              </w:rPr>
              <w:t xml:space="preserve"> Le 1</w:t>
            </w:r>
            <w:r w:rsidRPr="003A5502">
              <w:rPr>
                <w:rFonts w:ascii="Arial Narrow" w:hAnsi="Arial Narrow"/>
                <w:color w:val="FFFFFF" w:themeColor="background1"/>
                <w:sz w:val="24"/>
                <w:szCs w:val="24"/>
                <w:vertAlign w:val="superscript"/>
              </w:rPr>
              <w:t>er</w:t>
            </w:r>
            <w:r w:rsidR="00C5107F" w:rsidRPr="003A5502">
              <w:rPr>
                <w:rFonts w:ascii="Arial Narrow" w:hAnsi="Arial Narrow"/>
                <w:color w:val="FFFFFF" w:themeColor="background1"/>
                <w:sz w:val="24"/>
                <w:szCs w:val="24"/>
              </w:rPr>
              <w:t xml:space="preserve"> </w:t>
            </w:r>
            <w:r w:rsidRPr="003A5502">
              <w:rPr>
                <w:rFonts w:ascii="Arial Narrow" w:hAnsi="Arial Narrow"/>
                <w:color w:val="FFFFFF" w:themeColor="background1"/>
                <w:sz w:val="24"/>
                <w:szCs w:val="24"/>
              </w:rPr>
              <w:t>mars 2021, la Côte d'Ivoire a lancé sa campagne de vaccination grâce au mécanisme COVAX. La vaccination, basée sur le volontariat, a ciblé en priorité les professionnels de la santé, les forces de défense et de sécurité, les enseignants, ainsi que les personnes âgées de plus de cinquante ans, les patients atteints de pathologies chroniques, les voyageurs, la population carcérale et les personnes âgées de 18 à 49 ans.</w:t>
            </w:r>
            <w:r w:rsidRPr="003A5502">
              <w:rPr>
                <w:rStyle w:val="lev"/>
                <w:rFonts w:ascii="Arial Narrow" w:hAnsi="Arial Narrow" w:cs="Arial"/>
                <w:color w:val="FFFFFF" w:themeColor="background1"/>
                <w:sz w:val="24"/>
                <w:szCs w:val="24"/>
              </w:rPr>
              <w:t xml:space="preserve"> </w:t>
            </w:r>
          </w:p>
          <w:p w14:paraId="51A35A57" w14:textId="23B4DE53" w:rsidR="00934644" w:rsidRPr="003A5502" w:rsidRDefault="00755D5F" w:rsidP="00CC0F54">
            <w:pPr>
              <w:jc w:val="both"/>
              <w:rPr>
                <w:rFonts w:ascii="Arial Narrow" w:hAnsi="Arial Narrow"/>
                <w:color w:val="FFFFFF" w:themeColor="background1"/>
                <w:sz w:val="24"/>
                <w:szCs w:val="24"/>
              </w:rPr>
            </w:pPr>
            <w:r w:rsidRPr="007A001B">
              <w:rPr>
                <w:rFonts w:ascii="Arial Narrow" w:hAnsi="Arial Narrow"/>
                <w:color w:val="FFFFFF" w:themeColor="background1"/>
                <w:sz w:val="24"/>
                <w:szCs w:val="24"/>
              </w:rPr>
              <w:lastRenderedPageBreak/>
              <w:t>Au 7 mars 2023, Le pays a recensé 88 185 cas confirmés de COVID-19, dont 87 307 guéris et 834 décès, soit un taux de létalité de 0,94</w:t>
            </w:r>
            <w:proofErr w:type="gramStart"/>
            <w:r w:rsidRPr="007A001B">
              <w:rPr>
                <w:rFonts w:ascii="Arial Narrow" w:hAnsi="Arial Narrow"/>
                <w:color w:val="FFFFFF" w:themeColor="background1"/>
                <w:sz w:val="24"/>
                <w:szCs w:val="24"/>
              </w:rPr>
              <w:t>%.</w:t>
            </w:r>
            <w:r w:rsidR="00CC0F54" w:rsidRPr="003A5502">
              <w:rPr>
                <w:rFonts w:ascii="Arial Narrow" w:hAnsi="Arial Narrow"/>
                <w:color w:val="FFFFFF" w:themeColor="background1"/>
                <w:sz w:val="24"/>
                <w:szCs w:val="24"/>
              </w:rPr>
              <w:t>Pour</w:t>
            </w:r>
            <w:proofErr w:type="gramEnd"/>
            <w:r w:rsidR="00CC0F54" w:rsidRPr="003A5502">
              <w:rPr>
                <w:rFonts w:ascii="Arial Narrow" w:hAnsi="Arial Narrow"/>
                <w:color w:val="FFFFFF" w:themeColor="background1"/>
                <w:sz w:val="24"/>
                <w:szCs w:val="24"/>
              </w:rPr>
              <w:t xml:space="preserve"> la vaccination, sur une population cible de 20 834 178 personnes âgées de 12 ans et plus, 14 891 733 individus ont reçu une dose, soit un taux de couverture de 71%, et </w:t>
            </w:r>
            <w:bookmarkStart w:id="94" w:name="_Hlk185319517"/>
            <w:r w:rsidR="00CC0F54" w:rsidRPr="003A5502">
              <w:rPr>
                <w:rFonts w:ascii="Arial Narrow" w:hAnsi="Arial Narrow"/>
                <w:color w:val="FFFFFF" w:themeColor="background1"/>
                <w:sz w:val="24"/>
                <w:szCs w:val="24"/>
              </w:rPr>
              <w:t>13 390 396 personnes sont complètement vaccinées, représentant 64,3% de cette population cible</w:t>
            </w:r>
            <w:bookmarkEnd w:id="94"/>
            <w:r w:rsidR="00CC0F54" w:rsidRPr="003A5502">
              <w:rPr>
                <w:rFonts w:ascii="Arial Narrow" w:hAnsi="Arial Narrow"/>
                <w:color w:val="FFFFFF" w:themeColor="background1"/>
                <w:sz w:val="24"/>
                <w:szCs w:val="24"/>
              </w:rPr>
              <w:t>. Parmi les groupes prioritaires, la couverture vaccinale est de 54% pour le personnel de santé, 24% pour les personnes atteintes de maladies chroniques et 18% des enseignants.</w:t>
            </w:r>
          </w:p>
          <w:p w14:paraId="311B7A96" w14:textId="6CC1EEDD" w:rsidR="00C95608" w:rsidRPr="003A5502" w:rsidRDefault="00CC0F54" w:rsidP="00CC0F54">
            <w:pPr>
              <w:jc w:val="both"/>
              <w:rPr>
                <w:rFonts w:ascii="Arial Narrow" w:eastAsia="Times New Roman" w:hAnsi="Arial Narrow" w:cs="Times New Roman"/>
                <w:color w:val="FFFFFF" w:themeColor="background1"/>
                <w:sz w:val="24"/>
                <w:szCs w:val="24"/>
                <w:lang w:eastAsia="fr-FR"/>
              </w:rPr>
            </w:pPr>
            <w:r w:rsidRPr="003A5502">
              <w:rPr>
                <w:rFonts w:ascii="Arial Narrow" w:eastAsia="Times New Roman" w:hAnsi="Arial Narrow" w:cs="Times New Roman"/>
                <w:color w:val="FFFFFF" w:themeColor="background1"/>
                <w:sz w:val="24"/>
                <w:szCs w:val="24"/>
                <w:lang w:eastAsia="fr-FR"/>
              </w:rPr>
              <w:t>Le 12 avril 2023, le Conseil National de Sécurité, présidé par le Président de la République Alassane Ouattara, a décidé de lever l'état d'urgence sanitaire, saluant les excellents résultats obtenus dans la lutte contre la COVID-19 depuis 2020. En effet</w:t>
            </w:r>
            <w:bookmarkStart w:id="95" w:name="_Hlk185319261"/>
            <w:r w:rsidRPr="003A5502">
              <w:rPr>
                <w:rFonts w:ascii="Arial Narrow" w:eastAsia="Times New Roman" w:hAnsi="Arial Narrow" w:cs="Times New Roman"/>
                <w:color w:val="FFFFFF" w:themeColor="background1"/>
                <w:sz w:val="24"/>
                <w:szCs w:val="24"/>
                <w:lang w:eastAsia="fr-FR"/>
              </w:rPr>
              <w:t xml:space="preserve">, la Côte d'Ivoire a été reconnue comme un modèle </w:t>
            </w:r>
            <w:r w:rsidR="000E409D" w:rsidRPr="003A5502">
              <w:rPr>
                <w:rFonts w:ascii="Arial Narrow" w:eastAsia="Times New Roman" w:hAnsi="Arial Narrow" w:cs="Times New Roman"/>
                <w:color w:val="FFFFFF" w:themeColor="background1"/>
                <w:sz w:val="24"/>
                <w:szCs w:val="24"/>
                <w:lang w:eastAsia="fr-FR"/>
              </w:rPr>
              <w:t xml:space="preserve">dans la sous-région </w:t>
            </w:r>
            <w:r w:rsidRPr="003A5502">
              <w:rPr>
                <w:rFonts w:ascii="Arial Narrow" w:eastAsia="Times New Roman" w:hAnsi="Arial Narrow" w:cs="Times New Roman"/>
                <w:color w:val="FFFFFF" w:themeColor="background1"/>
                <w:sz w:val="24"/>
                <w:szCs w:val="24"/>
                <w:lang w:eastAsia="fr-FR"/>
              </w:rPr>
              <w:t>pour sa gestion exemplaire de la pandémie</w:t>
            </w:r>
            <w:r w:rsidR="001228D1" w:rsidRPr="003A5502">
              <w:rPr>
                <w:rFonts w:ascii="Arial Narrow" w:eastAsia="Times New Roman" w:hAnsi="Arial Narrow" w:cs="Times New Roman"/>
                <w:color w:val="FFFFFF" w:themeColor="background1"/>
                <w:sz w:val="24"/>
                <w:szCs w:val="24"/>
                <w:lang w:eastAsia="fr-FR"/>
              </w:rPr>
              <w:t>.</w:t>
            </w:r>
            <w:bookmarkEnd w:id="95"/>
          </w:p>
          <w:p w14:paraId="7223A042" w14:textId="77777777" w:rsidR="00CC0F54" w:rsidRPr="003A5502" w:rsidRDefault="00CC0F54" w:rsidP="00CC0F54">
            <w:pPr>
              <w:jc w:val="both"/>
              <w:rPr>
                <w:rFonts w:ascii="Arial Narrow" w:hAnsi="Arial Narrow" w:cs="Arial"/>
                <w:color w:val="FFFFFF" w:themeColor="background1"/>
                <w:sz w:val="24"/>
                <w:szCs w:val="24"/>
              </w:rPr>
            </w:pPr>
            <w:r w:rsidRPr="003A5502">
              <w:rPr>
                <w:rFonts w:ascii="Arial Narrow" w:eastAsia="Times New Roman" w:hAnsi="Arial Narrow" w:cs="Times New Roman"/>
                <w:color w:val="FFFFFF" w:themeColor="background1"/>
                <w:sz w:val="24"/>
                <w:szCs w:val="24"/>
                <w:lang w:eastAsia="fr-FR"/>
              </w:rPr>
              <w:t>En somme, la Côte d'Ivoire a réussi à gérer efficacement la pandémie de COVID-19 malgré des défis logistiques. La campagne de vaccination, bien qu'ayant rencontré des obstacles, a contribué à freiner la propagation du virus. Toutefois, la gestion postpandémie nécessitera une attention continue pour consolider les acquis et se préparer à d’éventuelles urgences sanitaires à venir.</w:t>
            </w:r>
          </w:p>
          <w:p w14:paraId="2CF2BDBC" w14:textId="77777777" w:rsidR="00CC0F54" w:rsidRPr="003A5502" w:rsidRDefault="00CC0F54" w:rsidP="003C02AE">
            <w:pPr>
              <w:jc w:val="both"/>
              <w:rPr>
                <w:rFonts w:ascii="Arial Narrow" w:hAnsi="Arial Narrow" w:cs="Times New Roman"/>
                <w:color w:val="FFFFFF" w:themeColor="background1"/>
                <w:sz w:val="24"/>
                <w:szCs w:val="24"/>
              </w:rPr>
            </w:pPr>
          </w:p>
        </w:tc>
      </w:tr>
    </w:tbl>
    <w:p w14:paraId="4E74B050" w14:textId="77777777" w:rsidR="00CC0F54" w:rsidRPr="007E7C5B" w:rsidRDefault="00CC0F54" w:rsidP="003C02AE">
      <w:pPr>
        <w:jc w:val="both"/>
        <w:rPr>
          <w:rFonts w:ascii="Arial Narrow" w:hAnsi="Arial Narrow" w:cs="Times New Roman"/>
          <w:sz w:val="24"/>
          <w:szCs w:val="24"/>
          <w:lang w:val="fr-CI"/>
        </w:rPr>
      </w:pPr>
    </w:p>
    <w:p w14:paraId="7C1AD5AE" w14:textId="77777777" w:rsidR="006933BD" w:rsidRPr="007E7C5B" w:rsidRDefault="006933BD" w:rsidP="006933BD">
      <w:pPr>
        <w:jc w:val="both"/>
        <w:rPr>
          <w:rFonts w:ascii="Arial Narrow" w:hAnsi="Arial Narrow" w:cs="Times New Roman"/>
          <w:sz w:val="24"/>
          <w:szCs w:val="24"/>
          <w:lang w:val="fr-CI"/>
        </w:rPr>
      </w:pPr>
      <w:r w:rsidRPr="007E7C5B">
        <w:rPr>
          <w:rFonts w:ascii="Arial Narrow" w:hAnsi="Arial Narrow" w:cs="Arial"/>
          <w:b/>
          <w:bCs/>
          <w:sz w:val="24"/>
          <w:szCs w:val="24"/>
        </w:rPr>
        <w:t>En dépit de ces efforts,</w:t>
      </w:r>
      <w:r w:rsidRPr="007E7C5B">
        <w:rPr>
          <w:rFonts w:ascii="Arial Narrow" w:hAnsi="Arial Narrow" w:cs="Arial"/>
          <w:sz w:val="24"/>
          <w:szCs w:val="24"/>
        </w:rPr>
        <w:t xml:space="preserve"> plusieurs défis restent à relever pour atteindre les objectifs en 2025 à savoir : </w:t>
      </w:r>
      <w:r w:rsidRPr="007E7C5B">
        <w:rPr>
          <w:rFonts w:ascii="Arial Narrow" w:hAnsi="Arial Narrow" w:cs="Arial"/>
          <w:i/>
          <w:iCs/>
          <w:sz w:val="24"/>
          <w:szCs w:val="24"/>
        </w:rPr>
        <w:t>(i)</w:t>
      </w:r>
      <w:r w:rsidRPr="00A918AC">
        <w:rPr>
          <w:rFonts w:ascii="Arial Narrow" w:hAnsi="Arial Narrow"/>
        </w:rPr>
        <w:t xml:space="preserve"> </w:t>
      </w:r>
      <w:r w:rsidRPr="007E7C5B">
        <w:rPr>
          <w:rFonts w:ascii="Arial Narrow" w:hAnsi="Arial Narrow" w:cs="Arial"/>
          <w:sz w:val="24"/>
          <w:szCs w:val="24"/>
        </w:rPr>
        <w:t>dresser un inventaire et une cartographie des instruments juridiques et réglementaires liés aux exigences du RSI (2005), ainsi qu’une cartographie des ressources pour la prise en charge de cas au titre des conditions d’urgence prioritaires</w:t>
      </w:r>
      <w:r w:rsidRPr="007E7C5B">
        <w:rPr>
          <w:rFonts w:ascii="Arial Narrow" w:hAnsi="Arial Narrow" w:cs="Times New Roman"/>
          <w:sz w:val="24"/>
          <w:szCs w:val="24"/>
          <w:lang w:val="fr-CI"/>
        </w:rPr>
        <w:t xml:space="preserve"> ; </w:t>
      </w:r>
      <w:r w:rsidRPr="007E7C5B">
        <w:rPr>
          <w:rFonts w:ascii="Arial Narrow" w:hAnsi="Arial Narrow" w:cs="Times New Roman"/>
          <w:i/>
          <w:iCs/>
          <w:sz w:val="24"/>
          <w:szCs w:val="24"/>
          <w:lang w:val="fr-CI"/>
        </w:rPr>
        <w:t>(ii)</w:t>
      </w:r>
      <w:r w:rsidRPr="007E7C5B">
        <w:rPr>
          <w:rFonts w:ascii="Arial Narrow" w:hAnsi="Arial Narrow" w:cs="Times New Roman"/>
          <w:sz w:val="24"/>
          <w:szCs w:val="24"/>
          <w:lang w:val="fr-CI"/>
        </w:rPr>
        <w:t xml:space="preserve"> mettre en place une stratégie de développement des ressources humaines prenant en compte l’équité et l’égalité entre les genres en contexte d’urgence sanitaire ; </w:t>
      </w:r>
      <w:r w:rsidRPr="007E7C5B">
        <w:rPr>
          <w:rFonts w:ascii="Arial Narrow" w:hAnsi="Arial Narrow" w:cs="Times New Roman"/>
          <w:i/>
          <w:iCs/>
          <w:sz w:val="24"/>
          <w:szCs w:val="24"/>
          <w:lang w:val="fr-CI"/>
        </w:rPr>
        <w:t>(iii)</w:t>
      </w:r>
      <w:r w:rsidRPr="007E7C5B">
        <w:rPr>
          <w:rFonts w:ascii="Arial Narrow" w:hAnsi="Arial Narrow" w:cs="Times New Roman"/>
          <w:sz w:val="24"/>
          <w:szCs w:val="24"/>
          <w:lang w:val="fr-CI"/>
        </w:rPr>
        <w:t xml:space="preserve"> mettre en place une stratégie de développement des ressources humaines prenant en compte l’équité et l’égalité entre les genres en contexte d’urgence sanitaire ; </w:t>
      </w:r>
      <w:r w:rsidRPr="007E7C5B">
        <w:rPr>
          <w:rFonts w:ascii="Arial Narrow" w:hAnsi="Arial Narrow" w:cs="Times New Roman"/>
          <w:i/>
          <w:iCs/>
          <w:sz w:val="24"/>
          <w:szCs w:val="24"/>
          <w:lang w:val="fr-CI"/>
        </w:rPr>
        <w:t>(iv)</w:t>
      </w:r>
      <w:r w:rsidRPr="007E7C5B">
        <w:rPr>
          <w:rFonts w:ascii="Arial Narrow" w:hAnsi="Arial Narrow" w:cs="Times New Roman"/>
          <w:sz w:val="24"/>
          <w:szCs w:val="24"/>
          <w:lang w:val="fr-CI"/>
        </w:rPr>
        <w:t xml:space="preserve"> </w:t>
      </w:r>
      <w:r w:rsidRPr="007E7C5B">
        <w:rPr>
          <w:rFonts w:ascii="Arial Narrow" w:hAnsi="Arial Narrow" w:cs="Arial"/>
          <w:sz w:val="24"/>
          <w:szCs w:val="24"/>
        </w:rPr>
        <w:t>prévenir et répondre efficacement</w:t>
      </w:r>
      <w:r w:rsidRPr="007E7C5B">
        <w:rPr>
          <w:rFonts w:ascii="Arial Narrow" w:hAnsi="Arial Narrow" w:cs="Times New Roman"/>
          <w:sz w:val="24"/>
          <w:szCs w:val="24"/>
          <w:lang w:val="fr-CI"/>
        </w:rPr>
        <w:t xml:space="preserve"> aux catastrophes et urgences de santé publique liées aux réchauffements climatiques ; </w:t>
      </w:r>
      <w:r w:rsidRPr="007E7C5B">
        <w:rPr>
          <w:rFonts w:ascii="Arial Narrow" w:hAnsi="Arial Narrow" w:cs="Times New Roman"/>
          <w:i/>
          <w:iCs/>
          <w:sz w:val="24"/>
          <w:szCs w:val="24"/>
          <w:lang w:val="fr-CI"/>
        </w:rPr>
        <w:t>(v)</w:t>
      </w:r>
      <w:r w:rsidRPr="007E7C5B">
        <w:rPr>
          <w:rFonts w:ascii="Arial Narrow" w:hAnsi="Arial Narrow" w:cs="Times New Roman"/>
          <w:sz w:val="24"/>
          <w:szCs w:val="24"/>
          <w:lang w:val="fr-CI"/>
        </w:rPr>
        <w:t xml:space="preserve"> l’opérationnaliser les COUSP au niveau de chaque région ; </w:t>
      </w:r>
      <w:r w:rsidRPr="007E7C5B">
        <w:rPr>
          <w:rFonts w:ascii="Arial Narrow" w:hAnsi="Arial Narrow" w:cs="Times New Roman"/>
          <w:i/>
          <w:iCs/>
          <w:sz w:val="24"/>
          <w:szCs w:val="24"/>
          <w:lang w:val="fr-CI"/>
        </w:rPr>
        <w:t>(vi)</w:t>
      </w:r>
      <w:r w:rsidRPr="007E7C5B">
        <w:rPr>
          <w:rFonts w:ascii="Arial Narrow" w:hAnsi="Arial Narrow" w:cs="Times New Roman"/>
          <w:sz w:val="24"/>
          <w:szCs w:val="24"/>
          <w:lang w:val="fr-CI"/>
        </w:rPr>
        <w:t> renforcer les capacités de toutes les Equipes Cadre de District (ECD) sur la Surveillance Intégrée des Maladies et de la Riposte (SIMR).</w:t>
      </w:r>
    </w:p>
    <w:p w14:paraId="793DB004" w14:textId="77777777" w:rsidR="006933BD" w:rsidRPr="007E7C5B" w:rsidRDefault="006933BD" w:rsidP="003C02AE">
      <w:pPr>
        <w:jc w:val="both"/>
        <w:rPr>
          <w:rFonts w:ascii="Arial Narrow" w:hAnsi="Arial Narrow" w:cs="Times New Roman"/>
          <w:sz w:val="24"/>
          <w:szCs w:val="24"/>
          <w:lang w:val="fr-CI"/>
        </w:rPr>
      </w:pPr>
    </w:p>
    <w:p w14:paraId="7A13F837" w14:textId="2357BECE" w:rsidR="00D42568" w:rsidRPr="007E7C5B" w:rsidRDefault="00D42568" w:rsidP="00761F55">
      <w:pPr>
        <w:pStyle w:val="Titre4"/>
        <w:jc w:val="both"/>
        <w:rPr>
          <w:rFonts w:ascii="Arial Narrow" w:hAnsi="Arial Narrow" w:cs="Arial"/>
          <w:sz w:val="24"/>
          <w:szCs w:val="24"/>
        </w:rPr>
      </w:pPr>
      <w:r w:rsidRPr="007E7C5B">
        <w:rPr>
          <w:rFonts w:ascii="Arial Narrow" w:hAnsi="Arial Narrow" w:cs="Arial"/>
          <w:sz w:val="24"/>
          <w:szCs w:val="24"/>
        </w:rPr>
        <w:t xml:space="preserve">Axe 3 : Renforcement de la promotion de la </w:t>
      </w:r>
      <w:r w:rsidR="00CE6ACE" w:rsidRPr="007E7C5B">
        <w:rPr>
          <w:rFonts w:ascii="Arial Narrow" w:hAnsi="Arial Narrow" w:cs="Arial"/>
          <w:sz w:val="24"/>
          <w:szCs w:val="24"/>
        </w:rPr>
        <w:t>s</w:t>
      </w:r>
      <w:r w:rsidRPr="007E7C5B">
        <w:rPr>
          <w:rFonts w:ascii="Arial Narrow" w:hAnsi="Arial Narrow" w:cs="Arial"/>
          <w:sz w:val="24"/>
          <w:szCs w:val="24"/>
        </w:rPr>
        <w:t>anté et de la lutte contre les maladies</w:t>
      </w:r>
    </w:p>
    <w:p w14:paraId="3256E0B8" w14:textId="273D635B" w:rsidR="001E46B4" w:rsidRPr="007E7C5B" w:rsidRDefault="006E36CB" w:rsidP="00761F55">
      <w:pPr>
        <w:jc w:val="both"/>
        <w:rPr>
          <w:rFonts w:ascii="Arial Narrow" w:hAnsi="Arial Narrow" w:cs="Arial"/>
          <w:sz w:val="24"/>
          <w:szCs w:val="24"/>
        </w:rPr>
      </w:pPr>
      <w:r w:rsidRPr="007E7C5B">
        <w:rPr>
          <w:rFonts w:ascii="Arial Narrow" w:hAnsi="Arial Narrow" w:cs="Arial"/>
          <w:sz w:val="24"/>
          <w:szCs w:val="24"/>
        </w:rPr>
        <w:t>Pour</w:t>
      </w:r>
      <w:r w:rsidR="00991F7D" w:rsidRPr="007E7C5B">
        <w:rPr>
          <w:rFonts w:ascii="Arial Narrow" w:hAnsi="Arial Narrow" w:cs="Arial"/>
          <w:sz w:val="24"/>
          <w:szCs w:val="24"/>
        </w:rPr>
        <w:t xml:space="preserve"> cet a</w:t>
      </w:r>
      <w:r w:rsidR="001E46B4" w:rsidRPr="007E7C5B">
        <w:rPr>
          <w:rFonts w:ascii="Arial Narrow" w:hAnsi="Arial Narrow" w:cs="Arial"/>
          <w:sz w:val="24"/>
          <w:szCs w:val="24"/>
        </w:rPr>
        <w:t>xe</w:t>
      </w:r>
      <w:r w:rsidR="00991F7D" w:rsidRPr="007E7C5B">
        <w:rPr>
          <w:rFonts w:ascii="Arial Narrow" w:hAnsi="Arial Narrow" w:cs="Arial"/>
          <w:sz w:val="24"/>
          <w:szCs w:val="24"/>
        </w:rPr>
        <w:t xml:space="preserve">, le MSHPCMU vise </w:t>
      </w:r>
      <w:r w:rsidR="001E46B4" w:rsidRPr="007E7C5B">
        <w:rPr>
          <w:rFonts w:ascii="Arial Narrow" w:hAnsi="Arial Narrow" w:cs="Arial"/>
          <w:sz w:val="24"/>
          <w:szCs w:val="24"/>
        </w:rPr>
        <w:t xml:space="preserve">à </w:t>
      </w:r>
      <w:r w:rsidR="00061AD6" w:rsidRPr="007E7C5B">
        <w:rPr>
          <w:rFonts w:ascii="Arial Narrow" w:hAnsi="Arial Narrow" w:cs="Arial"/>
          <w:sz w:val="24"/>
          <w:szCs w:val="24"/>
        </w:rPr>
        <w:t>assurer que</w:t>
      </w:r>
      <w:r w:rsidR="001E46B4" w:rsidRPr="007E7C5B" w:rsidDel="00061AD6">
        <w:rPr>
          <w:rFonts w:ascii="Arial Narrow" w:hAnsi="Arial Narrow" w:cs="Arial"/>
          <w:sz w:val="24"/>
          <w:szCs w:val="24"/>
        </w:rPr>
        <w:t xml:space="preserve"> </w:t>
      </w:r>
      <w:r w:rsidR="001E46B4" w:rsidRPr="007E7C5B">
        <w:rPr>
          <w:rFonts w:ascii="Arial Narrow" w:hAnsi="Arial Narrow" w:cs="Arial"/>
          <w:sz w:val="24"/>
          <w:szCs w:val="24"/>
        </w:rPr>
        <w:t>les populations</w:t>
      </w:r>
      <w:r w:rsidR="00061AD6" w:rsidRPr="007E7C5B">
        <w:rPr>
          <w:rFonts w:ascii="Arial Narrow" w:hAnsi="Arial Narrow" w:cs="Arial"/>
          <w:sz w:val="24"/>
          <w:szCs w:val="24"/>
        </w:rPr>
        <w:t>,</w:t>
      </w:r>
      <w:r w:rsidR="001E46B4" w:rsidRPr="007E7C5B">
        <w:rPr>
          <w:rFonts w:ascii="Arial Narrow" w:hAnsi="Arial Narrow" w:cs="Arial"/>
          <w:sz w:val="24"/>
          <w:szCs w:val="24"/>
        </w:rPr>
        <w:t xml:space="preserve"> en particulier les plus vulnérables, utilisent des services de santé de qualité et adoptent des comportements adéquats favorisant une meilleure santé. Ce résultat se décline en plusieurs thématiques, pour lesquelles des interventions </w:t>
      </w:r>
      <w:r w:rsidR="00D80C53" w:rsidRPr="007E7C5B">
        <w:rPr>
          <w:rFonts w:ascii="Arial Narrow" w:hAnsi="Arial Narrow" w:cs="Arial"/>
          <w:sz w:val="24"/>
          <w:szCs w:val="24"/>
        </w:rPr>
        <w:t xml:space="preserve">ont été enregistrées </w:t>
      </w:r>
      <w:r w:rsidR="001E46B4" w:rsidRPr="007E7C5B">
        <w:rPr>
          <w:rFonts w:ascii="Arial Narrow" w:hAnsi="Arial Narrow" w:cs="Arial"/>
          <w:sz w:val="24"/>
          <w:szCs w:val="24"/>
        </w:rPr>
        <w:t xml:space="preserve">sur les trois premières années de mise en œuvre du PNDS </w:t>
      </w:r>
      <w:r w:rsidR="009E3475" w:rsidRPr="007E7C5B">
        <w:rPr>
          <w:rFonts w:ascii="Arial Narrow" w:hAnsi="Arial Narrow" w:cs="Arial"/>
          <w:sz w:val="24"/>
          <w:szCs w:val="24"/>
        </w:rPr>
        <w:t>2021-2025</w:t>
      </w:r>
      <w:r w:rsidR="001E46B4" w:rsidRPr="007E7C5B">
        <w:rPr>
          <w:rFonts w:ascii="Arial Narrow" w:hAnsi="Arial Narrow" w:cs="Arial"/>
          <w:sz w:val="24"/>
          <w:szCs w:val="24"/>
        </w:rPr>
        <w:t>.</w:t>
      </w:r>
    </w:p>
    <w:p w14:paraId="4827D946" w14:textId="79196F40" w:rsidR="002C47A2" w:rsidRPr="007E7C5B" w:rsidRDefault="002C47A2" w:rsidP="00AA7D22">
      <w:pPr>
        <w:pStyle w:val="Titre5"/>
        <w:shd w:val="clear" w:color="auto" w:fill="FBE4D5" w:themeFill="accent2" w:themeFillTint="33"/>
        <w:rPr>
          <w:rFonts w:ascii="Arial Narrow" w:hAnsi="Arial Narrow"/>
          <w:color w:val="FF0000"/>
          <w:sz w:val="24"/>
          <w:szCs w:val="24"/>
        </w:rPr>
      </w:pPr>
      <w:r w:rsidRPr="007E7C5B">
        <w:rPr>
          <w:rFonts w:ascii="Arial Narrow" w:hAnsi="Arial Narrow"/>
          <w:b/>
          <w:color w:val="auto"/>
          <w:sz w:val="24"/>
          <w:szCs w:val="24"/>
        </w:rPr>
        <w:t>Demande de services de santé de qualité et prévention des maladies</w:t>
      </w:r>
      <w:r w:rsidRPr="007E7C5B">
        <w:rPr>
          <w:rFonts w:ascii="Arial Narrow" w:hAnsi="Arial Narrow"/>
          <w:color w:val="FF0000"/>
          <w:sz w:val="24"/>
          <w:szCs w:val="24"/>
        </w:rPr>
        <w:tab/>
      </w:r>
    </w:p>
    <w:p w14:paraId="638F9E03" w14:textId="774CB10D" w:rsidR="002C47A2" w:rsidRPr="007E7C5B" w:rsidRDefault="002C47A2" w:rsidP="00761F55">
      <w:pPr>
        <w:spacing w:line="271" w:lineRule="auto"/>
        <w:jc w:val="both"/>
        <w:rPr>
          <w:rFonts w:ascii="Arial Narrow" w:hAnsi="Arial Narrow" w:cs="Arial"/>
          <w:sz w:val="24"/>
          <w:szCs w:val="24"/>
        </w:rPr>
      </w:pPr>
      <w:r w:rsidRPr="007E7C5B">
        <w:rPr>
          <w:rFonts w:ascii="Arial Narrow" w:hAnsi="Arial Narrow" w:cs="Arial"/>
          <w:sz w:val="24"/>
          <w:szCs w:val="24"/>
        </w:rPr>
        <w:t>Au titre de la demande et de l'utilisation des services de santé, pour son volet communautaire, l’objectif était</w:t>
      </w:r>
      <w:r w:rsidR="00F2341F" w:rsidRPr="007E7C5B">
        <w:rPr>
          <w:rFonts w:ascii="Arial Narrow" w:hAnsi="Arial Narrow" w:cs="Arial"/>
          <w:sz w:val="24"/>
          <w:szCs w:val="24"/>
        </w:rPr>
        <w:t xml:space="preserve"> de : </w:t>
      </w:r>
      <w:r w:rsidR="00F166EB" w:rsidRPr="00A918AC">
        <w:rPr>
          <w:rFonts w:ascii="Arial Narrow" w:hAnsi="Arial Narrow" w:cs="Arial"/>
          <w:i/>
          <w:sz w:val="24"/>
          <w:szCs w:val="24"/>
        </w:rPr>
        <w:t>(</w:t>
      </w:r>
      <w:r w:rsidR="00F2341F" w:rsidRPr="00A918AC">
        <w:rPr>
          <w:rFonts w:ascii="Arial Narrow" w:hAnsi="Arial Narrow" w:cs="Arial"/>
          <w:i/>
          <w:sz w:val="24"/>
          <w:szCs w:val="24"/>
        </w:rPr>
        <w:t>i)</w:t>
      </w:r>
      <w:r w:rsidRPr="007E7C5B">
        <w:rPr>
          <w:rFonts w:ascii="Arial Narrow" w:hAnsi="Arial Narrow" w:cs="Arial"/>
          <w:sz w:val="24"/>
          <w:szCs w:val="24"/>
        </w:rPr>
        <w:t xml:space="preserve"> faire en sorte qu’en 2023 la </w:t>
      </w:r>
      <w:r w:rsidR="002804EC" w:rsidRPr="007E7C5B">
        <w:rPr>
          <w:rFonts w:ascii="Arial Narrow" w:hAnsi="Arial Narrow" w:cs="Arial"/>
          <w:sz w:val="24"/>
          <w:szCs w:val="24"/>
        </w:rPr>
        <w:t>p</w:t>
      </w:r>
      <w:r w:rsidRPr="007E7C5B">
        <w:rPr>
          <w:rFonts w:ascii="Arial Narrow" w:hAnsi="Arial Narrow" w:cs="Arial"/>
          <w:sz w:val="24"/>
          <w:szCs w:val="24"/>
        </w:rPr>
        <w:t>roportion de ménages ayant acquis les connaissances sur les Pratiques Familiales Essentielles (PFE) soit de 40% et de 60</w:t>
      </w:r>
      <w:r w:rsidR="00811B2F" w:rsidRPr="007E7C5B">
        <w:rPr>
          <w:rFonts w:ascii="Arial Narrow" w:hAnsi="Arial Narrow" w:cs="Arial"/>
          <w:sz w:val="24"/>
          <w:szCs w:val="24"/>
        </w:rPr>
        <w:t>%</w:t>
      </w:r>
      <w:r w:rsidRPr="007E7C5B">
        <w:rPr>
          <w:rFonts w:ascii="Arial Narrow" w:hAnsi="Arial Narrow" w:cs="Arial"/>
          <w:sz w:val="24"/>
          <w:szCs w:val="24"/>
        </w:rPr>
        <w:t xml:space="preserve"> en 2025 ; </w:t>
      </w:r>
      <w:r w:rsidR="00F166EB" w:rsidRPr="00A918AC">
        <w:rPr>
          <w:rFonts w:ascii="Arial Narrow" w:hAnsi="Arial Narrow" w:cs="Arial"/>
          <w:i/>
          <w:sz w:val="24"/>
          <w:szCs w:val="24"/>
        </w:rPr>
        <w:t>(ii</w:t>
      </w:r>
      <w:r w:rsidR="00F2341F" w:rsidRPr="00A918AC">
        <w:rPr>
          <w:rFonts w:ascii="Arial Narrow" w:hAnsi="Arial Narrow" w:cs="Arial"/>
          <w:i/>
          <w:sz w:val="24"/>
          <w:szCs w:val="24"/>
        </w:rPr>
        <w:t>)</w:t>
      </w:r>
      <w:r w:rsidRPr="007E7C5B">
        <w:rPr>
          <w:rFonts w:ascii="Arial Narrow" w:hAnsi="Arial Narrow" w:cs="Arial"/>
          <w:sz w:val="24"/>
          <w:szCs w:val="24"/>
        </w:rPr>
        <w:t xml:space="preserve"> faire passer le </w:t>
      </w:r>
      <w:r w:rsidR="00F2341F" w:rsidRPr="007E7C5B">
        <w:rPr>
          <w:rFonts w:ascii="Arial Narrow" w:hAnsi="Arial Narrow" w:cs="Arial"/>
          <w:sz w:val="24"/>
          <w:szCs w:val="24"/>
        </w:rPr>
        <w:t>r</w:t>
      </w:r>
      <w:r w:rsidRPr="007E7C5B">
        <w:rPr>
          <w:rFonts w:ascii="Arial Narrow" w:hAnsi="Arial Narrow" w:cs="Arial"/>
          <w:sz w:val="24"/>
          <w:szCs w:val="24"/>
        </w:rPr>
        <w:t>atio ASC/population de 1</w:t>
      </w:r>
      <w:r w:rsidR="00F166EB" w:rsidRPr="007E7C5B">
        <w:rPr>
          <w:rFonts w:ascii="Arial Narrow" w:hAnsi="Arial Narrow" w:cs="Arial"/>
          <w:sz w:val="24"/>
          <w:szCs w:val="24"/>
        </w:rPr>
        <w:t xml:space="preserve"> </w:t>
      </w:r>
      <w:r w:rsidRPr="007E7C5B">
        <w:rPr>
          <w:rFonts w:ascii="Arial Narrow" w:hAnsi="Arial Narrow" w:cs="Arial"/>
          <w:sz w:val="24"/>
          <w:szCs w:val="24"/>
        </w:rPr>
        <w:t>ASC pour 2</w:t>
      </w:r>
      <w:r w:rsidR="00BF4F86" w:rsidRPr="007E7C5B">
        <w:rPr>
          <w:rFonts w:ascii="Arial Narrow" w:hAnsi="Arial Narrow" w:cs="Arial"/>
          <w:sz w:val="24"/>
          <w:szCs w:val="24"/>
        </w:rPr>
        <w:t xml:space="preserve"> </w:t>
      </w:r>
      <w:r w:rsidRPr="007E7C5B">
        <w:rPr>
          <w:rFonts w:ascii="Arial Narrow" w:hAnsi="Arial Narrow" w:cs="Arial"/>
          <w:sz w:val="24"/>
          <w:szCs w:val="24"/>
        </w:rPr>
        <w:t xml:space="preserve">034 </w:t>
      </w:r>
      <w:r w:rsidR="00A5588E" w:rsidRPr="007E7C5B">
        <w:rPr>
          <w:rFonts w:ascii="Arial Narrow" w:hAnsi="Arial Narrow" w:cs="Arial"/>
          <w:sz w:val="24"/>
          <w:szCs w:val="24"/>
        </w:rPr>
        <w:t>habitants</w:t>
      </w:r>
      <w:r w:rsidR="00A5588E" w:rsidRPr="007E7C5B" w:rsidDel="00A5588E">
        <w:rPr>
          <w:rFonts w:ascii="Arial Narrow" w:hAnsi="Arial Narrow" w:cs="Arial"/>
          <w:sz w:val="24"/>
          <w:szCs w:val="24"/>
        </w:rPr>
        <w:t xml:space="preserve"> </w:t>
      </w:r>
      <w:r w:rsidRPr="007E7C5B">
        <w:rPr>
          <w:rFonts w:ascii="Arial Narrow" w:hAnsi="Arial Narrow" w:cs="Arial"/>
          <w:sz w:val="24"/>
          <w:szCs w:val="24"/>
        </w:rPr>
        <w:t>en 2020 à 1</w:t>
      </w:r>
      <w:r w:rsidR="003C37AF" w:rsidRPr="007E7C5B">
        <w:rPr>
          <w:rFonts w:ascii="Arial Narrow" w:hAnsi="Arial Narrow" w:cs="Arial"/>
          <w:sz w:val="24"/>
          <w:szCs w:val="24"/>
        </w:rPr>
        <w:t xml:space="preserve"> </w:t>
      </w:r>
      <w:r w:rsidRPr="007E7C5B">
        <w:rPr>
          <w:rFonts w:ascii="Arial Narrow" w:hAnsi="Arial Narrow" w:cs="Arial"/>
          <w:sz w:val="24"/>
          <w:szCs w:val="24"/>
        </w:rPr>
        <w:t>ASC pour 1</w:t>
      </w:r>
      <w:r w:rsidR="00BF4F86" w:rsidRPr="007E7C5B">
        <w:rPr>
          <w:rFonts w:ascii="Arial Narrow" w:hAnsi="Arial Narrow" w:cs="Arial"/>
          <w:sz w:val="24"/>
          <w:szCs w:val="24"/>
        </w:rPr>
        <w:t xml:space="preserve"> </w:t>
      </w:r>
      <w:r w:rsidRPr="007E7C5B">
        <w:rPr>
          <w:rFonts w:ascii="Arial Narrow" w:hAnsi="Arial Narrow" w:cs="Arial"/>
          <w:sz w:val="24"/>
          <w:szCs w:val="24"/>
        </w:rPr>
        <w:t xml:space="preserve">470 </w:t>
      </w:r>
      <w:r w:rsidR="00A5588E" w:rsidRPr="007E7C5B">
        <w:rPr>
          <w:rFonts w:ascii="Arial Narrow" w:hAnsi="Arial Narrow" w:cs="Arial"/>
          <w:sz w:val="24"/>
          <w:szCs w:val="24"/>
        </w:rPr>
        <w:t>habitants</w:t>
      </w:r>
      <w:r w:rsidR="00E33227">
        <w:rPr>
          <w:rFonts w:ascii="Arial Narrow" w:hAnsi="Arial Narrow" w:cs="Arial"/>
          <w:sz w:val="24"/>
          <w:szCs w:val="24"/>
        </w:rPr>
        <w:t xml:space="preserve"> </w:t>
      </w:r>
      <w:r w:rsidRPr="007E7C5B">
        <w:rPr>
          <w:rFonts w:ascii="Arial Narrow" w:hAnsi="Arial Narrow" w:cs="Arial"/>
          <w:sz w:val="24"/>
          <w:szCs w:val="24"/>
        </w:rPr>
        <w:t>en 2023 et 1</w:t>
      </w:r>
      <w:r w:rsidR="00A5588E" w:rsidRPr="007E7C5B">
        <w:rPr>
          <w:rFonts w:ascii="Arial Narrow" w:hAnsi="Arial Narrow" w:cs="Arial"/>
          <w:sz w:val="24"/>
          <w:szCs w:val="24"/>
        </w:rPr>
        <w:t xml:space="preserve"> </w:t>
      </w:r>
      <w:r w:rsidRPr="007E7C5B">
        <w:rPr>
          <w:rFonts w:ascii="Arial Narrow" w:hAnsi="Arial Narrow" w:cs="Arial"/>
          <w:sz w:val="24"/>
          <w:szCs w:val="24"/>
        </w:rPr>
        <w:t>ASC pour 1</w:t>
      </w:r>
      <w:r w:rsidR="00BF4F86" w:rsidRPr="007E7C5B">
        <w:rPr>
          <w:rFonts w:ascii="Arial Narrow" w:hAnsi="Arial Narrow" w:cs="Arial"/>
          <w:sz w:val="24"/>
          <w:szCs w:val="24"/>
        </w:rPr>
        <w:t xml:space="preserve"> </w:t>
      </w:r>
      <w:r w:rsidRPr="007E7C5B">
        <w:rPr>
          <w:rFonts w:ascii="Arial Narrow" w:hAnsi="Arial Narrow" w:cs="Arial"/>
          <w:sz w:val="24"/>
          <w:szCs w:val="24"/>
        </w:rPr>
        <w:t>400 h</w:t>
      </w:r>
      <w:r w:rsidR="00A5588E" w:rsidRPr="007E7C5B">
        <w:rPr>
          <w:rFonts w:ascii="Arial Narrow" w:hAnsi="Arial Narrow" w:cs="Arial"/>
          <w:sz w:val="24"/>
          <w:szCs w:val="24"/>
        </w:rPr>
        <w:t>a</w:t>
      </w:r>
      <w:r w:rsidRPr="007E7C5B">
        <w:rPr>
          <w:rFonts w:ascii="Arial Narrow" w:hAnsi="Arial Narrow" w:cs="Arial"/>
          <w:sz w:val="24"/>
          <w:szCs w:val="24"/>
        </w:rPr>
        <w:t>b</w:t>
      </w:r>
      <w:r w:rsidR="00A5588E" w:rsidRPr="007E7C5B">
        <w:rPr>
          <w:rFonts w:ascii="Arial Narrow" w:hAnsi="Arial Narrow" w:cs="Arial"/>
          <w:sz w:val="24"/>
          <w:szCs w:val="24"/>
        </w:rPr>
        <w:t>itant</w:t>
      </w:r>
      <w:r w:rsidRPr="007E7C5B">
        <w:rPr>
          <w:rFonts w:ascii="Arial Narrow" w:hAnsi="Arial Narrow" w:cs="Arial"/>
          <w:sz w:val="24"/>
          <w:szCs w:val="24"/>
        </w:rPr>
        <w:t>s en 2025.</w:t>
      </w:r>
    </w:p>
    <w:p w14:paraId="17ADC25E" w14:textId="0910CD7D" w:rsidR="002C47A2" w:rsidRDefault="00EF7E06" w:rsidP="00761F55">
      <w:pPr>
        <w:spacing w:line="271" w:lineRule="auto"/>
        <w:jc w:val="both"/>
        <w:rPr>
          <w:rFonts w:ascii="Arial Narrow" w:hAnsi="Arial Narrow" w:cs="Arial"/>
          <w:sz w:val="24"/>
          <w:szCs w:val="24"/>
        </w:rPr>
      </w:pPr>
      <w:r w:rsidRPr="00A918AC">
        <w:rPr>
          <w:rFonts w:ascii="Arial Narrow" w:hAnsi="Arial Narrow" w:cs="Arial"/>
          <w:b/>
          <w:i/>
          <w:sz w:val="24"/>
          <w:szCs w:val="24"/>
        </w:rPr>
        <w:t>En matière de gouvernance,</w:t>
      </w:r>
      <w:r w:rsidRPr="007E7C5B">
        <w:rPr>
          <w:rFonts w:ascii="Arial Narrow" w:hAnsi="Arial Narrow" w:cs="Arial"/>
          <w:sz w:val="24"/>
          <w:szCs w:val="24"/>
        </w:rPr>
        <w:t xml:space="preserve"> p</w:t>
      </w:r>
      <w:r w:rsidR="002C47A2" w:rsidRPr="007E7C5B">
        <w:rPr>
          <w:rFonts w:ascii="Arial Narrow" w:hAnsi="Arial Narrow" w:cs="Arial"/>
          <w:sz w:val="24"/>
          <w:szCs w:val="24"/>
        </w:rPr>
        <w:t xml:space="preserve">our l’atteinte de ces objectifs, le MSHPCMU s’est doté d’un </w:t>
      </w:r>
      <w:r w:rsidR="002C47A2" w:rsidRPr="00A918AC">
        <w:rPr>
          <w:rFonts w:ascii="Arial Narrow" w:hAnsi="Arial Narrow" w:cs="Arial"/>
          <w:sz w:val="24"/>
          <w:szCs w:val="24"/>
        </w:rPr>
        <w:t>document de politique nationale de la santé communautaire en 2021</w:t>
      </w:r>
      <w:r w:rsidR="002C47A2" w:rsidRPr="007E7C5B">
        <w:rPr>
          <w:rFonts w:ascii="Arial Narrow" w:hAnsi="Arial Narrow" w:cs="Arial"/>
          <w:sz w:val="24"/>
          <w:szCs w:val="24"/>
        </w:rPr>
        <w:t xml:space="preserve"> et d’un </w:t>
      </w:r>
      <w:r w:rsidR="003D7FEF" w:rsidRPr="00A918AC">
        <w:rPr>
          <w:rFonts w:ascii="Arial Narrow" w:hAnsi="Arial Narrow" w:cs="Arial"/>
          <w:sz w:val="24"/>
          <w:szCs w:val="24"/>
        </w:rPr>
        <w:t>p</w:t>
      </w:r>
      <w:r w:rsidR="002C47A2" w:rsidRPr="00A918AC">
        <w:rPr>
          <w:rFonts w:ascii="Arial Narrow" w:hAnsi="Arial Narrow" w:cs="Arial"/>
          <w:sz w:val="24"/>
          <w:szCs w:val="24"/>
        </w:rPr>
        <w:t>lan stratégique de la santé communautaire 2022-2025</w:t>
      </w:r>
      <w:r w:rsidR="002C47A2" w:rsidRPr="007E7C5B">
        <w:rPr>
          <w:rFonts w:ascii="Arial Narrow" w:hAnsi="Arial Narrow" w:cs="Arial"/>
          <w:sz w:val="24"/>
          <w:szCs w:val="24"/>
        </w:rPr>
        <w:t xml:space="preserve">. En outre un référentiel de mise en œuvre des interventions de la santé communautaire </w:t>
      </w:r>
      <w:r w:rsidR="008622DF" w:rsidRPr="007E7C5B">
        <w:rPr>
          <w:rFonts w:ascii="Arial Narrow" w:hAnsi="Arial Narrow" w:cs="Arial"/>
          <w:sz w:val="24"/>
          <w:szCs w:val="24"/>
        </w:rPr>
        <w:t>a été élaboré</w:t>
      </w:r>
      <w:r w:rsidR="002C47A2" w:rsidRPr="007E7C5B">
        <w:rPr>
          <w:rFonts w:ascii="Arial Narrow" w:hAnsi="Arial Narrow" w:cs="Arial"/>
          <w:sz w:val="24"/>
          <w:szCs w:val="24"/>
        </w:rPr>
        <w:t xml:space="preserve">. En parallèle, un cadre de concertation permanent des intervenants en </w:t>
      </w:r>
      <w:r w:rsidR="002C47A2" w:rsidRPr="007E7C5B">
        <w:rPr>
          <w:rFonts w:ascii="Arial Narrow" w:hAnsi="Arial Narrow" w:cs="Arial"/>
          <w:sz w:val="24"/>
          <w:szCs w:val="24"/>
        </w:rPr>
        <w:lastRenderedPageBreak/>
        <w:t xml:space="preserve">santé communautaire a été établi dès 2021, ainsi qu'une plateforme multisectorielle dédiée à la promotion de la santé. On note également </w:t>
      </w:r>
      <w:r w:rsidR="00E4754E" w:rsidRPr="007E7C5B">
        <w:rPr>
          <w:rFonts w:ascii="Arial Narrow" w:hAnsi="Arial Narrow" w:cs="Arial"/>
          <w:sz w:val="24"/>
          <w:szCs w:val="24"/>
        </w:rPr>
        <w:t>l’élaboration d’</w:t>
      </w:r>
      <w:r w:rsidR="002C47A2" w:rsidRPr="007E7C5B">
        <w:rPr>
          <w:rFonts w:ascii="Arial Narrow" w:hAnsi="Arial Narrow" w:cs="Arial"/>
          <w:sz w:val="24"/>
          <w:szCs w:val="24"/>
        </w:rPr>
        <w:t xml:space="preserve">un guide national de distribution et approvisionnement des médicaments au niveau communautaire </w:t>
      </w:r>
      <w:r w:rsidR="00E4754E" w:rsidRPr="007E7C5B">
        <w:rPr>
          <w:rFonts w:ascii="Arial Narrow" w:hAnsi="Arial Narrow" w:cs="Arial"/>
          <w:sz w:val="24"/>
          <w:szCs w:val="24"/>
        </w:rPr>
        <w:t>en</w:t>
      </w:r>
      <w:r w:rsidR="002C47A2" w:rsidRPr="007E7C5B">
        <w:rPr>
          <w:rFonts w:ascii="Arial Narrow" w:hAnsi="Arial Narrow" w:cs="Arial"/>
          <w:sz w:val="24"/>
          <w:szCs w:val="24"/>
        </w:rPr>
        <w:t xml:space="preserve"> 2022</w:t>
      </w:r>
      <w:r w:rsidR="003E4DC5" w:rsidRPr="007E7C5B">
        <w:rPr>
          <w:rFonts w:ascii="Arial Narrow" w:hAnsi="Arial Narrow" w:cs="Arial"/>
          <w:sz w:val="24"/>
          <w:szCs w:val="24"/>
        </w:rPr>
        <w:t>,</w:t>
      </w:r>
      <w:r w:rsidR="00E4754E" w:rsidRPr="007E7C5B">
        <w:rPr>
          <w:rFonts w:ascii="Arial Narrow" w:hAnsi="Arial Narrow" w:cs="Arial"/>
          <w:sz w:val="24"/>
          <w:szCs w:val="24"/>
        </w:rPr>
        <w:t xml:space="preserve"> ainsi qu</w:t>
      </w:r>
      <w:r w:rsidR="00A03535" w:rsidRPr="007E7C5B">
        <w:rPr>
          <w:rFonts w:ascii="Arial Narrow" w:hAnsi="Arial Narrow" w:cs="Arial"/>
          <w:sz w:val="24"/>
          <w:szCs w:val="24"/>
        </w:rPr>
        <w:t>’</w:t>
      </w:r>
      <w:r w:rsidR="00E4754E" w:rsidRPr="007E7C5B">
        <w:rPr>
          <w:rFonts w:ascii="Arial Narrow" w:hAnsi="Arial Narrow" w:cs="Arial"/>
          <w:sz w:val="24"/>
          <w:szCs w:val="24"/>
        </w:rPr>
        <w:t>un</w:t>
      </w:r>
      <w:r w:rsidR="00A03535" w:rsidRPr="007E7C5B">
        <w:rPr>
          <w:rFonts w:ascii="Arial Narrow" w:hAnsi="Arial Narrow" w:cs="Arial"/>
          <w:sz w:val="24"/>
          <w:szCs w:val="24"/>
        </w:rPr>
        <w:t xml:space="preserve"> </w:t>
      </w:r>
      <w:r w:rsidR="001B7222" w:rsidRPr="007E7C5B">
        <w:rPr>
          <w:rFonts w:ascii="Arial Narrow" w:hAnsi="Arial Narrow" w:cs="Arial"/>
          <w:sz w:val="24"/>
          <w:szCs w:val="24"/>
        </w:rPr>
        <w:t>document opérationnel d’intégration des interventions de santé communautaire dans la coordination et le suivi et évaluation à chaque niveau de la pyramide sanitaire.</w:t>
      </w:r>
    </w:p>
    <w:p w14:paraId="3A3F5050" w14:textId="4BD23A92" w:rsidR="002F66A1" w:rsidRPr="0044167B" w:rsidRDefault="00755D5F" w:rsidP="0044167B">
      <w:pPr>
        <w:suppressAutoHyphens/>
        <w:autoSpaceDN w:val="0"/>
        <w:spacing w:line="254" w:lineRule="auto"/>
        <w:rPr>
          <w:rFonts w:ascii="Arial Narrow" w:hAnsi="Arial Narrow" w:cs="Arial"/>
          <w:sz w:val="24"/>
          <w:szCs w:val="24"/>
        </w:rPr>
      </w:pPr>
      <w:r>
        <w:rPr>
          <w:rFonts w:ascii="Arial Narrow" w:hAnsi="Arial Narrow" w:cs="Arial"/>
          <w:sz w:val="24"/>
          <w:szCs w:val="24"/>
        </w:rPr>
        <w:t>A</w:t>
      </w:r>
      <w:r w:rsidR="002F66A1" w:rsidRPr="0044167B">
        <w:rPr>
          <w:rFonts w:ascii="Arial Narrow" w:hAnsi="Arial Narrow" w:cs="Arial"/>
          <w:sz w:val="24"/>
          <w:szCs w:val="24"/>
        </w:rPr>
        <w:t xml:space="preserve">u titre des actions de promotion de la santé, le nombre total de ménages suivis par les ASC était de 7 816 875 en 2023. Parmi ces ménages, 65,53 % ont accès à un point d’eau potable et 48 % d’entre eux disposent de latrines. Pour ce qui est du renforcement de la promotion des PFE et des mesures préventives, en 2023, les ASC ont réalisé 3 473 963 visites à domicile pour sensibiliser les ménages sur les pratiques familiales essentielles. S’agissant de la promotion de la santé en vue de prévenir les maladies transmissibles, ce sont 22 345 femmes enceintes perdues de vue de la communauté retrouvées par les ASC, référées et ayant reçu le TPI à la SP3. </w:t>
      </w:r>
      <w:r w:rsidR="002F66A1">
        <w:rPr>
          <w:rFonts w:ascii="Arial Narrow" w:hAnsi="Arial Narrow" w:cs="Arial"/>
          <w:sz w:val="24"/>
          <w:szCs w:val="24"/>
        </w:rPr>
        <w:t>L</w:t>
      </w:r>
      <w:r w:rsidR="002F66A1" w:rsidRPr="0044167B">
        <w:rPr>
          <w:rFonts w:ascii="Arial Narrow" w:hAnsi="Arial Narrow" w:cs="Arial"/>
          <w:sz w:val="24"/>
          <w:szCs w:val="24"/>
        </w:rPr>
        <w:t>es ASC ont retrouvé et ramené dans les soins 38 437 enfants déclarés perdus de vue pour la série vaccinale.</w:t>
      </w:r>
    </w:p>
    <w:p w14:paraId="00F2A1D2" w14:textId="5E583312" w:rsidR="002F66A1" w:rsidRPr="007E7C5B" w:rsidRDefault="002F66A1" w:rsidP="0044167B">
      <w:pPr>
        <w:rPr>
          <w:rFonts w:ascii="Arial Narrow" w:hAnsi="Arial Narrow" w:cs="Arial"/>
          <w:sz w:val="24"/>
          <w:szCs w:val="24"/>
        </w:rPr>
      </w:pPr>
      <w:r>
        <w:rPr>
          <w:rFonts w:ascii="Arial Narrow" w:hAnsi="Arial Narrow" w:cs="Arial"/>
          <w:sz w:val="24"/>
          <w:szCs w:val="24"/>
        </w:rPr>
        <w:t>D</w:t>
      </w:r>
      <w:r w:rsidRPr="0044167B">
        <w:rPr>
          <w:rFonts w:ascii="Arial Narrow" w:hAnsi="Arial Narrow" w:cs="Arial"/>
          <w:sz w:val="24"/>
          <w:szCs w:val="24"/>
        </w:rPr>
        <w:t>ans le cadre de la prise en charge des cas de paludisme, de pneumonie et de diarrhée,</w:t>
      </w:r>
      <w:r>
        <w:rPr>
          <w:rFonts w:ascii="Arial Narrow" w:hAnsi="Arial Narrow" w:cs="Arial"/>
          <w:sz w:val="24"/>
          <w:szCs w:val="24"/>
        </w:rPr>
        <w:t xml:space="preserve"> en 2023,</w:t>
      </w:r>
      <w:r w:rsidRPr="0044167B">
        <w:rPr>
          <w:rFonts w:ascii="Arial Narrow" w:hAnsi="Arial Narrow" w:cs="Arial"/>
          <w:sz w:val="24"/>
          <w:szCs w:val="24"/>
        </w:rPr>
        <w:t xml:space="preserve"> les ASC ont notifié dans la communauté (i) 1 111 041 cas de paludisme simple confirmés par TDR positif chez les enfants de moins de cinq ans. Parmi ces cas, 1 097 557 ont été pris en charge, soit un taux de traitement de 98,79 %, supérieur à la norme nationale de 95 % ; (ii) 48 753 cas de pneumonie chez les enfants de moins de cinq ans. Parmi eux, 22 946 ont été pris en charge, ce qui correspond à un taux de traitement de 47 %, nettement inférieur à la norme nationale de 95 % et (iii) 71 698 cas de diarrhée ont été enregistrés chez les enfants de moins de cinq ans. Parmi ces cas, 36 120 ont été pris en charge, soit un taux de traitement de 50,42 %, également en deçà de la norme nationale de 95 %</w:t>
      </w:r>
      <w:r>
        <w:rPr>
          <w:rFonts w:ascii="Arial Narrow" w:hAnsi="Arial Narrow" w:cs="Arial"/>
          <w:sz w:val="24"/>
          <w:szCs w:val="24"/>
        </w:rPr>
        <w:t>.</w:t>
      </w:r>
    </w:p>
    <w:p w14:paraId="00064B7F" w14:textId="6A82751A" w:rsidR="002C47A2" w:rsidRPr="007E7C5B" w:rsidRDefault="00921F1C" w:rsidP="00A918AC">
      <w:pPr>
        <w:spacing w:line="240" w:lineRule="auto"/>
        <w:jc w:val="both"/>
        <w:rPr>
          <w:rFonts w:ascii="Arial Narrow" w:hAnsi="Arial Narrow" w:cs="Arial"/>
          <w:sz w:val="24"/>
          <w:szCs w:val="24"/>
        </w:rPr>
      </w:pPr>
      <w:r w:rsidRPr="00B82295">
        <w:rPr>
          <w:rFonts w:cstheme="minorHAnsi"/>
          <w:noProof/>
          <w:sz w:val="24"/>
          <w:szCs w:val="24"/>
        </w:rPr>
        <mc:AlternateContent>
          <mc:Choice Requires="wps">
            <w:drawing>
              <wp:anchor distT="0" distB="0" distL="114300" distR="114300" simplePos="0" relativeHeight="251660322" behindDoc="1" locked="0" layoutInCell="1" allowOverlap="1" wp14:anchorId="779D681A" wp14:editId="62695964">
                <wp:simplePos x="0" y="0"/>
                <wp:positionH relativeFrom="margin">
                  <wp:posOffset>0</wp:posOffset>
                </wp:positionH>
                <wp:positionV relativeFrom="paragraph">
                  <wp:posOffset>671195</wp:posOffset>
                </wp:positionV>
                <wp:extent cx="2781300" cy="2433320"/>
                <wp:effectExtent l="0" t="0" r="19050" b="24130"/>
                <wp:wrapTight wrapText="bothSides">
                  <wp:wrapPolygon edited="0">
                    <wp:start x="0" y="0"/>
                    <wp:lineTo x="0" y="21645"/>
                    <wp:lineTo x="21600" y="21645"/>
                    <wp:lineTo x="21600" y="0"/>
                    <wp:lineTo x="0" y="0"/>
                  </wp:wrapPolygon>
                </wp:wrapTight>
                <wp:docPr id="207040876" name="Text Box 7"/>
                <wp:cNvGraphicFramePr/>
                <a:graphic xmlns:a="http://schemas.openxmlformats.org/drawingml/2006/main">
                  <a:graphicData uri="http://schemas.microsoft.com/office/word/2010/wordprocessingShape">
                    <wps:wsp>
                      <wps:cNvSpPr txBox="1"/>
                      <wps:spPr>
                        <a:xfrm>
                          <a:off x="0" y="0"/>
                          <a:ext cx="2781300" cy="2433320"/>
                        </a:xfrm>
                        <a:prstGeom prst="rect">
                          <a:avLst/>
                        </a:prstGeom>
                        <a:solidFill>
                          <a:schemeClr val="lt1"/>
                        </a:solidFill>
                        <a:ln w="6350">
                          <a:solidFill>
                            <a:schemeClr val="bg1">
                              <a:lumMod val="75000"/>
                            </a:schemeClr>
                          </a:solidFill>
                        </a:ln>
                      </wps:spPr>
                      <wps:txbx>
                        <w:txbxContent>
                          <w:p w14:paraId="687E3BBA" w14:textId="27F0FE90" w:rsidR="00921F1C" w:rsidRPr="009F2C0C" w:rsidRDefault="00921F1C" w:rsidP="00921F1C">
                            <w:pPr>
                              <w:pStyle w:val="Lgende"/>
                            </w:pPr>
                            <w:bookmarkStart w:id="96" w:name="_Toc183688813"/>
                            <w:r w:rsidRPr="009F2C0C">
                              <w:t xml:space="preserve">Graphique </w:t>
                            </w:r>
                            <w:r>
                              <w:fldChar w:fldCharType="begin"/>
                            </w:r>
                            <w:r w:rsidRPr="00117554">
                              <w:instrText xml:space="preserve"> SEQ Graphique \* ARABIC </w:instrText>
                            </w:r>
                            <w:r>
                              <w:fldChar w:fldCharType="separate"/>
                            </w:r>
                            <w:r w:rsidR="005777E3">
                              <w:rPr>
                                <w:noProof/>
                              </w:rPr>
                              <w:t>26</w:t>
                            </w:r>
                            <w:r>
                              <w:fldChar w:fldCharType="end"/>
                            </w:r>
                            <w:r w:rsidRPr="009F2C0C">
                              <w:t xml:space="preserve"> : </w:t>
                            </w:r>
                            <w:r w:rsidR="00816FB4" w:rsidRPr="00816FB4">
                              <w:t>Ratio ASC / populations</w:t>
                            </w:r>
                            <w:bookmarkEnd w:id="96"/>
                          </w:p>
                          <w:p w14:paraId="4DC63DC3" w14:textId="23EC7B03" w:rsidR="00921F1C" w:rsidRPr="00B82295" w:rsidRDefault="001F7F26" w:rsidP="00921F1C">
                            <w:pPr>
                              <w:keepNext/>
                            </w:pPr>
                            <w:r>
                              <w:rPr>
                                <w:noProof/>
                              </w:rPr>
                              <w:drawing>
                                <wp:inline distT="0" distB="0" distL="0" distR="0" wp14:anchorId="4237DDF5" wp14:editId="76A3198F">
                                  <wp:extent cx="2592070" cy="1638300"/>
                                  <wp:effectExtent l="0" t="0" r="17780" b="0"/>
                                  <wp:docPr id="1465368787" name="Chart 1">
                                    <a:extLst xmlns:a="http://schemas.openxmlformats.org/drawingml/2006/main">
                                      <a:ext uri="{FF2B5EF4-FFF2-40B4-BE49-F238E27FC236}">
                                        <a16:creationId xmlns:a16="http://schemas.microsoft.com/office/drawing/2014/main" id="{6C395067-BFB8-ADC7-5F05-356DFA84FA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493C50F5" w14:textId="4AAE6948" w:rsidR="00921F1C" w:rsidRPr="00B82295" w:rsidRDefault="00921F1C" w:rsidP="00921F1C">
                            <w:pPr>
                              <w:pStyle w:val="Lgende"/>
                            </w:pPr>
                            <w:r w:rsidRPr="00B82295">
                              <w:t xml:space="preserve">Sources : </w:t>
                            </w:r>
                            <w:r w:rsidR="00997F55">
                              <w:t xml:space="preserve">Rapports </w:t>
                            </w:r>
                            <w:r w:rsidR="00D93B4C">
                              <w:t xml:space="preserve">de la </w:t>
                            </w:r>
                            <w:r w:rsidR="00997F55">
                              <w:t>Direction de la Santé Communaut</w:t>
                            </w:r>
                            <w:r w:rsidR="005777E3">
                              <w:t>aire</w:t>
                            </w:r>
                          </w:p>
                          <w:p w14:paraId="29FAAF28" w14:textId="77777777" w:rsidR="00921F1C" w:rsidRPr="00B82295" w:rsidRDefault="00921F1C" w:rsidP="00921F1C">
                            <w:pPr>
                              <w:keepNext/>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79D681A" id="_x0000_s1051" type="#_x0000_t202" style="position:absolute;left:0;text-align:left;margin-left:0;margin-top:52.85pt;width:219pt;height:191.6pt;z-index:-2516561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" fillcolor="white [3201]" strokecolor="#bfbfbf [2412]" strokeweight=".5pt">
                <v:textbox>
                  <w:txbxContent>
                    <w:p w14:paraId="687E3BBA" w14:textId="27F0FE90" w:rsidR="00921F1C" w:rsidRPr="009F2C0C" w:rsidRDefault="00921F1C" w:rsidP="00921F1C">
                      <w:pPr>
                        <w:pStyle w:val="Lgende"/>
                      </w:pPr>
                      <w:bookmarkStart w:id="125" w:name="_Toc183688813"/>
                      <w:r w:rsidRPr="009F2C0C">
                        <w:t xml:space="preserve">Graphique </w:t>
                      </w:r>
                      <w:r>
                        <w:fldChar w:fldCharType="begin"/>
                      </w:r>
                      <w:r w:rsidRPr="00117554">
                        <w:instrText xml:space="preserve"> SEQ Graphique \* ARABIC </w:instrText>
                      </w:r>
                      <w:r>
                        <w:fldChar w:fldCharType="separate"/>
                      </w:r>
                      <w:r w:rsidR="005777E3">
                        <w:rPr>
                          <w:noProof/>
                        </w:rPr>
                        <w:t>26</w:t>
                      </w:r>
                      <w:r>
                        <w:fldChar w:fldCharType="end"/>
                      </w:r>
                      <w:r w:rsidRPr="009F2C0C">
                        <w:t xml:space="preserve"> : </w:t>
                      </w:r>
                      <w:r w:rsidR="00816FB4" w:rsidRPr="00816FB4">
                        <w:t>Ratio ASC / populations</w:t>
                      </w:r>
                      <w:bookmarkEnd w:id="125"/>
                    </w:p>
                    <w:p w14:paraId="4DC63DC3" w14:textId="23EC7B03" w:rsidR="00921F1C" w:rsidRPr="00B82295" w:rsidRDefault="001F7F26" w:rsidP="00921F1C">
                      <w:pPr>
                        <w:keepNext/>
                      </w:pPr>
                      <w:r>
                        <w:rPr>
                          <w:noProof/>
                        </w:rPr>
                        <w:drawing>
                          <wp:inline distT="0" distB="0" distL="0" distR="0" wp14:anchorId="4237DDF5" wp14:editId="76A3198F">
                            <wp:extent cx="2592070" cy="1638300"/>
                            <wp:effectExtent l="0" t="0" r="17780" b="0"/>
                            <wp:docPr id="1465368787" name="Chart 1">
                              <a:extLst xmlns:a="http://schemas.openxmlformats.org/drawingml/2006/main">
                                <a:ext uri="{FF2B5EF4-FFF2-40B4-BE49-F238E27FC236}">
                                  <a16:creationId xmlns:a16="http://schemas.microsoft.com/office/drawing/2014/main" id="{6C395067-BFB8-ADC7-5F05-356DFA84FA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493C50F5" w14:textId="4AAE6948" w:rsidR="00921F1C" w:rsidRPr="00B82295" w:rsidRDefault="00921F1C" w:rsidP="00921F1C">
                      <w:pPr>
                        <w:pStyle w:val="Lgende"/>
                      </w:pPr>
                      <w:r w:rsidRPr="00B82295">
                        <w:t xml:space="preserve">Sources : </w:t>
                      </w:r>
                      <w:r w:rsidR="00997F55">
                        <w:t xml:space="preserve">Rapports </w:t>
                      </w:r>
                      <w:r w:rsidR="00D93B4C">
                        <w:t xml:space="preserve">de la </w:t>
                      </w:r>
                      <w:r w:rsidR="00997F55">
                        <w:t>Direction de la Santé Communaut</w:t>
                      </w:r>
                      <w:r w:rsidR="005777E3">
                        <w:t>aire</w:t>
                      </w:r>
                    </w:p>
                    <w:p w14:paraId="29FAAF28" w14:textId="77777777" w:rsidR="00921F1C" w:rsidRPr="00B82295" w:rsidRDefault="00921F1C" w:rsidP="00921F1C">
                      <w:pPr>
                        <w:keepNext/>
                        <w:rPr>
                          <w:sz w:val="14"/>
                          <w:szCs w:val="14"/>
                        </w:rPr>
                      </w:pPr>
                    </w:p>
                  </w:txbxContent>
                </v:textbox>
                <w10:wrap type="tight" anchorx="margin"/>
              </v:shape>
            </w:pict>
          </mc:Fallback>
        </mc:AlternateContent>
      </w:r>
      <w:r w:rsidR="002C47A2" w:rsidRPr="00A918AC">
        <w:rPr>
          <w:rFonts w:ascii="Arial Narrow" w:hAnsi="Arial Narrow" w:cs="Arial"/>
          <w:b/>
          <w:i/>
          <w:sz w:val="24"/>
          <w:szCs w:val="24"/>
        </w:rPr>
        <w:t>Dans le cadre du renforcement des capacités,</w:t>
      </w:r>
      <w:r w:rsidR="002C47A2" w:rsidRPr="007E7C5B">
        <w:rPr>
          <w:rFonts w:ascii="Arial Narrow" w:hAnsi="Arial Narrow" w:cs="Arial"/>
          <w:sz w:val="24"/>
          <w:szCs w:val="24"/>
        </w:rPr>
        <w:t xml:space="preserve"> 4</w:t>
      </w:r>
      <w:r w:rsidR="00460612" w:rsidRPr="007E7C5B">
        <w:rPr>
          <w:rFonts w:ascii="Arial Narrow" w:hAnsi="Arial Narrow" w:cs="Arial"/>
          <w:sz w:val="24"/>
          <w:szCs w:val="24"/>
        </w:rPr>
        <w:t xml:space="preserve"> </w:t>
      </w:r>
      <w:r w:rsidR="0073379B" w:rsidRPr="007E7C5B">
        <w:rPr>
          <w:rFonts w:ascii="Arial Narrow" w:hAnsi="Arial Narrow" w:cs="Arial"/>
          <w:sz w:val="24"/>
          <w:szCs w:val="24"/>
        </w:rPr>
        <w:t xml:space="preserve">342 </w:t>
      </w:r>
      <w:r w:rsidR="002C47A2" w:rsidRPr="007E7C5B">
        <w:rPr>
          <w:rFonts w:ascii="Arial Narrow" w:hAnsi="Arial Narrow" w:cs="Arial"/>
          <w:sz w:val="24"/>
          <w:szCs w:val="24"/>
        </w:rPr>
        <w:t xml:space="preserve">ASC supplémentaires ont été recrutés et formés </w:t>
      </w:r>
      <w:r w:rsidR="00173615" w:rsidRPr="007E7C5B">
        <w:rPr>
          <w:rFonts w:ascii="Arial Narrow" w:hAnsi="Arial Narrow" w:cs="Arial"/>
          <w:sz w:val="24"/>
          <w:szCs w:val="24"/>
        </w:rPr>
        <w:t xml:space="preserve">entre 2021 et 2023 </w:t>
      </w:r>
      <w:r w:rsidR="002C47A2" w:rsidRPr="007E7C5B">
        <w:rPr>
          <w:rFonts w:ascii="Arial Narrow" w:hAnsi="Arial Narrow" w:cs="Arial"/>
          <w:sz w:val="24"/>
          <w:szCs w:val="24"/>
        </w:rPr>
        <w:t>au PMA communautaire dans 53 districts sanitaires, portant à 17</w:t>
      </w:r>
      <w:r w:rsidR="00DD04DE" w:rsidRPr="007E7C5B">
        <w:rPr>
          <w:rFonts w:ascii="Arial Narrow" w:hAnsi="Arial Narrow" w:cs="Arial"/>
          <w:sz w:val="24"/>
          <w:szCs w:val="24"/>
        </w:rPr>
        <w:t xml:space="preserve"> </w:t>
      </w:r>
      <w:r w:rsidR="002C47A2" w:rsidRPr="007E7C5B">
        <w:rPr>
          <w:rFonts w:ascii="Arial Narrow" w:hAnsi="Arial Narrow" w:cs="Arial"/>
          <w:sz w:val="24"/>
          <w:szCs w:val="24"/>
        </w:rPr>
        <w:t>308 le nombre d’ASC formés et équipés au niveau national</w:t>
      </w:r>
      <w:r w:rsidR="006F78A3" w:rsidRPr="007E7C5B">
        <w:rPr>
          <w:rFonts w:ascii="Arial Narrow" w:hAnsi="Arial Narrow" w:cs="Arial"/>
          <w:sz w:val="24"/>
          <w:szCs w:val="24"/>
        </w:rPr>
        <w:t xml:space="preserve"> en 2023</w:t>
      </w:r>
      <w:r w:rsidR="002C47A2" w:rsidRPr="007E7C5B">
        <w:rPr>
          <w:rFonts w:ascii="Arial Narrow" w:hAnsi="Arial Narrow" w:cs="Arial"/>
          <w:sz w:val="24"/>
          <w:szCs w:val="24"/>
        </w:rPr>
        <w:t>. De plus, 146 Coordonnateurs d’</w:t>
      </w:r>
      <w:r w:rsidR="00F90DFA" w:rsidRPr="007E7C5B">
        <w:rPr>
          <w:rFonts w:ascii="Arial Narrow" w:hAnsi="Arial Narrow" w:cs="Arial"/>
          <w:sz w:val="24"/>
          <w:szCs w:val="24"/>
        </w:rPr>
        <w:t>A</w:t>
      </w:r>
      <w:r w:rsidR="002C47A2" w:rsidRPr="007E7C5B">
        <w:rPr>
          <w:rFonts w:ascii="Arial Narrow" w:hAnsi="Arial Narrow" w:cs="Arial"/>
          <w:sz w:val="24"/>
          <w:szCs w:val="24"/>
        </w:rPr>
        <w:t xml:space="preserve">ctivités </w:t>
      </w:r>
      <w:r w:rsidR="00F90DFA" w:rsidRPr="007E7C5B">
        <w:rPr>
          <w:rFonts w:ascii="Arial Narrow" w:hAnsi="Arial Narrow" w:cs="Arial"/>
          <w:sz w:val="24"/>
          <w:szCs w:val="24"/>
        </w:rPr>
        <w:t>C</w:t>
      </w:r>
      <w:r w:rsidR="002C47A2" w:rsidRPr="007E7C5B">
        <w:rPr>
          <w:rFonts w:ascii="Arial Narrow" w:hAnsi="Arial Narrow" w:cs="Arial"/>
          <w:sz w:val="24"/>
          <w:szCs w:val="24"/>
        </w:rPr>
        <w:t xml:space="preserve">ommunautaires (CAC) ont été formés et </w:t>
      </w:r>
      <w:r w:rsidR="0059654D" w:rsidRPr="007E7C5B">
        <w:rPr>
          <w:rFonts w:ascii="Arial Narrow" w:hAnsi="Arial Narrow" w:cs="Arial"/>
          <w:sz w:val="24"/>
          <w:szCs w:val="24"/>
        </w:rPr>
        <w:t xml:space="preserve">affectés </w:t>
      </w:r>
      <w:r w:rsidR="002C47A2" w:rsidRPr="007E7C5B">
        <w:rPr>
          <w:rFonts w:ascii="Arial Narrow" w:hAnsi="Arial Narrow" w:cs="Arial"/>
          <w:sz w:val="24"/>
          <w:szCs w:val="24"/>
        </w:rPr>
        <w:t>au niveau des 33 régions et 113 districts sanitaires afin de renforcer la supervision des IDE/SFDE des ESPC et des ASC.</w:t>
      </w:r>
    </w:p>
    <w:p w14:paraId="74DC4CDC" w14:textId="23426A9A" w:rsidR="00F0208D" w:rsidRPr="007E7C5B" w:rsidRDefault="002C47A2" w:rsidP="00761F55">
      <w:pPr>
        <w:jc w:val="both"/>
        <w:rPr>
          <w:rFonts w:ascii="Arial Narrow" w:hAnsi="Arial Narrow" w:cs="Arial"/>
          <w:sz w:val="24"/>
          <w:szCs w:val="24"/>
        </w:rPr>
      </w:pPr>
      <w:r w:rsidRPr="007E7C5B">
        <w:rPr>
          <w:rFonts w:ascii="Arial Narrow" w:hAnsi="Arial Narrow" w:cs="Arial"/>
          <w:sz w:val="24"/>
          <w:szCs w:val="24"/>
        </w:rPr>
        <w:t xml:space="preserve">Ces efforts ont permis d’augmenter </w:t>
      </w:r>
      <w:r w:rsidR="002D3FA5" w:rsidRPr="007E7C5B">
        <w:rPr>
          <w:rFonts w:ascii="Arial Narrow" w:hAnsi="Arial Narrow" w:cs="Arial"/>
          <w:sz w:val="24"/>
          <w:szCs w:val="24"/>
        </w:rPr>
        <w:t>l</w:t>
      </w:r>
      <w:r w:rsidR="00286EC5" w:rsidRPr="007E7C5B">
        <w:rPr>
          <w:rFonts w:ascii="Arial Narrow" w:hAnsi="Arial Narrow" w:cs="Arial"/>
          <w:sz w:val="24"/>
          <w:szCs w:val="24"/>
        </w:rPr>
        <w:t>e ratio ASC par habitant</w:t>
      </w:r>
      <w:r w:rsidR="00E9376A" w:rsidRPr="007E7C5B">
        <w:rPr>
          <w:rFonts w:ascii="Arial Narrow" w:hAnsi="Arial Narrow" w:cs="Arial"/>
          <w:sz w:val="24"/>
          <w:szCs w:val="24"/>
        </w:rPr>
        <w:t>, avec</w:t>
      </w:r>
      <w:r w:rsidR="00286EC5" w:rsidRPr="007E7C5B">
        <w:rPr>
          <w:rFonts w:ascii="Arial Narrow" w:hAnsi="Arial Narrow" w:cs="Arial"/>
          <w:sz w:val="24"/>
          <w:szCs w:val="24"/>
        </w:rPr>
        <w:t xml:space="preserve"> une nette progression de 1 ASC pour 2 034 habitants en 2020 à 1 ASC pour 1 798 habitants en 2023</w:t>
      </w:r>
      <w:r w:rsidR="00C32F66" w:rsidRPr="007E7C5B">
        <w:rPr>
          <w:rFonts w:ascii="Arial Narrow" w:hAnsi="Arial Narrow" w:cs="Arial"/>
          <w:sz w:val="24"/>
          <w:szCs w:val="24"/>
        </w:rPr>
        <w:t>, contribuant ainsi à l’amélioration de</w:t>
      </w:r>
      <w:r w:rsidR="00221B62">
        <w:rPr>
          <w:rFonts w:ascii="Arial Narrow" w:hAnsi="Arial Narrow" w:cs="Arial"/>
          <w:sz w:val="24"/>
          <w:szCs w:val="24"/>
        </w:rPr>
        <w:t xml:space="preserve"> </w:t>
      </w:r>
      <w:r w:rsidR="00221B62" w:rsidRPr="00755D5F">
        <w:rPr>
          <w:rFonts w:ascii="Arial Narrow" w:hAnsi="Arial Narrow" w:cs="Arial"/>
          <w:sz w:val="24"/>
          <w:szCs w:val="24"/>
        </w:rPr>
        <w:t xml:space="preserve">la proportion de ménages éligibles ayant adopté l’ensemble des Pratiques Familiales Essentiels (PFE) pour lesquels ils sont </w:t>
      </w:r>
      <w:proofErr w:type="gramStart"/>
      <w:r w:rsidR="00221B62" w:rsidRPr="00755D5F">
        <w:rPr>
          <w:rFonts w:ascii="Arial Narrow" w:hAnsi="Arial Narrow" w:cs="Arial"/>
          <w:sz w:val="24"/>
          <w:szCs w:val="24"/>
        </w:rPr>
        <w:t>éligibles</w:t>
      </w:r>
      <w:r w:rsidR="00286EC5" w:rsidRPr="00755D5F">
        <w:rPr>
          <w:rFonts w:ascii="Arial Narrow" w:hAnsi="Arial Narrow" w:cs="Arial"/>
          <w:sz w:val="24"/>
          <w:szCs w:val="24"/>
        </w:rPr>
        <w:t xml:space="preserve"> </w:t>
      </w:r>
      <w:r w:rsidRPr="007E7C5B">
        <w:rPr>
          <w:rFonts w:ascii="Arial Narrow" w:hAnsi="Arial Narrow" w:cs="Arial"/>
          <w:sz w:val="24"/>
          <w:szCs w:val="24"/>
        </w:rPr>
        <w:t xml:space="preserve"> </w:t>
      </w:r>
      <w:r w:rsidR="00457223" w:rsidRPr="007E7C5B">
        <w:rPr>
          <w:rFonts w:ascii="Arial Narrow" w:hAnsi="Arial Narrow" w:cs="Arial"/>
          <w:sz w:val="24"/>
          <w:szCs w:val="24"/>
        </w:rPr>
        <w:t>qui</w:t>
      </w:r>
      <w:proofErr w:type="gramEnd"/>
      <w:r w:rsidR="00457223" w:rsidRPr="007E7C5B">
        <w:rPr>
          <w:rFonts w:ascii="Arial Narrow" w:hAnsi="Arial Narrow" w:cs="Arial"/>
          <w:sz w:val="24"/>
          <w:szCs w:val="24"/>
        </w:rPr>
        <w:t xml:space="preserve"> est passée de </w:t>
      </w:r>
      <w:r w:rsidR="0070252C" w:rsidRPr="007E7C5B">
        <w:rPr>
          <w:rFonts w:ascii="Arial Narrow" w:hAnsi="Arial Narrow" w:cs="Arial"/>
          <w:sz w:val="24"/>
          <w:szCs w:val="24"/>
        </w:rPr>
        <w:t>35,10</w:t>
      </w:r>
      <w:r w:rsidRPr="007E7C5B">
        <w:rPr>
          <w:rFonts w:ascii="Arial Narrow" w:hAnsi="Arial Narrow" w:cs="Arial"/>
          <w:sz w:val="24"/>
          <w:szCs w:val="24"/>
        </w:rPr>
        <w:t xml:space="preserve">% en </w:t>
      </w:r>
      <w:r w:rsidR="0070252C" w:rsidRPr="007E7C5B">
        <w:rPr>
          <w:rFonts w:ascii="Arial Narrow" w:hAnsi="Arial Narrow" w:cs="Arial"/>
          <w:sz w:val="24"/>
          <w:szCs w:val="24"/>
        </w:rPr>
        <w:t xml:space="preserve">2020 </w:t>
      </w:r>
      <w:r w:rsidRPr="007E7C5B">
        <w:rPr>
          <w:rFonts w:ascii="Arial Narrow" w:hAnsi="Arial Narrow" w:cs="Arial"/>
          <w:sz w:val="24"/>
          <w:szCs w:val="24"/>
        </w:rPr>
        <w:t>à 70% en 2023</w:t>
      </w:r>
      <w:r w:rsidR="007977A9" w:rsidRPr="007E7C5B">
        <w:rPr>
          <w:rFonts w:ascii="Arial Narrow" w:hAnsi="Arial Narrow" w:cs="Arial"/>
          <w:sz w:val="24"/>
          <w:szCs w:val="24"/>
        </w:rPr>
        <w:t xml:space="preserve"> </w:t>
      </w:r>
      <w:r w:rsidR="000A1FCE" w:rsidRPr="007E7C5B">
        <w:rPr>
          <w:rFonts w:ascii="Arial Narrow" w:hAnsi="Arial Narrow" w:cs="Arial"/>
          <w:sz w:val="24"/>
          <w:szCs w:val="24"/>
        </w:rPr>
        <w:t xml:space="preserve">contre </w:t>
      </w:r>
      <w:r w:rsidR="008B2C07" w:rsidRPr="007E7C5B">
        <w:rPr>
          <w:rFonts w:ascii="Arial Narrow" w:hAnsi="Arial Narrow" w:cs="Arial"/>
          <w:sz w:val="24"/>
          <w:szCs w:val="24"/>
        </w:rPr>
        <w:t>une</w:t>
      </w:r>
      <w:r w:rsidRPr="007E7C5B" w:rsidDel="000A1FCE">
        <w:rPr>
          <w:rFonts w:ascii="Arial Narrow" w:hAnsi="Arial Narrow" w:cs="Arial"/>
          <w:sz w:val="24"/>
          <w:szCs w:val="24"/>
        </w:rPr>
        <w:t xml:space="preserve"> </w:t>
      </w:r>
      <w:r w:rsidRPr="007E7C5B">
        <w:rPr>
          <w:rFonts w:ascii="Arial Narrow" w:hAnsi="Arial Narrow" w:cs="Arial"/>
          <w:sz w:val="24"/>
          <w:szCs w:val="24"/>
        </w:rPr>
        <w:t xml:space="preserve">cible </w:t>
      </w:r>
      <w:r w:rsidR="000E4989" w:rsidRPr="007E7C5B">
        <w:rPr>
          <w:rFonts w:ascii="Arial Narrow" w:hAnsi="Arial Narrow" w:cs="Arial"/>
          <w:sz w:val="24"/>
          <w:szCs w:val="24"/>
        </w:rPr>
        <w:t xml:space="preserve">de </w:t>
      </w:r>
      <w:r w:rsidRPr="007E7C5B">
        <w:rPr>
          <w:rFonts w:ascii="Arial Narrow" w:hAnsi="Arial Narrow" w:cs="Arial"/>
          <w:sz w:val="24"/>
          <w:szCs w:val="24"/>
        </w:rPr>
        <w:t>65%.</w:t>
      </w:r>
    </w:p>
    <w:p w14:paraId="2D193514" w14:textId="73C5FA98" w:rsidR="00A92CA6" w:rsidRDefault="00715459" w:rsidP="00761F55">
      <w:pPr>
        <w:jc w:val="both"/>
        <w:rPr>
          <w:rFonts w:ascii="Arial Narrow" w:hAnsi="Arial Narrow" w:cs="Arial"/>
          <w:sz w:val="24"/>
          <w:szCs w:val="24"/>
        </w:rPr>
      </w:pPr>
      <w:r w:rsidRPr="007E7C5B">
        <w:rPr>
          <w:rFonts w:ascii="Arial Narrow" w:hAnsi="Arial Narrow" w:cs="Arial"/>
          <w:sz w:val="24"/>
          <w:szCs w:val="24"/>
        </w:rPr>
        <w:t xml:space="preserve">Malgré ces réalisations, des défis </w:t>
      </w:r>
      <w:r w:rsidR="00CA1E18" w:rsidRPr="007E7C5B">
        <w:rPr>
          <w:rFonts w:ascii="Arial Narrow" w:hAnsi="Arial Narrow" w:cs="Arial"/>
          <w:sz w:val="24"/>
          <w:szCs w:val="24"/>
        </w:rPr>
        <w:t>sont à relever, à savoir</w:t>
      </w:r>
      <w:r w:rsidR="000A7B6F" w:rsidRPr="007E7C5B">
        <w:rPr>
          <w:rFonts w:ascii="Arial Narrow" w:hAnsi="Arial Narrow" w:cs="Arial"/>
          <w:sz w:val="24"/>
          <w:szCs w:val="24"/>
        </w:rPr>
        <w:t> </w:t>
      </w:r>
      <w:r w:rsidR="00F967BC" w:rsidRPr="007E7C5B">
        <w:rPr>
          <w:rFonts w:ascii="Arial Narrow" w:hAnsi="Arial Narrow" w:cs="Arial"/>
          <w:sz w:val="24"/>
          <w:szCs w:val="24"/>
        </w:rPr>
        <w:t>le r</w:t>
      </w:r>
      <w:r w:rsidR="002C34EA" w:rsidRPr="007E7C5B">
        <w:rPr>
          <w:rFonts w:ascii="Arial Narrow" w:hAnsi="Arial Narrow" w:cs="Arial"/>
          <w:sz w:val="24"/>
          <w:szCs w:val="24"/>
        </w:rPr>
        <w:t>enforce</w:t>
      </w:r>
      <w:r w:rsidR="00F967BC" w:rsidRPr="007E7C5B">
        <w:rPr>
          <w:rFonts w:ascii="Arial Narrow" w:hAnsi="Arial Narrow" w:cs="Arial"/>
          <w:sz w:val="24"/>
          <w:szCs w:val="24"/>
        </w:rPr>
        <w:t>ment du</w:t>
      </w:r>
      <w:r w:rsidR="002C34EA" w:rsidRPr="007E7C5B">
        <w:rPr>
          <w:rFonts w:ascii="Arial Narrow" w:hAnsi="Arial Narrow" w:cs="Arial"/>
          <w:sz w:val="24"/>
          <w:szCs w:val="24"/>
        </w:rPr>
        <w:t xml:space="preserve"> financement de la </w:t>
      </w:r>
      <w:r w:rsidR="00095EC6" w:rsidRPr="007E7C5B">
        <w:rPr>
          <w:rFonts w:ascii="Arial Narrow" w:hAnsi="Arial Narrow" w:cs="Arial"/>
          <w:sz w:val="24"/>
          <w:szCs w:val="24"/>
        </w:rPr>
        <w:t>sa</w:t>
      </w:r>
      <w:r w:rsidR="002C34EA" w:rsidRPr="007E7C5B">
        <w:rPr>
          <w:rFonts w:ascii="Arial Narrow" w:hAnsi="Arial Narrow" w:cs="Arial"/>
          <w:sz w:val="24"/>
          <w:szCs w:val="24"/>
        </w:rPr>
        <w:t xml:space="preserve">nté </w:t>
      </w:r>
      <w:r w:rsidR="00095EC6" w:rsidRPr="007E7C5B">
        <w:rPr>
          <w:rFonts w:ascii="Arial Narrow" w:hAnsi="Arial Narrow" w:cs="Arial"/>
          <w:sz w:val="24"/>
          <w:szCs w:val="24"/>
        </w:rPr>
        <w:t>c</w:t>
      </w:r>
      <w:r w:rsidR="002C34EA" w:rsidRPr="007E7C5B">
        <w:rPr>
          <w:rFonts w:ascii="Arial Narrow" w:hAnsi="Arial Narrow" w:cs="Arial"/>
          <w:sz w:val="24"/>
          <w:szCs w:val="24"/>
        </w:rPr>
        <w:t xml:space="preserve">ommunautaire par des ressources domestiques pour maintenir les ASC </w:t>
      </w:r>
      <w:r w:rsidR="001929BA" w:rsidRPr="007E7C5B">
        <w:rPr>
          <w:rFonts w:ascii="Arial Narrow" w:hAnsi="Arial Narrow" w:cs="Arial"/>
          <w:sz w:val="24"/>
          <w:szCs w:val="24"/>
        </w:rPr>
        <w:t>et l’i</w:t>
      </w:r>
      <w:r w:rsidR="002C34EA" w:rsidRPr="007E7C5B">
        <w:rPr>
          <w:rFonts w:ascii="Arial Narrow" w:hAnsi="Arial Narrow" w:cs="Arial"/>
          <w:sz w:val="24"/>
          <w:szCs w:val="24"/>
        </w:rPr>
        <w:t>nstitutionnalis</w:t>
      </w:r>
      <w:r w:rsidR="001929BA" w:rsidRPr="007E7C5B">
        <w:rPr>
          <w:rFonts w:ascii="Arial Narrow" w:hAnsi="Arial Narrow" w:cs="Arial"/>
          <w:sz w:val="24"/>
          <w:szCs w:val="24"/>
        </w:rPr>
        <w:t>ation du</w:t>
      </w:r>
      <w:r w:rsidR="002C34EA" w:rsidRPr="007E7C5B">
        <w:rPr>
          <w:rFonts w:ascii="Arial Narrow" w:hAnsi="Arial Narrow" w:cs="Arial"/>
          <w:sz w:val="24"/>
          <w:szCs w:val="24"/>
        </w:rPr>
        <w:t xml:space="preserve"> statut des ASC. </w:t>
      </w:r>
    </w:p>
    <w:p w14:paraId="665B1317" w14:textId="77777777" w:rsidR="002F66A1" w:rsidRPr="007E7C5B" w:rsidRDefault="002F66A1" w:rsidP="00761F55">
      <w:pPr>
        <w:jc w:val="both"/>
        <w:rPr>
          <w:rFonts w:ascii="Arial Narrow" w:eastAsia="Times New Roman" w:hAnsi="Arial Narrow" w:cstheme="minorHAnsi"/>
          <w:color w:val="000000" w:themeColor="text1"/>
          <w:kern w:val="0"/>
          <w:sz w:val="24"/>
          <w:szCs w:val="24"/>
          <w14:ligatures w14:val="none"/>
        </w:rPr>
      </w:pPr>
    </w:p>
    <w:p w14:paraId="42ED2DCA" w14:textId="0D2B8F89" w:rsidR="00F0208D" w:rsidRPr="007E7C5B" w:rsidRDefault="00951364" w:rsidP="00AA7D22">
      <w:pPr>
        <w:pStyle w:val="Titre5"/>
        <w:shd w:val="clear" w:color="auto" w:fill="FBE4D5" w:themeFill="accent2" w:themeFillTint="33"/>
        <w:rPr>
          <w:rFonts w:ascii="Arial Narrow" w:hAnsi="Arial Narrow"/>
          <w:b/>
          <w:color w:val="auto"/>
          <w:sz w:val="24"/>
          <w:szCs w:val="24"/>
        </w:rPr>
      </w:pPr>
      <w:r w:rsidRPr="007E7C5B">
        <w:rPr>
          <w:rFonts w:ascii="Arial Narrow" w:hAnsi="Arial Narrow"/>
          <w:b/>
          <w:color w:val="auto"/>
          <w:sz w:val="24"/>
          <w:szCs w:val="24"/>
        </w:rPr>
        <w:lastRenderedPageBreak/>
        <w:t>M</w:t>
      </w:r>
      <w:r w:rsidR="00F0208D" w:rsidRPr="007E7C5B">
        <w:rPr>
          <w:rFonts w:ascii="Arial Narrow" w:hAnsi="Arial Narrow"/>
          <w:b/>
          <w:color w:val="auto"/>
          <w:sz w:val="24"/>
          <w:szCs w:val="24"/>
        </w:rPr>
        <w:t>écanismes et instruments de protection sociale pour faire face au risque de maladie et accéder à des soins de qualité</w:t>
      </w:r>
      <w:r w:rsidR="00F0208D" w:rsidRPr="007E7C5B">
        <w:rPr>
          <w:rFonts w:ascii="Arial Narrow" w:hAnsi="Arial Narrow"/>
          <w:b/>
          <w:color w:val="auto"/>
          <w:sz w:val="24"/>
          <w:szCs w:val="24"/>
        </w:rPr>
        <w:tab/>
      </w:r>
    </w:p>
    <w:p w14:paraId="0F990D8F" w14:textId="431EF5B7" w:rsidR="00562A0A" w:rsidRPr="00A918AC" w:rsidRDefault="00601497" w:rsidP="00761F55">
      <w:pPr>
        <w:jc w:val="both"/>
        <w:rPr>
          <w:rFonts w:ascii="Arial Narrow" w:hAnsi="Arial Narrow"/>
          <w:sz w:val="24"/>
          <w:szCs w:val="24"/>
        </w:rPr>
      </w:pPr>
      <w:r w:rsidRPr="007E7C5B">
        <w:rPr>
          <w:rFonts w:ascii="Arial Narrow" w:hAnsi="Arial Narrow"/>
          <w:sz w:val="24"/>
          <w:szCs w:val="24"/>
        </w:rPr>
        <w:t xml:space="preserve">Pour </w:t>
      </w:r>
      <w:r w:rsidR="00D27BFC" w:rsidRPr="007E7C5B">
        <w:rPr>
          <w:rFonts w:ascii="Arial Narrow" w:hAnsi="Arial Narrow"/>
          <w:sz w:val="24"/>
          <w:szCs w:val="24"/>
        </w:rPr>
        <w:t>faire face au risque de maladie et renforcer l’accès des populations à des soins de qualité, le</w:t>
      </w:r>
      <w:r w:rsidR="00562A0A" w:rsidRPr="00A918AC">
        <w:rPr>
          <w:rFonts w:ascii="Arial Narrow" w:hAnsi="Arial Narrow"/>
          <w:sz w:val="24"/>
          <w:szCs w:val="24"/>
        </w:rPr>
        <w:t xml:space="preserve"> </w:t>
      </w:r>
      <w:r w:rsidR="00226DDE" w:rsidRPr="007E7C5B">
        <w:rPr>
          <w:rFonts w:ascii="Arial Narrow" w:hAnsi="Arial Narrow"/>
          <w:sz w:val="24"/>
          <w:szCs w:val="24"/>
        </w:rPr>
        <w:t xml:space="preserve">MSHPCMU </w:t>
      </w:r>
      <w:r w:rsidR="003C5A25" w:rsidRPr="007E7C5B">
        <w:rPr>
          <w:rFonts w:ascii="Arial Narrow" w:hAnsi="Arial Narrow"/>
          <w:sz w:val="24"/>
          <w:szCs w:val="24"/>
        </w:rPr>
        <w:t xml:space="preserve">a mis en place </w:t>
      </w:r>
      <w:r w:rsidR="00D03190" w:rsidRPr="007E7C5B">
        <w:rPr>
          <w:rFonts w:ascii="Arial Narrow" w:hAnsi="Arial Narrow"/>
          <w:sz w:val="24"/>
          <w:szCs w:val="24"/>
        </w:rPr>
        <w:t>deux</w:t>
      </w:r>
      <w:r w:rsidR="003C5A25" w:rsidRPr="007E7C5B">
        <w:rPr>
          <w:rFonts w:ascii="Arial Narrow" w:hAnsi="Arial Narrow"/>
          <w:sz w:val="24"/>
          <w:szCs w:val="24"/>
        </w:rPr>
        <w:t xml:space="preserve"> mécanismes et instruments de protection sociale, </w:t>
      </w:r>
      <w:r w:rsidR="00FF3779" w:rsidRPr="007E7C5B">
        <w:rPr>
          <w:rFonts w:ascii="Arial Narrow" w:hAnsi="Arial Narrow"/>
          <w:sz w:val="24"/>
          <w:szCs w:val="24"/>
        </w:rPr>
        <w:t>en l’</w:t>
      </w:r>
      <w:r w:rsidR="0094507E" w:rsidRPr="007E7C5B">
        <w:rPr>
          <w:rFonts w:ascii="Arial Narrow" w:hAnsi="Arial Narrow"/>
          <w:sz w:val="24"/>
          <w:szCs w:val="24"/>
        </w:rPr>
        <w:t>occurrence</w:t>
      </w:r>
      <w:r w:rsidR="003C5A25" w:rsidRPr="007E7C5B">
        <w:rPr>
          <w:rFonts w:ascii="Arial Narrow" w:hAnsi="Arial Narrow"/>
          <w:sz w:val="24"/>
          <w:szCs w:val="24"/>
        </w:rPr>
        <w:t xml:space="preserve"> </w:t>
      </w:r>
      <w:r w:rsidR="00923796" w:rsidRPr="007E7C5B">
        <w:rPr>
          <w:rFonts w:ascii="Arial Narrow" w:hAnsi="Arial Narrow"/>
          <w:sz w:val="24"/>
          <w:szCs w:val="24"/>
        </w:rPr>
        <w:t>la gratuité ciblée</w:t>
      </w:r>
      <w:r w:rsidR="00FF3779" w:rsidRPr="007E7C5B">
        <w:rPr>
          <w:rFonts w:ascii="Arial Narrow" w:hAnsi="Arial Narrow"/>
          <w:sz w:val="24"/>
          <w:szCs w:val="24"/>
        </w:rPr>
        <w:t xml:space="preserve"> et</w:t>
      </w:r>
      <w:r w:rsidR="00923796" w:rsidRPr="007E7C5B">
        <w:rPr>
          <w:rFonts w:ascii="Arial Narrow" w:hAnsi="Arial Narrow"/>
          <w:sz w:val="24"/>
          <w:szCs w:val="24"/>
        </w:rPr>
        <w:t xml:space="preserve"> </w:t>
      </w:r>
      <w:r w:rsidR="005335AC" w:rsidRPr="007E7C5B">
        <w:rPr>
          <w:rFonts w:ascii="Arial Narrow" w:hAnsi="Arial Narrow"/>
          <w:sz w:val="24"/>
          <w:szCs w:val="24"/>
        </w:rPr>
        <w:t>la couverture maladie universelle</w:t>
      </w:r>
      <w:r w:rsidR="00FF3779" w:rsidRPr="007E7C5B">
        <w:rPr>
          <w:rFonts w:ascii="Arial Narrow" w:hAnsi="Arial Narrow"/>
          <w:sz w:val="24"/>
          <w:szCs w:val="24"/>
        </w:rPr>
        <w:t>.</w:t>
      </w:r>
    </w:p>
    <w:p w14:paraId="31EA1DBF" w14:textId="397B6A27" w:rsidR="00783F0F" w:rsidRPr="0044167B" w:rsidRDefault="00F824F6" w:rsidP="00761F55">
      <w:pPr>
        <w:jc w:val="both"/>
        <w:rPr>
          <w:rFonts w:ascii="Arial Narrow" w:hAnsi="Arial Narrow" w:cs="Arial"/>
          <w:b/>
          <w:i/>
          <w:sz w:val="24"/>
          <w:szCs w:val="24"/>
          <w:lang w:val="fr-CI"/>
        </w:rPr>
      </w:pPr>
      <w:r w:rsidRPr="007A001B">
        <w:rPr>
          <w:rFonts w:ascii="Arial Narrow" w:hAnsi="Arial Narrow" w:cs="Arial"/>
          <w:sz w:val="24"/>
          <w:szCs w:val="24"/>
        </w:rPr>
        <w:t xml:space="preserve">Le programme de </w:t>
      </w:r>
      <w:r w:rsidRPr="007A001B">
        <w:rPr>
          <w:rFonts w:ascii="Arial Narrow" w:hAnsi="Arial Narrow" w:cs="Arial"/>
          <w:b/>
          <w:bCs/>
          <w:sz w:val="24"/>
          <w:szCs w:val="24"/>
        </w:rPr>
        <w:t>gratuité ciblée</w:t>
      </w:r>
      <w:r w:rsidRPr="007A001B">
        <w:rPr>
          <w:rFonts w:ascii="Arial Narrow" w:hAnsi="Arial Narrow" w:cs="Arial"/>
          <w:sz w:val="24"/>
          <w:szCs w:val="24"/>
        </w:rPr>
        <w:t xml:space="preserve"> vise à offrir gratuitement</w:t>
      </w:r>
      <w:r w:rsidR="005F6213" w:rsidRPr="007A001B">
        <w:rPr>
          <w:rFonts w:ascii="Arial Narrow" w:hAnsi="Arial Narrow" w:cs="Arial"/>
          <w:sz w:val="24"/>
          <w:szCs w:val="24"/>
        </w:rPr>
        <w:t xml:space="preserve"> </w:t>
      </w:r>
      <w:r w:rsidRPr="007A001B">
        <w:rPr>
          <w:rFonts w:ascii="Arial Narrow" w:hAnsi="Arial Narrow" w:cs="Arial"/>
          <w:sz w:val="24"/>
          <w:szCs w:val="24"/>
        </w:rPr>
        <w:t>certaines prestations, services et actes médicaux aux femmes enceintes dans le cadre des consultations prénatales et postnatales, des accouchements et leurs complications, de la prise en charge du paludisme grave, de même qu’aux enfants de 0 à 5 ans y compris l’anémie, les infections respiratoires aiguës et les maladies diarrhéiques. </w:t>
      </w:r>
      <w:r w:rsidR="005F6213" w:rsidRPr="007A001B">
        <w:rPr>
          <w:rFonts w:ascii="Arial Narrow" w:hAnsi="Arial Narrow" w:cs="Arial"/>
          <w:sz w:val="24"/>
          <w:szCs w:val="24"/>
        </w:rPr>
        <w:t xml:space="preserve"> </w:t>
      </w:r>
      <w:r w:rsidR="002D30FD" w:rsidRPr="007A001B">
        <w:rPr>
          <w:rFonts w:ascii="Arial Narrow" w:hAnsi="Arial Narrow" w:cs="Arial"/>
          <w:sz w:val="24"/>
          <w:szCs w:val="24"/>
        </w:rPr>
        <w:t>Relativement à la g</w:t>
      </w:r>
      <w:r w:rsidR="006B1C6D" w:rsidRPr="007A001B">
        <w:rPr>
          <w:rFonts w:ascii="Arial Narrow" w:hAnsi="Arial Narrow" w:cs="Arial"/>
          <w:sz w:val="24"/>
          <w:szCs w:val="24"/>
        </w:rPr>
        <w:t>ratuité ciblée</w:t>
      </w:r>
      <w:r w:rsidR="00711E38" w:rsidRPr="007A001B">
        <w:rPr>
          <w:rFonts w:ascii="Arial Narrow" w:hAnsi="Arial Narrow" w:cs="Arial"/>
          <w:sz w:val="24"/>
          <w:szCs w:val="24"/>
        </w:rPr>
        <w:t xml:space="preserve"> en 2023</w:t>
      </w:r>
      <w:r w:rsidR="002D30FD" w:rsidRPr="007A001B">
        <w:rPr>
          <w:rFonts w:ascii="Arial Narrow" w:hAnsi="Arial Narrow" w:cs="Arial"/>
          <w:sz w:val="24"/>
          <w:szCs w:val="24"/>
        </w:rPr>
        <w:t>,</w:t>
      </w:r>
      <w:r w:rsidR="002D30FD" w:rsidRPr="0044167B">
        <w:rPr>
          <w:rFonts w:ascii="Arial Narrow" w:hAnsi="Arial Narrow" w:cs="Arial"/>
          <w:sz w:val="24"/>
          <w:szCs w:val="24"/>
        </w:rPr>
        <w:t xml:space="preserve"> </w:t>
      </w:r>
      <w:bookmarkStart w:id="97" w:name="_Hlk185251472"/>
      <w:r w:rsidR="00953C02" w:rsidRPr="0044167B">
        <w:rPr>
          <w:rFonts w:ascii="Arial Narrow" w:hAnsi="Arial Narrow" w:cs="Arial"/>
          <w:sz w:val="24"/>
          <w:szCs w:val="24"/>
        </w:rPr>
        <w:t>le</w:t>
      </w:r>
      <w:r w:rsidR="00953C02" w:rsidRPr="00A918AC">
        <w:rPr>
          <w:rFonts w:ascii="Arial Narrow" w:hAnsi="Arial Narrow" w:cs="Arial"/>
          <w:sz w:val="24"/>
          <w:szCs w:val="24"/>
        </w:rPr>
        <w:t xml:space="preserve"> </w:t>
      </w:r>
      <w:r w:rsidR="00953C02" w:rsidRPr="007E7C5B">
        <w:rPr>
          <w:rFonts w:ascii="Arial Narrow" w:hAnsi="Arial Narrow" w:cs="Arial"/>
          <w:sz w:val="24"/>
          <w:szCs w:val="24"/>
        </w:rPr>
        <w:t xml:space="preserve">Ministère a distribué </w:t>
      </w:r>
      <w:r w:rsidR="00AC7BDA" w:rsidRPr="007E7C5B">
        <w:rPr>
          <w:rFonts w:ascii="Arial Narrow" w:hAnsi="Arial Narrow" w:cs="Arial"/>
          <w:sz w:val="24"/>
          <w:szCs w:val="24"/>
        </w:rPr>
        <w:t>dans les établissements sanitaires publics 492 071 kits d’accouchement</w:t>
      </w:r>
      <w:r w:rsidR="003105EF" w:rsidRPr="007E7C5B">
        <w:rPr>
          <w:rFonts w:ascii="Arial Narrow" w:hAnsi="Arial Narrow" w:cs="Arial"/>
          <w:sz w:val="24"/>
          <w:szCs w:val="24"/>
        </w:rPr>
        <w:t xml:space="preserve"> </w:t>
      </w:r>
      <w:r w:rsidR="00361CC4">
        <w:rPr>
          <w:rFonts w:ascii="Arial Narrow" w:hAnsi="Arial Narrow" w:cs="Arial"/>
          <w:sz w:val="24"/>
          <w:szCs w:val="24"/>
        </w:rPr>
        <w:t>,</w:t>
      </w:r>
      <w:r w:rsidR="003449F3" w:rsidRPr="007E7C5B">
        <w:rPr>
          <w:rFonts w:ascii="Arial Narrow" w:hAnsi="Arial Narrow" w:cs="Arial"/>
          <w:sz w:val="24"/>
          <w:szCs w:val="24"/>
        </w:rPr>
        <w:t xml:space="preserve">53 095 kits de césarienne, </w:t>
      </w:r>
      <w:r w:rsidR="00737580" w:rsidRPr="007E7C5B">
        <w:rPr>
          <w:rFonts w:ascii="Arial Narrow" w:hAnsi="Arial Narrow" w:cs="Arial"/>
          <w:sz w:val="24"/>
          <w:szCs w:val="24"/>
        </w:rPr>
        <w:t xml:space="preserve">28 867 kits d’épisiotomie, </w:t>
      </w:r>
      <w:r w:rsidR="00C549BB" w:rsidRPr="007E7C5B">
        <w:rPr>
          <w:rFonts w:ascii="Arial Narrow" w:hAnsi="Arial Narrow" w:cs="Arial"/>
          <w:sz w:val="24"/>
          <w:szCs w:val="24"/>
        </w:rPr>
        <w:t>21 292 kits d’anesthésie générale</w:t>
      </w:r>
      <w:r w:rsidR="008713C1" w:rsidRPr="007E7C5B">
        <w:rPr>
          <w:rFonts w:ascii="Arial Narrow" w:hAnsi="Arial Narrow" w:cs="Arial"/>
          <w:sz w:val="24"/>
          <w:szCs w:val="24"/>
        </w:rPr>
        <w:t>, 28</w:t>
      </w:r>
      <w:r w:rsidR="0076630E" w:rsidRPr="007E7C5B">
        <w:rPr>
          <w:rFonts w:ascii="Arial Narrow" w:hAnsi="Arial Narrow" w:cs="Arial"/>
          <w:sz w:val="24"/>
          <w:szCs w:val="24"/>
        </w:rPr>
        <w:t> </w:t>
      </w:r>
      <w:r w:rsidR="008713C1" w:rsidRPr="007E7C5B">
        <w:rPr>
          <w:rFonts w:ascii="Arial Narrow" w:hAnsi="Arial Narrow" w:cs="Arial"/>
          <w:sz w:val="24"/>
          <w:szCs w:val="24"/>
        </w:rPr>
        <w:t>0</w:t>
      </w:r>
      <w:r w:rsidR="0076630E" w:rsidRPr="007E7C5B">
        <w:rPr>
          <w:rFonts w:ascii="Arial Narrow" w:hAnsi="Arial Narrow" w:cs="Arial"/>
          <w:sz w:val="24"/>
          <w:szCs w:val="24"/>
        </w:rPr>
        <w:t>87 kits de ra</w:t>
      </w:r>
      <w:r w:rsidR="00C70173" w:rsidRPr="007E7C5B">
        <w:rPr>
          <w:rFonts w:ascii="Arial Narrow" w:hAnsi="Arial Narrow" w:cs="Arial"/>
          <w:sz w:val="24"/>
          <w:szCs w:val="24"/>
        </w:rPr>
        <w:t>chianesthésie</w:t>
      </w:r>
      <w:r w:rsidR="00575DBA" w:rsidRPr="007E7C5B">
        <w:rPr>
          <w:rFonts w:ascii="Arial Narrow" w:hAnsi="Arial Narrow" w:cs="Arial"/>
          <w:sz w:val="24"/>
          <w:szCs w:val="24"/>
        </w:rPr>
        <w:t>,</w:t>
      </w:r>
      <w:r w:rsidR="00C70173" w:rsidRPr="007E7C5B">
        <w:rPr>
          <w:rFonts w:ascii="Arial Narrow" w:hAnsi="Arial Narrow" w:cs="Arial"/>
          <w:sz w:val="24"/>
          <w:szCs w:val="24"/>
        </w:rPr>
        <w:t xml:space="preserve"> </w:t>
      </w:r>
      <w:r w:rsidR="0048136A" w:rsidRPr="007E7C5B">
        <w:rPr>
          <w:rFonts w:ascii="Arial Narrow" w:hAnsi="Arial Narrow" w:cs="Arial"/>
          <w:sz w:val="24"/>
          <w:szCs w:val="24"/>
        </w:rPr>
        <w:t>et 1</w:t>
      </w:r>
      <w:r w:rsidR="00575DBA" w:rsidRPr="007E7C5B">
        <w:rPr>
          <w:rFonts w:ascii="Arial Narrow" w:hAnsi="Arial Narrow" w:cs="Arial"/>
          <w:sz w:val="24"/>
          <w:szCs w:val="24"/>
        </w:rPr>
        <w:t> </w:t>
      </w:r>
      <w:r w:rsidR="0048136A" w:rsidRPr="007E7C5B">
        <w:rPr>
          <w:rFonts w:ascii="Arial Narrow" w:hAnsi="Arial Narrow" w:cs="Arial"/>
          <w:sz w:val="24"/>
          <w:szCs w:val="24"/>
        </w:rPr>
        <w:t>6</w:t>
      </w:r>
      <w:r w:rsidR="00575DBA" w:rsidRPr="007E7C5B">
        <w:rPr>
          <w:rFonts w:ascii="Arial Narrow" w:hAnsi="Arial Narrow" w:cs="Arial"/>
          <w:sz w:val="24"/>
          <w:szCs w:val="24"/>
        </w:rPr>
        <w:t>64 295 produits antipaludiques</w:t>
      </w:r>
      <w:bookmarkEnd w:id="97"/>
      <w:r w:rsidR="00DB7C44" w:rsidRPr="007E7C5B">
        <w:rPr>
          <w:rFonts w:ascii="Arial Narrow" w:hAnsi="Arial Narrow" w:cs="Arial"/>
          <w:sz w:val="24"/>
          <w:szCs w:val="24"/>
        </w:rPr>
        <w:t>.</w:t>
      </w:r>
      <w:r w:rsidR="005432EB" w:rsidRPr="007E7C5B">
        <w:rPr>
          <w:rFonts w:ascii="Arial Narrow" w:hAnsi="Arial Narrow" w:cs="Arial"/>
          <w:sz w:val="24"/>
          <w:szCs w:val="24"/>
        </w:rPr>
        <w:t xml:space="preserve"> </w:t>
      </w:r>
      <w:r w:rsidR="00361CC4">
        <w:rPr>
          <w:rFonts w:ascii="Arial Narrow" w:hAnsi="Arial Narrow" w:cs="Arial"/>
          <w:sz w:val="24"/>
          <w:szCs w:val="24"/>
        </w:rPr>
        <w:t>Ces actions ont contribué à la réalisation de</w:t>
      </w:r>
      <w:r w:rsidR="00755D5F">
        <w:rPr>
          <w:rFonts w:ascii="Arial Narrow" w:hAnsi="Arial Narrow" w:cs="Arial"/>
          <w:sz w:val="24"/>
          <w:szCs w:val="24"/>
        </w:rPr>
        <w:t xml:space="preserve"> </w:t>
      </w:r>
      <w:r w:rsidR="002A6CB8" w:rsidRPr="007E7C5B">
        <w:rPr>
          <w:rFonts w:ascii="Arial Narrow" w:hAnsi="Arial Narrow" w:cs="Arial"/>
          <w:sz w:val="24"/>
          <w:szCs w:val="24"/>
        </w:rPr>
        <w:t>44 6</w:t>
      </w:r>
      <w:r w:rsidR="00E61E17" w:rsidRPr="007E7C5B">
        <w:rPr>
          <w:rFonts w:ascii="Arial Narrow" w:hAnsi="Arial Narrow" w:cs="Arial"/>
          <w:sz w:val="24"/>
          <w:szCs w:val="24"/>
        </w:rPr>
        <w:t>5</w:t>
      </w:r>
      <w:r w:rsidR="002A6CB8" w:rsidRPr="007E7C5B">
        <w:rPr>
          <w:rFonts w:ascii="Arial Narrow" w:hAnsi="Arial Narrow" w:cs="Arial"/>
          <w:sz w:val="24"/>
          <w:szCs w:val="24"/>
        </w:rPr>
        <w:t>5 césarienne</w:t>
      </w:r>
      <w:r w:rsidR="00E61E17" w:rsidRPr="007E7C5B">
        <w:rPr>
          <w:rFonts w:ascii="Arial Narrow" w:hAnsi="Arial Narrow" w:cs="Arial"/>
          <w:sz w:val="24"/>
          <w:szCs w:val="24"/>
        </w:rPr>
        <w:t>s et 722</w:t>
      </w:r>
      <w:r w:rsidR="00D43CC7" w:rsidRPr="007E7C5B">
        <w:rPr>
          <w:rFonts w:ascii="Arial Narrow" w:hAnsi="Arial Narrow" w:cs="Arial"/>
          <w:sz w:val="24"/>
          <w:szCs w:val="24"/>
        </w:rPr>
        <w:t> </w:t>
      </w:r>
      <w:r w:rsidR="00E61E17" w:rsidRPr="007E7C5B">
        <w:rPr>
          <w:rFonts w:ascii="Arial Narrow" w:hAnsi="Arial Narrow" w:cs="Arial"/>
          <w:sz w:val="24"/>
          <w:szCs w:val="24"/>
        </w:rPr>
        <w:t>99</w:t>
      </w:r>
      <w:r w:rsidR="00D43CC7" w:rsidRPr="007E7C5B">
        <w:rPr>
          <w:rFonts w:ascii="Arial Narrow" w:hAnsi="Arial Narrow" w:cs="Arial"/>
          <w:sz w:val="24"/>
          <w:szCs w:val="24"/>
        </w:rPr>
        <w:t xml:space="preserve">9 </w:t>
      </w:r>
      <w:proofErr w:type="gramStart"/>
      <w:r w:rsidR="00212B7F" w:rsidRPr="007E7C5B">
        <w:rPr>
          <w:rFonts w:ascii="Arial Narrow" w:hAnsi="Arial Narrow" w:cs="Arial"/>
          <w:sz w:val="24"/>
          <w:szCs w:val="24"/>
        </w:rPr>
        <w:t>accouchements</w:t>
      </w:r>
      <w:r w:rsidR="00D43CC7" w:rsidRPr="007E7C5B">
        <w:rPr>
          <w:rFonts w:ascii="Arial Narrow" w:hAnsi="Arial Narrow" w:cs="Arial"/>
          <w:sz w:val="24"/>
          <w:szCs w:val="24"/>
        </w:rPr>
        <w:t xml:space="preserve"> </w:t>
      </w:r>
      <w:r w:rsidR="002F618F" w:rsidRPr="007E7C5B">
        <w:rPr>
          <w:rFonts w:ascii="Arial Narrow" w:hAnsi="Arial Narrow" w:cs="Arial"/>
          <w:sz w:val="24"/>
          <w:szCs w:val="24"/>
        </w:rPr>
        <w:t>.</w:t>
      </w:r>
      <w:proofErr w:type="gramEnd"/>
      <w:r w:rsidR="002F618F" w:rsidRPr="007E7C5B">
        <w:rPr>
          <w:rFonts w:ascii="Arial Narrow" w:hAnsi="Arial Narrow" w:cs="Arial"/>
          <w:sz w:val="24"/>
          <w:szCs w:val="24"/>
        </w:rPr>
        <w:t xml:space="preserve"> </w:t>
      </w:r>
      <w:r w:rsidR="00E82001" w:rsidRPr="007E7C5B">
        <w:rPr>
          <w:rFonts w:ascii="Arial Narrow" w:hAnsi="Arial Narrow" w:cs="Arial"/>
          <w:sz w:val="24"/>
          <w:szCs w:val="24"/>
        </w:rPr>
        <w:t>En outre, 2 746 189 enfants de moins de ci</w:t>
      </w:r>
      <w:r w:rsidR="00D702F9" w:rsidRPr="007E7C5B">
        <w:rPr>
          <w:rFonts w:ascii="Arial Narrow" w:hAnsi="Arial Narrow" w:cs="Arial"/>
          <w:sz w:val="24"/>
          <w:szCs w:val="24"/>
        </w:rPr>
        <w:t>nq ans et 3</w:t>
      </w:r>
      <w:r w:rsidR="00846D79" w:rsidRPr="007E7C5B">
        <w:rPr>
          <w:rFonts w:ascii="Arial Narrow" w:hAnsi="Arial Narrow" w:cs="Arial"/>
          <w:sz w:val="24"/>
          <w:szCs w:val="24"/>
        </w:rPr>
        <w:t>34</w:t>
      </w:r>
      <w:r w:rsidR="00B0729A" w:rsidRPr="007E7C5B">
        <w:rPr>
          <w:rFonts w:ascii="Arial Narrow" w:hAnsi="Arial Narrow" w:cs="Arial"/>
          <w:sz w:val="24"/>
          <w:szCs w:val="24"/>
        </w:rPr>
        <w:t xml:space="preserve"> 033 femmes enceintes atteintes de paludisme ont bénéficié </w:t>
      </w:r>
      <w:r w:rsidR="00025BF1" w:rsidRPr="007E7C5B">
        <w:rPr>
          <w:rFonts w:ascii="Arial Narrow" w:hAnsi="Arial Narrow" w:cs="Arial"/>
          <w:sz w:val="24"/>
          <w:szCs w:val="24"/>
        </w:rPr>
        <w:t xml:space="preserve">gratuitement </w:t>
      </w:r>
      <w:r w:rsidR="00B0729A" w:rsidRPr="007E7C5B">
        <w:rPr>
          <w:rFonts w:ascii="Arial Narrow" w:hAnsi="Arial Narrow" w:cs="Arial"/>
          <w:sz w:val="24"/>
          <w:szCs w:val="24"/>
        </w:rPr>
        <w:t xml:space="preserve">d’un traitement </w:t>
      </w:r>
      <w:r w:rsidR="00025BF1" w:rsidRPr="007E7C5B">
        <w:rPr>
          <w:rFonts w:ascii="Arial Narrow" w:hAnsi="Arial Narrow" w:cs="Arial"/>
          <w:sz w:val="24"/>
          <w:szCs w:val="24"/>
        </w:rPr>
        <w:t>antipaludique en 2023.</w:t>
      </w:r>
    </w:p>
    <w:p w14:paraId="660B295C" w14:textId="77777777" w:rsidR="00E26291" w:rsidRDefault="00755D5F" w:rsidP="00755D5F">
      <w:pPr>
        <w:jc w:val="both"/>
        <w:rPr>
          <w:rFonts w:ascii="Arial Narrow" w:hAnsi="Arial Narrow" w:cs="Arial"/>
          <w:sz w:val="24"/>
          <w:szCs w:val="24"/>
        </w:rPr>
      </w:pPr>
      <w:r w:rsidRPr="007A001B">
        <w:rPr>
          <w:rFonts w:ascii="Arial Narrow" w:hAnsi="Arial Narrow" w:cs="Arial"/>
          <w:sz w:val="24"/>
          <w:szCs w:val="24"/>
        </w:rPr>
        <w:t>Le niveau élevé du financement des dépenses courantes de santé par les ménages dans notre pays et à hauteur 39,43%</w:t>
      </w:r>
      <w:r w:rsidRPr="007A001B">
        <w:rPr>
          <w:rFonts w:ascii="Arial Narrow" w:hAnsi="Arial Narrow" w:cs="Arial"/>
          <w:sz w:val="24"/>
          <w:szCs w:val="24"/>
        </w:rPr>
        <w:footnoteReference w:id="27"/>
      </w:r>
      <w:r w:rsidRPr="007A001B">
        <w:rPr>
          <w:rFonts w:ascii="Arial Narrow" w:hAnsi="Arial Narrow" w:cs="Arial"/>
          <w:sz w:val="24"/>
          <w:szCs w:val="24"/>
        </w:rPr>
        <w:t xml:space="preserve"> expose les populations à des risques élevés de paupérisation et à une utilisation minimaliste des services de santé. </w:t>
      </w:r>
      <w:r w:rsidRPr="007A001B">
        <w:rPr>
          <w:rFonts w:ascii="Arial Narrow" w:hAnsi="Arial Narrow" w:cs="Arial"/>
          <w:b/>
          <w:bCs/>
          <w:sz w:val="24"/>
          <w:szCs w:val="24"/>
        </w:rPr>
        <w:t>La Couverture Maladie Universelle (CMU)</w:t>
      </w:r>
      <w:r w:rsidRPr="007A001B">
        <w:rPr>
          <w:rFonts w:ascii="Arial Narrow" w:hAnsi="Arial Narrow" w:cs="Arial"/>
          <w:sz w:val="24"/>
          <w:szCs w:val="24"/>
        </w:rPr>
        <w:t xml:space="preserve"> en place depuis de nombreuses années est une réponse à cette situation mais son déploiement a connu de nombreuses difficultés. Son utilisation effective reste encore très faible. Pour y remédier, des initiatives ont été mises en place afin d'accélérer la généralisation de la CMU, en collaboration avec le Ministère en charge de la sécurité sociale. Ces actions visent à simplifier les procédures d'enrôlement, à utiliser les structures de santé comme les centres d'enrôlement et à améliorer l'organisation ainsi que l'effectivité des prestations de la CMU dans la majorité des centres de santé</w:t>
      </w:r>
      <w:r w:rsidR="00E26291" w:rsidRPr="007A001B">
        <w:rPr>
          <w:rFonts w:ascii="Arial Narrow" w:hAnsi="Arial Narrow" w:cs="Arial"/>
          <w:sz w:val="24"/>
          <w:szCs w:val="24"/>
        </w:rPr>
        <w:t>. Au 30 Septembre 2024, environ 15 millions des personnes ont été enrôlées avec 5 millions de cartes produites et 4 082 068 de cartes distribuées avec environ 1,8 million de personnes à jour de leur cotisation</w:t>
      </w:r>
      <w:r w:rsidR="00E26291">
        <w:rPr>
          <w:rFonts w:ascii="Arial Narrow" w:hAnsi="Arial Narrow" w:cs="Arial"/>
          <w:sz w:val="24"/>
          <w:szCs w:val="24"/>
        </w:rPr>
        <w:t>.</w:t>
      </w:r>
    </w:p>
    <w:p w14:paraId="47462E94" w14:textId="1ED5C8F8" w:rsidR="00B51F93" w:rsidRPr="007E7C5B" w:rsidRDefault="00755D5F" w:rsidP="00755D5F">
      <w:pPr>
        <w:jc w:val="both"/>
        <w:rPr>
          <w:rFonts w:ascii="Arial Narrow" w:hAnsi="Arial Narrow" w:cs="Arial"/>
          <w:sz w:val="24"/>
          <w:szCs w:val="24"/>
        </w:rPr>
      </w:pPr>
      <w:r w:rsidRPr="007A001B">
        <w:rPr>
          <w:rFonts w:ascii="Arial Narrow" w:hAnsi="Arial Narrow" w:cs="Arial"/>
          <w:sz w:val="24"/>
          <w:szCs w:val="24"/>
        </w:rPr>
        <w:t xml:space="preserve"> </w:t>
      </w:r>
    </w:p>
    <w:p w14:paraId="4A6189E7" w14:textId="0AF18E03" w:rsidR="00273C52" w:rsidRPr="003F13B0" w:rsidRDefault="00055A32" w:rsidP="00761F55">
      <w:pPr>
        <w:pStyle w:val="Titre4"/>
        <w:jc w:val="both"/>
        <w:rPr>
          <w:rFonts w:ascii="Arial Narrow" w:hAnsi="Arial Narrow" w:cstheme="minorHAnsi"/>
          <w:sz w:val="24"/>
          <w:szCs w:val="24"/>
        </w:rPr>
      </w:pPr>
      <w:r w:rsidRPr="003F13B0">
        <w:rPr>
          <w:rFonts w:ascii="Arial Narrow" w:hAnsi="Arial Narrow" w:cstheme="minorHAnsi"/>
          <w:sz w:val="24"/>
          <w:szCs w:val="24"/>
        </w:rPr>
        <w:t xml:space="preserve">Evènements marquants </w:t>
      </w:r>
      <w:r w:rsidR="00E7646D" w:rsidRPr="003F13B0">
        <w:rPr>
          <w:rFonts w:ascii="Arial Narrow" w:hAnsi="Arial Narrow" w:cstheme="minorHAnsi"/>
          <w:sz w:val="24"/>
          <w:szCs w:val="24"/>
        </w:rPr>
        <w:t>sur la période 2021-2023</w:t>
      </w:r>
    </w:p>
    <w:p w14:paraId="54EE537E" w14:textId="50CAA339" w:rsidR="00273C52" w:rsidRPr="000F6D4A" w:rsidRDefault="00401D34" w:rsidP="00A918AC">
      <w:pPr>
        <w:rPr>
          <w:rFonts w:ascii="Arial Narrow" w:hAnsi="Arial Narrow" w:cs="Arial"/>
          <w:b/>
          <w:sz w:val="24"/>
          <w:szCs w:val="24"/>
        </w:rPr>
      </w:pPr>
      <w:r w:rsidRPr="000F6D4A">
        <w:rPr>
          <w:rFonts w:ascii="Arial Narrow" w:hAnsi="Arial Narrow" w:cs="Arial"/>
          <w:b/>
          <w:sz w:val="24"/>
          <w:szCs w:val="24"/>
        </w:rPr>
        <w:t>Encad</w:t>
      </w:r>
      <w:r w:rsidR="00FD661B" w:rsidRPr="000F6D4A">
        <w:rPr>
          <w:rFonts w:ascii="Arial Narrow" w:hAnsi="Arial Narrow" w:cs="Arial"/>
          <w:b/>
          <w:sz w:val="24"/>
          <w:szCs w:val="24"/>
        </w:rPr>
        <w:t>r</w:t>
      </w:r>
      <w:r w:rsidRPr="000F6D4A">
        <w:rPr>
          <w:rFonts w:ascii="Arial Narrow" w:hAnsi="Arial Narrow" w:cs="Arial"/>
          <w:b/>
          <w:sz w:val="24"/>
          <w:szCs w:val="24"/>
        </w:rPr>
        <w:t xml:space="preserve">é : </w:t>
      </w:r>
      <w:r w:rsidR="00AD334C" w:rsidRPr="000F6D4A">
        <w:rPr>
          <w:rFonts w:ascii="Arial Narrow" w:hAnsi="Arial Narrow" w:cs="Arial"/>
          <w:b/>
          <w:sz w:val="24"/>
          <w:szCs w:val="24"/>
        </w:rPr>
        <w:t xml:space="preserve">Réponse </w:t>
      </w:r>
      <w:r w:rsidR="005E07F4" w:rsidRPr="000F6D4A">
        <w:rPr>
          <w:rFonts w:ascii="Arial Narrow" w:hAnsi="Arial Narrow" w:cs="Arial"/>
          <w:b/>
          <w:sz w:val="24"/>
          <w:szCs w:val="24"/>
        </w:rPr>
        <w:t xml:space="preserve">du système de santé </w:t>
      </w:r>
      <w:r w:rsidR="00AD334C" w:rsidRPr="000F6D4A">
        <w:rPr>
          <w:rFonts w:ascii="Arial Narrow" w:hAnsi="Arial Narrow" w:cs="Arial"/>
          <w:b/>
          <w:sz w:val="24"/>
          <w:szCs w:val="24"/>
        </w:rPr>
        <w:t>aux exigences d’or</w:t>
      </w:r>
      <w:r w:rsidR="00AD0E55" w:rsidRPr="000F6D4A">
        <w:rPr>
          <w:rFonts w:ascii="Arial Narrow" w:hAnsi="Arial Narrow" w:cs="Arial"/>
          <w:b/>
          <w:sz w:val="24"/>
          <w:szCs w:val="24"/>
        </w:rPr>
        <w:t xml:space="preserve">ganisation </w:t>
      </w:r>
      <w:r w:rsidR="00AD334C" w:rsidRPr="000F6D4A">
        <w:rPr>
          <w:rFonts w:ascii="Arial Narrow" w:hAnsi="Arial Narrow" w:cs="Arial"/>
          <w:b/>
          <w:sz w:val="24"/>
          <w:szCs w:val="24"/>
        </w:rPr>
        <w:t xml:space="preserve">de la </w:t>
      </w:r>
      <w:r w:rsidR="002B0BA4" w:rsidRPr="000F6D4A">
        <w:rPr>
          <w:rFonts w:ascii="Arial Narrow" w:hAnsi="Arial Narrow" w:cs="Arial"/>
          <w:b/>
          <w:sz w:val="24"/>
          <w:szCs w:val="24"/>
        </w:rPr>
        <w:t>34</w:t>
      </w:r>
      <w:r w:rsidR="005E07F4" w:rsidRPr="000F6D4A">
        <w:rPr>
          <w:rFonts w:ascii="Arial Narrow" w:hAnsi="Arial Narrow" w:cs="Arial"/>
          <w:b/>
          <w:sz w:val="24"/>
          <w:szCs w:val="24"/>
          <w:vertAlign w:val="superscript"/>
        </w:rPr>
        <w:t>ème</w:t>
      </w:r>
      <w:r w:rsidR="005E07F4" w:rsidRPr="000F6D4A">
        <w:rPr>
          <w:rFonts w:ascii="Arial Narrow" w:hAnsi="Arial Narrow" w:cs="Arial"/>
          <w:b/>
          <w:sz w:val="24"/>
          <w:szCs w:val="24"/>
        </w:rPr>
        <w:t xml:space="preserve"> édition de la </w:t>
      </w:r>
      <w:r w:rsidR="00273C52" w:rsidRPr="000F6D4A">
        <w:rPr>
          <w:rFonts w:ascii="Arial Narrow" w:hAnsi="Arial Narrow" w:cs="Arial"/>
          <w:b/>
          <w:sz w:val="24"/>
          <w:szCs w:val="24"/>
        </w:rPr>
        <w:t>C</w:t>
      </w:r>
      <w:r w:rsidR="005E07F4" w:rsidRPr="000F6D4A">
        <w:rPr>
          <w:rFonts w:ascii="Arial Narrow" w:hAnsi="Arial Narrow" w:cs="Arial"/>
          <w:b/>
          <w:sz w:val="24"/>
          <w:szCs w:val="24"/>
        </w:rPr>
        <w:t>oupe d’</w:t>
      </w:r>
      <w:r w:rsidR="00273C52" w:rsidRPr="000F6D4A">
        <w:rPr>
          <w:rFonts w:ascii="Arial Narrow" w:hAnsi="Arial Narrow" w:cs="Arial"/>
          <w:b/>
          <w:sz w:val="24"/>
          <w:szCs w:val="24"/>
        </w:rPr>
        <w:t>A</w:t>
      </w:r>
      <w:r w:rsidR="005E07F4" w:rsidRPr="000F6D4A">
        <w:rPr>
          <w:rFonts w:ascii="Arial Narrow" w:hAnsi="Arial Narrow" w:cs="Arial"/>
          <w:b/>
          <w:sz w:val="24"/>
          <w:szCs w:val="24"/>
        </w:rPr>
        <w:t xml:space="preserve">frique des </w:t>
      </w:r>
      <w:r w:rsidR="00273C52" w:rsidRPr="000F6D4A">
        <w:rPr>
          <w:rFonts w:ascii="Arial Narrow" w:hAnsi="Arial Narrow" w:cs="Arial"/>
          <w:b/>
          <w:sz w:val="24"/>
          <w:szCs w:val="24"/>
        </w:rPr>
        <w:t>N</w:t>
      </w:r>
      <w:r w:rsidR="005E07F4" w:rsidRPr="000F6D4A">
        <w:rPr>
          <w:rFonts w:ascii="Arial Narrow" w:hAnsi="Arial Narrow" w:cs="Arial"/>
          <w:b/>
          <w:sz w:val="24"/>
          <w:szCs w:val="24"/>
        </w:rPr>
        <w:t>ations</w:t>
      </w:r>
      <w:r w:rsidR="00C206E6" w:rsidRPr="000F6D4A">
        <w:rPr>
          <w:rFonts w:ascii="Arial Narrow" w:hAnsi="Arial Narrow" w:cs="Arial"/>
          <w:b/>
          <w:sz w:val="24"/>
          <w:szCs w:val="24"/>
        </w:rPr>
        <w:t xml:space="preserve"> (</w:t>
      </w:r>
      <w:r w:rsidR="002B0BA4" w:rsidRPr="000F6D4A">
        <w:rPr>
          <w:rFonts w:ascii="Arial Narrow" w:hAnsi="Arial Narrow" w:cs="Arial"/>
          <w:b/>
          <w:sz w:val="24"/>
          <w:szCs w:val="24"/>
        </w:rPr>
        <w:t>CAN 2023)</w:t>
      </w:r>
    </w:p>
    <w:tbl>
      <w:tblPr>
        <w:tblW w:w="0" w:type="auto"/>
        <w:shd w:val="clear" w:color="auto" w:fill="538135" w:themeFill="accent6" w:themeFillShade="BF"/>
        <w:tblLook w:val="04A0" w:firstRow="1" w:lastRow="0" w:firstColumn="1" w:lastColumn="0" w:noHBand="0" w:noVBand="1"/>
      </w:tblPr>
      <w:tblGrid>
        <w:gridCol w:w="9016"/>
      </w:tblGrid>
      <w:tr w:rsidR="00814098" w:rsidRPr="003A5502" w14:paraId="564E50FD" w14:textId="77777777" w:rsidTr="00723EC0">
        <w:tc>
          <w:tcPr>
            <w:tcW w:w="9016" w:type="dxa"/>
            <w:shd w:val="clear" w:color="auto" w:fill="538135" w:themeFill="accent6" w:themeFillShade="BF"/>
          </w:tcPr>
          <w:p w14:paraId="241406B3" w14:textId="77777777" w:rsidR="00814098" w:rsidRPr="003A5502" w:rsidRDefault="00814098" w:rsidP="00814098">
            <w:pPr>
              <w:jc w:val="both"/>
              <w:rPr>
                <w:rFonts w:ascii="Arial Narrow" w:hAnsi="Arial Narrow" w:cs="Arial"/>
                <w:color w:val="FFFFFF" w:themeColor="background1"/>
                <w:sz w:val="24"/>
                <w:szCs w:val="24"/>
              </w:rPr>
            </w:pPr>
          </w:p>
          <w:p w14:paraId="096CA17B" w14:textId="33281756" w:rsidR="00814098" w:rsidRPr="003A5502" w:rsidRDefault="00814098" w:rsidP="00814098">
            <w:pPr>
              <w:jc w:val="both"/>
              <w:rPr>
                <w:rFonts w:ascii="Arial Narrow" w:hAnsi="Arial Narrow" w:cs="Arial"/>
                <w:color w:val="FFFFFF" w:themeColor="background1"/>
                <w:sz w:val="24"/>
                <w:szCs w:val="24"/>
              </w:rPr>
            </w:pPr>
            <w:r w:rsidRPr="003A5502">
              <w:rPr>
                <w:rFonts w:ascii="Arial Narrow" w:hAnsi="Arial Narrow" w:cs="Arial"/>
                <w:color w:val="FFFFFF" w:themeColor="background1"/>
                <w:sz w:val="24"/>
                <w:szCs w:val="24"/>
              </w:rPr>
              <w:t>La Côte d’Ivoire a pris les dispositions idoines pour répondre aux exigences et recommandations de la Confédération Africaine de Football (CAF) relativement aux structures sanitaires d’accueil dans le cadre de l’organisation de la 34 édition de la Coupe d’Afrique des Nations de Football. Ainsi le pays à travers le Ministère en charge de la santé a mis à disposition au moins un établissement sanitaire répondant aux exigences de la CAF (établissement sanitaire/hôpital de référence ou accrédité) dans chaque ville hôte tout en s’assurant que d’autres structures sanitaires dans chacune des villes hôtes pouvaient servir d’appui à l'établissement sanitaire de référence ou accrédité pour les délégations de la CAF. A cet effet, le plateau technique de ces établissements de référence dans les villes CAN a été renforcé.</w:t>
            </w:r>
          </w:p>
          <w:p w14:paraId="3AB9654C" w14:textId="77777777" w:rsidR="00814098" w:rsidRPr="003A5502" w:rsidRDefault="00814098" w:rsidP="00814098">
            <w:pPr>
              <w:jc w:val="both"/>
              <w:rPr>
                <w:rFonts w:ascii="Arial Narrow" w:hAnsi="Arial Narrow" w:cs="Arial"/>
                <w:color w:val="FFFFFF" w:themeColor="background1"/>
                <w:sz w:val="24"/>
                <w:szCs w:val="24"/>
              </w:rPr>
            </w:pPr>
          </w:p>
          <w:p w14:paraId="2E6EC8D0" w14:textId="77D6EFBC" w:rsidR="00814098" w:rsidRPr="003A5502" w:rsidRDefault="00814098" w:rsidP="00814098">
            <w:pPr>
              <w:jc w:val="both"/>
              <w:rPr>
                <w:rFonts w:ascii="Arial Narrow" w:hAnsi="Arial Narrow" w:cs="Arial"/>
                <w:color w:val="FFFFFF" w:themeColor="background1"/>
                <w:sz w:val="24"/>
                <w:szCs w:val="24"/>
              </w:rPr>
            </w:pPr>
            <w:r w:rsidRPr="003A5502">
              <w:rPr>
                <w:rFonts w:ascii="Arial Narrow" w:hAnsi="Arial Narrow" w:cs="Arial"/>
                <w:color w:val="FFFFFF" w:themeColor="background1"/>
                <w:sz w:val="24"/>
                <w:szCs w:val="24"/>
              </w:rPr>
              <w:t>Afin de garantir la capacité du système de santé à gérer des urgences de santé</w:t>
            </w:r>
            <w:r w:rsidR="00B60A4E" w:rsidRPr="003A5502">
              <w:rPr>
                <w:rFonts w:ascii="Arial Narrow" w:hAnsi="Arial Narrow" w:cs="Arial"/>
                <w:color w:val="FFFFFF" w:themeColor="background1"/>
                <w:sz w:val="24"/>
                <w:szCs w:val="24"/>
              </w:rPr>
              <w:t>,</w:t>
            </w:r>
            <w:r w:rsidRPr="003A5502">
              <w:rPr>
                <w:rFonts w:ascii="Arial Narrow" w:hAnsi="Arial Narrow" w:cs="Arial"/>
                <w:color w:val="FFFFFF" w:themeColor="background1"/>
                <w:sz w:val="24"/>
                <w:szCs w:val="24"/>
              </w:rPr>
              <w:t xml:space="preserve"> </w:t>
            </w:r>
            <w:r w:rsidR="00E62116" w:rsidRPr="003A5502">
              <w:rPr>
                <w:rFonts w:ascii="Arial Narrow" w:hAnsi="Arial Narrow" w:cs="Arial"/>
                <w:color w:val="FFFFFF" w:themeColor="background1"/>
                <w:sz w:val="24"/>
                <w:szCs w:val="24"/>
              </w:rPr>
              <w:t>d</w:t>
            </w:r>
            <w:r w:rsidRPr="003A5502">
              <w:rPr>
                <w:rFonts w:ascii="Arial Narrow" w:hAnsi="Arial Narrow" w:cs="Arial"/>
                <w:color w:val="FFFFFF" w:themeColor="background1"/>
                <w:sz w:val="24"/>
                <w:szCs w:val="24"/>
              </w:rPr>
              <w:t>es dispositions ont été prises pour faire face aux éventuelles bousculades dans les stades</w:t>
            </w:r>
            <w:r w:rsidR="004D2B4A" w:rsidRPr="003A5502">
              <w:rPr>
                <w:rFonts w:ascii="Arial Narrow" w:hAnsi="Arial Narrow" w:cs="Arial"/>
                <w:color w:val="FFFFFF" w:themeColor="background1"/>
                <w:sz w:val="24"/>
                <w:szCs w:val="24"/>
              </w:rPr>
              <w:t>. Aussi,</w:t>
            </w:r>
            <w:r w:rsidRPr="003A5502">
              <w:rPr>
                <w:rFonts w:ascii="Arial Narrow" w:hAnsi="Arial Narrow" w:cs="Arial"/>
                <w:color w:val="FFFFFF" w:themeColor="background1"/>
                <w:sz w:val="24"/>
                <w:szCs w:val="24"/>
              </w:rPr>
              <w:t xml:space="preserve"> </w:t>
            </w:r>
            <w:r w:rsidR="00984786" w:rsidRPr="003A5502">
              <w:rPr>
                <w:rFonts w:ascii="Arial Narrow" w:hAnsi="Arial Narrow" w:cs="Arial"/>
                <w:color w:val="FFFFFF" w:themeColor="background1"/>
                <w:sz w:val="24"/>
                <w:szCs w:val="24"/>
              </w:rPr>
              <w:t>des mesures de contingences ont été mises en place pour prendre en charge</w:t>
            </w:r>
            <w:r w:rsidRPr="003A5502">
              <w:rPr>
                <w:rFonts w:ascii="Arial Narrow" w:hAnsi="Arial Narrow" w:cs="Arial"/>
                <w:color w:val="FFFFFF" w:themeColor="background1"/>
                <w:sz w:val="24"/>
                <w:szCs w:val="24"/>
              </w:rPr>
              <w:t xml:space="preserve"> d’éventuels importants flots de blessés </w:t>
            </w:r>
            <w:r w:rsidR="00E163FC" w:rsidRPr="003A5502">
              <w:rPr>
                <w:rFonts w:ascii="Arial Narrow" w:hAnsi="Arial Narrow" w:cs="Arial"/>
                <w:color w:val="FFFFFF" w:themeColor="background1"/>
                <w:sz w:val="24"/>
                <w:szCs w:val="24"/>
              </w:rPr>
              <w:t xml:space="preserve">causés par les </w:t>
            </w:r>
            <w:r w:rsidR="004713AD" w:rsidRPr="003A5502">
              <w:rPr>
                <w:rFonts w:ascii="Arial Narrow" w:hAnsi="Arial Narrow" w:cs="Arial"/>
                <w:color w:val="FFFFFF" w:themeColor="background1"/>
                <w:sz w:val="24"/>
                <w:szCs w:val="24"/>
              </w:rPr>
              <w:t xml:space="preserve">accidents </w:t>
            </w:r>
            <w:r w:rsidR="00202524" w:rsidRPr="003A5502">
              <w:rPr>
                <w:rFonts w:ascii="Arial Narrow" w:hAnsi="Arial Narrow" w:cs="Arial"/>
                <w:color w:val="FFFFFF" w:themeColor="background1"/>
                <w:sz w:val="24"/>
                <w:szCs w:val="24"/>
              </w:rPr>
              <w:t>en lien avec les déplacements des supporters</w:t>
            </w:r>
            <w:r w:rsidR="00604DFD" w:rsidRPr="003A5502">
              <w:rPr>
                <w:rFonts w:ascii="Arial Narrow" w:hAnsi="Arial Narrow" w:cs="Arial"/>
                <w:color w:val="FFFFFF" w:themeColor="background1"/>
                <w:sz w:val="24"/>
                <w:szCs w:val="24"/>
              </w:rPr>
              <w:t xml:space="preserve"> et des délégations. </w:t>
            </w:r>
            <w:r w:rsidRPr="003A5502">
              <w:rPr>
                <w:rFonts w:ascii="Arial Narrow" w:hAnsi="Arial Narrow" w:cs="Arial"/>
                <w:color w:val="FFFFFF" w:themeColor="background1"/>
                <w:sz w:val="24"/>
                <w:szCs w:val="24"/>
              </w:rPr>
              <w:t xml:space="preserve">Ces dispositifs ont concerné </w:t>
            </w:r>
            <w:r w:rsidR="001D6C82" w:rsidRPr="003A5502">
              <w:rPr>
                <w:rFonts w:ascii="Arial Narrow" w:hAnsi="Arial Narrow" w:cs="Arial"/>
                <w:color w:val="FFFFFF" w:themeColor="background1"/>
                <w:sz w:val="24"/>
                <w:szCs w:val="24"/>
              </w:rPr>
              <w:t>à la fois</w:t>
            </w:r>
            <w:r w:rsidRPr="003A5502">
              <w:rPr>
                <w:rFonts w:ascii="Arial Narrow" w:hAnsi="Arial Narrow" w:cs="Arial"/>
                <w:color w:val="FFFFFF" w:themeColor="background1"/>
                <w:sz w:val="24"/>
                <w:szCs w:val="24"/>
              </w:rPr>
              <w:t xml:space="preserve"> les villes dites CAN </w:t>
            </w:r>
            <w:r w:rsidR="00E35DA5" w:rsidRPr="003A5502">
              <w:rPr>
                <w:rFonts w:ascii="Arial Narrow" w:hAnsi="Arial Narrow" w:cs="Arial"/>
                <w:color w:val="FFFFFF" w:themeColor="background1"/>
                <w:sz w:val="24"/>
                <w:szCs w:val="24"/>
              </w:rPr>
              <w:t>et</w:t>
            </w:r>
            <w:r w:rsidRPr="003A5502">
              <w:rPr>
                <w:rFonts w:ascii="Arial Narrow" w:hAnsi="Arial Narrow" w:cs="Arial"/>
                <w:color w:val="FFFFFF" w:themeColor="background1"/>
                <w:sz w:val="24"/>
                <w:szCs w:val="24"/>
              </w:rPr>
              <w:t xml:space="preserve"> </w:t>
            </w:r>
            <w:r w:rsidR="00FB07FC" w:rsidRPr="003A5502">
              <w:rPr>
                <w:rFonts w:ascii="Arial Narrow" w:hAnsi="Arial Narrow" w:cs="Arial"/>
                <w:color w:val="FFFFFF" w:themeColor="background1"/>
                <w:sz w:val="24"/>
                <w:szCs w:val="24"/>
              </w:rPr>
              <w:t>non-CAN</w:t>
            </w:r>
            <w:r w:rsidR="006F7717" w:rsidRPr="003A5502">
              <w:rPr>
                <w:rFonts w:ascii="Arial Narrow" w:hAnsi="Arial Narrow" w:cs="Arial"/>
                <w:color w:val="FFFFFF" w:themeColor="background1"/>
                <w:sz w:val="24"/>
                <w:szCs w:val="24"/>
              </w:rPr>
              <w:t>,</w:t>
            </w:r>
            <w:r w:rsidRPr="003A5502">
              <w:rPr>
                <w:rFonts w:ascii="Arial Narrow" w:hAnsi="Arial Narrow" w:cs="Arial"/>
                <w:color w:val="FFFFFF" w:themeColor="background1"/>
                <w:sz w:val="24"/>
                <w:szCs w:val="24"/>
              </w:rPr>
              <w:t xml:space="preserve"> ainsi que l’ensemble des principaux corridors de transport terrestre. La mise en place d’un Comité Opérationnel de Gestion des Urgences de Santé et des Contingences (COGU Santé-CAN2023) a permis à travers ses réunions journalières d’organiser et de suivre l’ensemble des mesures de prévention et de prise en charge des blessés sur l’ensemble du territoire national au </w:t>
            </w:r>
            <w:r w:rsidR="003478F9" w:rsidRPr="003A5502">
              <w:rPr>
                <w:rFonts w:ascii="Arial Narrow" w:hAnsi="Arial Narrow" w:cs="Arial"/>
                <w:color w:val="FFFFFF" w:themeColor="background1"/>
                <w:sz w:val="24"/>
                <w:szCs w:val="24"/>
              </w:rPr>
              <w:t>quotidien</w:t>
            </w:r>
            <w:r w:rsidRPr="003A5502">
              <w:rPr>
                <w:rFonts w:ascii="Arial Narrow" w:hAnsi="Arial Narrow" w:cs="Arial"/>
                <w:color w:val="FFFFFF" w:themeColor="background1"/>
                <w:sz w:val="24"/>
                <w:szCs w:val="24"/>
              </w:rPr>
              <w:t>.</w:t>
            </w:r>
          </w:p>
          <w:p w14:paraId="761CC0E2" w14:textId="77777777" w:rsidR="00814098" w:rsidRPr="003A5502" w:rsidRDefault="00814098" w:rsidP="00814098">
            <w:pPr>
              <w:jc w:val="both"/>
              <w:rPr>
                <w:rFonts w:ascii="Arial Narrow" w:hAnsi="Arial Narrow" w:cs="Arial"/>
                <w:color w:val="FFFFFF" w:themeColor="background1"/>
                <w:sz w:val="24"/>
                <w:szCs w:val="24"/>
              </w:rPr>
            </w:pPr>
          </w:p>
          <w:p w14:paraId="728CA3A2" w14:textId="77777777" w:rsidR="00814098" w:rsidRDefault="00814098" w:rsidP="00761F55">
            <w:pPr>
              <w:jc w:val="both"/>
              <w:rPr>
                <w:rFonts w:ascii="Arial Narrow" w:hAnsi="Arial Narrow" w:cs="Arial"/>
                <w:color w:val="FFFFFF" w:themeColor="background1"/>
                <w:sz w:val="24"/>
                <w:szCs w:val="24"/>
              </w:rPr>
            </w:pPr>
            <w:r w:rsidRPr="003A5502">
              <w:rPr>
                <w:rFonts w:ascii="Arial Narrow" w:hAnsi="Arial Narrow" w:cs="Arial"/>
                <w:color w:val="FFFFFF" w:themeColor="background1"/>
                <w:sz w:val="24"/>
                <w:szCs w:val="24"/>
              </w:rPr>
              <w:t>Les équipes médicales et paramédicales ont été renforcées par 15 traumatologues, orthopédistes et anesthésistes ainsi que par 10 internes assistés de médecins seniors pour assurer une prise en charge rapide et efficace des cas d'urgence. Les intrants stratégiques tels que kit AVP, médicaments, poches de sang ont été déployés. Du début de la CAN</w:t>
            </w:r>
            <w:r w:rsidR="00730F37" w:rsidRPr="003A5502">
              <w:rPr>
                <w:rFonts w:ascii="Arial Narrow" w:hAnsi="Arial Narrow" w:cs="Arial"/>
                <w:color w:val="FFFFFF" w:themeColor="background1"/>
                <w:sz w:val="24"/>
                <w:szCs w:val="24"/>
              </w:rPr>
              <w:t xml:space="preserve"> le 11 janvier </w:t>
            </w:r>
            <w:r w:rsidRPr="003A5502">
              <w:rPr>
                <w:rFonts w:ascii="Arial Narrow" w:hAnsi="Arial Narrow" w:cs="Arial"/>
                <w:color w:val="FFFFFF" w:themeColor="background1"/>
                <w:sz w:val="24"/>
                <w:szCs w:val="24"/>
              </w:rPr>
              <w:t xml:space="preserve">au 3 </w:t>
            </w:r>
            <w:r w:rsidR="00AA004C" w:rsidRPr="003A5502">
              <w:rPr>
                <w:rFonts w:ascii="Arial Narrow" w:hAnsi="Arial Narrow" w:cs="Arial"/>
                <w:color w:val="FFFFFF" w:themeColor="background1"/>
                <w:sz w:val="24"/>
                <w:szCs w:val="24"/>
              </w:rPr>
              <w:t>f</w:t>
            </w:r>
            <w:r w:rsidRPr="003A5502">
              <w:rPr>
                <w:rFonts w:ascii="Arial Narrow" w:hAnsi="Arial Narrow" w:cs="Arial"/>
                <w:color w:val="FFFFFF" w:themeColor="background1"/>
                <w:sz w:val="24"/>
                <w:szCs w:val="24"/>
              </w:rPr>
              <w:t>évrier</w:t>
            </w:r>
            <w:r w:rsidR="003A7DF7" w:rsidRPr="003A5502">
              <w:rPr>
                <w:rFonts w:ascii="Arial Narrow" w:hAnsi="Arial Narrow" w:cs="Arial"/>
                <w:color w:val="FFFFFF" w:themeColor="background1"/>
                <w:sz w:val="24"/>
                <w:szCs w:val="24"/>
              </w:rPr>
              <w:t xml:space="preserve"> 2024</w:t>
            </w:r>
            <w:r w:rsidRPr="003A5502">
              <w:rPr>
                <w:rFonts w:ascii="Arial Narrow" w:hAnsi="Arial Narrow" w:cs="Arial"/>
                <w:color w:val="FFFFFF" w:themeColor="background1"/>
                <w:sz w:val="24"/>
                <w:szCs w:val="24"/>
              </w:rPr>
              <w:t>, on a dénombré 3</w:t>
            </w:r>
            <w:r w:rsidR="00AA004C" w:rsidRPr="003A5502">
              <w:rPr>
                <w:rFonts w:ascii="Arial Narrow" w:hAnsi="Arial Narrow" w:cs="Arial"/>
                <w:color w:val="FFFFFF" w:themeColor="background1"/>
                <w:sz w:val="24"/>
                <w:szCs w:val="24"/>
              </w:rPr>
              <w:t xml:space="preserve"> </w:t>
            </w:r>
            <w:r w:rsidRPr="003A5502">
              <w:rPr>
                <w:rFonts w:ascii="Arial Narrow" w:hAnsi="Arial Narrow" w:cs="Arial"/>
                <w:color w:val="FFFFFF" w:themeColor="background1"/>
                <w:sz w:val="24"/>
                <w:szCs w:val="24"/>
              </w:rPr>
              <w:t>665 blessés dont 2</w:t>
            </w:r>
            <w:r w:rsidR="00730F37" w:rsidRPr="003A5502">
              <w:rPr>
                <w:rFonts w:ascii="Arial Narrow" w:hAnsi="Arial Narrow" w:cs="Arial"/>
                <w:color w:val="FFFFFF" w:themeColor="background1"/>
                <w:sz w:val="24"/>
                <w:szCs w:val="24"/>
              </w:rPr>
              <w:t xml:space="preserve"> </w:t>
            </w:r>
            <w:r w:rsidRPr="003A5502">
              <w:rPr>
                <w:rFonts w:ascii="Arial Narrow" w:hAnsi="Arial Narrow" w:cs="Arial"/>
                <w:color w:val="FFFFFF" w:themeColor="background1"/>
                <w:sz w:val="24"/>
                <w:szCs w:val="24"/>
              </w:rPr>
              <w:t>116 par accidents de la voie publique (AVP)</w:t>
            </w:r>
            <w:r w:rsidR="00E62528" w:rsidRPr="003A5502">
              <w:rPr>
                <w:rFonts w:ascii="Arial Narrow" w:hAnsi="Arial Narrow" w:cs="Arial"/>
                <w:color w:val="FFFFFF" w:themeColor="background1"/>
                <w:sz w:val="24"/>
                <w:szCs w:val="24"/>
              </w:rPr>
              <w:t>.</w:t>
            </w:r>
            <w:r w:rsidR="00E33227" w:rsidRPr="003A5502">
              <w:rPr>
                <w:rFonts w:ascii="Arial Narrow" w:hAnsi="Arial Narrow" w:cs="Arial"/>
                <w:color w:val="FFFFFF" w:themeColor="background1"/>
                <w:sz w:val="24"/>
                <w:szCs w:val="24"/>
              </w:rPr>
              <w:t xml:space="preserve"> </w:t>
            </w:r>
            <w:r w:rsidR="00792F1E" w:rsidRPr="003A5502">
              <w:rPr>
                <w:rFonts w:ascii="Arial Narrow" w:hAnsi="Arial Narrow" w:cs="Arial"/>
                <w:color w:val="FFFFFF" w:themeColor="background1"/>
                <w:sz w:val="24"/>
                <w:szCs w:val="24"/>
              </w:rPr>
              <w:t xml:space="preserve">Au total, </w:t>
            </w:r>
            <w:r w:rsidRPr="003A5502">
              <w:rPr>
                <w:rFonts w:ascii="Arial Narrow" w:hAnsi="Arial Narrow" w:cs="Arial"/>
                <w:color w:val="FFFFFF" w:themeColor="background1"/>
                <w:sz w:val="24"/>
                <w:szCs w:val="24"/>
              </w:rPr>
              <w:t>3</w:t>
            </w:r>
            <w:r w:rsidR="00E62528" w:rsidRPr="003A5502">
              <w:rPr>
                <w:rFonts w:ascii="Arial Narrow" w:hAnsi="Arial Narrow" w:cs="Arial"/>
                <w:color w:val="FFFFFF" w:themeColor="background1"/>
                <w:sz w:val="24"/>
                <w:szCs w:val="24"/>
              </w:rPr>
              <w:t xml:space="preserve"> </w:t>
            </w:r>
            <w:r w:rsidRPr="003A5502">
              <w:rPr>
                <w:rFonts w:ascii="Arial Narrow" w:hAnsi="Arial Narrow" w:cs="Arial"/>
                <w:color w:val="FFFFFF" w:themeColor="background1"/>
                <w:sz w:val="24"/>
                <w:szCs w:val="24"/>
              </w:rPr>
              <w:t>451 blessés ont été pris en charge dans les structures sanitaires sur place et 189 blessés ont été évacués vers d’autres structures sanitaires pour prise en charge</w:t>
            </w:r>
            <w:r w:rsidR="00D575AD" w:rsidRPr="003A5502">
              <w:rPr>
                <w:rFonts w:ascii="Arial Narrow" w:hAnsi="Arial Narrow" w:cs="Arial"/>
                <w:color w:val="FFFFFF" w:themeColor="background1"/>
                <w:sz w:val="24"/>
                <w:szCs w:val="24"/>
              </w:rPr>
              <w:t>.</w:t>
            </w:r>
            <w:r w:rsidRPr="003A5502">
              <w:rPr>
                <w:rFonts w:ascii="Arial Narrow" w:hAnsi="Arial Narrow" w:cs="Arial"/>
                <w:color w:val="FFFFFF" w:themeColor="background1"/>
                <w:sz w:val="24"/>
                <w:szCs w:val="24"/>
              </w:rPr>
              <w:t xml:space="preserve"> </w:t>
            </w:r>
            <w:r w:rsidR="00C37980" w:rsidRPr="003A5502">
              <w:rPr>
                <w:rFonts w:ascii="Arial Narrow" w:hAnsi="Arial Narrow" w:cs="Arial"/>
                <w:color w:val="FFFFFF" w:themeColor="background1"/>
                <w:sz w:val="24"/>
                <w:szCs w:val="24"/>
              </w:rPr>
              <w:t xml:space="preserve">Il est à déplorer </w:t>
            </w:r>
            <w:r w:rsidRPr="003A5502">
              <w:rPr>
                <w:rFonts w:ascii="Arial Narrow" w:hAnsi="Arial Narrow" w:cs="Arial"/>
                <w:color w:val="FFFFFF" w:themeColor="background1"/>
                <w:sz w:val="24"/>
                <w:szCs w:val="24"/>
              </w:rPr>
              <w:t xml:space="preserve">41 cas de décès. </w:t>
            </w:r>
          </w:p>
          <w:p w14:paraId="55B68662" w14:textId="6B2C1B7B" w:rsidR="00B611C4" w:rsidRPr="003A5502" w:rsidRDefault="00B611C4" w:rsidP="00761F55">
            <w:pPr>
              <w:jc w:val="both"/>
              <w:rPr>
                <w:rFonts w:ascii="Arial Narrow" w:hAnsi="Arial Narrow" w:cs="Arial"/>
                <w:color w:val="FFFFFF" w:themeColor="background1"/>
                <w:sz w:val="24"/>
                <w:szCs w:val="24"/>
              </w:rPr>
            </w:pPr>
          </w:p>
        </w:tc>
      </w:tr>
    </w:tbl>
    <w:p w14:paraId="7C557176" w14:textId="77777777" w:rsidR="00D20934" w:rsidRPr="003F13B0" w:rsidRDefault="00D20934" w:rsidP="00761F55">
      <w:pPr>
        <w:jc w:val="both"/>
        <w:rPr>
          <w:rFonts w:ascii="Arial Narrow" w:hAnsi="Arial Narrow" w:cs="Arial"/>
          <w:sz w:val="24"/>
          <w:szCs w:val="24"/>
        </w:rPr>
      </w:pPr>
    </w:p>
    <w:p w14:paraId="7EB89007" w14:textId="4511B8F8" w:rsidR="00D20934" w:rsidRPr="005D4293" w:rsidRDefault="00D20934" w:rsidP="00761F55">
      <w:pPr>
        <w:jc w:val="both"/>
        <w:rPr>
          <w:rFonts w:ascii="Arial Narrow" w:hAnsi="Arial Narrow" w:cs="Arial"/>
          <w:b/>
          <w:sz w:val="24"/>
          <w:szCs w:val="24"/>
        </w:rPr>
      </w:pPr>
      <w:r w:rsidRPr="005D4293">
        <w:rPr>
          <w:rFonts w:ascii="Arial Narrow" w:hAnsi="Arial Narrow" w:cs="Arial"/>
          <w:b/>
          <w:bCs/>
          <w:sz w:val="24"/>
          <w:szCs w:val="24"/>
        </w:rPr>
        <w:t xml:space="preserve">Encadré : </w:t>
      </w:r>
      <w:r w:rsidR="00A74897" w:rsidRPr="00A74897">
        <w:rPr>
          <w:rFonts w:ascii="Arial Narrow" w:hAnsi="Arial Narrow" w:cs="Arial"/>
          <w:b/>
          <w:bCs/>
          <w:sz w:val="24"/>
          <w:szCs w:val="24"/>
        </w:rPr>
        <w:t>Leadership de la Côte d'Ivoire à la 12e Réunion Annuelle du Partenariat de Ouagadougou (RAPO 2023)</w:t>
      </w:r>
    </w:p>
    <w:tbl>
      <w:tblPr>
        <w:tblW w:w="0" w:type="auto"/>
        <w:shd w:val="clear" w:color="auto" w:fill="538135" w:themeFill="accent6" w:themeFillShade="BF"/>
        <w:tblLook w:val="04A0" w:firstRow="1" w:lastRow="0" w:firstColumn="1" w:lastColumn="0" w:noHBand="0" w:noVBand="1"/>
      </w:tblPr>
      <w:tblGrid>
        <w:gridCol w:w="9016"/>
      </w:tblGrid>
      <w:tr w:rsidR="00853D32" w:rsidRPr="008466A7" w14:paraId="334D2CFC" w14:textId="77777777" w:rsidTr="008466A7">
        <w:tc>
          <w:tcPr>
            <w:tcW w:w="9016" w:type="dxa"/>
            <w:shd w:val="clear" w:color="auto" w:fill="538135" w:themeFill="accent6" w:themeFillShade="BF"/>
          </w:tcPr>
          <w:p w14:paraId="0C836B26" w14:textId="77777777" w:rsidR="00F74D1C" w:rsidRDefault="00F74D1C" w:rsidP="005F7DF4">
            <w:pPr>
              <w:jc w:val="both"/>
              <w:rPr>
                <w:rFonts w:ascii="Arial Narrow" w:hAnsi="Arial Narrow" w:cs="Arial"/>
                <w:color w:val="FFFFFF" w:themeColor="background1"/>
                <w:sz w:val="24"/>
                <w:szCs w:val="24"/>
              </w:rPr>
            </w:pPr>
          </w:p>
          <w:p w14:paraId="7D7D78A8" w14:textId="035C71B9" w:rsidR="005F7DF4" w:rsidRPr="008466A7" w:rsidRDefault="005F7DF4" w:rsidP="005F7DF4">
            <w:pPr>
              <w:jc w:val="both"/>
              <w:rPr>
                <w:rFonts w:ascii="Arial Narrow" w:hAnsi="Arial Narrow" w:cs="Arial"/>
                <w:color w:val="FFFFFF" w:themeColor="background1"/>
                <w:sz w:val="24"/>
                <w:szCs w:val="24"/>
              </w:rPr>
            </w:pPr>
            <w:r w:rsidRPr="008466A7">
              <w:rPr>
                <w:rFonts w:ascii="Arial Narrow" w:hAnsi="Arial Narrow" w:cs="Arial"/>
                <w:color w:val="FFFFFF" w:themeColor="background1"/>
                <w:sz w:val="24"/>
                <w:szCs w:val="24"/>
              </w:rPr>
              <w:t xml:space="preserve">La 12e Réunion Annuelle du Partenariat de Ouagadougou (RAPO), tenue à Abidjan, Côte d’Ivoire, du 11 au 13 décembre 2023, a rassemblé environ 500 participants </w:t>
            </w:r>
            <w:r w:rsidR="00216518" w:rsidRPr="008466A7">
              <w:rPr>
                <w:rFonts w:ascii="Arial Narrow" w:hAnsi="Arial Narrow" w:cs="Arial"/>
                <w:color w:val="FFFFFF" w:themeColor="background1"/>
                <w:sz w:val="24"/>
                <w:szCs w:val="24"/>
              </w:rPr>
              <w:t>en présentiel</w:t>
            </w:r>
            <w:r w:rsidR="00DC0550" w:rsidRPr="008466A7">
              <w:rPr>
                <w:rFonts w:ascii="Arial Narrow" w:hAnsi="Arial Narrow" w:cs="Arial"/>
                <w:color w:val="FFFFFF" w:themeColor="background1"/>
                <w:sz w:val="24"/>
                <w:szCs w:val="24"/>
              </w:rPr>
              <w:t xml:space="preserve"> et plus de 2000 </w:t>
            </w:r>
            <w:r w:rsidR="00232AA9" w:rsidRPr="008466A7">
              <w:rPr>
                <w:rFonts w:ascii="Arial Narrow" w:hAnsi="Arial Narrow" w:cs="Arial"/>
                <w:color w:val="FFFFFF" w:themeColor="background1"/>
                <w:sz w:val="24"/>
                <w:szCs w:val="24"/>
              </w:rPr>
              <w:t>participants virtuels de plus de 30 pays</w:t>
            </w:r>
            <w:r w:rsidRPr="008466A7">
              <w:rPr>
                <w:rFonts w:ascii="Arial Narrow" w:hAnsi="Arial Narrow" w:cs="Arial"/>
                <w:color w:val="FFFFFF" w:themeColor="background1"/>
                <w:sz w:val="24"/>
                <w:szCs w:val="24"/>
              </w:rPr>
              <w:t xml:space="preserve"> sur le thème : </w:t>
            </w:r>
            <w:r w:rsidRPr="008466A7">
              <w:rPr>
                <w:rFonts w:ascii="Arial Narrow" w:hAnsi="Arial Narrow" w:cs="Arial"/>
                <w:b/>
                <w:color w:val="FFFFFF" w:themeColor="background1"/>
                <w:sz w:val="24"/>
                <w:szCs w:val="24"/>
              </w:rPr>
              <w:t>"Genre et Santé Reproductive : Stratégies pour un Changement Social et Comportemental en Faveur de la Jeunesse".</w:t>
            </w:r>
          </w:p>
          <w:p w14:paraId="0F7CFF0A" w14:textId="54313DD4" w:rsidR="005F7DF4" w:rsidRPr="008466A7" w:rsidRDefault="005F7DF4" w:rsidP="005F7DF4">
            <w:pPr>
              <w:jc w:val="both"/>
              <w:rPr>
                <w:rFonts w:ascii="Arial Narrow" w:hAnsi="Arial Narrow" w:cs="Arial"/>
                <w:color w:val="FFFFFF" w:themeColor="background1"/>
                <w:sz w:val="24"/>
                <w:szCs w:val="24"/>
              </w:rPr>
            </w:pPr>
            <w:r w:rsidRPr="008466A7">
              <w:rPr>
                <w:rFonts w:ascii="Arial Narrow" w:hAnsi="Arial Narrow" w:cs="Arial"/>
                <w:color w:val="FFFFFF" w:themeColor="background1"/>
                <w:sz w:val="24"/>
                <w:szCs w:val="24"/>
              </w:rPr>
              <w:t xml:space="preserve"> Cet événement a permis de souligner les engagements nationaux en faveur de la santé sexuelle et reproductive (SSR) et de la planification familiale (PF), en mettant particulièrement l’accent sur le rôle central de la Côte d’Ivoire dans la région</w:t>
            </w:r>
            <w:r w:rsidRPr="008466A7">
              <w:rPr>
                <w:rFonts w:ascii="Arial" w:hAnsi="Arial" w:cs="Arial"/>
                <w:color w:val="FFFFFF" w:themeColor="background1"/>
                <w:sz w:val="24"/>
                <w:szCs w:val="24"/>
              </w:rPr>
              <w:t>​.</w:t>
            </w:r>
          </w:p>
          <w:p w14:paraId="3B80B55F" w14:textId="001DD366" w:rsidR="005F7DF4" w:rsidRPr="008466A7" w:rsidRDefault="005F7DF4" w:rsidP="005F7DF4">
            <w:pPr>
              <w:jc w:val="both"/>
              <w:rPr>
                <w:rFonts w:ascii="Arial Narrow" w:hAnsi="Arial Narrow" w:cs="Arial"/>
                <w:color w:val="FFFFFF" w:themeColor="background1"/>
                <w:sz w:val="24"/>
                <w:szCs w:val="24"/>
              </w:rPr>
            </w:pPr>
            <w:r w:rsidRPr="008466A7">
              <w:rPr>
                <w:rFonts w:ascii="Arial Narrow" w:hAnsi="Arial Narrow" w:cs="Arial"/>
                <w:b/>
                <w:color w:val="FFFFFF" w:themeColor="background1"/>
                <w:sz w:val="24"/>
                <w:szCs w:val="24"/>
              </w:rPr>
              <w:t>Engagements de la Côte d’Ivoire</w:t>
            </w:r>
          </w:p>
          <w:p w14:paraId="53BADF5E" w14:textId="2FADC599" w:rsidR="005F7DF4" w:rsidRPr="008466A7" w:rsidRDefault="005F7DF4" w:rsidP="000A1A7B">
            <w:pPr>
              <w:pStyle w:val="Paragraphedeliste"/>
              <w:numPr>
                <w:ilvl w:val="0"/>
                <w:numId w:val="24"/>
              </w:numPr>
              <w:jc w:val="both"/>
              <w:rPr>
                <w:rFonts w:ascii="Arial Narrow" w:hAnsi="Arial Narrow" w:cs="Arial"/>
                <w:color w:val="FFFFFF" w:themeColor="background1"/>
                <w:sz w:val="24"/>
                <w:szCs w:val="24"/>
              </w:rPr>
            </w:pPr>
            <w:r w:rsidRPr="008466A7">
              <w:rPr>
                <w:rFonts w:ascii="Arial Narrow" w:hAnsi="Arial Narrow" w:cs="Arial"/>
                <w:b/>
                <w:color w:val="FFFFFF" w:themeColor="background1"/>
                <w:sz w:val="24"/>
                <w:szCs w:val="24"/>
              </w:rPr>
              <w:t>Leadership national :</w:t>
            </w:r>
            <w:r w:rsidRPr="008466A7">
              <w:rPr>
                <w:rFonts w:ascii="Arial Narrow" w:hAnsi="Arial Narrow" w:cs="Arial"/>
                <w:color w:val="FFFFFF" w:themeColor="background1"/>
                <w:sz w:val="24"/>
                <w:szCs w:val="24"/>
              </w:rPr>
              <w:t xml:space="preserve"> Le gouvernement ivoirien a renforcé son engagement envers la PF en augmentant sa contribution financière annuelle de 400 millions à 2,5 milliards FCFA. Cette augmentation vise à étendre la gratuité des contraceptifs aux jeunes et adolescents dans tous les établissements publics et communautaires, un engagement clé dans la lutte contre les grossesses précoces</w:t>
            </w:r>
            <w:r w:rsidRPr="008466A7">
              <w:rPr>
                <w:rFonts w:ascii="Arial" w:hAnsi="Arial" w:cs="Arial"/>
                <w:color w:val="FFFFFF" w:themeColor="background1"/>
                <w:sz w:val="24"/>
                <w:szCs w:val="24"/>
              </w:rPr>
              <w:t xml:space="preserve">​. </w:t>
            </w:r>
          </w:p>
          <w:p w14:paraId="10CB41CF" w14:textId="0A8B8F8A" w:rsidR="00E26291" w:rsidRPr="008466A7" w:rsidRDefault="005F7DF4" w:rsidP="000A1A7B">
            <w:pPr>
              <w:pStyle w:val="Paragraphedeliste"/>
              <w:numPr>
                <w:ilvl w:val="0"/>
                <w:numId w:val="24"/>
              </w:numPr>
              <w:jc w:val="both"/>
              <w:rPr>
                <w:rFonts w:ascii="Arial Narrow" w:hAnsi="Arial Narrow" w:cs="Arial"/>
                <w:color w:val="FFFFFF" w:themeColor="background1"/>
                <w:sz w:val="24"/>
                <w:szCs w:val="24"/>
              </w:rPr>
            </w:pPr>
            <w:r w:rsidRPr="008466A7">
              <w:rPr>
                <w:rFonts w:ascii="Arial Narrow" w:hAnsi="Arial Narrow" w:cs="Arial"/>
                <w:b/>
                <w:color w:val="FFFFFF" w:themeColor="background1"/>
                <w:sz w:val="24"/>
                <w:szCs w:val="24"/>
              </w:rPr>
              <w:t>Priorisation de la jeunesse :</w:t>
            </w:r>
            <w:r w:rsidRPr="008466A7">
              <w:rPr>
                <w:rFonts w:ascii="Arial Narrow" w:hAnsi="Arial Narrow" w:cs="Arial"/>
                <w:color w:val="FFFFFF" w:themeColor="background1"/>
                <w:sz w:val="24"/>
                <w:szCs w:val="24"/>
              </w:rPr>
              <w:t xml:space="preserve"> Sous l’impulsion du Président Alassane Ouattara, 2023 a été déclarée "Année de la jeunesse", reflétant une politique nationale axée sur l’avenir des jeunes, leur éducation et leur accès à des services de santé reproductive adaptés</w:t>
            </w:r>
            <w:r w:rsidR="000272BF" w:rsidRPr="008466A7">
              <w:rPr>
                <w:rFonts w:ascii="Arial" w:hAnsi="Arial" w:cs="Arial"/>
                <w:color w:val="FFFFFF" w:themeColor="background1"/>
                <w:sz w:val="24"/>
                <w:szCs w:val="24"/>
              </w:rPr>
              <w:t xml:space="preserve">​. </w:t>
            </w:r>
          </w:p>
          <w:p w14:paraId="58DD3443" w14:textId="270E5283" w:rsidR="00E26291" w:rsidRPr="007A001B" w:rsidRDefault="005F7DF4" w:rsidP="007A001B">
            <w:pPr>
              <w:pStyle w:val="Paragraphedeliste"/>
              <w:numPr>
                <w:ilvl w:val="0"/>
                <w:numId w:val="24"/>
              </w:numPr>
              <w:jc w:val="both"/>
              <w:rPr>
                <w:rFonts w:ascii="Arial Narrow" w:hAnsi="Arial Narrow" w:cs="Arial"/>
                <w:color w:val="FFFFFF" w:themeColor="background1"/>
                <w:sz w:val="24"/>
                <w:szCs w:val="24"/>
              </w:rPr>
            </w:pPr>
            <w:r w:rsidRPr="00E26291">
              <w:rPr>
                <w:rFonts w:ascii="Arial Narrow" w:hAnsi="Arial Narrow" w:cs="Arial"/>
                <w:b/>
                <w:color w:val="FFFFFF" w:themeColor="background1"/>
                <w:sz w:val="24"/>
                <w:szCs w:val="24"/>
              </w:rPr>
              <w:t>Progrès en chiffres :</w:t>
            </w:r>
            <w:r w:rsidRPr="00E26291">
              <w:rPr>
                <w:rFonts w:ascii="Arial Narrow" w:hAnsi="Arial Narrow" w:cs="Arial"/>
                <w:color w:val="FFFFFF" w:themeColor="background1"/>
                <w:sz w:val="24"/>
                <w:szCs w:val="24"/>
              </w:rPr>
              <w:t xml:space="preserve"> </w:t>
            </w:r>
            <w:r w:rsidR="00E26291" w:rsidRPr="007A001B">
              <w:rPr>
                <w:rFonts w:ascii="Arial Narrow" w:hAnsi="Arial Narrow" w:cs="Arial"/>
                <w:color w:val="FFFFFF" w:themeColor="background1"/>
                <w:sz w:val="24"/>
                <w:szCs w:val="24"/>
              </w:rPr>
              <w:t xml:space="preserve">la Côte d’Ivoire a enregistré le plus grand nombre d’utilisatrices additionnelles (121 000) entre 2021 et 2022. Elle occupe le deuxième rang en matière de </w:t>
            </w:r>
            <w:r w:rsidR="00E26291" w:rsidRPr="007A001B">
              <w:rPr>
                <w:rFonts w:ascii="Arial Narrow" w:hAnsi="Arial Narrow" w:cs="Arial"/>
                <w:color w:val="FFFFFF" w:themeColor="background1"/>
                <w:sz w:val="24"/>
                <w:szCs w:val="24"/>
              </w:rPr>
              <w:lastRenderedPageBreak/>
              <w:t>prévalence contraceptive (25,5%) après le Burkina Faso (28,3%) parmi les neuf pays</w:t>
            </w:r>
            <w:r w:rsidR="00E26291" w:rsidRPr="007A001B">
              <w:rPr>
                <w:rFonts w:ascii="Arial Narrow" w:hAnsi="Arial Narrow" w:cs="Arial"/>
                <w:color w:val="FFFFFF" w:themeColor="background1"/>
                <w:sz w:val="20"/>
                <w:szCs w:val="20"/>
                <w:vertAlign w:val="superscript"/>
              </w:rPr>
              <w:footnoteReference w:id="28"/>
            </w:r>
            <w:r w:rsidR="00E26291" w:rsidRPr="007A001B">
              <w:rPr>
                <w:rFonts w:ascii="Arial Narrow" w:hAnsi="Arial Narrow" w:cs="Arial"/>
                <w:color w:val="FFFFFF" w:themeColor="background1"/>
                <w:sz w:val="24"/>
                <w:szCs w:val="24"/>
              </w:rPr>
              <w:t xml:space="preserve"> du Partenariat de Ouagadougou</w:t>
            </w:r>
            <w:r w:rsidR="00366460">
              <w:rPr>
                <w:rFonts w:ascii="Arial Narrow" w:hAnsi="Arial Narrow" w:cs="Arial"/>
                <w:color w:val="FFFFFF" w:themeColor="background1"/>
                <w:sz w:val="24"/>
                <w:szCs w:val="24"/>
              </w:rPr>
              <w:t>.</w:t>
            </w:r>
          </w:p>
          <w:p w14:paraId="08CF1EBE" w14:textId="2383D9FD" w:rsidR="005F7DF4" w:rsidRPr="008466A7" w:rsidRDefault="005F7DF4" w:rsidP="005F7DF4">
            <w:pPr>
              <w:jc w:val="both"/>
              <w:rPr>
                <w:rFonts w:ascii="Arial Narrow" w:hAnsi="Arial Narrow" w:cs="Arial"/>
                <w:color w:val="FFFFFF" w:themeColor="background1"/>
                <w:sz w:val="24"/>
                <w:szCs w:val="24"/>
              </w:rPr>
            </w:pPr>
            <w:r w:rsidRPr="008466A7">
              <w:rPr>
                <w:rFonts w:ascii="Arial Narrow" w:hAnsi="Arial Narrow" w:cs="Arial"/>
                <w:color w:val="FFFFFF" w:themeColor="background1"/>
                <w:sz w:val="24"/>
                <w:szCs w:val="24"/>
              </w:rPr>
              <w:t>Des discussions ont porté sur des sujets tels que la santé mentale des jeunes et l'intégration de la PF dans les programmes VIH et de couverture sanitaire universelle (CSU). Ces initiatives visent à améliorer l'accès aux services de santé reproductive et à autonomiser les jeunes femmes et hommes</w:t>
            </w:r>
            <w:r w:rsidR="000272BF" w:rsidRPr="008466A7">
              <w:rPr>
                <w:rFonts w:ascii="Arial Narrow" w:hAnsi="Arial Narrow" w:cs="Arial"/>
                <w:color w:val="FFFFFF" w:themeColor="background1"/>
                <w:sz w:val="24"/>
                <w:szCs w:val="24"/>
              </w:rPr>
              <w:t xml:space="preserve">, </w:t>
            </w:r>
            <w:r w:rsidRPr="008466A7">
              <w:rPr>
                <w:rFonts w:ascii="Arial Narrow" w:hAnsi="Arial Narrow" w:cs="Arial"/>
                <w:b/>
                <w:color w:val="FFFFFF" w:themeColor="background1"/>
                <w:sz w:val="24"/>
                <w:szCs w:val="24"/>
              </w:rPr>
              <w:t>La Côte d’Ivoire a été saluée pour avoir favorisé des synergies entre les secteurs public, privé et la société civile, un modèle à suivre pour d'autres pays membres</w:t>
            </w:r>
            <w:r w:rsidRPr="008466A7">
              <w:rPr>
                <w:rFonts w:ascii="Arial" w:hAnsi="Arial" w:cs="Arial"/>
                <w:b/>
                <w:color w:val="FFFFFF" w:themeColor="background1"/>
                <w:sz w:val="24"/>
                <w:szCs w:val="24"/>
              </w:rPr>
              <w:t>​</w:t>
            </w:r>
          </w:p>
          <w:p w14:paraId="4E64A3A2" w14:textId="77777777" w:rsidR="00853D32" w:rsidRPr="008466A7" w:rsidRDefault="005F7DF4" w:rsidP="005F7DF4">
            <w:pPr>
              <w:jc w:val="both"/>
              <w:rPr>
                <w:rFonts w:ascii="Arial Narrow" w:hAnsi="Arial Narrow" w:cs="Arial"/>
                <w:color w:val="FFFFFF" w:themeColor="background1"/>
                <w:sz w:val="24"/>
                <w:szCs w:val="24"/>
              </w:rPr>
            </w:pPr>
            <w:r w:rsidRPr="008466A7">
              <w:rPr>
                <w:rFonts w:ascii="Arial Narrow" w:hAnsi="Arial Narrow" w:cs="Arial"/>
                <w:color w:val="FFFFFF" w:themeColor="background1"/>
                <w:sz w:val="24"/>
                <w:szCs w:val="24"/>
              </w:rPr>
              <w:t>Grâce à son engagement exemplaire, la Côte d’Ivoire s’affirme comme un acteur clé dans la transformation régionale en faveur de la SSR et de la PF, illustrant que des politiques ambitieuses peuvent produire des impacts mesurables et inspirer d'autres pays de la région.</w:t>
            </w:r>
          </w:p>
          <w:p w14:paraId="4FF2DE76" w14:textId="11735F3E" w:rsidR="00853D32" w:rsidRPr="008466A7" w:rsidRDefault="00853D32" w:rsidP="00761F55">
            <w:pPr>
              <w:jc w:val="both"/>
              <w:rPr>
                <w:rFonts w:ascii="Arial Narrow" w:hAnsi="Arial Narrow" w:cs="Arial"/>
                <w:color w:val="FFFFFF" w:themeColor="background1"/>
                <w:sz w:val="24"/>
                <w:szCs w:val="24"/>
              </w:rPr>
            </w:pPr>
          </w:p>
        </w:tc>
      </w:tr>
    </w:tbl>
    <w:p w14:paraId="36CBC525" w14:textId="77777777" w:rsidR="00853D32" w:rsidRPr="003F13B0" w:rsidRDefault="00853D32" w:rsidP="00761F55">
      <w:pPr>
        <w:jc w:val="both"/>
        <w:rPr>
          <w:rFonts w:ascii="Arial Narrow" w:hAnsi="Arial Narrow" w:cs="Arial"/>
          <w:sz w:val="24"/>
          <w:szCs w:val="24"/>
        </w:rPr>
      </w:pPr>
    </w:p>
    <w:p w14:paraId="3E4F3143" w14:textId="34F298BD" w:rsidR="00D42568" w:rsidRPr="003F13B0" w:rsidRDefault="00D42568" w:rsidP="00761F55">
      <w:pPr>
        <w:pStyle w:val="Titre2"/>
        <w:jc w:val="both"/>
        <w:rPr>
          <w:rFonts w:ascii="Arial Narrow" w:hAnsi="Arial Narrow" w:cs="Arial"/>
          <w:sz w:val="24"/>
          <w:szCs w:val="24"/>
        </w:rPr>
      </w:pPr>
      <w:bookmarkStart w:id="98" w:name="_Toc178699566"/>
      <w:bookmarkStart w:id="99" w:name="_Toc190677479"/>
      <w:bookmarkEnd w:id="51"/>
      <w:r w:rsidRPr="003F13B0">
        <w:rPr>
          <w:rFonts w:ascii="Arial Narrow" w:hAnsi="Arial Narrow" w:cs="Arial"/>
          <w:sz w:val="24"/>
          <w:szCs w:val="24"/>
        </w:rPr>
        <w:t>II.</w:t>
      </w:r>
      <w:r w:rsidR="008C49EB" w:rsidRPr="003F13B0">
        <w:rPr>
          <w:rFonts w:ascii="Arial Narrow" w:hAnsi="Arial Narrow" w:cs="Arial"/>
          <w:sz w:val="24"/>
          <w:szCs w:val="24"/>
        </w:rPr>
        <w:t>3</w:t>
      </w:r>
      <w:r w:rsidRPr="003F13B0">
        <w:rPr>
          <w:rFonts w:ascii="Arial Narrow" w:hAnsi="Arial Narrow" w:cs="Arial"/>
          <w:sz w:val="24"/>
          <w:szCs w:val="24"/>
        </w:rPr>
        <w:t>. Mise en œuvre des réformes clés du secteur de la Santé</w:t>
      </w:r>
      <w:bookmarkEnd w:id="98"/>
      <w:bookmarkEnd w:id="99"/>
    </w:p>
    <w:p w14:paraId="77811977" w14:textId="4D33E693" w:rsidR="0079773B" w:rsidRPr="003F13B0" w:rsidRDefault="0079773B" w:rsidP="00761F55">
      <w:pPr>
        <w:jc w:val="both"/>
        <w:rPr>
          <w:rFonts w:ascii="Arial Narrow" w:hAnsi="Arial Narrow" w:cs="Arial"/>
          <w:sz w:val="24"/>
          <w:szCs w:val="24"/>
        </w:rPr>
      </w:pPr>
      <w:r w:rsidRPr="003F13B0">
        <w:rPr>
          <w:rFonts w:ascii="Arial Narrow" w:hAnsi="Arial Narrow" w:cs="Arial"/>
          <w:sz w:val="24"/>
          <w:szCs w:val="24"/>
        </w:rPr>
        <w:t>L’objectif de ce</w:t>
      </w:r>
      <w:r w:rsidRPr="003F13B0" w:rsidDel="00C22047">
        <w:rPr>
          <w:rFonts w:ascii="Arial Narrow" w:hAnsi="Arial Narrow" w:cs="Arial"/>
          <w:sz w:val="24"/>
          <w:szCs w:val="24"/>
        </w:rPr>
        <w:t xml:space="preserve"> </w:t>
      </w:r>
      <w:r w:rsidRPr="003F13B0">
        <w:rPr>
          <w:rFonts w:ascii="Arial Narrow" w:hAnsi="Arial Narrow" w:cs="Arial"/>
          <w:sz w:val="24"/>
          <w:szCs w:val="24"/>
        </w:rPr>
        <w:t xml:space="preserve">chapitre du rapport est de dresser l’état de mise en œuvre des réformes clés du secteur de la </w:t>
      </w:r>
      <w:r w:rsidR="00640443" w:rsidRPr="003F13B0">
        <w:rPr>
          <w:rFonts w:ascii="Arial Narrow" w:hAnsi="Arial Narrow" w:cs="Arial"/>
          <w:sz w:val="24"/>
          <w:szCs w:val="24"/>
        </w:rPr>
        <w:t>santé</w:t>
      </w:r>
      <w:r w:rsidRPr="003F13B0">
        <w:rPr>
          <w:rFonts w:ascii="Arial Narrow" w:hAnsi="Arial Narrow" w:cs="Arial"/>
          <w:sz w:val="24"/>
          <w:szCs w:val="24"/>
        </w:rPr>
        <w:t>. Il présente à cet effet l</w:t>
      </w:r>
      <w:r w:rsidR="003A7BDA" w:rsidRPr="003F13B0">
        <w:rPr>
          <w:rFonts w:ascii="Arial Narrow" w:hAnsi="Arial Narrow" w:cs="Arial"/>
          <w:sz w:val="24"/>
          <w:szCs w:val="24"/>
        </w:rPr>
        <w:t xml:space="preserve">’effectivité de </w:t>
      </w:r>
      <w:r w:rsidRPr="003F13B0">
        <w:rPr>
          <w:rFonts w:ascii="Arial Narrow" w:hAnsi="Arial Narrow" w:cs="Arial"/>
          <w:sz w:val="24"/>
          <w:szCs w:val="24"/>
        </w:rPr>
        <w:t>la mise en œuvre de ces réformes</w:t>
      </w:r>
      <w:r w:rsidRPr="003F13B0" w:rsidDel="003A7BDA">
        <w:rPr>
          <w:rFonts w:ascii="Arial Narrow" w:hAnsi="Arial Narrow" w:cs="Arial"/>
          <w:sz w:val="24"/>
          <w:szCs w:val="24"/>
        </w:rPr>
        <w:t xml:space="preserve"> </w:t>
      </w:r>
      <w:r w:rsidRPr="003F13B0">
        <w:rPr>
          <w:rFonts w:ascii="Arial Narrow" w:hAnsi="Arial Narrow" w:cs="Arial"/>
          <w:sz w:val="24"/>
          <w:szCs w:val="24"/>
        </w:rPr>
        <w:t>et les défis à leur opérationnalisation.</w:t>
      </w:r>
    </w:p>
    <w:p w14:paraId="51E90B48" w14:textId="25583935" w:rsidR="0079773B" w:rsidRPr="003F13B0" w:rsidRDefault="00CB4CA5" w:rsidP="00761F55">
      <w:pPr>
        <w:jc w:val="both"/>
        <w:rPr>
          <w:rFonts w:ascii="Arial Narrow" w:hAnsi="Arial Narrow" w:cs="Arial"/>
          <w:sz w:val="24"/>
          <w:szCs w:val="24"/>
        </w:rPr>
      </w:pPr>
      <w:r w:rsidRPr="003F13B0">
        <w:rPr>
          <w:rFonts w:ascii="Arial Narrow" w:hAnsi="Arial Narrow" w:cs="Arial"/>
          <w:sz w:val="24"/>
          <w:szCs w:val="24"/>
        </w:rPr>
        <w:t xml:space="preserve">A travers le PNDS 2021-2025, le MSHPCMU </w:t>
      </w:r>
      <w:r w:rsidR="002135DF" w:rsidRPr="003F13B0">
        <w:rPr>
          <w:rFonts w:ascii="Arial Narrow" w:hAnsi="Arial Narrow" w:cs="Arial"/>
          <w:sz w:val="24"/>
          <w:szCs w:val="24"/>
        </w:rPr>
        <w:t>a effectué des réalisations en lien avec les réformes clés</w:t>
      </w:r>
      <w:r w:rsidR="008E11B8" w:rsidRPr="003F13B0">
        <w:rPr>
          <w:rFonts w:ascii="Arial Narrow" w:hAnsi="Arial Narrow" w:cs="Arial"/>
          <w:sz w:val="24"/>
          <w:szCs w:val="24"/>
        </w:rPr>
        <w:t xml:space="preserve"> suivantes :</w:t>
      </w:r>
    </w:p>
    <w:p w14:paraId="07D2F9ED" w14:textId="1A368CAB" w:rsidR="002644C3" w:rsidRPr="003F13B0" w:rsidRDefault="00891C15" w:rsidP="000A1A7B">
      <w:pPr>
        <w:pStyle w:val="Paragraphedeliste"/>
        <w:numPr>
          <w:ilvl w:val="0"/>
          <w:numId w:val="5"/>
        </w:numPr>
        <w:jc w:val="both"/>
        <w:rPr>
          <w:rFonts w:ascii="Arial Narrow" w:hAnsi="Arial Narrow" w:cs="Arial"/>
          <w:sz w:val="24"/>
          <w:szCs w:val="24"/>
        </w:rPr>
      </w:pPr>
      <w:proofErr w:type="gramStart"/>
      <w:r w:rsidRPr="003F13B0">
        <w:rPr>
          <w:rFonts w:ascii="Arial Narrow" w:hAnsi="Arial Narrow" w:cs="Arial"/>
          <w:sz w:val="24"/>
          <w:szCs w:val="24"/>
        </w:rPr>
        <w:t>l</w:t>
      </w:r>
      <w:r w:rsidR="002644C3" w:rsidRPr="003F13B0">
        <w:rPr>
          <w:rFonts w:ascii="Arial Narrow" w:hAnsi="Arial Narrow" w:cs="Arial"/>
          <w:sz w:val="24"/>
          <w:szCs w:val="24"/>
        </w:rPr>
        <w:t>’</w:t>
      </w:r>
      <w:r w:rsidR="00B4315A" w:rsidRPr="003F13B0">
        <w:rPr>
          <w:rFonts w:ascii="Arial Narrow" w:hAnsi="Arial Narrow" w:cs="Arial"/>
          <w:sz w:val="24"/>
          <w:szCs w:val="24"/>
        </w:rPr>
        <w:t>a</w:t>
      </w:r>
      <w:r w:rsidR="002644C3" w:rsidRPr="003F13B0">
        <w:rPr>
          <w:rFonts w:ascii="Arial Narrow" w:hAnsi="Arial Narrow" w:cs="Arial"/>
          <w:sz w:val="24"/>
          <w:szCs w:val="24"/>
        </w:rPr>
        <w:t>chat</w:t>
      </w:r>
      <w:proofErr w:type="gramEnd"/>
      <w:r w:rsidR="002644C3" w:rsidRPr="003F13B0">
        <w:rPr>
          <w:rFonts w:ascii="Arial Narrow" w:hAnsi="Arial Narrow" w:cs="Arial"/>
          <w:sz w:val="24"/>
          <w:szCs w:val="24"/>
        </w:rPr>
        <w:t xml:space="preserve"> stratégique ; </w:t>
      </w:r>
    </w:p>
    <w:p w14:paraId="15D13BA9" w14:textId="0DF5A459" w:rsidR="00513985" w:rsidRPr="003F13B0" w:rsidRDefault="00513985" w:rsidP="000A1A7B">
      <w:pPr>
        <w:pStyle w:val="Paragraphedeliste"/>
        <w:numPr>
          <w:ilvl w:val="0"/>
          <w:numId w:val="5"/>
        </w:numPr>
        <w:jc w:val="both"/>
        <w:rPr>
          <w:rFonts w:ascii="Arial Narrow" w:hAnsi="Arial Narrow" w:cs="Arial"/>
          <w:sz w:val="24"/>
          <w:szCs w:val="24"/>
        </w:rPr>
      </w:pPr>
      <w:proofErr w:type="gramStart"/>
      <w:r w:rsidRPr="003F13B0">
        <w:rPr>
          <w:rFonts w:ascii="Arial Narrow" w:hAnsi="Arial Narrow" w:cs="Arial"/>
          <w:sz w:val="24"/>
          <w:szCs w:val="24"/>
        </w:rPr>
        <w:t>la</w:t>
      </w:r>
      <w:proofErr w:type="gramEnd"/>
      <w:r w:rsidRPr="003F13B0">
        <w:rPr>
          <w:rFonts w:ascii="Arial Narrow" w:hAnsi="Arial Narrow" w:cs="Arial"/>
          <w:sz w:val="24"/>
          <w:szCs w:val="24"/>
        </w:rPr>
        <w:t xml:space="preserve"> Couverture Maladie Universelle (CMU) ;</w:t>
      </w:r>
    </w:p>
    <w:p w14:paraId="74629AD3" w14:textId="02CF2DC2" w:rsidR="0079773B" w:rsidRPr="003F13B0" w:rsidRDefault="00BF1443" w:rsidP="000A1A7B">
      <w:pPr>
        <w:pStyle w:val="Paragraphedeliste"/>
        <w:numPr>
          <w:ilvl w:val="0"/>
          <w:numId w:val="5"/>
        </w:numPr>
        <w:jc w:val="both"/>
        <w:rPr>
          <w:rFonts w:ascii="Arial Narrow" w:hAnsi="Arial Narrow" w:cs="Arial"/>
          <w:sz w:val="24"/>
          <w:szCs w:val="24"/>
        </w:rPr>
      </w:pPr>
      <w:proofErr w:type="gramStart"/>
      <w:r w:rsidRPr="003F13B0">
        <w:rPr>
          <w:rFonts w:ascii="Arial Narrow" w:hAnsi="Arial Narrow" w:cs="Arial"/>
          <w:sz w:val="24"/>
          <w:szCs w:val="24"/>
        </w:rPr>
        <w:t>l</w:t>
      </w:r>
      <w:r w:rsidR="0079773B" w:rsidRPr="003F13B0">
        <w:rPr>
          <w:rFonts w:ascii="Arial Narrow" w:hAnsi="Arial Narrow" w:cs="Arial"/>
          <w:sz w:val="24"/>
          <w:szCs w:val="24"/>
        </w:rPr>
        <w:t>a</w:t>
      </w:r>
      <w:proofErr w:type="gramEnd"/>
      <w:r w:rsidR="0079773B" w:rsidRPr="003F13B0">
        <w:rPr>
          <w:rFonts w:ascii="Arial Narrow" w:hAnsi="Arial Narrow" w:cs="Arial"/>
          <w:sz w:val="24"/>
          <w:szCs w:val="24"/>
        </w:rPr>
        <w:t xml:space="preserve"> </w:t>
      </w:r>
      <w:r w:rsidR="00CB4CA5" w:rsidRPr="003F13B0">
        <w:rPr>
          <w:rFonts w:ascii="Arial Narrow" w:hAnsi="Arial Narrow" w:cs="Arial"/>
          <w:sz w:val="24"/>
          <w:szCs w:val="24"/>
        </w:rPr>
        <w:t>r</w:t>
      </w:r>
      <w:r w:rsidR="0079773B" w:rsidRPr="003F13B0">
        <w:rPr>
          <w:rFonts w:ascii="Arial Narrow" w:hAnsi="Arial Narrow" w:cs="Arial"/>
          <w:sz w:val="24"/>
          <w:szCs w:val="24"/>
        </w:rPr>
        <w:t xml:space="preserve">éforme </w:t>
      </w:r>
      <w:r w:rsidR="00B4315A" w:rsidRPr="003F13B0">
        <w:rPr>
          <w:rFonts w:ascii="Arial Narrow" w:hAnsi="Arial Narrow" w:cs="Arial"/>
          <w:sz w:val="24"/>
          <w:szCs w:val="24"/>
        </w:rPr>
        <w:t>h</w:t>
      </w:r>
      <w:r w:rsidR="0079773B" w:rsidRPr="003F13B0">
        <w:rPr>
          <w:rFonts w:ascii="Arial Narrow" w:hAnsi="Arial Narrow" w:cs="Arial"/>
          <w:sz w:val="24"/>
          <w:szCs w:val="24"/>
        </w:rPr>
        <w:t>ospitalière ;</w:t>
      </w:r>
    </w:p>
    <w:p w14:paraId="05DA9069" w14:textId="3737C1B4" w:rsidR="0079773B" w:rsidRPr="003F13B0" w:rsidRDefault="00BF1443" w:rsidP="000A1A7B">
      <w:pPr>
        <w:pStyle w:val="Paragraphedeliste"/>
        <w:numPr>
          <w:ilvl w:val="0"/>
          <w:numId w:val="5"/>
        </w:numPr>
        <w:jc w:val="both"/>
        <w:rPr>
          <w:rFonts w:ascii="Arial Narrow" w:hAnsi="Arial Narrow" w:cs="Arial"/>
          <w:sz w:val="24"/>
          <w:szCs w:val="24"/>
        </w:rPr>
      </w:pPr>
      <w:proofErr w:type="gramStart"/>
      <w:r w:rsidRPr="003F13B0">
        <w:rPr>
          <w:rFonts w:ascii="Arial Narrow" w:hAnsi="Arial Narrow" w:cs="Arial"/>
          <w:sz w:val="24"/>
          <w:szCs w:val="24"/>
        </w:rPr>
        <w:t>l</w:t>
      </w:r>
      <w:r w:rsidR="00CF7583" w:rsidRPr="003F13B0">
        <w:rPr>
          <w:rFonts w:ascii="Arial Narrow" w:hAnsi="Arial Narrow" w:cs="Arial"/>
          <w:sz w:val="24"/>
          <w:szCs w:val="24"/>
        </w:rPr>
        <w:t>’intégration</w:t>
      </w:r>
      <w:proofErr w:type="gramEnd"/>
      <w:r w:rsidR="00CF7583" w:rsidRPr="003F13B0">
        <w:rPr>
          <w:rFonts w:ascii="Arial Narrow" w:hAnsi="Arial Narrow" w:cs="Arial"/>
          <w:sz w:val="24"/>
          <w:szCs w:val="24"/>
        </w:rPr>
        <w:t xml:space="preserve"> et le développement du </w:t>
      </w:r>
      <w:r w:rsidR="0079773B" w:rsidRPr="003F13B0">
        <w:rPr>
          <w:rFonts w:ascii="Arial Narrow" w:hAnsi="Arial Narrow" w:cs="Arial"/>
          <w:sz w:val="24"/>
          <w:szCs w:val="24"/>
        </w:rPr>
        <w:t>secteur privé de la santé ;</w:t>
      </w:r>
    </w:p>
    <w:p w14:paraId="2F2A29AF" w14:textId="2A5A82CA" w:rsidR="0079773B" w:rsidRPr="003F13B0" w:rsidRDefault="00BF1443" w:rsidP="000A1A7B">
      <w:pPr>
        <w:pStyle w:val="Paragraphedeliste"/>
        <w:numPr>
          <w:ilvl w:val="0"/>
          <w:numId w:val="5"/>
        </w:numPr>
        <w:jc w:val="both"/>
        <w:rPr>
          <w:rFonts w:ascii="Arial Narrow" w:hAnsi="Arial Narrow" w:cs="Arial"/>
          <w:sz w:val="24"/>
          <w:szCs w:val="24"/>
        </w:rPr>
      </w:pPr>
      <w:proofErr w:type="gramStart"/>
      <w:r w:rsidRPr="003F13B0">
        <w:rPr>
          <w:rFonts w:ascii="Arial Narrow" w:hAnsi="Arial Narrow" w:cs="Arial"/>
          <w:sz w:val="24"/>
          <w:szCs w:val="24"/>
        </w:rPr>
        <w:t>l</w:t>
      </w:r>
      <w:r w:rsidR="009A015D" w:rsidRPr="003F13B0">
        <w:rPr>
          <w:rFonts w:ascii="Arial Narrow" w:hAnsi="Arial Narrow" w:cs="Arial"/>
          <w:sz w:val="24"/>
          <w:szCs w:val="24"/>
        </w:rPr>
        <w:t>a</w:t>
      </w:r>
      <w:proofErr w:type="gramEnd"/>
      <w:r w:rsidR="009A015D" w:rsidRPr="003F13B0">
        <w:rPr>
          <w:rFonts w:ascii="Arial Narrow" w:hAnsi="Arial Narrow" w:cs="Arial"/>
          <w:sz w:val="24"/>
          <w:szCs w:val="24"/>
        </w:rPr>
        <w:t xml:space="preserve"> m</w:t>
      </w:r>
      <w:r w:rsidR="0079773B" w:rsidRPr="003F13B0">
        <w:rPr>
          <w:rFonts w:ascii="Arial Narrow" w:hAnsi="Arial Narrow" w:cs="Arial"/>
          <w:sz w:val="24"/>
          <w:szCs w:val="24"/>
        </w:rPr>
        <w:t xml:space="preserve">ise en place des Pôles Régionaux d’Excellence Santé (PRES) ; </w:t>
      </w:r>
    </w:p>
    <w:p w14:paraId="35974AB8" w14:textId="09F8B8F0" w:rsidR="00EC4437" w:rsidRPr="00A918AC" w:rsidRDefault="00C57DB8" w:rsidP="000A1A7B">
      <w:pPr>
        <w:pStyle w:val="Paragraphedeliste"/>
        <w:numPr>
          <w:ilvl w:val="0"/>
          <w:numId w:val="5"/>
        </w:numPr>
        <w:jc w:val="both"/>
        <w:rPr>
          <w:rFonts w:ascii="Arial Narrow" w:hAnsi="Arial Narrow" w:cs="Arial"/>
          <w:sz w:val="24"/>
          <w:szCs w:val="24"/>
        </w:rPr>
      </w:pPr>
      <w:proofErr w:type="gramStart"/>
      <w:r w:rsidRPr="003F13B0" w:rsidDel="00891C15">
        <w:rPr>
          <w:rFonts w:ascii="Arial Narrow" w:hAnsi="Arial Narrow" w:cs="Arial"/>
          <w:sz w:val="24"/>
          <w:szCs w:val="24"/>
        </w:rPr>
        <w:t>l</w:t>
      </w:r>
      <w:r w:rsidRPr="003F13B0">
        <w:rPr>
          <w:rFonts w:ascii="Arial Narrow" w:hAnsi="Arial Narrow" w:cs="Arial"/>
          <w:sz w:val="24"/>
          <w:szCs w:val="24"/>
        </w:rPr>
        <w:t>a</w:t>
      </w:r>
      <w:proofErr w:type="gramEnd"/>
      <w:r w:rsidRPr="003F13B0">
        <w:rPr>
          <w:rFonts w:ascii="Arial Narrow" w:hAnsi="Arial Narrow" w:cs="Arial"/>
          <w:sz w:val="24"/>
          <w:szCs w:val="24"/>
        </w:rPr>
        <w:t xml:space="preserve"> d</w:t>
      </w:r>
      <w:r w:rsidR="0079773B" w:rsidRPr="003F13B0">
        <w:rPr>
          <w:rFonts w:ascii="Arial Narrow" w:hAnsi="Arial Narrow" w:cs="Arial"/>
          <w:sz w:val="24"/>
          <w:szCs w:val="24"/>
        </w:rPr>
        <w:t>igitalisation du système de soin</w:t>
      </w:r>
      <w:r w:rsidR="000D63AB" w:rsidRPr="003F13B0">
        <w:rPr>
          <w:rFonts w:ascii="Arial Narrow" w:hAnsi="Arial Narrow" w:cs="Arial"/>
          <w:sz w:val="24"/>
          <w:szCs w:val="24"/>
        </w:rPr>
        <w:t>s</w:t>
      </w:r>
      <w:r w:rsidR="0079773B" w:rsidRPr="003F13B0">
        <w:rPr>
          <w:rFonts w:ascii="Arial Narrow" w:hAnsi="Arial Narrow" w:cs="Arial"/>
          <w:sz w:val="24"/>
          <w:szCs w:val="24"/>
        </w:rPr>
        <w:t xml:space="preserve"> (e-santé et Télémédecine)</w:t>
      </w:r>
      <w:r w:rsidR="00B43CE6" w:rsidRPr="003F13B0">
        <w:rPr>
          <w:rFonts w:ascii="Arial Narrow" w:hAnsi="Arial Narrow" w:cs="Arial"/>
          <w:sz w:val="24"/>
          <w:szCs w:val="24"/>
        </w:rPr>
        <w:t>.</w:t>
      </w:r>
    </w:p>
    <w:p w14:paraId="20BDF05E" w14:textId="10C9864A" w:rsidR="0079773B" w:rsidRPr="003F13B0" w:rsidRDefault="0079773B" w:rsidP="00AA7D22">
      <w:pPr>
        <w:pStyle w:val="Titre3"/>
        <w:rPr>
          <w:rFonts w:ascii="Arial Narrow" w:hAnsi="Arial Narrow" w:cs="Arial"/>
          <w:sz w:val="24"/>
          <w:szCs w:val="24"/>
        </w:rPr>
      </w:pPr>
      <w:bookmarkStart w:id="100" w:name="_Toc178699568"/>
      <w:bookmarkStart w:id="101" w:name="_Toc190677480"/>
      <w:r w:rsidRPr="003F13B0">
        <w:rPr>
          <w:rFonts w:ascii="Arial Narrow" w:hAnsi="Arial Narrow" w:cs="Arial"/>
          <w:sz w:val="24"/>
          <w:szCs w:val="24"/>
        </w:rPr>
        <w:t xml:space="preserve">L’achat stratégique en </w:t>
      </w:r>
      <w:r w:rsidR="00462B6B" w:rsidRPr="003F13B0">
        <w:rPr>
          <w:rFonts w:ascii="Arial Narrow" w:hAnsi="Arial Narrow" w:cs="Arial"/>
          <w:sz w:val="24"/>
          <w:szCs w:val="24"/>
        </w:rPr>
        <w:t xml:space="preserve">santé </w:t>
      </w:r>
      <w:r w:rsidRPr="003F13B0">
        <w:rPr>
          <w:rFonts w:ascii="Arial Narrow" w:hAnsi="Arial Narrow" w:cs="Arial"/>
          <w:sz w:val="24"/>
          <w:szCs w:val="24"/>
        </w:rPr>
        <w:t>incluant le financement basé sur la performance</w:t>
      </w:r>
      <w:bookmarkEnd w:id="100"/>
      <w:r w:rsidRPr="003F13B0">
        <w:rPr>
          <w:rFonts w:ascii="Arial Narrow" w:hAnsi="Arial Narrow" w:cs="Arial"/>
          <w:sz w:val="24"/>
          <w:szCs w:val="24"/>
        </w:rPr>
        <w:t xml:space="preserve"> (FBP)</w:t>
      </w:r>
      <w:bookmarkEnd w:id="101"/>
    </w:p>
    <w:p w14:paraId="54336536" w14:textId="36DA85D7" w:rsidR="00717368" w:rsidRPr="003F13B0" w:rsidRDefault="00844EFA" w:rsidP="00717368">
      <w:pPr>
        <w:jc w:val="both"/>
        <w:rPr>
          <w:rFonts w:ascii="Arial Narrow" w:eastAsia="Times New Roman" w:hAnsi="Arial Narrow" w:cs="Arial"/>
          <w:kern w:val="0"/>
          <w:sz w:val="24"/>
          <w:szCs w:val="24"/>
          <w:lang w:eastAsia="fr-FR"/>
          <w14:ligatures w14:val="none"/>
        </w:rPr>
      </w:pPr>
      <w:r w:rsidRPr="003F13B0">
        <w:rPr>
          <w:rFonts w:ascii="Arial Narrow" w:eastAsia="Times New Roman" w:hAnsi="Arial Narrow" w:cs="Arial"/>
          <w:kern w:val="0"/>
          <w:sz w:val="24"/>
          <w:szCs w:val="24"/>
          <w:lang w:eastAsia="fr-FR"/>
          <w14:ligatures w14:val="none"/>
        </w:rPr>
        <w:t>L</w:t>
      </w:r>
      <w:r w:rsidR="00717368" w:rsidRPr="003F13B0">
        <w:rPr>
          <w:rFonts w:ascii="Arial Narrow" w:eastAsia="Times New Roman" w:hAnsi="Arial Narrow" w:cs="Arial"/>
          <w:kern w:val="0"/>
          <w:sz w:val="24"/>
          <w:szCs w:val="24"/>
          <w:lang w:eastAsia="fr-FR"/>
          <w14:ligatures w14:val="none"/>
        </w:rPr>
        <w:t xml:space="preserve">a Côte d’Ivoire a adopté la stratégie du Financement Basé sur la Performance (FBP). A ce titre, les contrats de performance, les plans d’affaires semestriels, les manuels de gestion financière simplifiés, les grilles d’évaluation de la qualité/performance, etc. ont été instaurés. Après une phase pilote réussie de plus de trois ans, le passage à échelle de la stratégie de </w:t>
      </w:r>
      <w:r w:rsidR="00717368" w:rsidRPr="00A918AC">
        <w:rPr>
          <w:rFonts w:ascii="Arial Narrow" w:eastAsia="Times New Roman" w:hAnsi="Arial Narrow" w:cs="Arial"/>
          <w:kern w:val="0"/>
          <w:sz w:val="24"/>
          <w:szCs w:val="24"/>
          <w:lang w:eastAsia="fr-FR"/>
          <w14:ligatures w14:val="none"/>
        </w:rPr>
        <w:t>financement basé sur la performance</w:t>
      </w:r>
      <w:r w:rsidR="00717368" w:rsidRPr="003F13B0">
        <w:rPr>
          <w:rFonts w:ascii="Arial Narrow" w:eastAsia="Times New Roman" w:hAnsi="Arial Narrow" w:cs="Arial"/>
          <w:kern w:val="0"/>
          <w:sz w:val="24"/>
          <w:szCs w:val="24"/>
          <w:lang w:eastAsia="fr-FR"/>
          <w14:ligatures w14:val="none"/>
        </w:rPr>
        <w:t xml:space="preserve"> a été effectif à partir de 2022 sur l’ensemble du territoire. Cette extension s'est focalisée sur l'aspect géographique, couvrant ainsi tous les établissements publics, directions départementales et régionales de santé. A fin 2023, ce sont ainsi </w:t>
      </w:r>
      <w:r w:rsidR="00717368" w:rsidRPr="003F13B0">
        <w:rPr>
          <w:rFonts w:ascii="Arial Narrow" w:eastAsia="Times New Roman" w:hAnsi="Arial Narrow" w:cs="Arial"/>
          <w:kern w:val="0"/>
          <w:sz w:val="24"/>
          <w:szCs w:val="24"/>
          <w:lang w:val="fr-CI" w:eastAsia="fr-FR"/>
          <w14:ligatures w14:val="none"/>
        </w:rPr>
        <w:t>2 318</w:t>
      </w:r>
      <w:r w:rsidR="00717368" w:rsidRPr="003F13B0">
        <w:rPr>
          <w:rFonts w:ascii="Arial Narrow" w:eastAsia="Times New Roman" w:hAnsi="Arial Narrow" w:cs="Arial"/>
          <w:b/>
          <w:bCs/>
          <w:kern w:val="0"/>
          <w:sz w:val="24"/>
          <w:szCs w:val="24"/>
          <w:lang w:val="fr-CI" w:eastAsia="fr-FR"/>
          <w14:ligatures w14:val="none"/>
        </w:rPr>
        <w:t xml:space="preserve"> </w:t>
      </w:r>
      <w:r w:rsidR="00717368" w:rsidRPr="003F13B0">
        <w:rPr>
          <w:rFonts w:ascii="Arial Narrow" w:eastAsia="Times New Roman" w:hAnsi="Arial Narrow" w:cs="Arial"/>
          <w:kern w:val="0"/>
          <w:sz w:val="24"/>
          <w:szCs w:val="24"/>
          <w:lang w:eastAsia="fr-FR"/>
          <w14:ligatures w14:val="none"/>
        </w:rPr>
        <w:t xml:space="preserve">ESPC, </w:t>
      </w:r>
      <w:r w:rsidR="00717368" w:rsidRPr="00333C10">
        <w:rPr>
          <w:rFonts w:ascii="Arial Narrow" w:eastAsia="Times New Roman" w:hAnsi="Arial Narrow" w:cs="Arial"/>
          <w:kern w:val="0"/>
          <w:sz w:val="24"/>
          <w:szCs w:val="24"/>
          <w:lang w:val="fr-CI" w:eastAsia="fr-FR"/>
          <w14:ligatures w14:val="none"/>
        </w:rPr>
        <w:t>117</w:t>
      </w:r>
      <w:r w:rsidR="00717368" w:rsidRPr="003F13B0">
        <w:rPr>
          <w:rFonts w:ascii="Arial Narrow" w:eastAsia="Times New Roman" w:hAnsi="Arial Narrow" w:cs="Arial"/>
          <w:kern w:val="0"/>
          <w:sz w:val="24"/>
          <w:szCs w:val="24"/>
          <w:lang w:val="fr-CI" w:eastAsia="fr-FR"/>
          <w14:ligatures w14:val="none"/>
        </w:rPr>
        <w:t xml:space="preserve"> </w:t>
      </w:r>
      <w:r w:rsidR="00717368" w:rsidRPr="003F13B0">
        <w:rPr>
          <w:rFonts w:ascii="Arial Narrow" w:eastAsia="Times New Roman" w:hAnsi="Arial Narrow" w:cs="Arial"/>
          <w:kern w:val="0"/>
          <w:sz w:val="24"/>
          <w:szCs w:val="24"/>
          <w:lang w:eastAsia="fr-FR"/>
          <w14:ligatures w14:val="none"/>
        </w:rPr>
        <w:t>EPH, 113 DDS et 33 DRS qui ont été intégrés dans le programme.</w:t>
      </w:r>
    </w:p>
    <w:p w14:paraId="52BEB962" w14:textId="77777777" w:rsidR="00717368" w:rsidRPr="003F13B0" w:rsidRDefault="00717368" w:rsidP="00717368">
      <w:pPr>
        <w:jc w:val="both"/>
        <w:rPr>
          <w:rFonts w:ascii="Arial Narrow" w:eastAsia="Times New Roman" w:hAnsi="Arial Narrow" w:cs="Arial"/>
          <w:kern w:val="0"/>
          <w:sz w:val="24"/>
          <w:szCs w:val="24"/>
          <w:lang w:val="fr-CI" w:eastAsia="fr-FR"/>
          <w14:ligatures w14:val="none"/>
        </w:rPr>
      </w:pPr>
      <w:r w:rsidRPr="003F13B0">
        <w:rPr>
          <w:rFonts w:ascii="Arial Narrow" w:eastAsia="Times New Roman" w:hAnsi="Arial Narrow" w:cs="Arial"/>
          <w:kern w:val="0"/>
          <w:sz w:val="24"/>
          <w:szCs w:val="24"/>
          <w:lang w:val="fr-CI" w:eastAsia="fr-FR"/>
          <w14:ligatures w14:val="none"/>
        </w:rPr>
        <w:t xml:space="preserve">L’expansion du FBP a favorisé des évolutions significatives dans la gouvernance et le leadership dans le secteur de la santé, renforçant l’autonomisation des établissements, les compétences en planification et l’implication des communautés dans la gestion des structures sanitaires. Par ailleurs, cette réforme a permis une gestion optimisée des ressources humaines, notamment par la réduction de l’absentéisme, l’amélioration de la communication inter-service et la motivation du personnel par le biais d'incitations financières. Entre 2021 et le premier semestre 2024, la qualité des services fournis par les hôpitaux et les régulateurs a nettement progressé, comme en témoignent les scores moyens de qualité. Dans les </w:t>
      </w:r>
      <w:r w:rsidRPr="003F13B0">
        <w:rPr>
          <w:rFonts w:ascii="Arial Narrow" w:eastAsia="Times New Roman" w:hAnsi="Arial Narrow" w:cs="Arial"/>
          <w:kern w:val="0"/>
          <w:sz w:val="24"/>
          <w:szCs w:val="24"/>
          <w:lang w:val="fr-CI" w:eastAsia="fr-FR"/>
          <w14:ligatures w14:val="none"/>
        </w:rPr>
        <w:lastRenderedPageBreak/>
        <w:t>ESPC, ce score a évolué de 40,5% à 65%, tandis que pour les EPH, il est passé de 38,0% à 55,8%. S’agissant des DRS et DDS, ce score est passé respectivement de 24,8% à 44,4% et de 34,1% à 54,4%.</w:t>
      </w:r>
    </w:p>
    <w:p w14:paraId="79DACC99" w14:textId="77777777" w:rsidR="00717368" w:rsidRPr="003F13B0" w:rsidRDefault="00717368" w:rsidP="00717368">
      <w:pPr>
        <w:jc w:val="both"/>
        <w:rPr>
          <w:rFonts w:ascii="Arial Narrow" w:hAnsi="Arial Narrow" w:cs="Arial"/>
          <w:b/>
          <w:sz w:val="24"/>
          <w:szCs w:val="24"/>
        </w:rPr>
      </w:pPr>
      <w:r w:rsidRPr="003F13B0">
        <w:rPr>
          <w:rFonts w:ascii="Arial Narrow" w:eastAsia="Times New Roman" w:hAnsi="Arial Narrow" w:cs="Arial"/>
          <w:kern w:val="0"/>
          <w:sz w:val="24"/>
          <w:szCs w:val="24"/>
          <w:lang w:eastAsia="fr-FR"/>
          <w14:ligatures w14:val="none"/>
        </w:rPr>
        <w:t>Le FBP a permis aux prestataires de recevoir des ressources supplémentaires en fonction des résultats, renforçant ainsi la qualité des services offerts. Entre 2021 et 2023, ce sont plus de 25,391 milliards FCFA de subsides qui ont été reversés aux structures sous performance.</w:t>
      </w:r>
    </w:p>
    <w:p w14:paraId="039D4D19" w14:textId="1C2C4D1E" w:rsidR="0079773B" w:rsidRPr="003F13B0" w:rsidRDefault="0079773B" w:rsidP="00761F55">
      <w:pPr>
        <w:jc w:val="both"/>
        <w:rPr>
          <w:rFonts w:ascii="Arial Narrow" w:hAnsi="Arial Narrow" w:cs="Arial"/>
          <w:sz w:val="24"/>
          <w:szCs w:val="24"/>
        </w:rPr>
      </w:pPr>
      <w:r w:rsidRPr="003F13B0">
        <w:rPr>
          <w:rFonts w:ascii="Arial Narrow" w:hAnsi="Arial Narrow" w:cs="Arial"/>
          <w:sz w:val="24"/>
          <w:szCs w:val="24"/>
        </w:rPr>
        <w:t xml:space="preserve">Cependant, </w:t>
      </w:r>
      <w:r w:rsidRPr="00A918AC">
        <w:rPr>
          <w:rFonts w:ascii="Arial Narrow" w:hAnsi="Arial Narrow" w:cs="Arial"/>
          <w:sz w:val="24"/>
          <w:szCs w:val="24"/>
        </w:rPr>
        <w:t>des ajustements restent nécessaires</w:t>
      </w:r>
      <w:r w:rsidRPr="003F13B0">
        <w:rPr>
          <w:rFonts w:ascii="Arial Narrow" w:hAnsi="Arial Narrow" w:cs="Arial"/>
          <w:sz w:val="24"/>
          <w:szCs w:val="24"/>
        </w:rPr>
        <w:t xml:space="preserve">, notamment en ce qui concerne les paiements, la règlementation et les procédures. </w:t>
      </w:r>
      <w:r w:rsidR="002711F4" w:rsidRPr="003F13B0">
        <w:rPr>
          <w:rFonts w:ascii="Arial Narrow" w:hAnsi="Arial Narrow" w:cs="Arial"/>
          <w:sz w:val="24"/>
          <w:szCs w:val="24"/>
        </w:rPr>
        <w:t>O</w:t>
      </w:r>
      <w:r w:rsidRPr="003F13B0">
        <w:rPr>
          <w:rFonts w:ascii="Arial Narrow" w:hAnsi="Arial Narrow" w:cs="Arial"/>
          <w:sz w:val="24"/>
          <w:szCs w:val="24"/>
        </w:rPr>
        <w:t>n note des lourdeurs administratives liées à la mise à disposition des subsides, des fonds de démarrage, à l’ouverture des comptes, à l’accréditation des régisseurs des structures sanitaires dans le cadre de cette réforme.</w:t>
      </w:r>
    </w:p>
    <w:p w14:paraId="44A37885" w14:textId="7A704B30" w:rsidR="0079773B" w:rsidRPr="003F13B0" w:rsidRDefault="0079773B" w:rsidP="00761F55">
      <w:pPr>
        <w:jc w:val="both"/>
        <w:rPr>
          <w:rFonts w:ascii="Arial Narrow" w:hAnsi="Arial Narrow" w:cs="Arial"/>
          <w:sz w:val="24"/>
          <w:szCs w:val="24"/>
        </w:rPr>
      </w:pPr>
      <w:r w:rsidRPr="003F13B0">
        <w:rPr>
          <w:rFonts w:ascii="Arial Narrow" w:hAnsi="Arial Narrow" w:cs="Arial"/>
          <w:sz w:val="24"/>
          <w:szCs w:val="24"/>
        </w:rPr>
        <w:t>En termes de défi</w:t>
      </w:r>
      <w:r w:rsidR="00E0189B" w:rsidRPr="003F13B0">
        <w:rPr>
          <w:rFonts w:ascii="Arial Narrow" w:hAnsi="Arial Narrow" w:cs="Arial"/>
          <w:sz w:val="24"/>
          <w:szCs w:val="24"/>
        </w:rPr>
        <w:t>s</w:t>
      </w:r>
      <w:r w:rsidR="00BE43B5" w:rsidRPr="003F13B0">
        <w:rPr>
          <w:rFonts w:ascii="Arial Narrow" w:hAnsi="Arial Narrow" w:cs="Arial"/>
          <w:sz w:val="24"/>
          <w:szCs w:val="24"/>
        </w:rPr>
        <w:t xml:space="preserve"> stratégique</w:t>
      </w:r>
      <w:r w:rsidR="00E0189B" w:rsidRPr="003F13B0">
        <w:rPr>
          <w:rFonts w:ascii="Arial Narrow" w:hAnsi="Arial Narrow" w:cs="Arial"/>
          <w:sz w:val="24"/>
          <w:szCs w:val="24"/>
        </w:rPr>
        <w:t>s</w:t>
      </w:r>
      <w:r w:rsidRPr="003F13B0">
        <w:rPr>
          <w:rFonts w:ascii="Arial Narrow" w:hAnsi="Arial Narrow" w:cs="Arial"/>
          <w:sz w:val="24"/>
          <w:szCs w:val="24"/>
        </w:rPr>
        <w:t xml:space="preserve">, il s’agit de </w:t>
      </w:r>
      <w:r w:rsidRPr="003F13B0">
        <w:rPr>
          <w:rFonts w:ascii="Arial Narrow" w:hAnsi="Arial Narrow" w:cs="Arial"/>
          <w:i/>
          <w:sz w:val="24"/>
          <w:szCs w:val="24"/>
        </w:rPr>
        <w:t>(i)</w:t>
      </w:r>
      <w:r w:rsidRPr="003F13B0">
        <w:rPr>
          <w:rFonts w:ascii="Arial Narrow" w:hAnsi="Arial Narrow" w:cs="Arial"/>
          <w:sz w:val="24"/>
          <w:szCs w:val="24"/>
        </w:rPr>
        <w:t xml:space="preserve"> mettre sous contrat de performance toutes les Directions centrales et les programmes de santé, les structures de santé du niveau tertiaire ainsi que celles du secteur privé ; </w:t>
      </w:r>
      <w:r w:rsidRPr="003F13B0">
        <w:rPr>
          <w:rFonts w:ascii="Arial Narrow" w:hAnsi="Arial Narrow" w:cs="Arial"/>
          <w:i/>
          <w:sz w:val="24"/>
          <w:szCs w:val="24"/>
        </w:rPr>
        <w:t>(ii)</w:t>
      </w:r>
      <w:r w:rsidRPr="003F13B0">
        <w:rPr>
          <w:rFonts w:ascii="Arial Narrow" w:hAnsi="Arial Narrow" w:cs="Arial"/>
          <w:sz w:val="24"/>
          <w:szCs w:val="24"/>
        </w:rPr>
        <w:t xml:space="preserve"> assurer la pérennisation de la stratégie FBP à travers le financement des subsides par l’Etat ; </w:t>
      </w:r>
      <w:r w:rsidRPr="003F13B0">
        <w:rPr>
          <w:rFonts w:ascii="Arial Narrow" w:hAnsi="Arial Narrow" w:cs="Arial"/>
          <w:i/>
          <w:sz w:val="24"/>
          <w:szCs w:val="24"/>
        </w:rPr>
        <w:t>(iii)</w:t>
      </w:r>
      <w:r w:rsidR="001614E4" w:rsidRPr="003F13B0">
        <w:rPr>
          <w:rFonts w:ascii="Arial Narrow" w:hAnsi="Arial Narrow" w:cs="Arial"/>
          <w:sz w:val="24"/>
          <w:szCs w:val="24"/>
        </w:rPr>
        <w:t> </w:t>
      </w:r>
      <w:r w:rsidRPr="003F13B0">
        <w:rPr>
          <w:rFonts w:ascii="Arial Narrow" w:hAnsi="Arial Narrow" w:cs="Arial"/>
          <w:sz w:val="24"/>
          <w:szCs w:val="24"/>
        </w:rPr>
        <w:t>aligner la stratégie FBP à l’ensemble des reformes en cours.</w:t>
      </w:r>
    </w:p>
    <w:p w14:paraId="70D3223C" w14:textId="0305A989" w:rsidR="0079773B" w:rsidRPr="003F13B0" w:rsidRDefault="0079773B" w:rsidP="00DC5897">
      <w:pPr>
        <w:pStyle w:val="Lgende"/>
      </w:pPr>
      <w:bookmarkStart w:id="102" w:name="_Toc183688750"/>
      <w:r w:rsidRPr="003F13B0">
        <w:t xml:space="preserve">Tableau </w:t>
      </w:r>
      <w:r w:rsidRPr="00BE0649">
        <w:fldChar w:fldCharType="begin"/>
      </w:r>
      <w:r w:rsidRPr="003F13B0">
        <w:instrText xml:space="preserve"> SEQ Tableau \* ARABIC </w:instrText>
      </w:r>
      <w:r w:rsidRPr="00BE0649">
        <w:fldChar w:fldCharType="separate"/>
      </w:r>
      <w:r w:rsidR="007D538E">
        <w:rPr>
          <w:noProof/>
        </w:rPr>
        <w:t>2</w:t>
      </w:r>
      <w:r w:rsidRPr="00BE0649">
        <w:fldChar w:fldCharType="end"/>
      </w:r>
      <w:r w:rsidR="00D670F0">
        <w:t xml:space="preserve"> </w:t>
      </w:r>
      <w:r w:rsidRPr="003F13B0">
        <w:t xml:space="preserve">: Défis </w:t>
      </w:r>
      <w:r w:rsidR="007E27CA" w:rsidRPr="003F13B0">
        <w:t xml:space="preserve">opérationnels liés à la mise en œuvre </w:t>
      </w:r>
      <w:r w:rsidRPr="003F13B0">
        <w:t xml:space="preserve">de la réforme sur l'achat stratégique en </w:t>
      </w:r>
      <w:r w:rsidR="007E27CA" w:rsidRPr="003F13B0">
        <w:t>s</w:t>
      </w:r>
      <w:r w:rsidRPr="003F13B0">
        <w:t>anté incluant le financement basé sur la performance</w:t>
      </w:r>
      <w:bookmarkEnd w:id="102"/>
    </w:p>
    <w:tbl>
      <w:tblPr>
        <w:tblStyle w:val="TableauGrille7Couleur-Accentuation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0"/>
        <w:gridCol w:w="3401"/>
      </w:tblGrid>
      <w:tr w:rsidR="004C689C" w:rsidRPr="004A6122" w14:paraId="42F3A327" w14:textId="77777777" w:rsidTr="00262B8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single" w:sz="4" w:space="0" w:color="auto"/>
              <w:left w:val="single" w:sz="4" w:space="0" w:color="auto"/>
              <w:bottom w:val="single" w:sz="4" w:space="0" w:color="auto"/>
            </w:tcBorders>
            <w:shd w:val="clear" w:color="auto" w:fill="FFE599" w:themeFill="accent4" w:themeFillTint="66"/>
            <w:vAlign w:val="center"/>
          </w:tcPr>
          <w:p w14:paraId="6ED54078" w14:textId="4D48A07E" w:rsidR="0079773B" w:rsidRPr="004A6122" w:rsidRDefault="007A1D5E" w:rsidP="00155AC3">
            <w:pPr>
              <w:jc w:val="left"/>
              <w:rPr>
                <w:rFonts w:ascii="Arial Narrow" w:hAnsi="Arial Narrow" w:cs="Arial"/>
                <w:color w:val="auto"/>
                <w:sz w:val="20"/>
                <w:szCs w:val="20"/>
              </w:rPr>
            </w:pPr>
            <w:r w:rsidRPr="004A6122">
              <w:rPr>
                <w:rFonts w:ascii="Arial Narrow" w:hAnsi="Arial Narrow" w:cs="Arial"/>
                <w:color w:val="auto"/>
                <w:sz w:val="20"/>
                <w:szCs w:val="20"/>
              </w:rPr>
              <w:t>Défis</w:t>
            </w:r>
            <w:r w:rsidR="0079773B" w:rsidRPr="004A6122">
              <w:rPr>
                <w:rFonts w:ascii="Arial Narrow" w:hAnsi="Arial Narrow" w:cs="Arial"/>
                <w:color w:val="auto"/>
                <w:sz w:val="20"/>
                <w:szCs w:val="20"/>
              </w:rPr>
              <w:t xml:space="preserve"> </w:t>
            </w:r>
          </w:p>
        </w:tc>
        <w:tc>
          <w:tcPr>
            <w:tcW w:w="0" w:type="auto"/>
            <w:shd w:val="clear" w:color="auto" w:fill="FFE599" w:themeFill="accent4" w:themeFillTint="66"/>
            <w:vAlign w:val="center"/>
          </w:tcPr>
          <w:p w14:paraId="0617325C" w14:textId="6AFD0847" w:rsidR="0079773B" w:rsidRPr="004A6122" w:rsidRDefault="0079773B" w:rsidP="00155AC3">
            <w:pP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0"/>
                <w:szCs w:val="20"/>
              </w:rPr>
            </w:pPr>
            <w:r w:rsidRPr="004A6122">
              <w:rPr>
                <w:rFonts w:ascii="Arial Narrow" w:hAnsi="Arial Narrow" w:cs="Arial"/>
                <w:color w:val="auto"/>
                <w:sz w:val="20"/>
                <w:szCs w:val="20"/>
              </w:rPr>
              <w:t>Recommandations</w:t>
            </w:r>
            <w:r w:rsidR="00FE3F0D" w:rsidRPr="004A6122">
              <w:rPr>
                <w:rFonts w:ascii="Arial Narrow" w:hAnsi="Arial Narrow" w:cs="Arial"/>
                <w:color w:val="auto"/>
                <w:sz w:val="20"/>
                <w:szCs w:val="20"/>
              </w:rPr>
              <w:t xml:space="preserve"> des acteurs</w:t>
            </w:r>
          </w:p>
        </w:tc>
      </w:tr>
      <w:tr w:rsidR="004A6122" w:rsidRPr="004A6122" w14:paraId="4333B6ED" w14:textId="77777777" w:rsidTr="00262B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left w:val="single" w:sz="4" w:space="0" w:color="auto"/>
            </w:tcBorders>
            <w:shd w:val="clear" w:color="auto" w:fill="FFF2CC" w:themeFill="accent4" w:themeFillTint="33"/>
            <w:vAlign w:val="center"/>
          </w:tcPr>
          <w:p w14:paraId="17C6DDB2" w14:textId="77777777" w:rsidR="0079773B" w:rsidRPr="004A6122" w:rsidRDefault="0079773B" w:rsidP="00155AC3">
            <w:pPr>
              <w:jc w:val="left"/>
              <w:rPr>
                <w:rFonts w:ascii="Arial Narrow" w:hAnsi="Arial Narrow" w:cs="Arial"/>
                <w:color w:val="auto"/>
                <w:sz w:val="20"/>
                <w:szCs w:val="20"/>
              </w:rPr>
            </w:pPr>
            <w:r w:rsidRPr="004A6122">
              <w:rPr>
                <w:rFonts w:ascii="Arial Narrow" w:hAnsi="Arial Narrow" w:cs="Arial"/>
                <w:color w:val="auto"/>
                <w:sz w:val="20"/>
                <w:szCs w:val="20"/>
              </w:rPr>
              <w:t>Finances et paiements</w:t>
            </w:r>
          </w:p>
        </w:tc>
      </w:tr>
      <w:tr w:rsidR="004C689C" w:rsidRPr="004A6122" w14:paraId="3BECC90D" w14:textId="77777777" w:rsidTr="00262B8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vAlign w:val="center"/>
          </w:tcPr>
          <w:p w14:paraId="31FD83F5" w14:textId="22E15437" w:rsidR="0079773B" w:rsidRPr="004A6122" w:rsidRDefault="0079773B" w:rsidP="00155AC3">
            <w:pPr>
              <w:jc w:val="left"/>
              <w:rPr>
                <w:rFonts w:ascii="Arial Narrow" w:hAnsi="Arial Narrow" w:cs="Arial"/>
                <w:i w:val="0"/>
                <w:iCs w:val="0"/>
                <w:color w:val="auto"/>
                <w:sz w:val="20"/>
                <w:szCs w:val="20"/>
              </w:rPr>
            </w:pPr>
            <w:r w:rsidRPr="004A6122">
              <w:rPr>
                <w:rFonts w:ascii="Arial Narrow" w:hAnsi="Arial Narrow" w:cs="Arial"/>
                <w:b/>
                <w:color w:val="auto"/>
                <w:sz w:val="20"/>
                <w:szCs w:val="20"/>
              </w:rPr>
              <w:t>Faible maîtrise des procédures de gestion financière par les acteurs</w:t>
            </w:r>
            <w:r w:rsidR="00262B87">
              <w:rPr>
                <w:rFonts w:ascii="Arial Narrow" w:hAnsi="Arial Narrow" w:cs="Arial"/>
                <w:b/>
                <w:color w:val="auto"/>
                <w:sz w:val="20"/>
                <w:szCs w:val="20"/>
              </w:rPr>
              <w:t> </w:t>
            </w:r>
            <w:r w:rsidRPr="004A6122">
              <w:rPr>
                <w:rFonts w:ascii="Arial Narrow" w:hAnsi="Arial Narrow" w:cs="Arial"/>
                <w:b/>
                <w:color w:val="auto"/>
                <w:sz w:val="20"/>
                <w:szCs w:val="20"/>
              </w:rPr>
              <w:t>:</w:t>
            </w:r>
            <w:r w:rsidRPr="004A6122">
              <w:rPr>
                <w:rFonts w:ascii="Arial Narrow" w:hAnsi="Arial Narrow" w:cs="Arial"/>
                <w:i w:val="0"/>
                <w:color w:val="auto"/>
                <w:sz w:val="20"/>
                <w:szCs w:val="20"/>
              </w:rPr>
              <w:t xml:space="preserve"> </w:t>
            </w:r>
            <w:r w:rsidR="00A039A4" w:rsidRPr="004A6122">
              <w:rPr>
                <w:rFonts w:ascii="Arial Narrow" w:hAnsi="Arial Narrow" w:cs="Arial"/>
                <w:i w:val="0"/>
                <w:color w:val="auto"/>
                <w:sz w:val="20"/>
                <w:szCs w:val="20"/>
              </w:rPr>
              <w:t>le</w:t>
            </w:r>
            <w:r w:rsidRPr="004A6122">
              <w:rPr>
                <w:rFonts w:ascii="Arial Narrow" w:hAnsi="Arial Narrow" w:cs="Arial"/>
                <w:i w:val="0"/>
                <w:color w:val="auto"/>
                <w:sz w:val="20"/>
                <w:szCs w:val="20"/>
              </w:rPr>
              <w:t xml:space="preserve">s procédures de demande et d'obtention des fonds sont jugées trop complexes et longues, </w:t>
            </w:r>
            <w:r w:rsidR="001B3917" w:rsidRPr="004A6122">
              <w:rPr>
                <w:rFonts w:ascii="Arial Narrow" w:hAnsi="Arial Narrow" w:cs="Arial"/>
                <w:i w:val="0"/>
                <w:color w:val="auto"/>
                <w:sz w:val="20"/>
                <w:szCs w:val="20"/>
              </w:rPr>
              <w:t>générant</w:t>
            </w:r>
            <w:r w:rsidR="00336782" w:rsidRPr="004A6122">
              <w:rPr>
                <w:rFonts w:ascii="Arial Narrow" w:hAnsi="Arial Narrow" w:cs="Arial"/>
                <w:i w:val="0"/>
                <w:color w:val="auto"/>
                <w:sz w:val="20"/>
                <w:szCs w:val="20"/>
              </w:rPr>
              <w:t xml:space="preserve"> de </w:t>
            </w:r>
            <w:r w:rsidR="003B25A0" w:rsidRPr="004A6122">
              <w:rPr>
                <w:rFonts w:ascii="Arial Narrow" w:hAnsi="Arial Narrow" w:cs="Arial"/>
                <w:i w:val="0"/>
                <w:color w:val="auto"/>
                <w:sz w:val="20"/>
                <w:szCs w:val="20"/>
              </w:rPr>
              <w:t xml:space="preserve">longs </w:t>
            </w:r>
            <w:r w:rsidRPr="004A6122">
              <w:rPr>
                <w:rFonts w:ascii="Arial Narrow" w:hAnsi="Arial Narrow" w:cs="Arial"/>
                <w:i w:val="0"/>
                <w:color w:val="auto"/>
                <w:sz w:val="20"/>
                <w:szCs w:val="20"/>
              </w:rPr>
              <w:t>délais et de</w:t>
            </w:r>
            <w:r w:rsidR="00551B99" w:rsidRPr="004A6122">
              <w:rPr>
                <w:rFonts w:ascii="Arial Narrow" w:hAnsi="Arial Narrow" w:cs="Arial"/>
                <w:i w:val="0"/>
                <w:color w:val="auto"/>
                <w:sz w:val="20"/>
                <w:szCs w:val="20"/>
              </w:rPr>
              <w:t>s</w:t>
            </w:r>
            <w:r w:rsidRPr="004A6122">
              <w:rPr>
                <w:rFonts w:ascii="Arial Narrow" w:hAnsi="Arial Narrow" w:cs="Arial"/>
                <w:i w:val="0"/>
                <w:color w:val="auto"/>
                <w:sz w:val="20"/>
                <w:szCs w:val="20"/>
              </w:rPr>
              <w:t xml:space="preserve"> frustrations.</w:t>
            </w:r>
          </w:p>
        </w:tc>
        <w:tc>
          <w:tcPr>
            <w:tcW w:w="0" w:type="auto"/>
            <w:vMerge w:val="restart"/>
            <w:shd w:val="clear" w:color="auto" w:fill="auto"/>
            <w:vAlign w:val="center"/>
          </w:tcPr>
          <w:p w14:paraId="65BC0A05" w14:textId="77777777" w:rsidR="0079773B" w:rsidRPr="004A6122" w:rsidRDefault="0079773B" w:rsidP="000A1A7B">
            <w:pPr>
              <w:pStyle w:val="Paragraphedeliste"/>
              <w:numPr>
                <w:ilvl w:val="0"/>
                <w:numId w:val="17"/>
              </w:numPr>
              <w:tabs>
                <w:tab w:val="left" w:pos="1100"/>
              </w:tabs>
              <w:cnfStyle w:val="000000000000" w:firstRow="0" w:lastRow="0" w:firstColumn="0" w:lastColumn="0" w:oddVBand="0" w:evenVBand="0" w:oddHBand="0" w:evenHBand="0" w:firstRowFirstColumn="0" w:firstRowLastColumn="0" w:lastRowFirstColumn="0" w:lastRowLastColumn="0"/>
              <w:rPr>
                <w:rFonts w:ascii="Arial Narrow" w:hAnsi="Arial Narrow" w:cs="Arial"/>
                <w:color w:val="auto"/>
                <w:sz w:val="20"/>
                <w:szCs w:val="20"/>
              </w:rPr>
            </w:pPr>
            <w:r w:rsidRPr="004A6122">
              <w:rPr>
                <w:rFonts w:ascii="Arial Narrow" w:hAnsi="Arial Narrow" w:cs="Arial"/>
                <w:color w:val="auto"/>
                <w:sz w:val="20"/>
                <w:szCs w:val="20"/>
              </w:rPr>
              <w:t>Renforcer le coaching des gestionnaires et des régisseurs sur les procédures de gestion financière</w:t>
            </w:r>
          </w:p>
          <w:p w14:paraId="79D94E9C" w14:textId="77777777" w:rsidR="0079773B" w:rsidRPr="004A6122" w:rsidRDefault="0079773B" w:rsidP="000A1A7B">
            <w:pPr>
              <w:pStyle w:val="Paragraphedeliste"/>
              <w:numPr>
                <w:ilvl w:val="0"/>
                <w:numId w:val="17"/>
              </w:numPr>
              <w:tabs>
                <w:tab w:val="left" w:pos="1100"/>
              </w:tabs>
              <w:cnfStyle w:val="000000000000" w:firstRow="0" w:lastRow="0" w:firstColumn="0" w:lastColumn="0" w:oddVBand="0" w:evenVBand="0" w:oddHBand="0" w:evenHBand="0" w:firstRowFirstColumn="0" w:firstRowLastColumn="0" w:lastRowFirstColumn="0" w:lastRowLastColumn="0"/>
              <w:rPr>
                <w:rFonts w:ascii="Arial Narrow" w:hAnsi="Arial Narrow" w:cs="Arial"/>
                <w:color w:val="auto"/>
                <w:sz w:val="20"/>
                <w:szCs w:val="20"/>
              </w:rPr>
            </w:pPr>
            <w:r w:rsidRPr="004A6122">
              <w:rPr>
                <w:rFonts w:ascii="Arial Narrow" w:hAnsi="Arial Narrow" w:cs="Arial"/>
                <w:color w:val="auto"/>
                <w:sz w:val="20"/>
                <w:szCs w:val="20"/>
              </w:rPr>
              <w:t>Sensibiliser les régisseurs au respect des procédures de gestion financière</w:t>
            </w:r>
          </w:p>
          <w:p w14:paraId="20A9ACFC" w14:textId="77777777" w:rsidR="0079773B" w:rsidRPr="004A6122" w:rsidRDefault="0079773B" w:rsidP="000A1A7B">
            <w:pPr>
              <w:pStyle w:val="Paragraphedeliste"/>
              <w:numPr>
                <w:ilvl w:val="0"/>
                <w:numId w:val="17"/>
              </w:numPr>
              <w:tabs>
                <w:tab w:val="left" w:pos="1100"/>
              </w:tabs>
              <w:cnfStyle w:val="000000000000" w:firstRow="0" w:lastRow="0" w:firstColumn="0" w:lastColumn="0" w:oddVBand="0" w:evenVBand="0" w:oddHBand="0" w:evenHBand="0" w:firstRowFirstColumn="0" w:firstRowLastColumn="0" w:lastRowFirstColumn="0" w:lastRowLastColumn="0"/>
              <w:rPr>
                <w:rFonts w:ascii="Arial Narrow" w:hAnsi="Arial Narrow" w:cs="Arial"/>
                <w:color w:val="auto"/>
                <w:sz w:val="20"/>
                <w:szCs w:val="20"/>
              </w:rPr>
            </w:pPr>
            <w:r w:rsidRPr="004A6122">
              <w:rPr>
                <w:rFonts w:ascii="Arial Narrow" w:hAnsi="Arial Narrow" w:cs="Arial"/>
                <w:color w:val="auto"/>
                <w:sz w:val="20"/>
                <w:szCs w:val="20"/>
              </w:rPr>
              <w:t xml:space="preserve">Rendre les subsides disponibles en temps requis. </w:t>
            </w:r>
          </w:p>
          <w:p w14:paraId="285E1232" w14:textId="77777777" w:rsidR="0079773B" w:rsidRPr="004A6122" w:rsidRDefault="0079773B" w:rsidP="00155AC3">
            <w:pPr>
              <w:pStyle w:val="Paragraphedeliste"/>
              <w:cnfStyle w:val="000000000000" w:firstRow="0" w:lastRow="0" w:firstColumn="0" w:lastColumn="0" w:oddVBand="0" w:evenVBand="0" w:oddHBand="0" w:evenHBand="0" w:firstRowFirstColumn="0" w:firstRowLastColumn="0" w:lastRowFirstColumn="0" w:lastRowLastColumn="0"/>
              <w:rPr>
                <w:rFonts w:ascii="Arial Narrow" w:hAnsi="Arial Narrow" w:cs="Arial"/>
                <w:color w:val="auto"/>
                <w:sz w:val="20"/>
                <w:szCs w:val="20"/>
              </w:rPr>
            </w:pPr>
          </w:p>
        </w:tc>
      </w:tr>
      <w:tr w:rsidR="004C689C" w:rsidRPr="004A6122" w14:paraId="1AED1A1A" w14:textId="77777777" w:rsidTr="00262B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vAlign w:val="center"/>
          </w:tcPr>
          <w:p w14:paraId="05E9DD1B" w14:textId="158442C0" w:rsidR="0079773B" w:rsidRPr="004A6122" w:rsidRDefault="0079773B" w:rsidP="00155AC3">
            <w:pPr>
              <w:jc w:val="left"/>
              <w:rPr>
                <w:rFonts w:ascii="Arial Narrow" w:hAnsi="Arial Narrow" w:cs="Arial"/>
                <w:i w:val="0"/>
                <w:iCs w:val="0"/>
                <w:color w:val="auto"/>
                <w:sz w:val="20"/>
                <w:szCs w:val="20"/>
              </w:rPr>
            </w:pPr>
            <w:r w:rsidRPr="004A6122">
              <w:rPr>
                <w:rFonts w:ascii="Arial Narrow" w:hAnsi="Arial Narrow" w:cs="Arial"/>
                <w:b/>
                <w:bCs/>
                <w:color w:val="auto"/>
                <w:sz w:val="20"/>
                <w:szCs w:val="20"/>
              </w:rPr>
              <w:t>Retard</w:t>
            </w:r>
            <w:r w:rsidRPr="004A6122">
              <w:rPr>
                <w:rFonts w:ascii="Arial Narrow" w:hAnsi="Arial Narrow" w:cs="Arial"/>
                <w:b/>
                <w:color w:val="auto"/>
                <w:sz w:val="20"/>
                <w:szCs w:val="20"/>
              </w:rPr>
              <w:t xml:space="preserve"> de paiement des subsides</w:t>
            </w:r>
            <w:r w:rsidR="007F096B">
              <w:rPr>
                <w:rFonts w:ascii="Arial Narrow" w:hAnsi="Arial Narrow" w:cs="Arial"/>
                <w:b/>
                <w:color w:val="auto"/>
                <w:sz w:val="20"/>
                <w:szCs w:val="20"/>
              </w:rPr>
              <w:t xml:space="preserve"> dans le cadre du </w:t>
            </w:r>
            <w:r w:rsidR="001F4CDB">
              <w:rPr>
                <w:rFonts w:ascii="Arial Narrow" w:hAnsi="Arial Narrow" w:cs="Arial"/>
                <w:b/>
                <w:color w:val="auto"/>
                <w:sz w:val="20"/>
                <w:szCs w:val="20"/>
              </w:rPr>
              <w:t>FBP</w:t>
            </w:r>
            <w:r w:rsidRPr="004A6122">
              <w:rPr>
                <w:rFonts w:ascii="Arial Narrow" w:hAnsi="Arial Narrow" w:cs="Arial"/>
                <w:b/>
                <w:color w:val="auto"/>
                <w:sz w:val="20"/>
                <w:szCs w:val="20"/>
              </w:rPr>
              <w:t xml:space="preserve"> :</w:t>
            </w:r>
            <w:r w:rsidRPr="004A6122">
              <w:rPr>
                <w:rFonts w:ascii="Arial Narrow" w:hAnsi="Arial Narrow" w:cs="Arial"/>
                <w:i w:val="0"/>
                <w:color w:val="auto"/>
                <w:sz w:val="20"/>
                <w:szCs w:val="20"/>
              </w:rPr>
              <w:t xml:space="preserve"> </w:t>
            </w:r>
            <w:r w:rsidR="00A039A4" w:rsidRPr="004A6122">
              <w:rPr>
                <w:rFonts w:ascii="Arial Narrow" w:hAnsi="Arial Narrow" w:cs="Arial"/>
                <w:i w:val="0"/>
                <w:color w:val="auto"/>
                <w:sz w:val="20"/>
                <w:szCs w:val="20"/>
              </w:rPr>
              <w:t xml:space="preserve">les </w:t>
            </w:r>
            <w:r w:rsidRPr="004A6122">
              <w:rPr>
                <w:rFonts w:ascii="Arial Narrow" w:hAnsi="Arial Narrow" w:cs="Arial"/>
                <w:i w:val="0"/>
                <w:color w:val="auto"/>
                <w:sz w:val="20"/>
                <w:szCs w:val="20"/>
              </w:rPr>
              <w:t xml:space="preserve">structures sanitaires rencontrent régulièrement des retards dans le versement des fonds qui leur sont alloués, ce qui compromet leur fonctionnement et leur capacité à </w:t>
            </w:r>
            <w:r w:rsidR="008027C5" w:rsidRPr="004A6122">
              <w:rPr>
                <w:rFonts w:ascii="Arial Narrow" w:hAnsi="Arial Narrow" w:cs="Arial"/>
                <w:i w:val="0"/>
                <w:color w:val="auto"/>
                <w:sz w:val="20"/>
                <w:szCs w:val="20"/>
              </w:rPr>
              <w:t xml:space="preserve">améliorer la qualité </w:t>
            </w:r>
            <w:r w:rsidRPr="004A6122">
              <w:rPr>
                <w:rFonts w:ascii="Arial Narrow" w:hAnsi="Arial Narrow" w:cs="Arial"/>
                <w:i w:val="0"/>
                <w:color w:val="auto"/>
                <w:sz w:val="20"/>
                <w:szCs w:val="20"/>
              </w:rPr>
              <w:t>des soins.</w:t>
            </w:r>
          </w:p>
        </w:tc>
        <w:tc>
          <w:tcPr>
            <w:tcW w:w="0" w:type="auto"/>
            <w:vMerge/>
            <w:shd w:val="clear" w:color="auto" w:fill="auto"/>
            <w:vAlign w:val="center"/>
          </w:tcPr>
          <w:p w14:paraId="77D3FF11" w14:textId="77777777" w:rsidR="0079773B" w:rsidRPr="004A6122" w:rsidRDefault="0079773B" w:rsidP="000A1A7B">
            <w:pPr>
              <w:pStyle w:val="Paragraphedeliste"/>
              <w:numPr>
                <w:ilvl w:val="0"/>
                <w:numId w:val="17"/>
              </w:numPr>
              <w:cnfStyle w:val="000000100000" w:firstRow="0" w:lastRow="0" w:firstColumn="0" w:lastColumn="0" w:oddVBand="0" w:evenVBand="0" w:oddHBand="1" w:evenHBand="0" w:firstRowFirstColumn="0" w:firstRowLastColumn="0" w:lastRowFirstColumn="0" w:lastRowLastColumn="0"/>
              <w:rPr>
                <w:rFonts w:ascii="Arial Narrow" w:hAnsi="Arial Narrow" w:cs="Arial"/>
                <w:color w:val="auto"/>
                <w:sz w:val="20"/>
                <w:szCs w:val="20"/>
              </w:rPr>
            </w:pPr>
          </w:p>
        </w:tc>
      </w:tr>
      <w:tr w:rsidR="004C689C" w:rsidRPr="004A6122" w14:paraId="086360CE" w14:textId="77777777" w:rsidTr="00262B8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vAlign w:val="center"/>
          </w:tcPr>
          <w:p w14:paraId="150F12B7" w14:textId="726FEA1B" w:rsidR="0079773B" w:rsidRPr="004A6122" w:rsidRDefault="0079773B" w:rsidP="00155AC3">
            <w:pPr>
              <w:jc w:val="left"/>
              <w:rPr>
                <w:rFonts w:ascii="Arial Narrow" w:hAnsi="Arial Narrow" w:cs="Arial"/>
                <w:i w:val="0"/>
                <w:iCs w:val="0"/>
                <w:color w:val="auto"/>
                <w:sz w:val="20"/>
                <w:szCs w:val="20"/>
              </w:rPr>
            </w:pPr>
            <w:r w:rsidRPr="004A6122">
              <w:rPr>
                <w:rFonts w:ascii="Arial Narrow" w:hAnsi="Arial Narrow" w:cs="Arial"/>
                <w:b/>
                <w:color w:val="auto"/>
                <w:sz w:val="20"/>
                <w:szCs w:val="20"/>
              </w:rPr>
              <w:t>Retard de mise à disposition de fonds de démarrage :</w:t>
            </w:r>
            <w:r w:rsidRPr="004A6122">
              <w:rPr>
                <w:rFonts w:ascii="Arial Narrow" w:hAnsi="Arial Narrow" w:cs="Arial"/>
                <w:i w:val="0"/>
                <w:color w:val="auto"/>
                <w:sz w:val="20"/>
                <w:szCs w:val="20"/>
              </w:rPr>
              <w:t xml:space="preserve"> </w:t>
            </w:r>
            <w:r w:rsidR="00A039A4" w:rsidRPr="004A6122">
              <w:rPr>
                <w:rFonts w:ascii="Arial Narrow" w:hAnsi="Arial Narrow" w:cs="Arial"/>
                <w:i w:val="0"/>
                <w:color w:val="auto"/>
                <w:sz w:val="20"/>
                <w:szCs w:val="20"/>
              </w:rPr>
              <w:t>c</w:t>
            </w:r>
            <w:r w:rsidRPr="004A6122">
              <w:rPr>
                <w:rFonts w:ascii="Arial Narrow" w:hAnsi="Arial Narrow" w:cs="Arial"/>
                <w:i w:val="0"/>
                <w:color w:val="auto"/>
                <w:sz w:val="20"/>
                <w:szCs w:val="20"/>
              </w:rPr>
              <w:t xml:space="preserve">ertaines structures ne disposent pas </w:t>
            </w:r>
            <w:r w:rsidR="00A039A4" w:rsidRPr="004A6122">
              <w:rPr>
                <w:rFonts w:ascii="Arial Narrow" w:hAnsi="Arial Narrow" w:cs="Arial"/>
                <w:i w:val="0"/>
                <w:color w:val="auto"/>
                <w:sz w:val="20"/>
                <w:szCs w:val="20"/>
              </w:rPr>
              <w:t xml:space="preserve">à temps </w:t>
            </w:r>
            <w:r w:rsidRPr="004A6122">
              <w:rPr>
                <w:rFonts w:ascii="Arial Narrow" w:hAnsi="Arial Narrow" w:cs="Arial"/>
                <w:i w:val="0"/>
                <w:color w:val="auto"/>
                <w:sz w:val="20"/>
                <w:szCs w:val="20"/>
              </w:rPr>
              <w:t>des fonds nécessaires pour démarrer leurs activités</w:t>
            </w:r>
            <w:r w:rsidR="00A039A4" w:rsidRPr="004A6122">
              <w:rPr>
                <w:rFonts w:ascii="Arial Narrow" w:hAnsi="Arial Narrow" w:cs="Arial"/>
                <w:i w:val="0"/>
                <w:color w:val="auto"/>
                <w:sz w:val="20"/>
                <w:szCs w:val="20"/>
              </w:rPr>
              <w:t>.</w:t>
            </w:r>
          </w:p>
        </w:tc>
        <w:tc>
          <w:tcPr>
            <w:tcW w:w="0" w:type="auto"/>
            <w:shd w:val="clear" w:color="auto" w:fill="auto"/>
            <w:vAlign w:val="center"/>
          </w:tcPr>
          <w:p w14:paraId="7E4DC3F4" w14:textId="42465C9E" w:rsidR="0079773B" w:rsidRPr="004A6122" w:rsidRDefault="0079773B" w:rsidP="000A1A7B">
            <w:pPr>
              <w:pStyle w:val="Paragraphedeliste"/>
              <w:numPr>
                <w:ilvl w:val="0"/>
                <w:numId w:val="17"/>
              </w:numPr>
              <w:cnfStyle w:val="000000000000" w:firstRow="0" w:lastRow="0" w:firstColumn="0" w:lastColumn="0" w:oddVBand="0" w:evenVBand="0" w:oddHBand="0" w:evenHBand="0" w:firstRowFirstColumn="0" w:firstRowLastColumn="0" w:lastRowFirstColumn="0" w:lastRowLastColumn="0"/>
              <w:rPr>
                <w:rFonts w:ascii="Arial Narrow" w:hAnsi="Arial Narrow" w:cs="Arial"/>
                <w:color w:val="auto"/>
                <w:sz w:val="20"/>
                <w:szCs w:val="20"/>
              </w:rPr>
            </w:pPr>
            <w:r w:rsidRPr="004A6122">
              <w:rPr>
                <w:rFonts w:ascii="Arial Narrow" w:hAnsi="Arial Narrow" w:cs="Arial"/>
                <w:color w:val="auto"/>
                <w:sz w:val="20"/>
                <w:szCs w:val="20"/>
              </w:rPr>
              <w:t>Rendre les fonds de démarrage disponibles en temps requis</w:t>
            </w:r>
            <w:r w:rsidR="004273BE" w:rsidRPr="004A6122">
              <w:rPr>
                <w:rFonts w:ascii="Arial Narrow" w:hAnsi="Arial Narrow" w:cs="Arial"/>
                <w:color w:val="auto"/>
                <w:sz w:val="20"/>
                <w:szCs w:val="20"/>
              </w:rPr>
              <w:t>.</w:t>
            </w:r>
          </w:p>
        </w:tc>
      </w:tr>
      <w:tr w:rsidR="004C689C" w:rsidRPr="004A6122" w14:paraId="1887F9A7" w14:textId="77777777" w:rsidTr="00262B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vAlign w:val="center"/>
          </w:tcPr>
          <w:p w14:paraId="6785675F" w14:textId="06376B65" w:rsidR="0079773B" w:rsidRPr="004A6122" w:rsidRDefault="0079773B" w:rsidP="00155AC3">
            <w:pPr>
              <w:jc w:val="left"/>
              <w:rPr>
                <w:rFonts w:ascii="Arial Narrow" w:hAnsi="Arial Narrow" w:cs="Arial"/>
                <w:i w:val="0"/>
                <w:iCs w:val="0"/>
                <w:color w:val="auto"/>
                <w:sz w:val="20"/>
                <w:szCs w:val="20"/>
              </w:rPr>
            </w:pPr>
            <w:r w:rsidRPr="004A6122">
              <w:rPr>
                <w:rFonts w:ascii="Arial Narrow" w:hAnsi="Arial Narrow" w:cs="Arial"/>
                <w:b/>
                <w:color w:val="auto"/>
                <w:sz w:val="20"/>
                <w:szCs w:val="20"/>
              </w:rPr>
              <w:t>Non-accréditation des régisseurs :</w:t>
            </w:r>
            <w:r w:rsidRPr="004A6122">
              <w:rPr>
                <w:rFonts w:ascii="Arial Narrow" w:hAnsi="Arial Narrow" w:cs="Arial"/>
                <w:i w:val="0"/>
                <w:color w:val="auto"/>
                <w:sz w:val="20"/>
                <w:szCs w:val="20"/>
              </w:rPr>
              <w:t xml:space="preserve"> </w:t>
            </w:r>
            <w:r w:rsidR="00DE2FC5" w:rsidRPr="004A6122">
              <w:rPr>
                <w:rFonts w:ascii="Arial Narrow" w:hAnsi="Arial Narrow" w:cs="Arial"/>
                <w:i w:val="0"/>
                <w:color w:val="auto"/>
                <w:sz w:val="20"/>
                <w:szCs w:val="20"/>
              </w:rPr>
              <w:t xml:space="preserve">l'absence </w:t>
            </w:r>
            <w:r w:rsidRPr="004A6122">
              <w:rPr>
                <w:rFonts w:ascii="Arial Narrow" w:hAnsi="Arial Narrow" w:cs="Arial"/>
                <w:i w:val="0"/>
                <w:color w:val="auto"/>
                <w:sz w:val="20"/>
                <w:szCs w:val="20"/>
              </w:rPr>
              <w:t>d'accréditation de certains régisseurs empêche les engagements de dépenses, paralysant ainsi l'activité de certaines structures. Le processus d'accréditation des régisseurs est jugé trop long, retardant la mise en œuvre des projets.</w:t>
            </w:r>
          </w:p>
        </w:tc>
        <w:tc>
          <w:tcPr>
            <w:tcW w:w="0" w:type="auto"/>
            <w:shd w:val="clear" w:color="auto" w:fill="auto"/>
            <w:vAlign w:val="center"/>
          </w:tcPr>
          <w:p w14:paraId="03DB8B9F" w14:textId="171FB219" w:rsidR="0079773B" w:rsidRPr="004A6122" w:rsidRDefault="0079773B" w:rsidP="000A1A7B">
            <w:pPr>
              <w:pStyle w:val="Paragraphedeliste"/>
              <w:numPr>
                <w:ilvl w:val="0"/>
                <w:numId w:val="17"/>
              </w:numPr>
              <w:cnfStyle w:val="000000100000" w:firstRow="0" w:lastRow="0" w:firstColumn="0" w:lastColumn="0" w:oddVBand="0" w:evenVBand="0" w:oddHBand="1" w:evenHBand="0" w:firstRowFirstColumn="0" w:firstRowLastColumn="0" w:lastRowFirstColumn="0" w:lastRowLastColumn="0"/>
              <w:rPr>
                <w:rFonts w:ascii="Arial Narrow" w:hAnsi="Arial Narrow" w:cs="Arial"/>
                <w:color w:val="auto"/>
                <w:sz w:val="20"/>
                <w:szCs w:val="20"/>
              </w:rPr>
            </w:pPr>
            <w:r w:rsidRPr="004A6122">
              <w:rPr>
                <w:rFonts w:ascii="Arial Narrow" w:hAnsi="Arial Narrow" w:cs="Arial"/>
                <w:color w:val="auto"/>
                <w:sz w:val="20"/>
                <w:szCs w:val="20"/>
              </w:rPr>
              <w:t xml:space="preserve">Faire un plaidoyer auprès du </w:t>
            </w:r>
            <w:r w:rsidR="00655BE8" w:rsidRPr="004A6122">
              <w:rPr>
                <w:rFonts w:ascii="Arial Narrow" w:hAnsi="Arial Narrow" w:cs="Arial"/>
                <w:color w:val="auto"/>
                <w:sz w:val="20"/>
                <w:szCs w:val="20"/>
              </w:rPr>
              <w:t xml:space="preserve">Ministère </w:t>
            </w:r>
            <w:r w:rsidR="00BB4CE7" w:rsidRPr="004A6122">
              <w:rPr>
                <w:rFonts w:ascii="Arial Narrow" w:hAnsi="Arial Narrow" w:cs="Arial"/>
                <w:color w:val="auto"/>
                <w:sz w:val="20"/>
                <w:szCs w:val="20"/>
              </w:rPr>
              <w:t xml:space="preserve">en charge </w:t>
            </w:r>
            <w:r w:rsidRPr="004A6122">
              <w:rPr>
                <w:rFonts w:ascii="Arial Narrow" w:hAnsi="Arial Narrow" w:cs="Arial"/>
                <w:color w:val="auto"/>
                <w:sz w:val="20"/>
                <w:szCs w:val="20"/>
              </w:rPr>
              <w:t>des finances pour accélérer le processus d’accréditation des régisseurs</w:t>
            </w:r>
            <w:r w:rsidR="00DE503A" w:rsidRPr="004A6122">
              <w:rPr>
                <w:rFonts w:ascii="Arial Narrow" w:hAnsi="Arial Narrow" w:cs="Arial"/>
                <w:color w:val="auto"/>
                <w:sz w:val="20"/>
                <w:szCs w:val="20"/>
              </w:rPr>
              <w:t>.</w:t>
            </w:r>
          </w:p>
        </w:tc>
      </w:tr>
      <w:tr w:rsidR="004A6122" w:rsidRPr="004A6122" w14:paraId="7F89FE22" w14:textId="77777777" w:rsidTr="006C1DA4">
        <w:tc>
          <w:tcPr>
            <w:cnfStyle w:val="001000000000" w:firstRow="0" w:lastRow="0" w:firstColumn="1" w:lastColumn="0" w:oddVBand="0" w:evenVBand="0" w:oddHBand="0" w:evenHBand="0" w:firstRowFirstColumn="0" w:firstRowLastColumn="0" w:lastRowFirstColumn="0" w:lastRowLastColumn="0"/>
            <w:tcW w:w="0" w:type="auto"/>
            <w:gridSpan w:val="2"/>
            <w:tcBorders>
              <w:left w:val="single" w:sz="4" w:space="0" w:color="auto"/>
            </w:tcBorders>
            <w:shd w:val="clear" w:color="auto" w:fill="FFF2CC" w:themeFill="accent4" w:themeFillTint="33"/>
            <w:vAlign w:val="center"/>
          </w:tcPr>
          <w:p w14:paraId="3381398F" w14:textId="77777777" w:rsidR="0079773B" w:rsidRPr="004A6122" w:rsidRDefault="0079773B" w:rsidP="00155AC3">
            <w:pPr>
              <w:jc w:val="left"/>
              <w:rPr>
                <w:rFonts w:ascii="Arial Narrow" w:hAnsi="Arial Narrow" w:cs="Arial"/>
                <w:color w:val="auto"/>
                <w:sz w:val="20"/>
                <w:szCs w:val="20"/>
              </w:rPr>
            </w:pPr>
            <w:r w:rsidRPr="004A6122">
              <w:rPr>
                <w:rFonts w:ascii="Arial Narrow" w:hAnsi="Arial Narrow" w:cs="Arial"/>
                <w:color w:val="auto"/>
                <w:sz w:val="20"/>
                <w:szCs w:val="20"/>
              </w:rPr>
              <w:t>Procédures et règlementation</w:t>
            </w:r>
          </w:p>
        </w:tc>
      </w:tr>
      <w:tr w:rsidR="00262B87" w:rsidRPr="004A6122" w14:paraId="2A42FA20" w14:textId="77777777" w:rsidTr="00262B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shd w:val="clear" w:color="auto" w:fill="auto"/>
            <w:vAlign w:val="center"/>
          </w:tcPr>
          <w:p w14:paraId="6BE760B9" w14:textId="77777777" w:rsidR="0079773B" w:rsidRPr="004A6122" w:rsidRDefault="0079773B" w:rsidP="00155AC3">
            <w:pPr>
              <w:jc w:val="left"/>
              <w:rPr>
                <w:rFonts w:ascii="Arial Narrow" w:hAnsi="Arial Narrow" w:cs="Arial"/>
                <w:i w:val="0"/>
                <w:iCs w:val="0"/>
                <w:color w:val="auto"/>
                <w:sz w:val="20"/>
                <w:szCs w:val="20"/>
              </w:rPr>
            </w:pPr>
            <w:r w:rsidRPr="004A6122">
              <w:rPr>
                <w:rFonts w:ascii="Arial Narrow" w:hAnsi="Arial Narrow" w:cs="Arial"/>
                <w:b/>
                <w:color w:val="auto"/>
                <w:sz w:val="20"/>
                <w:szCs w:val="20"/>
              </w:rPr>
              <w:t>Exigences contraignantes :</w:t>
            </w:r>
            <w:r w:rsidRPr="004A6122">
              <w:rPr>
                <w:rFonts w:ascii="Arial Narrow" w:hAnsi="Arial Narrow" w:cs="Arial"/>
                <w:i w:val="0"/>
                <w:color w:val="auto"/>
                <w:sz w:val="20"/>
                <w:szCs w:val="20"/>
              </w:rPr>
              <w:t xml:space="preserve"> Certaines exigences, comme l'obligation de travailler avec des fournisseurs locaux, peuvent limiter les choix et augmenter les coûts.</w:t>
            </w:r>
          </w:p>
        </w:tc>
        <w:tc>
          <w:tcPr>
            <w:tcW w:w="0" w:type="auto"/>
            <w:shd w:val="clear" w:color="auto" w:fill="auto"/>
            <w:vAlign w:val="center"/>
          </w:tcPr>
          <w:p w14:paraId="26769B82" w14:textId="3F48951E" w:rsidR="0079773B" w:rsidRPr="004A6122" w:rsidRDefault="0079773B" w:rsidP="000A1A7B">
            <w:pPr>
              <w:pStyle w:val="Paragraphedeliste"/>
              <w:numPr>
                <w:ilvl w:val="0"/>
                <w:numId w:val="17"/>
              </w:numPr>
              <w:cnfStyle w:val="000000100000" w:firstRow="0" w:lastRow="0" w:firstColumn="0" w:lastColumn="0" w:oddVBand="0" w:evenVBand="0" w:oddHBand="1" w:evenHBand="0" w:firstRowFirstColumn="0" w:firstRowLastColumn="0" w:lastRowFirstColumn="0" w:lastRowLastColumn="0"/>
              <w:rPr>
                <w:rFonts w:ascii="Arial Narrow" w:hAnsi="Arial Narrow" w:cs="Arial"/>
                <w:color w:val="auto"/>
                <w:sz w:val="20"/>
                <w:szCs w:val="20"/>
              </w:rPr>
            </w:pPr>
            <w:r w:rsidRPr="004A6122">
              <w:rPr>
                <w:rFonts w:ascii="Arial Narrow" w:hAnsi="Arial Narrow" w:cs="Arial"/>
                <w:color w:val="auto"/>
                <w:sz w:val="20"/>
                <w:szCs w:val="20"/>
              </w:rPr>
              <w:t xml:space="preserve">Favoriser l'autonomie des structures </w:t>
            </w:r>
            <w:r w:rsidR="001B4EEF" w:rsidRPr="004A6122">
              <w:rPr>
                <w:rFonts w:ascii="Arial Narrow" w:hAnsi="Arial Narrow" w:cs="Arial"/>
                <w:color w:val="auto"/>
                <w:sz w:val="20"/>
                <w:szCs w:val="20"/>
              </w:rPr>
              <w:t xml:space="preserve">dans le choix de leur fournisseur tout en </w:t>
            </w:r>
            <w:r w:rsidR="00252888" w:rsidRPr="004A6122">
              <w:rPr>
                <w:rFonts w:ascii="Arial Narrow" w:hAnsi="Arial Narrow" w:cs="Arial"/>
                <w:bCs/>
                <w:color w:val="auto"/>
                <w:sz w:val="20"/>
                <w:szCs w:val="20"/>
              </w:rPr>
              <w:t>ga</w:t>
            </w:r>
            <w:r w:rsidR="004273BE" w:rsidRPr="004A6122">
              <w:rPr>
                <w:rFonts w:ascii="Arial Narrow" w:hAnsi="Arial Narrow" w:cs="Arial"/>
                <w:color w:val="auto"/>
                <w:sz w:val="20"/>
                <w:szCs w:val="20"/>
              </w:rPr>
              <w:t>r</w:t>
            </w:r>
            <w:r w:rsidR="00252888" w:rsidRPr="004A6122">
              <w:rPr>
                <w:rFonts w:ascii="Arial Narrow" w:hAnsi="Arial Narrow" w:cs="Arial"/>
                <w:bCs/>
                <w:color w:val="auto"/>
                <w:sz w:val="20"/>
                <w:szCs w:val="20"/>
              </w:rPr>
              <w:t>dant</w:t>
            </w:r>
            <w:r w:rsidRPr="004A6122">
              <w:rPr>
                <w:rFonts w:ascii="Arial Narrow" w:hAnsi="Arial Narrow" w:cs="Arial"/>
                <w:color w:val="auto"/>
                <w:sz w:val="20"/>
                <w:szCs w:val="20"/>
              </w:rPr>
              <w:t xml:space="preserve"> un système de contrôle rigoureux.</w:t>
            </w:r>
          </w:p>
          <w:p w14:paraId="2F389F46" w14:textId="77777777" w:rsidR="0079773B" w:rsidRPr="004A6122" w:rsidRDefault="0079773B" w:rsidP="00155AC3">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auto"/>
                <w:sz w:val="20"/>
                <w:szCs w:val="20"/>
              </w:rPr>
            </w:pPr>
          </w:p>
        </w:tc>
      </w:tr>
    </w:tbl>
    <w:p w14:paraId="66827238" w14:textId="3DCCFB11" w:rsidR="0079773B" w:rsidRPr="003F13B0" w:rsidRDefault="0079773B" w:rsidP="00DC5897">
      <w:pPr>
        <w:pStyle w:val="Lgende"/>
      </w:pPr>
      <w:r w:rsidRPr="003F13B0">
        <w:t xml:space="preserve">Sources : Données collectées pour la </w:t>
      </w:r>
      <w:r w:rsidR="00B635D8">
        <w:t>revue</w:t>
      </w:r>
      <w:r w:rsidRPr="003F13B0">
        <w:t xml:space="preserve"> du PNDS </w:t>
      </w:r>
      <w:r w:rsidR="009E3475" w:rsidRPr="003F13B0">
        <w:t>2021-2025</w:t>
      </w:r>
    </w:p>
    <w:p w14:paraId="3564AAF5" w14:textId="5E22E32F" w:rsidR="0079773B" w:rsidRPr="003F13B0" w:rsidRDefault="0079773B" w:rsidP="00AA7D22">
      <w:pPr>
        <w:pStyle w:val="Titre3"/>
        <w:rPr>
          <w:rFonts w:ascii="Arial Narrow" w:hAnsi="Arial Narrow" w:cs="Arial"/>
          <w:sz w:val="24"/>
          <w:szCs w:val="24"/>
        </w:rPr>
      </w:pPr>
      <w:bookmarkStart w:id="103" w:name="_Toc178699569"/>
      <w:bookmarkStart w:id="104" w:name="_Toc190677481"/>
      <w:r w:rsidRPr="003F13B0">
        <w:rPr>
          <w:rFonts w:ascii="Arial Narrow" w:hAnsi="Arial Narrow" w:cs="Arial"/>
          <w:sz w:val="24"/>
          <w:szCs w:val="24"/>
        </w:rPr>
        <w:t>La</w:t>
      </w:r>
      <w:r w:rsidRPr="003F13B0" w:rsidDel="00513985">
        <w:rPr>
          <w:rFonts w:ascii="Arial Narrow" w:hAnsi="Arial Narrow" w:cs="Arial"/>
          <w:sz w:val="24"/>
          <w:szCs w:val="24"/>
        </w:rPr>
        <w:t xml:space="preserve"> </w:t>
      </w:r>
      <w:r w:rsidR="00513985" w:rsidRPr="003F13B0">
        <w:rPr>
          <w:rFonts w:ascii="Arial Narrow" w:hAnsi="Arial Narrow" w:cs="Arial"/>
          <w:sz w:val="24"/>
          <w:szCs w:val="24"/>
        </w:rPr>
        <w:t xml:space="preserve">Couverture </w:t>
      </w:r>
      <w:r w:rsidRPr="003F13B0">
        <w:rPr>
          <w:rFonts w:ascii="Arial Narrow" w:hAnsi="Arial Narrow" w:cs="Arial"/>
          <w:sz w:val="24"/>
          <w:szCs w:val="24"/>
        </w:rPr>
        <w:t>Maladie Universelle</w:t>
      </w:r>
      <w:bookmarkEnd w:id="103"/>
      <w:r w:rsidR="00513985" w:rsidRPr="003F13B0">
        <w:rPr>
          <w:rFonts w:ascii="Arial Narrow" w:hAnsi="Arial Narrow" w:cs="Arial"/>
          <w:sz w:val="24"/>
          <w:szCs w:val="24"/>
        </w:rPr>
        <w:t xml:space="preserve"> (CMU)</w:t>
      </w:r>
      <w:bookmarkEnd w:id="104"/>
    </w:p>
    <w:p w14:paraId="60B8F119" w14:textId="5B169221" w:rsidR="004B5CF0" w:rsidRPr="003F13B0" w:rsidRDefault="00151C04" w:rsidP="00761F55">
      <w:pPr>
        <w:jc w:val="both"/>
        <w:rPr>
          <w:rFonts w:ascii="Arial Narrow" w:hAnsi="Arial Narrow" w:cs="Arial"/>
          <w:sz w:val="24"/>
          <w:szCs w:val="24"/>
        </w:rPr>
      </w:pPr>
      <w:r w:rsidRPr="003F13B0">
        <w:rPr>
          <w:rFonts w:ascii="Arial Narrow" w:hAnsi="Arial Narrow" w:cs="Arial"/>
          <w:sz w:val="24"/>
          <w:szCs w:val="24"/>
        </w:rPr>
        <w:t xml:space="preserve">La Couverture Maladie Universelle (CMU) </w:t>
      </w:r>
      <w:r w:rsidR="00E86CE5" w:rsidRPr="003F13B0">
        <w:rPr>
          <w:rFonts w:ascii="Arial Narrow" w:hAnsi="Arial Narrow" w:cs="Arial"/>
          <w:sz w:val="24"/>
          <w:szCs w:val="24"/>
        </w:rPr>
        <w:t>se définit comme un système obligatoire de couverture du risque maladie</w:t>
      </w:r>
      <w:r w:rsidR="00977F4F" w:rsidRPr="003F13B0">
        <w:rPr>
          <w:rFonts w:ascii="Arial Narrow" w:hAnsi="Arial Narrow" w:cs="Arial"/>
          <w:sz w:val="24"/>
          <w:szCs w:val="24"/>
        </w:rPr>
        <w:t xml:space="preserve"> dénommé au profit de toutes les personnes résidant sur un territoire. Instituée par la loi </w:t>
      </w:r>
      <w:r w:rsidR="006D499B" w:rsidRPr="003F13B0">
        <w:rPr>
          <w:rFonts w:ascii="Arial Narrow" w:hAnsi="Arial Narrow" w:cs="Arial"/>
          <w:sz w:val="24"/>
          <w:szCs w:val="24"/>
        </w:rPr>
        <w:t xml:space="preserve">N°2014-131 du 24 mars 2014, l’objectif de la CMU est d’offrir des soins de santé de qualité dans des conditions financières soutenables, à toute personne résidente en Côte d’Ivoire. </w:t>
      </w:r>
    </w:p>
    <w:p w14:paraId="06AA5B04" w14:textId="6DF00D86" w:rsidR="00887A7F" w:rsidRPr="003F13B0" w:rsidRDefault="004B5CF0" w:rsidP="00761F55">
      <w:pPr>
        <w:jc w:val="both"/>
        <w:rPr>
          <w:rFonts w:ascii="Arial Narrow" w:hAnsi="Arial Narrow" w:cs="Arial"/>
          <w:sz w:val="24"/>
          <w:szCs w:val="24"/>
        </w:rPr>
      </w:pPr>
      <w:r w:rsidRPr="003F13B0">
        <w:rPr>
          <w:rFonts w:ascii="Arial Narrow" w:hAnsi="Arial Narrow" w:cs="Arial"/>
          <w:sz w:val="24"/>
          <w:szCs w:val="24"/>
        </w:rPr>
        <w:t>Au titre de cette réforme, l</w:t>
      </w:r>
      <w:r w:rsidR="00887A7F" w:rsidRPr="003F13B0">
        <w:rPr>
          <w:rFonts w:ascii="Arial Narrow" w:hAnsi="Arial Narrow" w:cs="Arial"/>
          <w:sz w:val="24"/>
          <w:szCs w:val="24"/>
        </w:rPr>
        <w:t xml:space="preserve">a création de la Direction Générale de la CMU a été officialisée par le Décret n°2021-465 du 08 septembre 2021 portant </w:t>
      </w:r>
      <w:r w:rsidR="00603B5D" w:rsidRPr="003F13B0">
        <w:rPr>
          <w:rFonts w:ascii="Arial Narrow" w:hAnsi="Arial Narrow" w:cs="Arial"/>
          <w:sz w:val="24"/>
          <w:szCs w:val="24"/>
        </w:rPr>
        <w:t>ré</w:t>
      </w:r>
      <w:r w:rsidR="00887A7F" w:rsidRPr="003F13B0">
        <w:rPr>
          <w:rFonts w:ascii="Arial Narrow" w:hAnsi="Arial Narrow" w:cs="Arial"/>
          <w:sz w:val="24"/>
          <w:szCs w:val="24"/>
        </w:rPr>
        <w:t xml:space="preserve">organisation du MSHPCMU. </w:t>
      </w:r>
    </w:p>
    <w:p w14:paraId="58FB22C9" w14:textId="4BD194B3" w:rsidR="00A37220" w:rsidRPr="003F13B0" w:rsidRDefault="00502610" w:rsidP="00A37220">
      <w:pPr>
        <w:jc w:val="both"/>
        <w:rPr>
          <w:rFonts w:ascii="Arial Narrow" w:hAnsi="Arial Narrow" w:cs="Arial"/>
          <w:sz w:val="24"/>
          <w:szCs w:val="24"/>
        </w:rPr>
      </w:pPr>
      <w:r w:rsidRPr="00B82295">
        <w:rPr>
          <w:rFonts w:cstheme="minorHAnsi"/>
          <w:noProof/>
          <w:sz w:val="24"/>
          <w:szCs w:val="24"/>
        </w:rPr>
        <w:lastRenderedPageBreak/>
        <mc:AlternateContent>
          <mc:Choice Requires="wps">
            <w:drawing>
              <wp:anchor distT="0" distB="0" distL="114300" distR="114300" simplePos="0" relativeHeight="251658269" behindDoc="1" locked="0" layoutInCell="1" allowOverlap="1" wp14:anchorId="42426388" wp14:editId="26B89291">
                <wp:simplePos x="0" y="0"/>
                <wp:positionH relativeFrom="margin">
                  <wp:align>left</wp:align>
                </wp:positionH>
                <wp:positionV relativeFrom="paragraph">
                  <wp:posOffset>93345</wp:posOffset>
                </wp:positionV>
                <wp:extent cx="3302000" cy="2667000"/>
                <wp:effectExtent l="0" t="0" r="12700" b="19050"/>
                <wp:wrapTight wrapText="bothSides">
                  <wp:wrapPolygon edited="0">
                    <wp:start x="0" y="0"/>
                    <wp:lineTo x="0" y="21600"/>
                    <wp:lineTo x="21558" y="21600"/>
                    <wp:lineTo x="21558" y="0"/>
                    <wp:lineTo x="0" y="0"/>
                  </wp:wrapPolygon>
                </wp:wrapTight>
                <wp:docPr id="1620283577" name="Text Box 7"/>
                <wp:cNvGraphicFramePr/>
                <a:graphic xmlns:a="http://schemas.openxmlformats.org/drawingml/2006/main">
                  <a:graphicData uri="http://schemas.microsoft.com/office/word/2010/wordprocessingShape">
                    <wps:wsp>
                      <wps:cNvSpPr txBox="1"/>
                      <wps:spPr>
                        <a:xfrm>
                          <a:off x="0" y="0"/>
                          <a:ext cx="3302000" cy="2667000"/>
                        </a:xfrm>
                        <a:prstGeom prst="rect">
                          <a:avLst/>
                        </a:prstGeom>
                        <a:solidFill>
                          <a:schemeClr val="lt1"/>
                        </a:solidFill>
                        <a:ln w="6350">
                          <a:solidFill>
                            <a:schemeClr val="bg1">
                              <a:lumMod val="75000"/>
                            </a:schemeClr>
                          </a:solidFill>
                        </a:ln>
                      </wps:spPr>
                      <wps:txbx>
                        <w:txbxContent>
                          <w:p w14:paraId="6E549A68" w14:textId="701F2757" w:rsidR="00502610" w:rsidRPr="009F2C0C" w:rsidRDefault="00502610" w:rsidP="00DC5897">
                            <w:pPr>
                              <w:pStyle w:val="Lgende"/>
                            </w:pPr>
                            <w:bookmarkStart w:id="105" w:name="_Toc183688814"/>
                            <w:r w:rsidRPr="009F2C0C">
                              <w:t xml:space="preserve">Graphique </w:t>
                            </w:r>
                            <w:r>
                              <w:fldChar w:fldCharType="begin"/>
                            </w:r>
                            <w:r w:rsidRPr="00117554">
                              <w:instrText xml:space="preserve"> SEQ Graphique \* ARABIC </w:instrText>
                            </w:r>
                            <w:r>
                              <w:fldChar w:fldCharType="separate"/>
                            </w:r>
                            <w:r w:rsidR="003E6DE7">
                              <w:rPr>
                                <w:noProof/>
                              </w:rPr>
                              <w:t>27</w:t>
                            </w:r>
                            <w:r>
                              <w:fldChar w:fldCharType="end"/>
                            </w:r>
                            <w:r w:rsidRPr="009F2C0C">
                              <w:t xml:space="preserve"> : </w:t>
                            </w:r>
                            <w:r w:rsidR="00CE1726" w:rsidRPr="00CE1726">
                              <w:t>Couverture de la CMU dans les établissements sanitaires</w:t>
                            </w:r>
                            <w:bookmarkEnd w:id="105"/>
                          </w:p>
                          <w:p w14:paraId="3EB46B49" w14:textId="5FC6A640" w:rsidR="00502610" w:rsidRPr="00B82295" w:rsidRDefault="00CB2FEA" w:rsidP="00502610">
                            <w:pPr>
                              <w:keepNext/>
                            </w:pPr>
                            <w:r>
                              <w:rPr>
                                <w:noProof/>
                              </w:rPr>
                              <w:drawing>
                                <wp:inline distT="0" distB="0" distL="0" distR="0" wp14:anchorId="62E4C801" wp14:editId="5B9A331D">
                                  <wp:extent cx="3112770" cy="1885950"/>
                                  <wp:effectExtent l="0" t="0" r="11430" b="0"/>
                                  <wp:docPr id="1711163464" name="Chart 1">
                                    <a:extLst xmlns:a="http://schemas.openxmlformats.org/drawingml/2006/main">
                                      <a:ext uri="{FF2B5EF4-FFF2-40B4-BE49-F238E27FC236}">
                                        <a16:creationId xmlns:a16="http://schemas.microsoft.com/office/drawing/2014/main" id="{7E912A62-BCF3-DC23-DAA8-E294843163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3FA3F19C" w14:textId="2EAD04CA" w:rsidR="00502610" w:rsidRPr="00B82295" w:rsidRDefault="00502610" w:rsidP="00DC5897">
                            <w:pPr>
                              <w:pStyle w:val="Lgende"/>
                              <w:rPr>
                                <w:sz w:val="14"/>
                                <w:szCs w:val="14"/>
                              </w:rPr>
                            </w:pPr>
                            <w:r w:rsidRPr="00B82295">
                              <w:t xml:space="preserve">Sources : </w:t>
                            </w:r>
                            <w:r>
                              <w:t>DGCMU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2426388" id="_x0000_s1052" type="#_x0000_t202" style="position:absolute;left:0;text-align:left;margin-left:0;margin-top:7.35pt;width:260pt;height:210pt;z-index:-25165821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" fillcolor="white [3201]" strokecolor="#bfbfbf [2412]" strokeweight=".5pt">
                <v:textbox>
                  <w:txbxContent>
                    <w:p w14:paraId="6E549A68" w14:textId="701F2757" w:rsidR="00502610" w:rsidRPr="009F2C0C" w:rsidRDefault="00502610" w:rsidP="00DC5897">
                      <w:pPr>
                        <w:pStyle w:val="Lgende"/>
                      </w:pPr>
                      <w:bookmarkStart w:id="135" w:name="_Toc183688814"/>
                      <w:r w:rsidRPr="009F2C0C">
                        <w:t xml:space="preserve">Graphique </w:t>
                      </w:r>
                      <w:r>
                        <w:fldChar w:fldCharType="begin"/>
                      </w:r>
                      <w:r w:rsidRPr="00117554">
                        <w:instrText xml:space="preserve"> SEQ Graphique \* ARABIC </w:instrText>
                      </w:r>
                      <w:r>
                        <w:fldChar w:fldCharType="separate"/>
                      </w:r>
                      <w:r w:rsidR="003E6DE7">
                        <w:rPr>
                          <w:noProof/>
                        </w:rPr>
                        <w:t>27</w:t>
                      </w:r>
                      <w:r>
                        <w:fldChar w:fldCharType="end"/>
                      </w:r>
                      <w:r w:rsidRPr="009F2C0C">
                        <w:t xml:space="preserve"> : </w:t>
                      </w:r>
                      <w:r w:rsidR="00CE1726" w:rsidRPr="00CE1726">
                        <w:t>Couverture de la CMU dans les établissements sanitaires</w:t>
                      </w:r>
                      <w:bookmarkEnd w:id="135"/>
                    </w:p>
                    <w:p w14:paraId="3EB46B49" w14:textId="5FC6A640" w:rsidR="00502610" w:rsidRPr="00B82295" w:rsidRDefault="00CB2FEA" w:rsidP="00502610">
                      <w:pPr>
                        <w:keepNext/>
                      </w:pPr>
                      <w:r>
                        <w:rPr>
                          <w:noProof/>
                        </w:rPr>
                        <w:drawing>
                          <wp:inline distT="0" distB="0" distL="0" distR="0" wp14:anchorId="62E4C801" wp14:editId="5B9A331D">
                            <wp:extent cx="3112770" cy="1885950"/>
                            <wp:effectExtent l="0" t="0" r="11430" b="0"/>
                            <wp:docPr id="1711163464" name="Chart 1">
                              <a:extLst xmlns:a="http://schemas.openxmlformats.org/drawingml/2006/main">
                                <a:ext uri="{FF2B5EF4-FFF2-40B4-BE49-F238E27FC236}">
                                  <a16:creationId xmlns:a16="http://schemas.microsoft.com/office/drawing/2014/main" id="{7E912A62-BCF3-DC23-DAA8-E294843163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3FA3F19C" w14:textId="2EAD04CA" w:rsidR="00502610" w:rsidRPr="00B82295" w:rsidRDefault="00502610" w:rsidP="00DC5897">
                      <w:pPr>
                        <w:pStyle w:val="Lgende"/>
                        <w:rPr>
                          <w:sz w:val="14"/>
                          <w:szCs w:val="14"/>
                        </w:rPr>
                      </w:pPr>
                      <w:r w:rsidRPr="00B82295">
                        <w:t xml:space="preserve">Sources : </w:t>
                      </w:r>
                      <w:r>
                        <w:t>DGCMU</w:t>
                      </w:r>
                    </w:p>
                  </w:txbxContent>
                </v:textbox>
                <w10:wrap type="tight" anchorx="margin"/>
              </v:shape>
            </w:pict>
          </mc:Fallback>
        </mc:AlternateContent>
      </w:r>
      <w:r w:rsidR="00887A7F" w:rsidRPr="003F13B0">
        <w:rPr>
          <w:rFonts w:ascii="Arial Narrow" w:hAnsi="Arial Narrow" w:cs="Arial"/>
          <w:sz w:val="24"/>
          <w:szCs w:val="24"/>
        </w:rPr>
        <w:t>La couverture de la CMU au sein des établissements de santé a connu une progression significative depuis 202</w:t>
      </w:r>
      <w:r w:rsidR="002573B8" w:rsidRPr="003F13B0">
        <w:rPr>
          <w:rFonts w:ascii="Arial Narrow" w:hAnsi="Arial Narrow" w:cs="Arial"/>
          <w:sz w:val="24"/>
          <w:szCs w:val="24"/>
        </w:rPr>
        <w:t>0</w:t>
      </w:r>
      <w:r w:rsidR="004A02B4" w:rsidRPr="003F13B0">
        <w:rPr>
          <w:rFonts w:ascii="Arial Narrow" w:hAnsi="Arial Narrow" w:cs="Arial"/>
          <w:sz w:val="24"/>
          <w:szCs w:val="24"/>
        </w:rPr>
        <w:t xml:space="preserve">. En effet, </w:t>
      </w:r>
      <w:r w:rsidR="00A37220" w:rsidRPr="003F13B0">
        <w:rPr>
          <w:rFonts w:ascii="Arial Narrow" w:hAnsi="Arial Narrow" w:cs="Arial"/>
          <w:sz w:val="24"/>
          <w:szCs w:val="24"/>
        </w:rPr>
        <w:t xml:space="preserve">1 976 établissements de santé publics (soit environ 60% en 2023 contre </w:t>
      </w:r>
      <w:r w:rsidR="004A02B4" w:rsidRPr="003F13B0">
        <w:rPr>
          <w:rFonts w:ascii="Arial Narrow" w:hAnsi="Arial Narrow" w:cs="Arial"/>
          <w:sz w:val="24"/>
          <w:szCs w:val="24"/>
        </w:rPr>
        <w:t>30</w:t>
      </w:r>
      <w:r w:rsidR="00A37220" w:rsidRPr="003F13B0">
        <w:rPr>
          <w:rFonts w:ascii="Arial Narrow" w:hAnsi="Arial Narrow" w:cs="Arial"/>
          <w:sz w:val="24"/>
          <w:szCs w:val="24"/>
        </w:rPr>
        <w:t xml:space="preserve">% en 2020), dont l’ensemble des EPHN, EPHR et EPHD, ont été conventionnés et mettent en œuvre la CMU. Aussi, une convention cadre a été signée avec le réseau de l’Union National des Pharmaciens Privés de Côte d’Ivoire (UNPPCI) regroupant 1 200 officines privées de pharmacies. En particulier, 458 de ces officines (38,16%) ont été conventionnées individuellement. De plus, 200 établissements de santé ont été équipés en kits d’enrôlement et 3 168 acteurs ont été formés dont 1 475 prestataires. </w:t>
      </w:r>
      <w:r w:rsidR="004A02B4" w:rsidRPr="003F13B0">
        <w:rPr>
          <w:rFonts w:ascii="Arial Narrow" w:hAnsi="Arial Narrow" w:cs="Arial"/>
          <w:sz w:val="24"/>
          <w:szCs w:val="24"/>
        </w:rPr>
        <w:t>Le</w:t>
      </w:r>
      <w:r w:rsidR="004A02B4" w:rsidRPr="003F13B0" w:rsidDel="0025746B">
        <w:rPr>
          <w:rFonts w:ascii="Arial Narrow" w:hAnsi="Arial Narrow" w:cs="Arial"/>
          <w:sz w:val="24"/>
          <w:szCs w:val="24"/>
        </w:rPr>
        <w:t xml:space="preserve"> panier de soin</w:t>
      </w:r>
      <w:r w:rsidR="004A02B4" w:rsidRPr="003F13B0">
        <w:rPr>
          <w:rFonts w:ascii="Arial Narrow" w:hAnsi="Arial Narrow" w:cs="Arial"/>
          <w:sz w:val="24"/>
          <w:szCs w:val="24"/>
        </w:rPr>
        <w:t xml:space="preserve">s de la </w:t>
      </w:r>
      <w:r w:rsidR="004A02B4" w:rsidRPr="003F13B0" w:rsidDel="0025746B">
        <w:rPr>
          <w:rFonts w:ascii="Arial Narrow" w:hAnsi="Arial Narrow" w:cs="Arial"/>
          <w:sz w:val="24"/>
          <w:szCs w:val="24"/>
        </w:rPr>
        <w:t xml:space="preserve">CMU </w:t>
      </w:r>
      <w:r w:rsidR="004A02B4" w:rsidRPr="003F13B0">
        <w:rPr>
          <w:rFonts w:ascii="Arial Narrow" w:hAnsi="Arial Narrow" w:cs="Arial"/>
          <w:sz w:val="24"/>
          <w:szCs w:val="24"/>
        </w:rPr>
        <w:t xml:space="preserve">a été élargi </w:t>
      </w:r>
      <w:r w:rsidR="004A02B4" w:rsidRPr="003F13B0" w:rsidDel="0025746B">
        <w:rPr>
          <w:rFonts w:ascii="Arial Narrow" w:hAnsi="Arial Narrow" w:cs="Arial"/>
          <w:sz w:val="24"/>
          <w:szCs w:val="24"/>
        </w:rPr>
        <w:t>au diabète et HTA non compliqués par décret n° 2023-169 du 22 mars 2023 fixant les spécialités médicales, de biologie et les classes thérapeutiques des produits pharmaceutiques garantis par la CMU.</w:t>
      </w:r>
      <w:r w:rsidR="004A02B4" w:rsidRPr="003F13B0">
        <w:rPr>
          <w:rFonts w:ascii="Arial Narrow" w:hAnsi="Arial Narrow" w:cs="Arial"/>
          <w:sz w:val="24"/>
          <w:szCs w:val="24"/>
        </w:rPr>
        <w:t xml:space="preserve"> </w:t>
      </w:r>
      <w:r w:rsidR="00A37220" w:rsidRPr="003F13B0">
        <w:rPr>
          <w:rFonts w:ascii="Arial Narrow" w:hAnsi="Arial Narrow" w:cs="Arial"/>
          <w:sz w:val="24"/>
          <w:szCs w:val="24"/>
        </w:rPr>
        <w:t>Par ailleurs, une quantification répondant aux besoins en médicaments des pharmacies publiques a été réalisée afin de permettre une amélioration de la disponibilité des médicaments.</w:t>
      </w:r>
      <w:r w:rsidR="004A02B4" w:rsidRPr="003F13B0">
        <w:rPr>
          <w:rFonts w:ascii="Arial Narrow" w:hAnsi="Arial Narrow" w:cs="Arial"/>
          <w:sz w:val="24"/>
          <w:szCs w:val="24"/>
        </w:rPr>
        <w:t xml:space="preserve"> La mise en œuvre de la politique de généralisation de la CMU, couplée à des actions concrètes sur le terrain, a permis d'améliorer l'accès aux soins pour une part croissante de la population.</w:t>
      </w:r>
    </w:p>
    <w:p w14:paraId="11B7BB41" w14:textId="77777777" w:rsidR="00E0189B" w:rsidRPr="003F13B0" w:rsidRDefault="00A37220" w:rsidP="00E0189B">
      <w:pPr>
        <w:jc w:val="both"/>
        <w:rPr>
          <w:rFonts w:ascii="Arial Narrow" w:hAnsi="Arial Narrow" w:cs="Arial"/>
          <w:sz w:val="24"/>
          <w:szCs w:val="24"/>
        </w:rPr>
      </w:pPr>
      <w:r w:rsidRPr="003F13B0">
        <w:rPr>
          <w:rFonts w:ascii="Arial Narrow" w:hAnsi="Arial Narrow" w:cs="Arial"/>
          <w:sz w:val="24"/>
          <w:szCs w:val="24"/>
        </w:rPr>
        <w:t>A ce jour, le taux d’utilisation de la carte CMU se situe à près de 10% des actes médicaux et 84% des usagers à jour de leur cotisation ont bénéficié de l’offre de service CMU, ce qui représente environ 400 000 personnes en 2024. Le nombre cumulé de consultations dans le cadre de la CMU depuis 2019 s’élève à 1 211 880 dont 49 193 en aout 2024. De plus, 170 pathologies y compris l’HTA et le diabète sont prises en charge.</w:t>
      </w:r>
      <w:r w:rsidR="00E0189B" w:rsidRPr="003F13B0">
        <w:rPr>
          <w:rFonts w:ascii="Arial Narrow" w:hAnsi="Arial Narrow" w:cs="Arial"/>
          <w:sz w:val="24"/>
          <w:szCs w:val="24"/>
        </w:rPr>
        <w:t xml:space="preserve"> </w:t>
      </w:r>
    </w:p>
    <w:p w14:paraId="65AD2C2C" w14:textId="406DDD4B" w:rsidR="00E0189B" w:rsidRPr="003F13B0" w:rsidRDefault="00E0189B" w:rsidP="00E0189B">
      <w:pPr>
        <w:jc w:val="both"/>
        <w:rPr>
          <w:rFonts w:ascii="Arial Narrow" w:hAnsi="Arial Narrow" w:cs="Arial"/>
          <w:sz w:val="24"/>
          <w:szCs w:val="24"/>
        </w:rPr>
      </w:pPr>
      <w:r w:rsidRPr="003F13B0">
        <w:rPr>
          <w:rFonts w:ascii="Arial Narrow" w:hAnsi="Arial Narrow" w:cs="Arial"/>
          <w:sz w:val="24"/>
          <w:szCs w:val="24"/>
        </w:rPr>
        <w:t xml:space="preserve">Cependant, certains défis stratégiques sont à signaler afin d’atteindre l’opérationnalisation complète de la CMU, à savoir : </w:t>
      </w:r>
      <w:r w:rsidRPr="003F13B0">
        <w:rPr>
          <w:rFonts w:ascii="Arial Narrow" w:hAnsi="Arial Narrow" w:cs="Arial"/>
          <w:i/>
          <w:iCs/>
          <w:sz w:val="24"/>
          <w:szCs w:val="24"/>
        </w:rPr>
        <w:t>(i)</w:t>
      </w:r>
      <w:r w:rsidRPr="003F13B0">
        <w:rPr>
          <w:rFonts w:ascii="Arial Narrow" w:hAnsi="Arial Narrow" w:cs="Arial"/>
          <w:sz w:val="24"/>
          <w:szCs w:val="24"/>
        </w:rPr>
        <w:t xml:space="preserve"> l’élargissement du panier de soins de la CMU ; </w:t>
      </w:r>
      <w:r w:rsidRPr="003F13B0">
        <w:rPr>
          <w:rFonts w:ascii="Arial Narrow" w:hAnsi="Arial Narrow" w:cs="Arial"/>
          <w:i/>
          <w:iCs/>
          <w:sz w:val="24"/>
          <w:szCs w:val="24"/>
        </w:rPr>
        <w:t>(ii)</w:t>
      </w:r>
      <w:r w:rsidRPr="003F13B0">
        <w:rPr>
          <w:rFonts w:ascii="Arial Narrow" w:hAnsi="Arial Narrow" w:cs="Arial"/>
          <w:sz w:val="24"/>
          <w:szCs w:val="24"/>
        </w:rPr>
        <w:t xml:space="preserve"> l’intégration du secteur privé en particulier le privé à but non lucratif dans les prestataires de soins de la CMU ; </w:t>
      </w:r>
      <w:r w:rsidRPr="003F13B0">
        <w:rPr>
          <w:rFonts w:ascii="Arial Narrow" w:hAnsi="Arial Narrow" w:cs="Arial"/>
          <w:i/>
          <w:iCs/>
          <w:sz w:val="24"/>
          <w:szCs w:val="24"/>
        </w:rPr>
        <w:t>(iii)</w:t>
      </w:r>
      <w:r w:rsidRPr="003F13B0">
        <w:rPr>
          <w:rFonts w:ascii="Arial Narrow" w:hAnsi="Arial Narrow" w:cs="Arial"/>
          <w:sz w:val="24"/>
          <w:szCs w:val="24"/>
        </w:rPr>
        <w:t xml:space="preserve"> la couverture effective de l’ensemble des populations en matière d’enrôlement et d’obtention de la carte CMU ; </w:t>
      </w:r>
      <w:r w:rsidRPr="003F13B0">
        <w:rPr>
          <w:rFonts w:ascii="Arial Narrow" w:hAnsi="Arial Narrow" w:cs="Arial"/>
          <w:i/>
          <w:iCs/>
          <w:sz w:val="24"/>
          <w:szCs w:val="24"/>
        </w:rPr>
        <w:t>(iv)</w:t>
      </w:r>
      <w:r w:rsidRPr="003F13B0">
        <w:rPr>
          <w:rFonts w:ascii="Arial Narrow" w:hAnsi="Arial Narrow" w:cs="Arial"/>
          <w:sz w:val="24"/>
          <w:szCs w:val="24"/>
        </w:rPr>
        <w:t xml:space="preserve"> et le recouvrement effectif des cotisations des usagers.</w:t>
      </w:r>
    </w:p>
    <w:p w14:paraId="2FD0EE51" w14:textId="2D02A95B" w:rsidR="0079773B" w:rsidRPr="003F13B0" w:rsidRDefault="0079773B" w:rsidP="00DC5897">
      <w:pPr>
        <w:pStyle w:val="Lgende"/>
      </w:pPr>
      <w:bookmarkStart w:id="106" w:name="_Toc183688751"/>
      <w:r w:rsidRPr="003F13B0">
        <w:t xml:space="preserve">Tableau </w:t>
      </w:r>
      <w:r w:rsidRPr="00BE0649">
        <w:fldChar w:fldCharType="begin"/>
      </w:r>
      <w:r w:rsidRPr="003F13B0">
        <w:instrText xml:space="preserve"> SEQ Tableau \* ARABIC </w:instrText>
      </w:r>
      <w:r w:rsidRPr="00BE0649">
        <w:fldChar w:fldCharType="separate"/>
      </w:r>
      <w:r w:rsidR="008B0A44">
        <w:rPr>
          <w:noProof/>
        </w:rPr>
        <w:t>3</w:t>
      </w:r>
      <w:r w:rsidRPr="00BE0649">
        <w:fldChar w:fldCharType="end"/>
      </w:r>
      <w:r w:rsidRPr="003F13B0">
        <w:t xml:space="preserve"> : </w:t>
      </w:r>
      <w:r w:rsidR="004A02B4" w:rsidRPr="003F13B0">
        <w:t xml:space="preserve">Défis opérationnels liés à la mise en œuvre </w:t>
      </w:r>
      <w:r w:rsidRPr="003F13B0">
        <w:t>de la réforme sur la Couverture Maladie Universelle (CMU)</w:t>
      </w:r>
      <w:bookmarkEnd w:id="1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3"/>
        <w:gridCol w:w="4923"/>
      </w:tblGrid>
      <w:tr w:rsidR="0079773B" w:rsidRPr="003F13B0" w14:paraId="2C6D7B7B" w14:textId="77777777" w:rsidTr="00A31D7F">
        <w:trPr>
          <w:cantSplit/>
        </w:trPr>
        <w:tc>
          <w:tcPr>
            <w:tcW w:w="0" w:type="auto"/>
            <w:shd w:val="clear" w:color="auto" w:fill="FFE599" w:themeFill="accent4" w:themeFillTint="66"/>
            <w:vAlign w:val="center"/>
          </w:tcPr>
          <w:p w14:paraId="7D536985" w14:textId="203D1827" w:rsidR="0079773B" w:rsidRPr="003F13B0" w:rsidRDefault="00F162CD" w:rsidP="00F162CD">
            <w:pPr>
              <w:rPr>
                <w:rFonts w:ascii="Arial Narrow" w:hAnsi="Arial Narrow" w:cs="Arial"/>
                <w:b/>
                <w:bCs/>
                <w:sz w:val="20"/>
                <w:szCs w:val="20"/>
              </w:rPr>
            </w:pPr>
            <w:r w:rsidRPr="003F13B0">
              <w:rPr>
                <w:rFonts w:ascii="Arial Narrow" w:hAnsi="Arial Narrow" w:cs="Arial"/>
                <w:b/>
                <w:bCs/>
                <w:i/>
                <w:iCs/>
                <w:sz w:val="20"/>
                <w:szCs w:val="20"/>
              </w:rPr>
              <w:t>Défis</w:t>
            </w:r>
          </w:p>
        </w:tc>
        <w:tc>
          <w:tcPr>
            <w:tcW w:w="0" w:type="auto"/>
            <w:shd w:val="clear" w:color="auto" w:fill="FFE599" w:themeFill="accent4" w:themeFillTint="66"/>
            <w:vAlign w:val="center"/>
          </w:tcPr>
          <w:p w14:paraId="04041A31" w14:textId="7391C46D" w:rsidR="0079773B" w:rsidRPr="003F13B0" w:rsidRDefault="0079773B" w:rsidP="00761F55">
            <w:pPr>
              <w:jc w:val="both"/>
              <w:rPr>
                <w:rFonts w:ascii="Arial Narrow" w:hAnsi="Arial Narrow" w:cs="Arial"/>
                <w:b/>
                <w:bCs/>
                <w:sz w:val="20"/>
                <w:szCs w:val="20"/>
              </w:rPr>
            </w:pPr>
            <w:r w:rsidRPr="003F13B0">
              <w:rPr>
                <w:rFonts w:ascii="Arial Narrow" w:hAnsi="Arial Narrow" w:cs="Arial"/>
                <w:b/>
                <w:bCs/>
                <w:sz w:val="20"/>
                <w:szCs w:val="20"/>
              </w:rPr>
              <w:t>Recommandations</w:t>
            </w:r>
            <w:r w:rsidR="00FE3F0D" w:rsidRPr="003F13B0">
              <w:rPr>
                <w:rFonts w:ascii="Arial Narrow" w:hAnsi="Arial Narrow" w:cs="Arial"/>
                <w:b/>
                <w:bCs/>
                <w:sz w:val="20"/>
                <w:szCs w:val="20"/>
              </w:rPr>
              <w:t xml:space="preserve"> des acteurs</w:t>
            </w:r>
          </w:p>
        </w:tc>
      </w:tr>
      <w:tr w:rsidR="0079773B" w:rsidRPr="003F13B0" w14:paraId="11A8673F" w14:textId="77777777" w:rsidTr="00A31D7F">
        <w:trPr>
          <w:cantSplit/>
        </w:trPr>
        <w:tc>
          <w:tcPr>
            <w:tcW w:w="0" w:type="auto"/>
            <w:gridSpan w:val="2"/>
            <w:shd w:val="clear" w:color="auto" w:fill="FFF2CC" w:themeFill="accent4" w:themeFillTint="33"/>
            <w:vAlign w:val="center"/>
          </w:tcPr>
          <w:p w14:paraId="7F26E191" w14:textId="77777777" w:rsidR="0079773B" w:rsidRPr="003F13B0" w:rsidRDefault="0079773B" w:rsidP="00761F55">
            <w:pPr>
              <w:jc w:val="both"/>
              <w:rPr>
                <w:rFonts w:ascii="Arial Narrow" w:hAnsi="Arial Narrow" w:cs="Arial"/>
                <w:b/>
                <w:bCs/>
                <w:sz w:val="20"/>
                <w:szCs w:val="20"/>
              </w:rPr>
            </w:pPr>
            <w:r w:rsidRPr="003F13B0">
              <w:rPr>
                <w:rFonts w:ascii="Arial Narrow" w:hAnsi="Arial Narrow" w:cs="Arial"/>
                <w:b/>
                <w:bCs/>
                <w:sz w:val="20"/>
                <w:szCs w:val="20"/>
              </w:rPr>
              <w:t>Techniques et logistiques</w:t>
            </w:r>
          </w:p>
        </w:tc>
      </w:tr>
      <w:tr w:rsidR="0079773B" w:rsidRPr="003F13B0" w14:paraId="38AB37DF" w14:textId="77777777" w:rsidTr="00A31D7F">
        <w:trPr>
          <w:cantSplit/>
          <w:trHeight w:val="643"/>
        </w:trPr>
        <w:tc>
          <w:tcPr>
            <w:tcW w:w="0" w:type="auto"/>
            <w:shd w:val="clear" w:color="auto" w:fill="FFFFFF" w:themeFill="background1"/>
            <w:vAlign w:val="center"/>
          </w:tcPr>
          <w:p w14:paraId="048DA133" w14:textId="77777777" w:rsidR="0079773B" w:rsidRPr="003F13B0" w:rsidRDefault="0079773B" w:rsidP="00761F55">
            <w:pPr>
              <w:jc w:val="both"/>
              <w:rPr>
                <w:rFonts w:ascii="Arial Narrow" w:hAnsi="Arial Narrow" w:cs="Arial"/>
                <w:sz w:val="20"/>
                <w:szCs w:val="20"/>
              </w:rPr>
            </w:pPr>
            <w:r w:rsidRPr="003F13B0">
              <w:rPr>
                <w:rFonts w:ascii="Arial Narrow" w:hAnsi="Arial Narrow" w:cs="Arial"/>
                <w:sz w:val="20"/>
                <w:szCs w:val="20"/>
              </w:rPr>
              <w:t>Eloignement des sites d'enrôlement : Difficulté d'accès pour certaines populations.</w:t>
            </w:r>
          </w:p>
        </w:tc>
        <w:tc>
          <w:tcPr>
            <w:tcW w:w="0" w:type="auto"/>
            <w:shd w:val="clear" w:color="auto" w:fill="FFFFFF" w:themeFill="background1"/>
            <w:vAlign w:val="center"/>
          </w:tcPr>
          <w:p w14:paraId="486DD5AD" w14:textId="40F92EDF" w:rsidR="0079773B" w:rsidRPr="003F13B0" w:rsidRDefault="0079773B" w:rsidP="00761F55">
            <w:pPr>
              <w:jc w:val="both"/>
              <w:rPr>
                <w:rFonts w:ascii="Arial Narrow" w:hAnsi="Arial Narrow" w:cs="Arial"/>
                <w:sz w:val="20"/>
                <w:szCs w:val="20"/>
              </w:rPr>
            </w:pPr>
            <w:r w:rsidRPr="003F13B0">
              <w:rPr>
                <w:rFonts w:ascii="Arial Narrow" w:hAnsi="Arial Narrow" w:cs="Arial"/>
                <w:sz w:val="20"/>
                <w:szCs w:val="20"/>
              </w:rPr>
              <w:t>Rapprocher les sites d'enrôlement de la population</w:t>
            </w:r>
          </w:p>
        </w:tc>
      </w:tr>
      <w:tr w:rsidR="0079773B" w:rsidRPr="003F13B0" w14:paraId="483CFE72" w14:textId="77777777" w:rsidTr="00A31D7F">
        <w:trPr>
          <w:cantSplit/>
        </w:trPr>
        <w:tc>
          <w:tcPr>
            <w:tcW w:w="0" w:type="auto"/>
            <w:gridSpan w:val="2"/>
            <w:shd w:val="clear" w:color="auto" w:fill="FFF2CC" w:themeFill="accent4" w:themeFillTint="33"/>
            <w:vAlign w:val="center"/>
          </w:tcPr>
          <w:p w14:paraId="1B8B40AD" w14:textId="77777777" w:rsidR="0079773B" w:rsidRPr="003F13B0" w:rsidRDefault="0079773B" w:rsidP="00761F55">
            <w:pPr>
              <w:jc w:val="both"/>
              <w:rPr>
                <w:rFonts w:ascii="Arial Narrow" w:hAnsi="Arial Narrow" w:cs="Arial"/>
                <w:sz w:val="20"/>
                <w:szCs w:val="20"/>
              </w:rPr>
            </w:pPr>
            <w:r w:rsidRPr="003F13B0">
              <w:rPr>
                <w:rFonts w:ascii="Arial Narrow" w:hAnsi="Arial Narrow" w:cs="Arial"/>
                <w:sz w:val="20"/>
                <w:szCs w:val="20"/>
              </w:rPr>
              <w:t>Ressources humaines</w:t>
            </w:r>
          </w:p>
        </w:tc>
      </w:tr>
      <w:tr w:rsidR="0079773B" w:rsidRPr="003F13B0" w14:paraId="44DD66BC" w14:textId="77777777" w:rsidTr="00A31D7F">
        <w:trPr>
          <w:cantSplit/>
        </w:trPr>
        <w:tc>
          <w:tcPr>
            <w:tcW w:w="0" w:type="auto"/>
            <w:shd w:val="clear" w:color="auto" w:fill="auto"/>
            <w:vAlign w:val="center"/>
          </w:tcPr>
          <w:p w14:paraId="66FA2DD5" w14:textId="77777777" w:rsidR="0079773B" w:rsidRPr="003F13B0" w:rsidRDefault="0079773B" w:rsidP="00761F55">
            <w:pPr>
              <w:jc w:val="both"/>
              <w:rPr>
                <w:rFonts w:ascii="Arial Narrow" w:hAnsi="Arial Narrow" w:cs="Arial"/>
                <w:sz w:val="20"/>
                <w:szCs w:val="20"/>
              </w:rPr>
            </w:pPr>
            <w:r w:rsidRPr="003F13B0">
              <w:rPr>
                <w:rFonts w:ascii="Arial Narrow" w:hAnsi="Arial Narrow" w:cs="Arial"/>
                <w:sz w:val="20"/>
                <w:szCs w:val="20"/>
              </w:rPr>
              <w:t>Insuffisance d'agents d'accueil de la CMU</w:t>
            </w:r>
          </w:p>
        </w:tc>
        <w:tc>
          <w:tcPr>
            <w:tcW w:w="0" w:type="auto"/>
            <w:shd w:val="clear" w:color="auto" w:fill="auto"/>
            <w:vAlign w:val="center"/>
          </w:tcPr>
          <w:p w14:paraId="26BD3D17" w14:textId="77777777" w:rsidR="0079773B" w:rsidRPr="003F13B0" w:rsidRDefault="0079773B" w:rsidP="00761F55">
            <w:pPr>
              <w:jc w:val="both"/>
              <w:rPr>
                <w:rFonts w:ascii="Arial Narrow" w:hAnsi="Arial Narrow" w:cs="Arial"/>
                <w:sz w:val="20"/>
                <w:szCs w:val="20"/>
              </w:rPr>
            </w:pPr>
            <w:r w:rsidRPr="003F13B0">
              <w:rPr>
                <w:rFonts w:ascii="Arial Narrow" w:hAnsi="Arial Narrow" w:cs="Arial"/>
                <w:sz w:val="20"/>
                <w:szCs w:val="20"/>
              </w:rPr>
              <w:t>Recruter et former les agents d’accueil sur la CMU</w:t>
            </w:r>
          </w:p>
        </w:tc>
      </w:tr>
      <w:tr w:rsidR="0079773B" w:rsidRPr="003F13B0" w14:paraId="0555BB5B" w14:textId="77777777" w:rsidTr="00A31D7F">
        <w:trPr>
          <w:cantSplit/>
        </w:trPr>
        <w:tc>
          <w:tcPr>
            <w:tcW w:w="0" w:type="auto"/>
            <w:shd w:val="clear" w:color="auto" w:fill="auto"/>
            <w:vAlign w:val="center"/>
          </w:tcPr>
          <w:p w14:paraId="7CBB09CB" w14:textId="3287FE39" w:rsidR="0079773B" w:rsidRPr="003F13B0" w:rsidRDefault="00F162CD" w:rsidP="00761F55">
            <w:pPr>
              <w:jc w:val="both"/>
              <w:rPr>
                <w:rFonts w:ascii="Arial Narrow" w:hAnsi="Arial Narrow" w:cs="Arial"/>
                <w:sz w:val="20"/>
                <w:szCs w:val="20"/>
              </w:rPr>
            </w:pPr>
            <w:r w:rsidRPr="003F13B0">
              <w:rPr>
                <w:rFonts w:ascii="Arial Narrow" w:hAnsi="Arial Narrow" w:cs="Arial"/>
                <w:sz w:val="20"/>
                <w:szCs w:val="20"/>
              </w:rPr>
              <w:t xml:space="preserve">Rotation importante </w:t>
            </w:r>
            <w:r w:rsidR="00147130" w:rsidRPr="003F13B0">
              <w:rPr>
                <w:rFonts w:ascii="Arial Narrow" w:hAnsi="Arial Narrow" w:cs="Arial"/>
                <w:sz w:val="20"/>
                <w:szCs w:val="20"/>
              </w:rPr>
              <w:t>des agents d’accueil CMU</w:t>
            </w:r>
          </w:p>
        </w:tc>
        <w:tc>
          <w:tcPr>
            <w:tcW w:w="0" w:type="auto"/>
            <w:shd w:val="clear" w:color="auto" w:fill="auto"/>
            <w:vAlign w:val="center"/>
          </w:tcPr>
          <w:p w14:paraId="2E73A63C" w14:textId="33D2111E" w:rsidR="0079773B" w:rsidRPr="003F13B0" w:rsidRDefault="0079773B" w:rsidP="00761F55">
            <w:pPr>
              <w:jc w:val="both"/>
              <w:rPr>
                <w:rFonts w:ascii="Arial Narrow" w:hAnsi="Arial Narrow" w:cs="Arial"/>
                <w:sz w:val="20"/>
                <w:szCs w:val="20"/>
              </w:rPr>
            </w:pPr>
            <w:r w:rsidRPr="003F13B0">
              <w:rPr>
                <w:rFonts w:ascii="Arial Narrow" w:hAnsi="Arial Narrow" w:cs="Arial"/>
                <w:sz w:val="20"/>
                <w:szCs w:val="20"/>
              </w:rPr>
              <w:t>Instaurer</w:t>
            </w:r>
            <w:r w:rsidR="00147130" w:rsidRPr="003F13B0">
              <w:rPr>
                <w:rFonts w:ascii="Arial Narrow" w:hAnsi="Arial Narrow" w:cs="Arial"/>
                <w:sz w:val="20"/>
                <w:szCs w:val="20"/>
              </w:rPr>
              <w:t xml:space="preserve"> un mécanisme</w:t>
            </w:r>
            <w:r w:rsidRPr="003F13B0" w:rsidDel="00147130">
              <w:rPr>
                <w:rFonts w:ascii="Arial Narrow" w:hAnsi="Arial Narrow" w:cs="Arial"/>
                <w:sz w:val="20"/>
                <w:szCs w:val="20"/>
              </w:rPr>
              <w:t xml:space="preserve"> </w:t>
            </w:r>
            <w:r w:rsidRPr="003F13B0">
              <w:rPr>
                <w:rFonts w:ascii="Arial Narrow" w:hAnsi="Arial Narrow" w:cs="Arial"/>
                <w:sz w:val="20"/>
                <w:szCs w:val="20"/>
              </w:rPr>
              <w:t xml:space="preserve">de fidélisation </w:t>
            </w:r>
            <w:r w:rsidR="00147130" w:rsidRPr="003F13B0">
              <w:rPr>
                <w:rFonts w:ascii="Arial Narrow" w:hAnsi="Arial Narrow" w:cs="Arial"/>
                <w:sz w:val="20"/>
                <w:szCs w:val="20"/>
              </w:rPr>
              <w:t>des agents</w:t>
            </w:r>
          </w:p>
          <w:p w14:paraId="6345BC4D" w14:textId="159D0B9E" w:rsidR="0079773B" w:rsidRPr="003F13B0" w:rsidRDefault="0079773B" w:rsidP="00761F55">
            <w:pPr>
              <w:jc w:val="both"/>
              <w:rPr>
                <w:rFonts w:ascii="Arial Narrow" w:hAnsi="Arial Narrow" w:cs="Arial"/>
                <w:sz w:val="20"/>
                <w:szCs w:val="20"/>
              </w:rPr>
            </w:pPr>
            <w:r w:rsidRPr="003F13B0">
              <w:rPr>
                <w:rFonts w:ascii="Arial Narrow" w:hAnsi="Arial Narrow" w:cs="Arial"/>
                <w:sz w:val="20"/>
                <w:szCs w:val="20"/>
              </w:rPr>
              <w:t xml:space="preserve">Régulariser </w:t>
            </w:r>
            <w:r w:rsidR="004B7CDD" w:rsidRPr="003F13B0">
              <w:rPr>
                <w:rFonts w:ascii="Arial Narrow" w:hAnsi="Arial Narrow" w:cs="Arial"/>
                <w:sz w:val="20"/>
                <w:szCs w:val="20"/>
              </w:rPr>
              <w:t>les traitements salariaux</w:t>
            </w:r>
            <w:r w:rsidRPr="003F13B0">
              <w:rPr>
                <w:rFonts w:ascii="Arial Narrow" w:hAnsi="Arial Narrow" w:cs="Arial"/>
                <w:sz w:val="20"/>
                <w:szCs w:val="20"/>
              </w:rPr>
              <w:t xml:space="preserve"> </w:t>
            </w:r>
            <w:r w:rsidR="00147130" w:rsidRPr="003F13B0">
              <w:rPr>
                <w:rFonts w:ascii="Arial Narrow" w:hAnsi="Arial Narrow" w:cs="Arial"/>
                <w:sz w:val="20"/>
                <w:szCs w:val="20"/>
              </w:rPr>
              <w:t>des agents</w:t>
            </w:r>
          </w:p>
        </w:tc>
      </w:tr>
      <w:tr w:rsidR="0079773B" w:rsidRPr="003F13B0" w14:paraId="5B73DA59" w14:textId="77777777" w:rsidTr="00A31D7F">
        <w:trPr>
          <w:cantSplit/>
        </w:trPr>
        <w:tc>
          <w:tcPr>
            <w:tcW w:w="0" w:type="auto"/>
            <w:gridSpan w:val="2"/>
            <w:shd w:val="clear" w:color="auto" w:fill="FFF2CC" w:themeFill="accent4" w:themeFillTint="33"/>
            <w:vAlign w:val="center"/>
          </w:tcPr>
          <w:p w14:paraId="45013C51" w14:textId="77777777" w:rsidR="0079773B" w:rsidRPr="003F13B0" w:rsidRDefault="0079773B" w:rsidP="00761F55">
            <w:pPr>
              <w:jc w:val="both"/>
              <w:rPr>
                <w:rFonts w:ascii="Arial Narrow" w:hAnsi="Arial Narrow" w:cs="Arial"/>
                <w:b/>
                <w:bCs/>
                <w:sz w:val="20"/>
                <w:szCs w:val="20"/>
              </w:rPr>
            </w:pPr>
            <w:r w:rsidRPr="003F13B0">
              <w:rPr>
                <w:rFonts w:ascii="Arial Narrow" w:hAnsi="Arial Narrow" w:cs="Arial"/>
                <w:b/>
                <w:bCs/>
                <w:sz w:val="20"/>
                <w:szCs w:val="20"/>
              </w:rPr>
              <w:lastRenderedPageBreak/>
              <w:t>Adhésion des populations</w:t>
            </w:r>
          </w:p>
        </w:tc>
      </w:tr>
      <w:tr w:rsidR="0079773B" w:rsidRPr="003F13B0" w14:paraId="17B0B829" w14:textId="77777777" w:rsidTr="00A31D7F">
        <w:trPr>
          <w:cantSplit/>
        </w:trPr>
        <w:tc>
          <w:tcPr>
            <w:tcW w:w="0" w:type="auto"/>
            <w:shd w:val="clear" w:color="auto" w:fill="FFFFFF" w:themeFill="background1"/>
            <w:vAlign w:val="center"/>
          </w:tcPr>
          <w:p w14:paraId="068C69E4" w14:textId="7E454CB2" w:rsidR="0079773B" w:rsidRPr="003F13B0" w:rsidRDefault="0079773B" w:rsidP="00761F55">
            <w:pPr>
              <w:jc w:val="both"/>
              <w:rPr>
                <w:rFonts w:ascii="Arial Narrow" w:hAnsi="Arial Narrow" w:cs="Arial"/>
                <w:sz w:val="20"/>
                <w:szCs w:val="20"/>
              </w:rPr>
            </w:pPr>
            <w:r w:rsidRPr="003F13B0">
              <w:rPr>
                <w:rFonts w:ascii="Arial Narrow" w:hAnsi="Arial Narrow" w:cs="Arial"/>
                <w:sz w:val="20"/>
                <w:szCs w:val="20"/>
              </w:rPr>
              <w:t xml:space="preserve">Faible sensibilisation : </w:t>
            </w:r>
            <w:r w:rsidR="00147130" w:rsidRPr="003F13B0">
              <w:rPr>
                <w:rFonts w:ascii="Arial Narrow" w:hAnsi="Arial Narrow" w:cs="Arial"/>
                <w:sz w:val="20"/>
                <w:szCs w:val="20"/>
              </w:rPr>
              <w:t>m</w:t>
            </w:r>
            <w:r w:rsidRPr="003F13B0">
              <w:rPr>
                <w:rFonts w:ascii="Arial Narrow" w:hAnsi="Arial Narrow" w:cs="Arial"/>
                <w:sz w:val="20"/>
                <w:szCs w:val="20"/>
              </w:rPr>
              <w:t>éconnaissance des avantages de la CMU, difficultés à comprendre les mécanismes</w:t>
            </w:r>
          </w:p>
        </w:tc>
        <w:tc>
          <w:tcPr>
            <w:tcW w:w="0" w:type="auto"/>
            <w:shd w:val="clear" w:color="auto" w:fill="FFFFFF" w:themeFill="background1"/>
            <w:vAlign w:val="center"/>
          </w:tcPr>
          <w:p w14:paraId="53C71656" w14:textId="5D4282CA" w:rsidR="0079773B" w:rsidRPr="003F13B0" w:rsidRDefault="0079773B" w:rsidP="00761F55">
            <w:pPr>
              <w:jc w:val="both"/>
              <w:rPr>
                <w:rFonts w:ascii="Arial Narrow" w:hAnsi="Arial Narrow" w:cs="Arial"/>
                <w:sz w:val="20"/>
                <w:szCs w:val="20"/>
              </w:rPr>
            </w:pPr>
            <w:r w:rsidRPr="003F13B0">
              <w:rPr>
                <w:rFonts w:ascii="Arial Narrow" w:hAnsi="Arial Narrow" w:cs="Arial"/>
                <w:sz w:val="20"/>
                <w:szCs w:val="20"/>
              </w:rPr>
              <w:t>Intensifier les campagnes de communication pour informer les populations sur les avantages de la CMU et les modalités de prise en charge</w:t>
            </w:r>
          </w:p>
        </w:tc>
      </w:tr>
      <w:tr w:rsidR="0079773B" w:rsidRPr="003F13B0" w14:paraId="679B35E0" w14:textId="77777777" w:rsidTr="00A31D7F">
        <w:trPr>
          <w:cantSplit/>
        </w:trPr>
        <w:tc>
          <w:tcPr>
            <w:tcW w:w="0" w:type="auto"/>
            <w:shd w:val="clear" w:color="auto" w:fill="FFFFFF" w:themeFill="background1"/>
            <w:vAlign w:val="center"/>
          </w:tcPr>
          <w:p w14:paraId="7195CB57" w14:textId="30ECD399" w:rsidR="0079773B" w:rsidRPr="003F13B0" w:rsidRDefault="0079773B" w:rsidP="00761F55">
            <w:pPr>
              <w:jc w:val="both"/>
              <w:rPr>
                <w:rFonts w:ascii="Arial Narrow" w:hAnsi="Arial Narrow" w:cs="Arial"/>
                <w:sz w:val="20"/>
                <w:szCs w:val="20"/>
              </w:rPr>
            </w:pPr>
            <w:r w:rsidRPr="003F13B0">
              <w:rPr>
                <w:rFonts w:ascii="Arial Narrow" w:hAnsi="Arial Narrow" w:cs="Arial"/>
                <w:sz w:val="20"/>
                <w:szCs w:val="20"/>
              </w:rPr>
              <w:t xml:space="preserve">Difficultés financières : </w:t>
            </w:r>
            <w:r w:rsidR="00147130" w:rsidRPr="003F13B0">
              <w:rPr>
                <w:rFonts w:ascii="Arial Narrow" w:hAnsi="Arial Narrow" w:cs="Arial"/>
                <w:sz w:val="20"/>
                <w:szCs w:val="20"/>
              </w:rPr>
              <w:t>c</w:t>
            </w:r>
            <w:r w:rsidRPr="003F13B0">
              <w:rPr>
                <w:rFonts w:ascii="Arial Narrow" w:hAnsi="Arial Narrow" w:cs="Arial"/>
                <w:sz w:val="20"/>
                <w:szCs w:val="20"/>
              </w:rPr>
              <w:t>otisations jugées trop élevées pour les ménages nombreux</w:t>
            </w:r>
          </w:p>
        </w:tc>
        <w:tc>
          <w:tcPr>
            <w:tcW w:w="0" w:type="auto"/>
            <w:shd w:val="clear" w:color="auto" w:fill="FFFFFF" w:themeFill="background1"/>
            <w:vAlign w:val="center"/>
          </w:tcPr>
          <w:p w14:paraId="75876E31" w14:textId="0D5A51DD" w:rsidR="0079773B" w:rsidRPr="003F13B0" w:rsidRDefault="0079773B" w:rsidP="00761F55">
            <w:pPr>
              <w:jc w:val="both"/>
              <w:rPr>
                <w:rFonts w:ascii="Arial Narrow" w:hAnsi="Arial Narrow" w:cs="Arial"/>
                <w:sz w:val="20"/>
                <w:szCs w:val="20"/>
              </w:rPr>
            </w:pPr>
            <w:r w:rsidRPr="003F13B0">
              <w:rPr>
                <w:rFonts w:ascii="Arial Narrow" w:hAnsi="Arial Narrow" w:cs="Arial"/>
                <w:sz w:val="20"/>
                <w:szCs w:val="20"/>
              </w:rPr>
              <w:t>Mettre en place des forfaits familiaux</w:t>
            </w:r>
            <w:r w:rsidRPr="003F13B0" w:rsidDel="00147130">
              <w:rPr>
                <w:rFonts w:ascii="Arial Narrow" w:hAnsi="Arial Narrow" w:cs="Arial"/>
                <w:sz w:val="20"/>
                <w:szCs w:val="20"/>
              </w:rPr>
              <w:t xml:space="preserve"> </w:t>
            </w:r>
          </w:p>
        </w:tc>
      </w:tr>
      <w:tr w:rsidR="0079773B" w:rsidRPr="003F13B0" w14:paraId="111A976E" w14:textId="77777777" w:rsidTr="00A31D7F">
        <w:trPr>
          <w:cantSplit/>
        </w:trPr>
        <w:tc>
          <w:tcPr>
            <w:tcW w:w="0" w:type="auto"/>
            <w:gridSpan w:val="2"/>
            <w:shd w:val="clear" w:color="auto" w:fill="FFF2CC" w:themeFill="accent4" w:themeFillTint="33"/>
            <w:vAlign w:val="center"/>
          </w:tcPr>
          <w:p w14:paraId="381ECFE7" w14:textId="77777777" w:rsidR="0079773B" w:rsidRPr="003F13B0" w:rsidRDefault="0079773B" w:rsidP="00761F55">
            <w:pPr>
              <w:jc w:val="both"/>
              <w:rPr>
                <w:rFonts w:ascii="Arial Narrow" w:hAnsi="Arial Narrow" w:cs="Arial"/>
                <w:b/>
                <w:bCs/>
                <w:sz w:val="20"/>
                <w:szCs w:val="20"/>
              </w:rPr>
            </w:pPr>
            <w:r w:rsidRPr="003F13B0">
              <w:rPr>
                <w:rFonts w:ascii="Arial Narrow" w:hAnsi="Arial Narrow" w:cs="Arial"/>
                <w:b/>
                <w:bCs/>
                <w:sz w:val="20"/>
                <w:szCs w:val="20"/>
              </w:rPr>
              <w:t>Organisation et coordination</w:t>
            </w:r>
          </w:p>
        </w:tc>
      </w:tr>
      <w:tr w:rsidR="0079773B" w:rsidRPr="003F13B0" w14:paraId="04174D14" w14:textId="77777777" w:rsidTr="00A31D7F">
        <w:trPr>
          <w:cantSplit/>
        </w:trPr>
        <w:tc>
          <w:tcPr>
            <w:tcW w:w="0" w:type="auto"/>
            <w:shd w:val="clear" w:color="auto" w:fill="FFFFFF" w:themeFill="background1"/>
            <w:vAlign w:val="center"/>
          </w:tcPr>
          <w:p w14:paraId="44300784" w14:textId="5F1BA110" w:rsidR="0079773B" w:rsidRPr="003F13B0" w:rsidRDefault="0079773B" w:rsidP="00761F55">
            <w:pPr>
              <w:jc w:val="both"/>
              <w:rPr>
                <w:rFonts w:ascii="Arial Narrow" w:hAnsi="Arial Narrow" w:cs="Arial"/>
                <w:sz w:val="20"/>
                <w:szCs w:val="20"/>
              </w:rPr>
            </w:pPr>
            <w:r w:rsidRPr="003F13B0">
              <w:rPr>
                <w:rFonts w:ascii="Arial Narrow" w:hAnsi="Arial Narrow" w:cs="Arial"/>
                <w:sz w:val="20"/>
                <w:szCs w:val="20"/>
              </w:rPr>
              <w:t>Délais administratifs : Retard dans la délivrance des cartes</w:t>
            </w:r>
          </w:p>
        </w:tc>
        <w:tc>
          <w:tcPr>
            <w:tcW w:w="0" w:type="auto"/>
            <w:vMerge w:val="restart"/>
            <w:shd w:val="clear" w:color="auto" w:fill="FFFFFF" w:themeFill="background1"/>
            <w:vAlign w:val="center"/>
          </w:tcPr>
          <w:p w14:paraId="3F857FCB" w14:textId="0770BF1A" w:rsidR="00C54588" w:rsidRPr="003F13B0" w:rsidRDefault="00C54588" w:rsidP="00761F55">
            <w:pPr>
              <w:jc w:val="both"/>
              <w:rPr>
                <w:rFonts w:ascii="Arial Narrow" w:hAnsi="Arial Narrow" w:cs="Arial"/>
                <w:sz w:val="20"/>
                <w:szCs w:val="20"/>
              </w:rPr>
            </w:pPr>
            <w:r w:rsidRPr="003F13B0">
              <w:rPr>
                <w:rFonts w:ascii="Arial Narrow" w:hAnsi="Arial Narrow" w:cs="Arial"/>
                <w:sz w:val="20"/>
                <w:szCs w:val="20"/>
              </w:rPr>
              <w:t>Mettre en place des services de délivrance instantanée</w:t>
            </w:r>
          </w:p>
          <w:p w14:paraId="019D2168" w14:textId="59118584" w:rsidR="0079773B" w:rsidRPr="003F13B0" w:rsidRDefault="0079773B" w:rsidP="00761F55">
            <w:pPr>
              <w:jc w:val="both"/>
              <w:rPr>
                <w:rFonts w:ascii="Arial Narrow" w:hAnsi="Arial Narrow" w:cs="Arial"/>
                <w:sz w:val="20"/>
                <w:szCs w:val="20"/>
              </w:rPr>
            </w:pPr>
            <w:r w:rsidRPr="003F13B0">
              <w:rPr>
                <w:rFonts w:ascii="Arial Narrow" w:hAnsi="Arial Narrow" w:cs="Arial"/>
                <w:sz w:val="20"/>
                <w:szCs w:val="20"/>
              </w:rPr>
              <w:t>Simplifier les procédures de</w:t>
            </w:r>
            <w:r w:rsidR="00C54588" w:rsidRPr="003F13B0">
              <w:rPr>
                <w:rFonts w:ascii="Arial Narrow" w:hAnsi="Arial Narrow" w:cs="Arial"/>
                <w:sz w:val="20"/>
                <w:szCs w:val="20"/>
              </w:rPr>
              <w:t xml:space="preserve"> prise en charge</w:t>
            </w:r>
          </w:p>
        </w:tc>
      </w:tr>
      <w:tr w:rsidR="0079773B" w:rsidRPr="003F13B0" w14:paraId="47C4BB81" w14:textId="77777777" w:rsidTr="00A31D7F">
        <w:trPr>
          <w:cantSplit/>
        </w:trPr>
        <w:tc>
          <w:tcPr>
            <w:tcW w:w="0" w:type="auto"/>
            <w:shd w:val="clear" w:color="auto" w:fill="FFFFFF" w:themeFill="background1"/>
            <w:vAlign w:val="center"/>
          </w:tcPr>
          <w:p w14:paraId="0CF4B7E2" w14:textId="6A61DEF0" w:rsidR="0079773B" w:rsidRPr="003F13B0" w:rsidRDefault="0079773B" w:rsidP="00761F55">
            <w:pPr>
              <w:jc w:val="both"/>
              <w:rPr>
                <w:rFonts w:ascii="Arial Narrow" w:hAnsi="Arial Narrow" w:cs="Arial"/>
                <w:sz w:val="20"/>
                <w:szCs w:val="20"/>
              </w:rPr>
            </w:pPr>
            <w:r w:rsidRPr="003F13B0">
              <w:rPr>
                <w:rFonts w:ascii="Arial Narrow" w:hAnsi="Arial Narrow" w:cs="Arial"/>
                <w:sz w:val="20"/>
                <w:szCs w:val="20"/>
              </w:rPr>
              <w:t xml:space="preserve">Complexité des procédures </w:t>
            </w:r>
            <w:r w:rsidR="00C54588" w:rsidRPr="003F13B0">
              <w:rPr>
                <w:rFonts w:ascii="Arial Narrow" w:hAnsi="Arial Narrow" w:cs="Arial"/>
                <w:sz w:val="20"/>
                <w:szCs w:val="20"/>
              </w:rPr>
              <w:t xml:space="preserve">de </w:t>
            </w:r>
            <w:r w:rsidRPr="003F13B0">
              <w:rPr>
                <w:rFonts w:ascii="Arial Narrow" w:hAnsi="Arial Narrow" w:cs="Arial"/>
                <w:sz w:val="20"/>
                <w:szCs w:val="20"/>
              </w:rPr>
              <w:t>prise en charge</w:t>
            </w:r>
          </w:p>
        </w:tc>
        <w:tc>
          <w:tcPr>
            <w:tcW w:w="0" w:type="auto"/>
            <w:vMerge/>
            <w:shd w:val="clear" w:color="auto" w:fill="FFFF00"/>
            <w:vAlign w:val="center"/>
          </w:tcPr>
          <w:p w14:paraId="233F203E" w14:textId="77777777" w:rsidR="0079773B" w:rsidRPr="003F13B0" w:rsidRDefault="0079773B" w:rsidP="00761F55">
            <w:pPr>
              <w:jc w:val="both"/>
              <w:rPr>
                <w:rFonts w:ascii="Arial Narrow" w:hAnsi="Arial Narrow" w:cs="Arial"/>
                <w:sz w:val="20"/>
                <w:szCs w:val="20"/>
              </w:rPr>
            </w:pPr>
          </w:p>
        </w:tc>
      </w:tr>
      <w:tr w:rsidR="0079773B" w:rsidRPr="003F13B0" w14:paraId="56A8B14A" w14:textId="77777777" w:rsidTr="00A31D7F">
        <w:trPr>
          <w:cantSplit/>
        </w:trPr>
        <w:tc>
          <w:tcPr>
            <w:tcW w:w="0" w:type="auto"/>
            <w:gridSpan w:val="2"/>
            <w:shd w:val="clear" w:color="auto" w:fill="FFF2CC" w:themeFill="accent4" w:themeFillTint="33"/>
            <w:vAlign w:val="center"/>
          </w:tcPr>
          <w:p w14:paraId="615A0CC4" w14:textId="77777777" w:rsidR="0079773B" w:rsidRPr="003F13B0" w:rsidRDefault="0079773B" w:rsidP="00761F55">
            <w:pPr>
              <w:jc w:val="both"/>
              <w:rPr>
                <w:rFonts w:ascii="Arial Narrow" w:hAnsi="Arial Narrow" w:cs="Arial"/>
                <w:b/>
                <w:bCs/>
                <w:sz w:val="20"/>
                <w:szCs w:val="20"/>
              </w:rPr>
            </w:pPr>
            <w:r w:rsidRPr="003F13B0">
              <w:rPr>
                <w:rFonts w:ascii="Arial Narrow" w:hAnsi="Arial Narrow" w:cs="Arial"/>
                <w:b/>
                <w:bCs/>
                <w:sz w:val="20"/>
                <w:szCs w:val="20"/>
              </w:rPr>
              <w:t>Tarification des prestations</w:t>
            </w:r>
          </w:p>
        </w:tc>
      </w:tr>
      <w:tr w:rsidR="0079773B" w:rsidRPr="003F13B0" w14:paraId="735BD941" w14:textId="77777777" w:rsidTr="00A31D7F">
        <w:trPr>
          <w:cantSplit/>
        </w:trPr>
        <w:tc>
          <w:tcPr>
            <w:tcW w:w="0" w:type="auto"/>
            <w:vAlign w:val="center"/>
          </w:tcPr>
          <w:p w14:paraId="20A647EA" w14:textId="77777777" w:rsidR="0079773B" w:rsidRPr="003F13B0" w:rsidRDefault="0079773B" w:rsidP="00761F55">
            <w:pPr>
              <w:jc w:val="both"/>
              <w:rPr>
                <w:rFonts w:ascii="Arial Narrow" w:hAnsi="Arial Narrow" w:cs="Arial"/>
                <w:sz w:val="20"/>
                <w:szCs w:val="20"/>
              </w:rPr>
            </w:pPr>
            <w:r w:rsidRPr="003F13B0">
              <w:rPr>
                <w:rFonts w:ascii="Arial Narrow" w:hAnsi="Arial Narrow" w:cs="Arial"/>
                <w:sz w:val="20"/>
                <w:szCs w:val="20"/>
              </w:rPr>
              <w:t>Tarifs jugés trop bas : Les tarifs remboursés par la CNAM sont considérés comme insuffisants par les prestataires.</w:t>
            </w:r>
          </w:p>
        </w:tc>
        <w:tc>
          <w:tcPr>
            <w:tcW w:w="0" w:type="auto"/>
            <w:vAlign w:val="center"/>
          </w:tcPr>
          <w:p w14:paraId="2621A24B" w14:textId="47B2850A" w:rsidR="0079773B" w:rsidRPr="003F13B0" w:rsidRDefault="0079773B" w:rsidP="00761F55">
            <w:pPr>
              <w:jc w:val="both"/>
              <w:rPr>
                <w:rFonts w:ascii="Arial Narrow" w:hAnsi="Arial Narrow" w:cs="Arial"/>
                <w:sz w:val="20"/>
                <w:szCs w:val="20"/>
              </w:rPr>
            </w:pPr>
            <w:r w:rsidRPr="003F13B0">
              <w:rPr>
                <w:rFonts w:ascii="Arial Narrow" w:hAnsi="Arial Narrow" w:cs="Arial"/>
                <w:sz w:val="20"/>
                <w:szCs w:val="20"/>
              </w:rPr>
              <w:t>Réviser les tarifs remboursés pour assurer la pérennité du système.</w:t>
            </w:r>
          </w:p>
        </w:tc>
      </w:tr>
      <w:tr w:rsidR="0079773B" w:rsidRPr="003F13B0" w14:paraId="1BF48BEB" w14:textId="77777777" w:rsidTr="00A31D7F">
        <w:trPr>
          <w:cantSplit/>
        </w:trPr>
        <w:tc>
          <w:tcPr>
            <w:tcW w:w="0" w:type="auto"/>
            <w:gridSpan w:val="2"/>
            <w:shd w:val="clear" w:color="auto" w:fill="FFF2CC" w:themeFill="accent4" w:themeFillTint="33"/>
            <w:vAlign w:val="center"/>
          </w:tcPr>
          <w:p w14:paraId="25AA93CB" w14:textId="77777777" w:rsidR="0079773B" w:rsidRPr="003F13B0" w:rsidRDefault="0079773B" w:rsidP="00761F55">
            <w:pPr>
              <w:jc w:val="both"/>
              <w:rPr>
                <w:rFonts w:ascii="Arial Narrow" w:hAnsi="Arial Narrow" w:cs="Arial"/>
                <w:b/>
                <w:bCs/>
                <w:sz w:val="20"/>
                <w:szCs w:val="20"/>
              </w:rPr>
            </w:pPr>
            <w:r w:rsidRPr="003F13B0">
              <w:rPr>
                <w:rFonts w:ascii="Arial Narrow" w:hAnsi="Arial Narrow" w:cs="Arial"/>
                <w:b/>
                <w:bCs/>
                <w:sz w:val="20"/>
                <w:szCs w:val="20"/>
              </w:rPr>
              <w:t>Gouvernance et financement</w:t>
            </w:r>
          </w:p>
        </w:tc>
      </w:tr>
      <w:tr w:rsidR="0079773B" w:rsidRPr="003F13B0" w14:paraId="32733220" w14:textId="77777777" w:rsidTr="00A31D7F">
        <w:trPr>
          <w:cantSplit/>
        </w:trPr>
        <w:tc>
          <w:tcPr>
            <w:tcW w:w="0" w:type="auto"/>
            <w:vAlign w:val="center"/>
          </w:tcPr>
          <w:p w14:paraId="0FA8808E" w14:textId="26A6A108" w:rsidR="0079773B" w:rsidRPr="003F13B0" w:rsidRDefault="00E0189B" w:rsidP="00761F55">
            <w:pPr>
              <w:jc w:val="both"/>
              <w:rPr>
                <w:rFonts w:ascii="Arial Narrow" w:hAnsi="Arial Narrow" w:cs="Arial"/>
                <w:sz w:val="20"/>
                <w:szCs w:val="20"/>
              </w:rPr>
            </w:pPr>
            <w:r w:rsidRPr="003F13B0">
              <w:rPr>
                <w:rFonts w:ascii="Arial Narrow" w:hAnsi="Arial Narrow" w:cs="Arial"/>
                <w:sz w:val="20"/>
                <w:szCs w:val="20"/>
              </w:rPr>
              <w:t xml:space="preserve">Lenteur </w:t>
            </w:r>
            <w:r w:rsidR="0079773B" w:rsidRPr="003F13B0">
              <w:rPr>
                <w:rFonts w:ascii="Arial Narrow" w:hAnsi="Arial Narrow" w:cs="Arial"/>
                <w:sz w:val="20"/>
                <w:szCs w:val="20"/>
              </w:rPr>
              <w:t>dans les paiements : les fonds ne sont pas régulièrement versés aux structures.</w:t>
            </w:r>
          </w:p>
        </w:tc>
        <w:tc>
          <w:tcPr>
            <w:tcW w:w="0" w:type="auto"/>
            <w:vAlign w:val="center"/>
          </w:tcPr>
          <w:p w14:paraId="4E587451" w14:textId="617C85EC" w:rsidR="0079773B" w:rsidRPr="003F13B0" w:rsidRDefault="0079773B" w:rsidP="00761F55">
            <w:pPr>
              <w:jc w:val="both"/>
              <w:rPr>
                <w:rFonts w:ascii="Arial Narrow" w:hAnsi="Arial Narrow" w:cs="Arial"/>
                <w:sz w:val="20"/>
                <w:szCs w:val="20"/>
              </w:rPr>
            </w:pPr>
            <w:r w:rsidRPr="003F13B0">
              <w:rPr>
                <w:rFonts w:ascii="Arial Narrow" w:hAnsi="Arial Narrow" w:cs="Arial"/>
                <w:sz w:val="20"/>
                <w:szCs w:val="20"/>
              </w:rPr>
              <w:t>Réduire les délais de remboursement des prestations aux prestataires.</w:t>
            </w:r>
          </w:p>
        </w:tc>
      </w:tr>
    </w:tbl>
    <w:p w14:paraId="0856C248" w14:textId="7BC88248" w:rsidR="0079773B" w:rsidRPr="00A918AC" w:rsidRDefault="0079773B" w:rsidP="00DC5897">
      <w:pPr>
        <w:pStyle w:val="Lgende"/>
      </w:pPr>
      <w:r w:rsidRPr="00A918AC">
        <w:t xml:space="preserve">Sources : Données collectées pour la </w:t>
      </w:r>
      <w:r w:rsidR="00B635D8">
        <w:t>revue</w:t>
      </w:r>
      <w:r w:rsidRPr="00A918AC">
        <w:t xml:space="preserve"> du PNDS </w:t>
      </w:r>
      <w:r w:rsidR="009E3475" w:rsidRPr="00A918AC">
        <w:t>2021-2025</w:t>
      </w:r>
    </w:p>
    <w:p w14:paraId="0367F0AB" w14:textId="77777777" w:rsidR="0079773B" w:rsidRPr="003F13B0" w:rsidRDefault="0079773B" w:rsidP="00AA7D22">
      <w:pPr>
        <w:pStyle w:val="Titre3"/>
        <w:rPr>
          <w:rFonts w:ascii="Arial Narrow" w:hAnsi="Arial Narrow" w:cs="Arial"/>
          <w:sz w:val="24"/>
          <w:szCs w:val="24"/>
        </w:rPr>
      </w:pPr>
      <w:bookmarkStart w:id="107" w:name="_Toc178699570"/>
      <w:bookmarkStart w:id="108" w:name="_Toc190677482"/>
      <w:r w:rsidRPr="003F13B0">
        <w:rPr>
          <w:rFonts w:ascii="Arial Narrow" w:hAnsi="Arial Narrow" w:cs="Arial"/>
          <w:sz w:val="24"/>
          <w:szCs w:val="24"/>
        </w:rPr>
        <w:t>La réforme sur l’intégration et le développement du secteur privé</w:t>
      </w:r>
      <w:bookmarkEnd w:id="107"/>
      <w:bookmarkEnd w:id="108"/>
    </w:p>
    <w:p w14:paraId="009D9092" w14:textId="1FF733E9" w:rsidR="005B3BD8" w:rsidRPr="003F13B0" w:rsidRDefault="005B3BD8" w:rsidP="005B3BD8">
      <w:pPr>
        <w:spacing w:after="0" w:line="240" w:lineRule="auto"/>
        <w:jc w:val="both"/>
        <w:rPr>
          <w:rFonts w:ascii="Arial Narrow" w:hAnsi="Arial Narrow" w:cstheme="minorHAnsi"/>
          <w:sz w:val="24"/>
          <w:szCs w:val="24"/>
        </w:rPr>
      </w:pPr>
      <w:r w:rsidRPr="00A918AC">
        <w:rPr>
          <w:rFonts w:ascii="Arial Narrow" w:hAnsi="Arial Narrow" w:cstheme="minorHAnsi"/>
          <w:sz w:val="24"/>
          <w:szCs w:val="24"/>
        </w:rPr>
        <w:t>Dans le cadre du développement et de l’intégration du secteur privé</w:t>
      </w:r>
      <w:r w:rsidRPr="00A918AC">
        <w:rPr>
          <w:rFonts w:ascii="Arial Narrow" w:hAnsi="Arial Narrow" w:cstheme="minorHAnsi"/>
          <w:b/>
          <w:sz w:val="24"/>
          <w:szCs w:val="24"/>
        </w:rPr>
        <w:t>,</w:t>
      </w:r>
      <w:r w:rsidRPr="00A918AC">
        <w:rPr>
          <w:rFonts w:ascii="Arial Narrow" w:hAnsi="Arial Narrow" w:cstheme="minorHAnsi"/>
          <w:sz w:val="24"/>
          <w:szCs w:val="24"/>
        </w:rPr>
        <w:t xml:space="preserve"> </w:t>
      </w:r>
      <w:r w:rsidRPr="00A918AC">
        <w:rPr>
          <w:rFonts w:ascii="Arial Narrow" w:eastAsia="Times New Roman" w:hAnsi="Arial Narrow" w:cs="Arial"/>
          <w:kern w:val="0"/>
          <w:sz w:val="24"/>
          <w:szCs w:val="24"/>
          <w:lang w:eastAsia="fr-FR"/>
          <w14:ligatures w14:val="none"/>
        </w:rPr>
        <w:t xml:space="preserve">la </w:t>
      </w:r>
      <w:r w:rsidRPr="003F13B0">
        <w:rPr>
          <w:rFonts w:ascii="Arial Narrow" w:eastAsia="Times New Roman" w:hAnsi="Arial Narrow" w:cs="Arial"/>
          <w:bCs/>
          <w:kern w:val="0"/>
          <w:sz w:val="24"/>
          <w:szCs w:val="24"/>
          <w:lang w:eastAsia="fr-FR"/>
          <w14:ligatures w14:val="none"/>
        </w:rPr>
        <w:t>p</w:t>
      </w:r>
      <w:r w:rsidRPr="00A918AC">
        <w:rPr>
          <w:rFonts w:ascii="Arial Narrow" w:eastAsia="Times New Roman" w:hAnsi="Arial Narrow" w:cs="Arial"/>
          <w:kern w:val="0"/>
          <w:sz w:val="24"/>
          <w:szCs w:val="24"/>
          <w:lang w:eastAsia="fr-FR"/>
          <w14:ligatures w14:val="none"/>
        </w:rPr>
        <w:t>olitique nationale d'intégration et de développement du secteur privé de la santé, ainsi que le Plan stratégique national 2021-2025 pour le développement de ce secteur ont été élaborés</w:t>
      </w:r>
      <w:r w:rsidRPr="00A918AC">
        <w:rPr>
          <w:rFonts w:ascii="Arial Narrow" w:hAnsi="Arial Narrow" w:cstheme="minorHAnsi"/>
          <w:sz w:val="24"/>
          <w:szCs w:val="24"/>
        </w:rPr>
        <w:t xml:space="preserve">. Depuis 2021, </w:t>
      </w:r>
      <w:r w:rsidRPr="00A918AC">
        <w:rPr>
          <w:rFonts w:ascii="Arial Narrow" w:hAnsi="Arial Narrow" w:cs="Arial"/>
          <w:sz w:val="24"/>
          <w:szCs w:val="24"/>
        </w:rPr>
        <w:t>21 sur 30</w:t>
      </w:r>
      <w:r w:rsidRPr="003F13B0">
        <w:rPr>
          <w:rFonts w:ascii="Arial Narrow" w:hAnsi="Arial Narrow" w:cs="Arial"/>
          <w:sz w:val="24"/>
          <w:szCs w:val="24"/>
        </w:rPr>
        <w:t xml:space="preserve"> prévus</w:t>
      </w:r>
      <w:r w:rsidRPr="00A918AC">
        <w:rPr>
          <w:rFonts w:ascii="Arial Narrow" w:hAnsi="Arial Narrow" w:cs="Arial"/>
          <w:sz w:val="24"/>
          <w:szCs w:val="24"/>
        </w:rPr>
        <w:t xml:space="preserve"> (soit 70%) des décrets et/ou arrêtés portant régulation du secteur privé de la santé ont été pris et diffusés</w:t>
      </w:r>
      <w:r w:rsidRPr="00A918AC">
        <w:rPr>
          <w:rFonts w:ascii="Arial Narrow" w:hAnsi="Arial Narrow" w:cstheme="minorHAnsi"/>
          <w:sz w:val="24"/>
          <w:szCs w:val="24"/>
        </w:rPr>
        <w:t xml:space="preserve">. Aussi, on note la redynamisation de la </w:t>
      </w:r>
      <w:r w:rsidRPr="003F13B0">
        <w:rPr>
          <w:rFonts w:ascii="Arial Narrow" w:hAnsi="Arial Narrow" w:cstheme="minorHAnsi"/>
          <w:sz w:val="24"/>
          <w:szCs w:val="24"/>
        </w:rPr>
        <w:t>c</w:t>
      </w:r>
      <w:r w:rsidRPr="00A918AC">
        <w:rPr>
          <w:rFonts w:ascii="Arial Narrow" w:hAnsi="Arial Narrow" w:cstheme="minorHAnsi"/>
          <w:sz w:val="24"/>
          <w:szCs w:val="24"/>
        </w:rPr>
        <w:t xml:space="preserve">ommission paritaire des établissements et des professions, ayant permis de réunir les acteurs du MSHPCMU et le secteur privé pour la définition et la </w:t>
      </w:r>
      <w:r w:rsidRPr="003F13B0">
        <w:rPr>
          <w:rFonts w:ascii="Arial Narrow" w:hAnsi="Arial Narrow" w:cstheme="minorHAnsi"/>
          <w:sz w:val="24"/>
          <w:szCs w:val="24"/>
        </w:rPr>
        <w:t>priorisation</w:t>
      </w:r>
      <w:r w:rsidRPr="00A918AC">
        <w:rPr>
          <w:rFonts w:ascii="Arial Narrow" w:hAnsi="Arial Narrow" w:cstheme="minorHAnsi"/>
          <w:sz w:val="24"/>
          <w:szCs w:val="24"/>
        </w:rPr>
        <w:t xml:space="preserve"> des textes de régulation.</w:t>
      </w:r>
    </w:p>
    <w:p w14:paraId="79137F62" w14:textId="77777777" w:rsidR="005B3BD8" w:rsidRPr="00A918AC" w:rsidRDefault="005B3BD8" w:rsidP="005B3BD8">
      <w:pPr>
        <w:spacing w:after="0" w:line="240" w:lineRule="auto"/>
        <w:jc w:val="both"/>
        <w:rPr>
          <w:rFonts w:ascii="Arial Narrow" w:hAnsi="Arial Narrow" w:cstheme="minorHAnsi"/>
          <w:sz w:val="24"/>
          <w:szCs w:val="24"/>
        </w:rPr>
      </w:pPr>
    </w:p>
    <w:p w14:paraId="51CD0090" w14:textId="75629430" w:rsidR="00A42D97" w:rsidRPr="003F13B0" w:rsidRDefault="00A42D97" w:rsidP="00761F55">
      <w:pPr>
        <w:jc w:val="both"/>
        <w:rPr>
          <w:rFonts w:ascii="Arial Narrow" w:hAnsi="Arial Narrow" w:cs="Times New Roman"/>
          <w:bCs/>
          <w:sz w:val="24"/>
          <w:szCs w:val="24"/>
        </w:rPr>
      </w:pPr>
      <w:r w:rsidRPr="00A918AC">
        <w:rPr>
          <w:rFonts w:ascii="Arial Narrow" w:hAnsi="Arial Narrow" w:cs="Times New Roman"/>
          <w:sz w:val="24"/>
          <w:szCs w:val="24"/>
        </w:rPr>
        <w:t>La</w:t>
      </w:r>
      <w:r w:rsidRPr="003F13B0">
        <w:rPr>
          <w:rFonts w:ascii="Arial Narrow" w:hAnsi="Arial Narrow" w:cs="Times New Roman"/>
          <w:b/>
          <w:bCs/>
          <w:i/>
          <w:iCs/>
          <w:sz w:val="24"/>
          <w:szCs w:val="24"/>
        </w:rPr>
        <w:t xml:space="preserve"> </w:t>
      </w:r>
      <w:r w:rsidR="004A3C90" w:rsidRPr="003F13B0">
        <w:rPr>
          <w:rFonts w:ascii="Arial Narrow" w:hAnsi="Arial Narrow" w:cs="Times New Roman"/>
          <w:sz w:val="24"/>
          <w:szCs w:val="24"/>
        </w:rPr>
        <w:t>c</w:t>
      </w:r>
      <w:r w:rsidRPr="003F13B0">
        <w:rPr>
          <w:rFonts w:ascii="Arial Narrow" w:hAnsi="Arial Narrow" w:cs="Times New Roman"/>
          <w:sz w:val="24"/>
          <w:szCs w:val="24"/>
        </w:rPr>
        <w:t xml:space="preserve">artographie de 3 187 </w:t>
      </w:r>
      <w:proofErr w:type="spellStart"/>
      <w:r w:rsidRPr="003F13B0">
        <w:rPr>
          <w:rFonts w:ascii="Arial Narrow" w:hAnsi="Arial Narrow" w:cs="Times New Roman"/>
          <w:sz w:val="24"/>
          <w:szCs w:val="24"/>
        </w:rPr>
        <w:t>ESPr</w:t>
      </w:r>
      <w:proofErr w:type="spellEnd"/>
      <w:r w:rsidRPr="003F13B0">
        <w:rPr>
          <w:rFonts w:ascii="Arial Narrow" w:hAnsi="Arial Narrow" w:cs="Times New Roman"/>
          <w:sz w:val="24"/>
          <w:szCs w:val="24"/>
        </w:rPr>
        <w:t xml:space="preserve"> selon la nature et le niveau d’intervention dans l’aire communale des 113 District</w:t>
      </w:r>
      <w:r w:rsidR="004A3C90" w:rsidRPr="003F13B0">
        <w:rPr>
          <w:rFonts w:ascii="Arial Narrow" w:hAnsi="Arial Narrow" w:cs="Times New Roman"/>
          <w:sz w:val="24"/>
          <w:szCs w:val="24"/>
        </w:rPr>
        <w:t>s</w:t>
      </w:r>
      <w:r w:rsidRPr="003F13B0">
        <w:rPr>
          <w:rFonts w:ascii="Arial Narrow" w:hAnsi="Arial Narrow" w:cs="Times New Roman"/>
          <w:sz w:val="24"/>
          <w:szCs w:val="24"/>
        </w:rPr>
        <w:t xml:space="preserve"> Sanitaire</w:t>
      </w:r>
      <w:r w:rsidR="004A3C90" w:rsidRPr="003F13B0">
        <w:rPr>
          <w:rFonts w:ascii="Arial Narrow" w:hAnsi="Arial Narrow" w:cs="Times New Roman"/>
          <w:sz w:val="24"/>
          <w:szCs w:val="24"/>
        </w:rPr>
        <w:t>s</w:t>
      </w:r>
      <w:r w:rsidRPr="003F13B0">
        <w:rPr>
          <w:rFonts w:ascii="Arial Narrow" w:hAnsi="Arial Narrow" w:cs="Times New Roman"/>
          <w:sz w:val="24"/>
          <w:szCs w:val="24"/>
        </w:rPr>
        <w:t xml:space="preserve"> a été réalisée en 2022 (enquête IQVIA)</w:t>
      </w:r>
    </w:p>
    <w:p w14:paraId="7B873D90" w14:textId="1783A5A5" w:rsidR="0079773B" w:rsidRPr="003F13B0" w:rsidRDefault="00A42D97" w:rsidP="00A918AC">
      <w:pPr>
        <w:jc w:val="both"/>
        <w:rPr>
          <w:rFonts w:ascii="Arial Narrow" w:hAnsi="Arial Narrow" w:cs="Times New Roman"/>
          <w:sz w:val="24"/>
          <w:szCs w:val="24"/>
        </w:rPr>
      </w:pPr>
      <w:r w:rsidRPr="00A918AC">
        <w:rPr>
          <w:rFonts w:ascii="Arial Narrow" w:hAnsi="Arial Narrow" w:cs="Arial"/>
          <w:bCs/>
          <w:sz w:val="24"/>
          <w:szCs w:val="24"/>
        </w:rPr>
        <w:t>Le</w:t>
      </w:r>
      <w:r w:rsidRPr="00A918AC">
        <w:rPr>
          <w:rFonts w:ascii="Arial Narrow" w:hAnsi="Arial Narrow" w:cs="Arial"/>
          <w:sz w:val="24"/>
          <w:szCs w:val="24"/>
        </w:rPr>
        <w:t xml:space="preserve"> MSHPCMU</w:t>
      </w:r>
      <w:r w:rsidR="0079773B" w:rsidRPr="00A918AC">
        <w:rPr>
          <w:rFonts w:ascii="Arial Narrow" w:hAnsi="Arial Narrow" w:cs="Arial"/>
          <w:sz w:val="24"/>
          <w:szCs w:val="24"/>
        </w:rPr>
        <w:t xml:space="preserve"> </w:t>
      </w:r>
      <w:r w:rsidR="004A3C90" w:rsidRPr="003F13B0">
        <w:rPr>
          <w:rFonts w:ascii="Arial Narrow" w:hAnsi="Arial Narrow" w:cs="Arial"/>
          <w:bCs/>
          <w:sz w:val="24"/>
          <w:szCs w:val="24"/>
        </w:rPr>
        <w:t xml:space="preserve">a </w:t>
      </w:r>
      <w:r w:rsidRPr="00A918AC">
        <w:rPr>
          <w:rFonts w:ascii="Arial Narrow" w:hAnsi="Arial Narrow" w:cs="Arial"/>
          <w:sz w:val="24"/>
          <w:szCs w:val="24"/>
        </w:rPr>
        <w:t>lanc</w:t>
      </w:r>
      <w:r w:rsidR="004A3C90" w:rsidRPr="003F13B0">
        <w:rPr>
          <w:rFonts w:ascii="Arial Narrow" w:hAnsi="Arial Narrow" w:cs="Arial"/>
          <w:bCs/>
          <w:sz w:val="24"/>
          <w:szCs w:val="24"/>
        </w:rPr>
        <w:t>é</w:t>
      </w:r>
      <w:r w:rsidRPr="00A918AC">
        <w:rPr>
          <w:rFonts w:ascii="Arial Narrow" w:hAnsi="Arial Narrow" w:cs="Arial"/>
          <w:sz w:val="24"/>
          <w:szCs w:val="24"/>
        </w:rPr>
        <w:t xml:space="preserve"> en octobre 2022</w:t>
      </w:r>
      <w:r w:rsidRPr="003F13B0">
        <w:rPr>
          <w:rFonts w:ascii="Arial Narrow" w:hAnsi="Arial Narrow" w:cs="Arial"/>
          <w:b/>
          <w:bCs/>
          <w:sz w:val="24"/>
          <w:szCs w:val="24"/>
        </w:rPr>
        <w:t xml:space="preserve"> </w:t>
      </w:r>
      <w:r w:rsidRPr="003F13B0">
        <w:rPr>
          <w:rFonts w:ascii="Arial Narrow" w:eastAsia="Times New Roman" w:hAnsi="Arial Narrow" w:cs="Arial"/>
          <w:color w:val="000000" w:themeColor="dark1"/>
          <w:kern w:val="24"/>
          <w:sz w:val="24"/>
          <w:szCs w:val="24"/>
          <w:lang w:eastAsia="fr-CI"/>
        </w:rPr>
        <w:t>de</w:t>
      </w:r>
      <w:r w:rsidRPr="003F13B0">
        <w:rPr>
          <w:rFonts w:ascii="Arial Narrow" w:eastAsia="Times New Roman" w:hAnsi="Arial Narrow" w:cs="Arial"/>
          <w:sz w:val="24"/>
          <w:szCs w:val="24"/>
          <w:lang w:val="fr-CI" w:eastAsia="fr-CI"/>
        </w:rPr>
        <w:t xml:space="preserve"> </w:t>
      </w:r>
      <w:r w:rsidRPr="003F13B0">
        <w:rPr>
          <w:rFonts w:ascii="Arial Narrow" w:hAnsi="Arial Narrow" w:cs="Arial"/>
          <w:sz w:val="24"/>
          <w:szCs w:val="24"/>
        </w:rPr>
        <w:t>l’opération</w:t>
      </w:r>
      <w:r w:rsidRPr="003F13B0">
        <w:rPr>
          <w:rFonts w:ascii="Arial Narrow" w:hAnsi="Arial Narrow" w:cs="Arial"/>
          <w:b/>
          <w:bCs/>
          <w:sz w:val="24"/>
          <w:szCs w:val="24"/>
        </w:rPr>
        <w:t xml:space="preserve"> ‘</w:t>
      </w:r>
      <w:r w:rsidRPr="00A918AC">
        <w:rPr>
          <w:rFonts w:ascii="Arial Narrow" w:hAnsi="Arial Narrow" w:cs="Arial"/>
          <w:b/>
          <w:i/>
          <w:sz w:val="24"/>
          <w:szCs w:val="24"/>
        </w:rPr>
        <w:t>’Zéro clinique illégale d’ici à 2025</w:t>
      </w:r>
      <w:r w:rsidRPr="003F13B0">
        <w:rPr>
          <w:rFonts w:ascii="Arial Narrow" w:hAnsi="Arial Narrow" w:cs="Arial"/>
          <w:b/>
          <w:bCs/>
          <w:sz w:val="24"/>
          <w:szCs w:val="24"/>
        </w:rPr>
        <w:t>’’</w:t>
      </w:r>
      <w:r w:rsidRPr="003F13B0">
        <w:rPr>
          <w:rFonts w:ascii="Arial Narrow" w:hAnsi="Arial Narrow" w:cs="Arial"/>
          <w:sz w:val="24"/>
          <w:szCs w:val="24"/>
        </w:rPr>
        <w:t xml:space="preserve"> pour </w:t>
      </w:r>
      <w:r w:rsidR="0079773B" w:rsidRPr="00A918AC">
        <w:rPr>
          <w:rFonts w:ascii="Arial Narrow" w:hAnsi="Arial Narrow" w:cs="Arial"/>
          <w:sz w:val="24"/>
          <w:szCs w:val="24"/>
        </w:rPr>
        <w:t>assaini</w:t>
      </w:r>
      <w:r w:rsidRPr="00A918AC">
        <w:rPr>
          <w:rFonts w:ascii="Arial Narrow" w:hAnsi="Arial Narrow" w:cs="Arial"/>
          <w:sz w:val="24"/>
          <w:szCs w:val="24"/>
        </w:rPr>
        <w:t xml:space="preserve">r le secteur </w:t>
      </w:r>
      <w:r w:rsidR="0079773B" w:rsidRPr="00A918AC">
        <w:rPr>
          <w:rFonts w:ascii="Arial Narrow" w:hAnsi="Arial Narrow" w:cs="Arial"/>
          <w:sz w:val="24"/>
          <w:szCs w:val="24"/>
        </w:rPr>
        <w:t>privé</w:t>
      </w:r>
      <w:r w:rsidRPr="003F13B0">
        <w:rPr>
          <w:rFonts w:ascii="Arial Narrow" w:hAnsi="Arial Narrow" w:cs="Arial"/>
          <w:b/>
          <w:bCs/>
          <w:sz w:val="24"/>
          <w:szCs w:val="24"/>
        </w:rPr>
        <w:t xml:space="preserve">. </w:t>
      </w:r>
      <w:r w:rsidRPr="00A918AC">
        <w:rPr>
          <w:rFonts w:ascii="Arial Narrow" w:hAnsi="Arial Narrow" w:cs="Arial"/>
          <w:sz w:val="24"/>
          <w:szCs w:val="24"/>
        </w:rPr>
        <w:t xml:space="preserve">A cet effet, 879 </w:t>
      </w:r>
      <w:r w:rsidRPr="003F13B0">
        <w:rPr>
          <w:rFonts w:ascii="Arial Narrow" w:hAnsi="Arial Narrow" w:cs="Arial"/>
          <w:sz w:val="24"/>
          <w:szCs w:val="24"/>
        </w:rPr>
        <w:t>établissements</w:t>
      </w:r>
      <w:r w:rsidRPr="00A918AC">
        <w:rPr>
          <w:rFonts w:ascii="Arial Narrow" w:hAnsi="Arial Narrow" w:cs="Arial"/>
          <w:sz w:val="24"/>
          <w:szCs w:val="24"/>
        </w:rPr>
        <w:t xml:space="preserve"> ont </w:t>
      </w:r>
      <w:r w:rsidR="004A3C90" w:rsidRPr="003F13B0">
        <w:rPr>
          <w:rFonts w:ascii="Arial Narrow" w:hAnsi="Arial Narrow" w:cs="Arial"/>
          <w:sz w:val="24"/>
          <w:szCs w:val="24"/>
        </w:rPr>
        <w:t xml:space="preserve">acquis leurs arrêtés d’ouverture et d’exploitation à juillet 2024. Il faut noter également la création </w:t>
      </w:r>
      <w:bookmarkStart w:id="109" w:name="_Toc178090248"/>
      <w:r w:rsidR="004A3C90" w:rsidRPr="003F13B0">
        <w:rPr>
          <w:rFonts w:ascii="Arial Narrow" w:eastAsia="Times New Roman" w:hAnsi="Arial Narrow" w:cs="Arial"/>
          <w:color w:val="000000" w:themeColor="dark1"/>
          <w:kern w:val="24"/>
          <w:sz w:val="24"/>
          <w:szCs w:val="24"/>
          <w:lang w:eastAsia="fr-CI"/>
        </w:rPr>
        <w:t>d</w:t>
      </w:r>
      <w:r w:rsidR="0079773B" w:rsidRPr="003F13B0">
        <w:rPr>
          <w:rFonts w:ascii="Arial Narrow" w:eastAsia="Times New Roman" w:hAnsi="Arial Narrow" w:cs="Arial"/>
          <w:color w:val="000000" w:themeColor="dark1"/>
          <w:kern w:val="24"/>
          <w:sz w:val="24"/>
          <w:szCs w:val="24"/>
          <w:lang w:eastAsia="fr-CI"/>
        </w:rPr>
        <w:t xml:space="preserve">u </w:t>
      </w:r>
      <w:r w:rsidR="004A3C90" w:rsidRPr="003F13B0">
        <w:rPr>
          <w:rFonts w:ascii="Arial Narrow" w:eastAsia="Times New Roman" w:hAnsi="Arial Narrow" w:cs="Arial"/>
          <w:color w:val="000000" w:themeColor="dark1"/>
          <w:kern w:val="24"/>
          <w:sz w:val="24"/>
          <w:szCs w:val="24"/>
          <w:lang w:eastAsia="fr-CI"/>
        </w:rPr>
        <w:t>guichet des agrém</w:t>
      </w:r>
      <w:r w:rsidR="0079773B" w:rsidRPr="003F13B0">
        <w:rPr>
          <w:rFonts w:ascii="Arial Narrow" w:eastAsia="Times New Roman" w:hAnsi="Arial Narrow" w:cs="Arial"/>
          <w:color w:val="000000" w:themeColor="dark1"/>
          <w:kern w:val="24"/>
          <w:sz w:val="24"/>
          <w:szCs w:val="24"/>
          <w:lang w:eastAsia="fr-CI"/>
        </w:rPr>
        <w:t>ents des entreprises sanitaires privé</w:t>
      </w:r>
      <w:r w:rsidR="00450C4A">
        <w:rPr>
          <w:rFonts w:ascii="Arial Narrow" w:eastAsia="Times New Roman" w:hAnsi="Arial Narrow" w:cs="Arial"/>
          <w:color w:val="000000" w:themeColor="dark1"/>
          <w:kern w:val="24"/>
          <w:sz w:val="24"/>
          <w:szCs w:val="24"/>
          <w:lang w:eastAsia="fr-CI"/>
        </w:rPr>
        <w:t>e</w:t>
      </w:r>
      <w:r w:rsidR="0079773B" w:rsidRPr="003F13B0">
        <w:rPr>
          <w:rFonts w:ascii="Arial Narrow" w:eastAsia="Times New Roman" w:hAnsi="Arial Narrow" w:cs="Arial"/>
          <w:color w:val="000000" w:themeColor="dark1"/>
          <w:kern w:val="24"/>
          <w:sz w:val="24"/>
          <w:szCs w:val="24"/>
          <w:lang w:eastAsia="fr-CI"/>
        </w:rPr>
        <w:t>s</w:t>
      </w:r>
      <w:r w:rsidR="004A3C90" w:rsidRPr="003F13B0">
        <w:rPr>
          <w:rFonts w:ascii="Arial Narrow" w:eastAsia="Times New Roman" w:hAnsi="Arial Narrow" w:cs="Arial"/>
          <w:color w:val="000000" w:themeColor="dark1"/>
          <w:kern w:val="24"/>
          <w:sz w:val="24"/>
          <w:szCs w:val="24"/>
          <w:lang w:eastAsia="fr-CI"/>
        </w:rPr>
        <w:t xml:space="preserve">, le </w:t>
      </w:r>
      <w:bookmarkEnd w:id="109"/>
      <w:r w:rsidR="0079773B" w:rsidRPr="003F13B0">
        <w:rPr>
          <w:rFonts w:ascii="Arial Narrow" w:hAnsi="Arial Narrow" w:cs="Times New Roman"/>
          <w:sz w:val="24"/>
          <w:szCs w:val="24"/>
        </w:rPr>
        <w:t xml:space="preserve">développement </w:t>
      </w:r>
      <w:r w:rsidR="0079773B" w:rsidRPr="003F13B0" w:rsidDel="004A3C90">
        <w:rPr>
          <w:rFonts w:ascii="Arial Narrow" w:hAnsi="Arial Narrow" w:cs="Times New Roman"/>
          <w:sz w:val="24"/>
          <w:szCs w:val="24"/>
        </w:rPr>
        <w:t xml:space="preserve">d’une </w:t>
      </w:r>
      <w:r w:rsidR="004A3C90" w:rsidRPr="003F13B0">
        <w:rPr>
          <w:rFonts w:ascii="Arial Narrow" w:hAnsi="Arial Narrow" w:cs="Times New Roman"/>
          <w:sz w:val="24"/>
          <w:szCs w:val="24"/>
        </w:rPr>
        <w:t>p</w:t>
      </w:r>
      <w:r w:rsidR="0079773B" w:rsidRPr="003F13B0">
        <w:rPr>
          <w:rFonts w:ascii="Arial Narrow" w:hAnsi="Arial Narrow" w:cs="Times New Roman"/>
          <w:sz w:val="24"/>
          <w:szCs w:val="24"/>
        </w:rPr>
        <w:t xml:space="preserve">lateforme digitale </w:t>
      </w:r>
      <w:r w:rsidR="004A3C90" w:rsidRPr="003F13B0">
        <w:rPr>
          <w:rFonts w:ascii="Arial Narrow" w:hAnsi="Arial Narrow" w:cs="Times New Roman"/>
          <w:sz w:val="24"/>
          <w:szCs w:val="24"/>
        </w:rPr>
        <w:t>e-</w:t>
      </w:r>
      <w:proofErr w:type="spellStart"/>
      <w:r w:rsidR="004A3C90" w:rsidRPr="003F13B0">
        <w:rPr>
          <w:rFonts w:ascii="Arial Narrow" w:hAnsi="Arial Narrow" w:cs="Times New Roman"/>
          <w:sz w:val="24"/>
          <w:szCs w:val="24"/>
        </w:rPr>
        <w:t>depps</w:t>
      </w:r>
      <w:proofErr w:type="spellEnd"/>
      <w:r w:rsidR="004A3C90" w:rsidRPr="003F13B0">
        <w:rPr>
          <w:rStyle w:val="Appelnotedebasdep"/>
          <w:rFonts w:ascii="Arial Narrow" w:hAnsi="Arial Narrow" w:cs="Times New Roman"/>
          <w:sz w:val="24"/>
          <w:szCs w:val="24"/>
        </w:rPr>
        <w:footnoteReference w:id="29"/>
      </w:r>
      <w:r w:rsidR="004A3C90" w:rsidRPr="003F13B0">
        <w:rPr>
          <w:rFonts w:ascii="Arial Narrow" w:hAnsi="Arial Narrow" w:cs="Times New Roman"/>
          <w:sz w:val="24"/>
          <w:szCs w:val="24"/>
        </w:rPr>
        <w:t xml:space="preserve">, </w:t>
      </w:r>
      <w:r w:rsidR="0079773B" w:rsidRPr="003F13B0">
        <w:rPr>
          <w:rFonts w:ascii="Arial Narrow" w:hAnsi="Arial Narrow" w:cs="Times New Roman"/>
          <w:sz w:val="24"/>
          <w:szCs w:val="24"/>
        </w:rPr>
        <w:t xml:space="preserve">la mise en place d’un </w:t>
      </w:r>
      <w:r w:rsidR="004A3C90" w:rsidRPr="003F13B0">
        <w:rPr>
          <w:rFonts w:ascii="Arial Narrow" w:hAnsi="Arial Narrow" w:cs="Times New Roman"/>
          <w:sz w:val="24"/>
          <w:szCs w:val="24"/>
        </w:rPr>
        <w:t>o</w:t>
      </w:r>
      <w:r w:rsidR="0079773B" w:rsidRPr="003F13B0">
        <w:rPr>
          <w:rFonts w:ascii="Arial Narrow" w:hAnsi="Arial Narrow" w:cs="Times New Roman"/>
          <w:sz w:val="24"/>
          <w:szCs w:val="24"/>
        </w:rPr>
        <w:t xml:space="preserve">bservatoire </w:t>
      </w:r>
      <w:r w:rsidR="004A3C90" w:rsidRPr="003F13B0">
        <w:rPr>
          <w:rFonts w:ascii="Arial Narrow" w:hAnsi="Arial Narrow" w:cs="Times New Roman"/>
          <w:sz w:val="24"/>
          <w:szCs w:val="24"/>
        </w:rPr>
        <w:t>d</w:t>
      </w:r>
      <w:r w:rsidR="0079773B" w:rsidRPr="003F13B0">
        <w:rPr>
          <w:rFonts w:ascii="Arial Narrow" w:hAnsi="Arial Narrow" w:cs="Times New Roman"/>
          <w:sz w:val="24"/>
          <w:szCs w:val="24"/>
        </w:rPr>
        <w:t>igital</w:t>
      </w:r>
      <w:r w:rsidR="0079773B" w:rsidRPr="003F13B0">
        <w:rPr>
          <w:rFonts w:ascii="Arial Narrow" w:hAnsi="Arial Narrow" w:cs="Times New Roman"/>
          <w:b/>
          <w:bCs/>
          <w:i/>
          <w:iCs/>
          <w:sz w:val="24"/>
          <w:szCs w:val="24"/>
        </w:rPr>
        <w:t xml:space="preserve"> </w:t>
      </w:r>
      <w:r w:rsidR="004A3C90" w:rsidRPr="00A918AC">
        <w:rPr>
          <w:rFonts w:ascii="Arial Narrow" w:hAnsi="Arial Narrow" w:cs="Times New Roman"/>
          <w:sz w:val="24"/>
          <w:szCs w:val="24"/>
        </w:rPr>
        <w:t>et</w:t>
      </w:r>
      <w:r w:rsidR="0079773B" w:rsidRPr="003F13B0">
        <w:rPr>
          <w:rFonts w:ascii="Arial Narrow" w:hAnsi="Arial Narrow" w:cs="Times New Roman"/>
          <w:sz w:val="24"/>
          <w:szCs w:val="24"/>
        </w:rPr>
        <w:t xml:space="preserve"> </w:t>
      </w:r>
      <w:r w:rsidR="004A3C90" w:rsidRPr="003F13B0">
        <w:rPr>
          <w:rFonts w:ascii="Arial Narrow" w:hAnsi="Arial Narrow" w:cs="Times New Roman"/>
          <w:sz w:val="24"/>
          <w:szCs w:val="24"/>
        </w:rPr>
        <w:t xml:space="preserve">d’une </w:t>
      </w:r>
      <w:r w:rsidR="0079773B" w:rsidRPr="003F13B0">
        <w:rPr>
          <w:rFonts w:ascii="Arial Narrow" w:hAnsi="Arial Narrow" w:cs="Times New Roman"/>
          <w:sz w:val="24"/>
          <w:szCs w:val="24"/>
        </w:rPr>
        <w:t>application </w:t>
      </w:r>
      <w:r w:rsidR="004A3C90" w:rsidRPr="003F13B0">
        <w:rPr>
          <w:rFonts w:ascii="Arial Narrow" w:hAnsi="Arial Narrow" w:cs="Times New Roman"/>
          <w:sz w:val="24"/>
          <w:szCs w:val="24"/>
        </w:rPr>
        <w:t>« </w:t>
      </w:r>
      <w:proofErr w:type="spellStart"/>
      <w:r w:rsidR="0079773B" w:rsidRPr="00A918AC">
        <w:rPr>
          <w:rFonts w:ascii="Arial Narrow" w:hAnsi="Arial Narrow" w:cs="Times New Roman"/>
          <w:i/>
          <w:sz w:val="24"/>
          <w:szCs w:val="24"/>
        </w:rPr>
        <w:t>mydepps</w:t>
      </w:r>
      <w:proofErr w:type="spellEnd"/>
      <w:r w:rsidR="004A3C90" w:rsidRPr="003F13B0">
        <w:rPr>
          <w:rFonts w:ascii="Arial Narrow" w:hAnsi="Arial Narrow" w:cs="Times New Roman"/>
          <w:sz w:val="24"/>
          <w:szCs w:val="24"/>
        </w:rPr>
        <w:t> »</w:t>
      </w:r>
      <w:r w:rsidR="0079773B" w:rsidRPr="003F13B0">
        <w:rPr>
          <w:rFonts w:ascii="Arial Narrow" w:hAnsi="Arial Narrow" w:cs="Times New Roman"/>
          <w:sz w:val="24"/>
          <w:szCs w:val="24"/>
        </w:rPr>
        <w:t>.</w:t>
      </w:r>
    </w:p>
    <w:p w14:paraId="71FFB5C4" w14:textId="41851491" w:rsidR="0079773B" w:rsidRPr="003F13B0" w:rsidRDefault="005D7D98" w:rsidP="00761F55">
      <w:pPr>
        <w:jc w:val="both"/>
        <w:rPr>
          <w:rFonts w:ascii="Arial Narrow" w:hAnsi="Arial Narrow" w:cs="Arial"/>
          <w:sz w:val="24"/>
          <w:szCs w:val="24"/>
        </w:rPr>
      </w:pPr>
      <w:r w:rsidRPr="003F13B0">
        <w:rPr>
          <w:rFonts w:ascii="Arial Narrow" w:hAnsi="Arial Narrow" w:cs="Arial"/>
          <w:sz w:val="24"/>
          <w:szCs w:val="24"/>
        </w:rPr>
        <w:t>Le défi stratégique</w:t>
      </w:r>
      <w:r w:rsidR="00B52EBF" w:rsidRPr="003F13B0">
        <w:rPr>
          <w:rFonts w:ascii="Arial Narrow" w:hAnsi="Arial Narrow" w:cs="Arial"/>
          <w:sz w:val="24"/>
          <w:szCs w:val="24"/>
        </w:rPr>
        <w:t xml:space="preserve"> lié à l</w:t>
      </w:r>
      <w:r w:rsidR="0079773B" w:rsidRPr="003F13B0">
        <w:rPr>
          <w:rFonts w:ascii="Arial Narrow" w:hAnsi="Arial Narrow" w:cs="Arial"/>
          <w:sz w:val="24"/>
          <w:szCs w:val="24"/>
        </w:rPr>
        <w:t>’intégration et le développement du secteur privé</w:t>
      </w:r>
      <w:r w:rsidR="0079773B" w:rsidRPr="003F13B0">
        <w:rPr>
          <w:rFonts w:ascii="Arial Narrow" w:hAnsi="Arial Narrow" w:cs="Times New Roman"/>
          <w:b/>
          <w:sz w:val="24"/>
          <w:szCs w:val="24"/>
        </w:rPr>
        <w:t> </w:t>
      </w:r>
      <w:r w:rsidR="00B52EBF" w:rsidRPr="00A918AC">
        <w:rPr>
          <w:rFonts w:ascii="Arial Narrow" w:hAnsi="Arial Narrow" w:cs="Times New Roman"/>
          <w:bCs/>
          <w:sz w:val="24"/>
          <w:szCs w:val="24"/>
        </w:rPr>
        <w:t>est</w:t>
      </w:r>
      <w:r w:rsidR="00B52EBF" w:rsidRPr="003F13B0">
        <w:rPr>
          <w:rFonts w:ascii="Arial Narrow" w:hAnsi="Arial Narrow" w:cs="Times New Roman"/>
          <w:b/>
          <w:sz w:val="24"/>
          <w:szCs w:val="24"/>
        </w:rPr>
        <w:t xml:space="preserve"> </w:t>
      </w:r>
      <w:r w:rsidR="00B52EBF" w:rsidRPr="003F13B0">
        <w:rPr>
          <w:rFonts w:ascii="Arial Narrow" w:hAnsi="Arial Narrow" w:cs="Arial"/>
          <w:sz w:val="24"/>
          <w:szCs w:val="24"/>
        </w:rPr>
        <w:t>l’intégration</w:t>
      </w:r>
      <w:r w:rsidR="0079773B" w:rsidRPr="003F13B0">
        <w:rPr>
          <w:rFonts w:ascii="Arial Narrow" w:hAnsi="Arial Narrow" w:cs="Arial"/>
          <w:sz w:val="24"/>
          <w:szCs w:val="24"/>
        </w:rPr>
        <w:t xml:space="preserve"> des données du secteur privé dans le système national d’information sanitaire</w:t>
      </w:r>
      <w:r w:rsidR="00B52EBF" w:rsidRPr="003F13B0">
        <w:rPr>
          <w:rFonts w:ascii="Arial Narrow" w:hAnsi="Arial Narrow" w:cs="Arial"/>
          <w:sz w:val="24"/>
          <w:szCs w:val="24"/>
        </w:rPr>
        <w:t>.</w:t>
      </w:r>
      <w:r w:rsidR="0079773B" w:rsidRPr="003F13B0">
        <w:rPr>
          <w:rFonts w:ascii="Arial Narrow" w:hAnsi="Arial Narrow" w:cs="Arial"/>
          <w:sz w:val="24"/>
          <w:szCs w:val="24"/>
        </w:rPr>
        <w:t xml:space="preserve"> </w:t>
      </w:r>
    </w:p>
    <w:p w14:paraId="3A8CFD11" w14:textId="6054A7D2" w:rsidR="0079773B" w:rsidRPr="003F13B0" w:rsidRDefault="0079773B" w:rsidP="00DC5897">
      <w:pPr>
        <w:pStyle w:val="Lgende"/>
      </w:pPr>
      <w:bookmarkStart w:id="110" w:name="_Toc183688752"/>
      <w:r w:rsidRPr="003F13B0">
        <w:t xml:space="preserve">Tableau </w:t>
      </w:r>
      <w:r w:rsidRPr="00BE0649">
        <w:fldChar w:fldCharType="begin"/>
      </w:r>
      <w:r w:rsidRPr="003F13B0">
        <w:instrText xml:space="preserve"> SEQ Tableau \* ARABIC </w:instrText>
      </w:r>
      <w:r w:rsidRPr="00BE0649">
        <w:fldChar w:fldCharType="separate"/>
      </w:r>
      <w:r w:rsidR="008B0A44">
        <w:rPr>
          <w:noProof/>
        </w:rPr>
        <w:t>4</w:t>
      </w:r>
      <w:r w:rsidRPr="00BE0649">
        <w:fldChar w:fldCharType="end"/>
      </w:r>
      <w:r w:rsidRPr="003F13B0">
        <w:t xml:space="preserve"> : Défis </w:t>
      </w:r>
      <w:r w:rsidR="00B52EBF" w:rsidRPr="003F13B0">
        <w:t>opérationnels liés à</w:t>
      </w:r>
      <w:r w:rsidRPr="003F13B0" w:rsidDel="00B52EBF">
        <w:t xml:space="preserve"> </w:t>
      </w:r>
      <w:r w:rsidRPr="003F13B0">
        <w:t>l'opérationnalisation de la réforme sur l’intégration et le développement du secteur privé</w:t>
      </w:r>
      <w:bookmarkEnd w:id="110"/>
    </w:p>
    <w:tbl>
      <w:tblPr>
        <w:tblW w:w="0" w:type="auto"/>
        <w:tblLook w:val="04A0" w:firstRow="1" w:lastRow="0" w:firstColumn="1" w:lastColumn="0" w:noHBand="0" w:noVBand="1"/>
      </w:tblPr>
      <w:tblGrid>
        <w:gridCol w:w="4732"/>
        <w:gridCol w:w="4284"/>
      </w:tblGrid>
      <w:tr w:rsidR="0079773B" w:rsidRPr="003F13B0" w14:paraId="071CE6EA" w14:textId="77777777" w:rsidTr="00424E00">
        <w:trPr>
          <w:cantSplit/>
        </w:trPr>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DD558AE" w14:textId="362CAFF3" w:rsidR="0079773B" w:rsidRPr="003F13B0" w:rsidRDefault="0079773B" w:rsidP="00424E00">
            <w:pPr>
              <w:rPr>
                <w:rFonts w:ascii="Arial Narrow" w:hAnsi="Arial Narrow" w:cs="Arial"/>
                <w:b/>
                <w:sz w:val="20"/>
                <w:szCs w:val="20"/>
              </w:rPr>
            </w:pPr>
            <w:r w:rsidRPr="003F13B0">
              <w:rPr>
                <w:rFonts w:ascii="Arial Narrow" w:hAnsi="Arial Narrow" w:cs="Arial"/>
                <w:b/>
                <w:sz w:val="20"/>
                <w:szCs w:val="20"/>
              </w:rPr>
              <w:t xml:space="preserve">Défis </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CB7ED72" w14:textId="34830D2A" w:rsidR="0079773B" w:rsidRPr="003F13B0" w:rsidRDefault="0079773B" w:rsidP="00424E00">
            <w:pPr>
              <w:rPr>
                <w:rFonts w:ascii="Arial Narrow" w:hAnsi="Arial Narrow" w:cs="Arial"/>
                <w:b/>
                <w:sz w:val="20"/>
                <w:szCs w:val="20"/>
              </w:rPr>
            </w:pPr>
            <w:r w:rsidRPr="003F13B0">
              <w:rPr>
                <w:rFonts w:ascii="Arial Narrow" w:hAnsi="Arial Narrow" w:cs="Arial"/>
                <w:b/>
                <w:sz w:val="20"/>
                <w:szCs w:val="20"/>
              </w:rPr>
              <w:t>Recommandations</w:t>
            </w:r>
            <w:r w:rsidR="003138B4" w:rsidRPr="003F13B0">
              <w:rPr>
                <w:rFonts w:ascii="Arial Narrow" w:hAnsi="Arial Narrow" w:cs="Arial"/>
                <w:b/>
                <w:sz w:val="20"/>
                <w:szCs w:val="20"/>
              </w:rPr>
              <w:t xml:space="preserve"> des acteurs</w:t>
            </w:r>
          </w:p>
        </w:tc>
      </w:tr>
      <w:tr w:rsidR="0079773B" w:rsidRPr="003F13B0" w14:paraId="0FBD6882" w14:textId="77777777" w:rsidTr="00424E00">
        <w:trPr>
          <w:cantSplit/>
        </w:trPr>
        <w:tc>
          <w:tcPr>
            <w:tcW w:w="0" w:type="auto"/>
            <w:tcBorders>
              <w:top w:val="single" w:sz="4" w:space="0" w:color="auto"/>
              <w:left w:val="single" w:sz="4" w:space="0" w:color="auto"/>
              <w:bottom w:val="single" w:sz="4" w:space="0" w:color="auto"/>
              <w:right w:val="single" w:sz="4" w:space="0" w:color="auto"/>
            </w:tcBorders>
            <w:vAlign w:val="center"/>
          </w:tcPr>
          <w:p w14:paraId="4A615945" w14:textId="45159555" w:rsidR="0079773B" w:rsidRPr="003F13B0" w:rsidRDefault="0079773B" w:rsidP="00424E00">
            <w:pPr>
              <w:rPr>
                <w:rFonts w:ascii="Arial Narrow" w:hAnsi="Arial Narrow" w:cs="Arial"/>
                <w:sz w:val="20"/>
                <w:szCs w:val="20"/>
              </w:rPr>
            </w:pPr>
            <w:r w:rsidRPr="003F13B0">
              <w:rPr>
                <w:rFonts w:ascii="Arial Narrow" w:hAnsi="Arial Narrow" w:cs="Arial"/>
                <w:b/>
                <w:sz w:val="20"/>
                <w:szCs w:val="20"/>
              </w:rPr>
              <w:lastRenderedPageBreak/>
              <w:t>Dénombrement incomplet :</w:t>
            </w:r>
            <w:r w:rsidRPr="003F13B0">
              <w:rPr>
                <w:rFonts w:ascii="Arial Narrow" w:hAnsi="Arial Narrow" w:cs="Arial"/>
                <w:sz w:val="20"/>
                <w:szCs w:val="20"/>
              </w:rPr>
              <w:t xml:space="preserve"> La cartographie des établissements privés est souvent incomplète, ce qui empêche une vision globale du secteur</w:t>
            </w:r>
          </w:p>
        </w:tc>
        <w:tc>
          <w:tcPr>
            <w:tcW w:w="0" w:type="auto"/>
            <w:tcBorders>
              <w:top w:val="single" w:sz="4" w:space="0" w:color="auto"/>
              <w:left w:val="single" w:sz="4" w:space="0" w:color="auto"/>
              <w:bottom w:val="single" w:sz="4" w:space="0" w:color="auto"/>
              <w:right w:val="single" w:sz="4" w:space="0" w:color="auto"/>
            </w:tcBorders>
            <w:vAlign w:val="center"/>
          </w:tcPr>
          <w:p w14:paraId="13AA8502" w14:textId="6F335236" w:rsidR="0079773B" w:rsidRPr="003F13B0" w:rsidRDefault="0079773B" w:rsidP="00424E00">
            <w:pPr>
              <w:keepNext/>
              <w:rPr>
                <w:rFonts w:ascii="Arial Narrow" w:hAnsi="Arial Narrow" w:cs="Arial"/>
                <w:sz w:val="20"/>
                <w:szCs w:val="20"/>
              </w:rPr>
            </w:pPr>
            <w:r w:rsidRPr="003F13B0">
              <w:rPr>
                <w:rFonts w:ascii="Arial Narrow" w:hAnsi="Arial Narrow" w:cs="Arial"/>
                <w:sz w:val="20"/>
                <w:szCs w:val="20"/>
              </w:rPr>
              <w:t xml:space="preserve">Mettre à disposition des </w:t>
            </w:r>
            <w:r w:rsidR="00C67A94" w:rsidRPr="003F13B0">
              <w:rPr>
                <w:rFonts w:ascii="Arial Narrow" w:hAnsi="Arial Narrow" w:cs="Arial"/>
                <w:sz w:val="20"/>
                <w:szCs w:val="20"/>
              </w:rPr>
              <w:t>d</w:t>
            </w:r>
            <w:r w:rsidRPr="003F13B0">
              <w:rPr>
                <w:rFonts w:ascii="Arial Narrow" w:hAnsi="Arial Narrow" w:cs="Arial"/>
                <w:sz w:val="20"/>
                <w:szCs w:val="20"/>
              </w:rPr>
              <w:t>irections régionales les moyens nécessaires pour réaliser la cartographie des établissements privés</w:t>
            </w:r>
          </w:p>
        </w:tc>
      </w:tr>
      <w:tr w:rsidR="0079773B" w:rsidRPr="003F13B0" w14:paraId="6BE1E0AC" w14:textId="77777777" w:rsidTr="00424E00">
        <w:trPr>
          <w:cantSplit/>
        </w:trPr>
        <w:tc>
          <w:tcPr>
            <w:tcW w:w="0" w:type="auto"/>
            <w:tcBorders>
              <w:top w:val="single" w:sz="4" w:space="0" w:color="auto"/>
              <w:left w:val="single" w:sz="4" w:space="0" w:color="auto"/>
              <w:bottom w:val="single" w:sz="4" w:space="0" w:color="auto"/>
              <w:right w:val="single" w:sz="4" w:space="0" w:color="auto"/>
            </w:tcBorders>
            <w:vAlign w:val="center"/>
          </w:tcPr>
          <w:p w14:paraId="705F0157" w14:textId="7C90D951" w:rsidR="0079773B" w:rsidRPr="003F13B0" w:rsidRDefault="00C67A94" w:rsidP="00424E00">
            <w:pPr>
              <w:rPr>
                <w:rFonts w:ascii="Arial Narrow" w:hAnsi="Arial Narrow" w:cs="Arial"/>
                <w:sz w:val="20"/>
                <w:szCs w:val="20"/>
              </w:rPr>
            </w:pPr>
            <w:r w:rsidRPr="003F13B0">
              <w:rPr>
                <w:rFonts w:ascii="Arial Narrow" w:hAnsi="Arial Narrow" w:cs="Arial"/>
                <w:b/>
                <w:sz w:val="20"/>
                <w:szCs w:val="20"/>
              </w:rPr>
              <w:t>Insuffisance</w:t>
            </w:r>
            <w:r w:rsidR="0079773B" w:rsidRPr="003F13B0" w:rsidDel="00C67A94">
              <w:rPr>
                <w:rFonts w:ascii="Arial Narrow" w:hAnsi="Arial Narrow" w:cs="Arial"/>
                <w:b/>
                <w:sz w:val="20"/>
                <w:szCs w:val="20"/>
              </w:rPr>
              <w:t xml:space="preserve"> </w:t>
            </w:r>
            <w:r w:rsidR="0079773B" w:rsidRPr="003F13B0">
              <w:rPr>
                <w:rFonts w:ascii="Arial Narrow" w:hAnsi="Arial Narrow" w:cs="Arial"/>
                <w:b/>
                <w:sz w:val="20"/>
                <w:szCs w:val="20"/>
              </w:rPr>
              <w:t xml:space="preserve">de transfert de compétence aux </w:t>
            </w:r>
            <w:r w:rsidRPr="003F13B0">
              <w:rPr>
                <w:rFonts w:ascii="Arial Narrow" w:hAnsi="Arial Narrow" w:cs="Arial"/>
                <w:b/>
                <w:sz w:val="20"/>
                <w:szCs w:val="20"/>
              </w:rPr>
              <w:t>d</w:t>
            </w:r>
            <w:r w:rsidR="0079773B" w:rsidRPr="003F13B0">
              <w:rPr>
                <w:rFonts w:ascii="Arial Narrow" w:hAnsi="Arial Narrow" w:cs="Arial"/>
                <w:b/>
                <w:sz w:val="20"/>
                <w:szCs w:val="20"/>
              </w:rPr>
              <w:t>irections régionales dans le processus de régulation et de contrôle</w:t>
            </w:r>
            <w:r w:rsidR="00157B65" w:rsidRPr="003F13B0">
              <w:rPr>
                <w:rFonts w:ascii="Arial Narrow" w:hAnsi="Arial Narrow" w:cs="Arial"/>
                <w:b/>
                <w:sz w:val="20"/>
                <w:szCs w:val="20"/>
              </w:rPr>
              <w:t> </w:t>
            </w:r>
            <w:r w:rsidR="0079773B" w:rsidRPr="003F13B0">
              <w:rPr>
                <w:rFonts w:ascii="Arial Narrow" w:hAnsi="Arial Narrow" w:cs="Arial"/>
                <w:b/>
                <w:sz w:val="20"/>
                <w:szCs w:val="20"/>
              </w:rPr>
              <w:t>:</w:t>
            </w:r>
            <w:r w:rsidR="0079773B" w:rsidRPr="003F13B0">
              <w:rPr>
                <w:rFonts w:ascii="Arial Narrow" w:hAnsi="Arial Narrow" w:cs="Arial"/>
                <w:sz w:val="20"/>
                <w:szCs w:val="20"/>
              </w:rPr>
              <w:t xml:space="preserve"> Les </w:t>
            </w:r>
            <w:r w:rsidRPr="003F13B0">
              <w:rPr>
                <w:rFonts w:ascii="Arial Narrow" w:hAnsi="Arial Narrow" w:cs="Arial"/>
                <w:sz w:val="20"/>
                <w:szCs w:val="20"/>
              </w:rPr>
              <w:t>di</w:t>
            </w:r>
            <w:r w:rsidR="0079773B" w:rsidRPr="003F13B0">
              <w:rPr>
                <w:rFonts w:ascii="Arial Narrow" w:hAnsi="Arial Narrow" w:cs="Arial"/>
                <w:sz w:val="20"/>
                <w:szCs w:val="20"/>
              </w:rPr>
              <w:t>rections régionales ne sont pas suffisamment impliquées dans les activités d'identification et de contrôle des établissements privés, ce qui crée une insuffisance de coordination</w:t>
            </w:r>
          </w:p>
        </w:tc>
        <w:tc>
          <w:tcPr>
            <w:tcW w:w="0" w:type="auto"/>
            <w:tcBorders>
              <w:top w:val="single" w:sz="4" w:space="0" w:color="auto"/>
              <w:left w:val="single" w:sz="4" w:space="0" w:color="auto"/>
              <w:bottom w:val="single" w:sz="4" w:space="0" w:color="auto"/>
              <w:right w:val="single" w:sz="4" w:space="0" w:color="auto"/>
            </w:tcBorders>
            <w:vAlign w:val="center"/>
          </w:tcPr>
          <w:p w14:paraId="07C356B4" w14:textId="508DEB15" w:rsidR="0079773B" w:rsidRPr="003F13B0" w:rsidRDefault="0079773B" w:rsidP="00424E00">
            <w:pPr>
              <w:keepNext/>
              <w:rPr>
                <w:rFonts w:ascii="Arial Narrow" w:hAnsi="Arial Narrow" w:cs="Arial"/>
                <w:sz w:val="20"/>
                <w:szCs w:val="20"/>
              </w:rPr>
            </w:pPr>
            <w:r w:rsidRPr="003F13B0">
              <w:rPr>
                <w:rFonts w:ascii="Arial Narrow" w:hAnsi="Arial Narrow" w:cs="Arial"/>
                <w:b/>
                <w:sz w:val="20"/>
                <w:szCs w:val="20"/>
              </w:rPr>
              <w:t>Décentraliser le suivi et la coordination des structures privées</w:t>
            </w:r>
            <w:r w:rsidRPr="003F13B0">
              <w:rPr>
                <w:rFonts w:ascii="Arial Narrow" w:hAnsi="Arial Narrow" w:cs="Arial"/>
                <w:sz w:val="20"/>
                <w:szCs w:val="20"/>
              </w:rPr>
              <w:t xml:space="preserve"> au niveau régional pour faciliter les procédures de régularisation et associer formellement les </w:t>
            </w:r>
            <w:r w:rsidR="00C67A94" w:rsidRPr="003F13B0">
              <w:rPr>
                <w:rFonts w:ascii="Arial Narrow" w:hAnsi="Arial Narrow" w:cs="Arial"/>
                <w:sz w:val="20"/>
                <w:szCs w:val="20"/>
              </w:rPr>
              <w:t>d</w:t>
            </w:r>
            <w:r w:rsidRPr="003F13B0">
              <w:rPr>
                <w:rFonts w:ascii="Arial Narrow" w:hAnsi="Arial Narrow" w:cs="Arial"/>
                <w:sz w:val="20"/>
                <w:szCs w:val="20"/>
              </w:rPr>
              <w:t>irections régionales au processus de conformité des établissements sanitaires privés</w:t>
            </w:r>
          </w:p>
        </w:tc>
      </w:tr>
    </w:tbl>
    <w:p w14:paraId="537529E8" w14:textId="563AEC75" w:rsidR="0079773B" w:rsidRPr="003F13B0" w:rsidRDefault="0079773B" w:rsidP="00DC5897">
      <w:pPr>
        <w:pStyle w:val="Lgende"/>
      </w:pPr>
      <w:r w:rsidRPr="003F13B0">
        <w:t xml:space="preserve">Sources : Données collectées pour la </w:t>
      </w:r>
      <w:r w:rsidR="00B635D8">
        <w:t>revue</w:t>
      </w:r>
      <w:r w:rsidRPr="003F13B0">
        <w:t xml:space="preserve"> du PNDS </w:t>
      </w:r>
      <w:r w:rsidR="009E3475" w:rsidRPr="003F13B0">
        <w:t>2021-2025</w:t>
      </w:r>
    </w:p>
    <w:p w14:paraId="2D89661A" w14:textId="77777777" w:rsidR="0079773B" w:rsidRPr="003F13B0" w:rsidRDefault="0079773B" w:rsidP="00AA7D22">
      <w:pPr>
        <w:pStyle w:val="Titre3"/>
        <w:rPr>
          <w:rFonts w:ascii="Arial Narrow" w:hAnsi="Arial Narrow" w:cs="Arial"/>
          <w:sz w:val="24"/>
          <w:szCs w:val="24"/>
        </w:rPr>
      </w:pPr>
      <w:bookmarkStart w:id="111" w:name="_Toc178699571"/>
      <w:bookmarkStart w:id="112" w:name="_Toc190677483"/>
      <w:r w:rsidRPr="003F13B0">
        <w:rPr>
          <w:rFonts w:ascii="Arial Narrow" w:hAnsi="Arial Narrow" w:cs="Arial"/>
          <w:sz w:val="24"/>
          <w:szCs w:val="24"/>
        </w:rPr>
        <w:t>La réforme hospitalière</w:t>
      </w:r>
      <w:bookmarkEnd w:id="111"/>
      <w:bookmarkEnd w:id="112"/>
    </w:p>
    <w:p w14:paraId="5F5D2ABA" w14:textId="786A3BC7" w:rsidR="002D0E12" w:rsidRPr="003F13B0" w:rsidRDefault="00BF1960" w:rsidP="007569D1">
      <w:pPr>
        <w:jc w:val="both"/>
        <w:rPr>
          <w:rFonts w:ascii="Arial Narrow" w:hAnsi="Arial Narrow" w:cs="Arial"/>
          <w:sz w:val="24"/>
          <w:szCs w:val="24"/>
        </w:rPr>
      </w:pPr>
      <w:r w:rsidRPr="003F13B0">
        <w:rPr>
          <w:rFonts w:ascii="Arial Narrow" w:hAnsi="Arial Narrow" w:cs="Arial"/>
          <w:sz w:val="24"/>
          <w:szCs w:val="24"/>
        </w:rPr>
        <w:t>La loi n°2019-678 portant réforme hospitalière fixe le cadre d’organisation des soins dans les établissements de santé publics et privés. A</w:t>
      </w:r>
      <w:r w:rsidR="0079773B" w:rsidRPr="003F13B0">
        <w:rPr>
          <w:rFonts w:ascii="Arial Narrow" w:hAnsi="Arial Narrow" w:cs="Arial"/>
          <w:sz w:val="24"/>
          <w:szCs w:val="24"/>
        </w:rPr>
        <w:t xml:space="preserve"> fin 2023,</w:t>
      </w:r>
      <w:r w:rsidR="0079773B" w:rsidRPr="003F13B0">
        <w:rPr>
          <w:rFonts w:ascii="Arial Narrow" w:hAnsi="Arial Narrow" w:cs="Arial"/>
          <w:b/>
          <w:sz w:val="24"/>
          <w:szCs w:val="24"/>
        </w:rPr>
        <w:t xml:space="preserve"> </w:t>
      </w:r>
      <w:r w:rsidR="002D0E12" w:rsidRPr="00A918AC">
        <w:rPr>
          <w:rFonts w:ascii="Arial Narrow" w:hAnsi="Arial Narrow" w:cs="Arial"/>
          <w:sz w:val="24"/>
          <w:szCs w:val="24"/>
        </w:rPr>
        <w:t>27 décrets</w:t>
      </w:r>
      <w:r w:rsidR="002D0E12" w:rsidRPr="003F13B0">
        <w:rPr>
          <w:rFonts w:ascii="Arial Narrow" w:hAnsi="Arial Narrow" w:cs="Arial"/>
          <w:b/>
          <w:sz w:val="24"/>
          <w:szCs w:val="24"/>
        </w:rPr>
        <w:t xml:space="preserve"> </w:t>
      </w:r>
      <w:r w:rsidR="002D0E12" w:rsidRPr="003F13B0">
        <w:rPr>
          <w:rFonts w:ascii="Arial Narrow" w:hAnsi="Arial Narrow" w:cs="Arial"/>
          <w:bCs/>
          <w:sz w:val="24"/>
          <w:szCs w:val="24"/>
        </w:rPr>
        <w:t>de</w:t>
      </w:r>
      <w:r w:rsidR="002D0E12" w:rsidRPr="003F13B0">
        <w:rPr>
          <w:rFonts w:ascii="Arial Narrow" w:hAnsi="Arial Narrow" w:cs="Arial"/>
          <w:b/>
          <w:sz w:val="24"/>
          <w:szCs w:val="24"/>
        </w:rPr>
        <w:t xml:space="preserve"> </w:t>
      </w:r>
      <w:r w:rsidR="002D0E12" w:rsidRPr="003F13B0">
        <w:rPr>
          <w:rFonts w:ascii="Arial Narrow" w:hAnsi="Arial Narrow" w:cs="Arial"/>
          <w:sz w:val="24"/>
          <w:szCs w:val="24"/>
        </w:rPr>
        <w:t>la loi n°2019-678 du 23 juillet 2019, qui porte sur la réforme hospitalière,</w:t>
      </w:r>
      <w:r w:rsidR="002D0E12" w:rsidRPr="003F13B0">
        <w:rPr>
          <w:rFonts w:ascii="Arial Narrow" w:hAnsi="Arial Narrow" w:cs="Arial"/>
          <w:b/>
          <w:sz w:val="24"/>
          <w:szCs w:val="24"/>
        </w:rPr>
        <w:t xml:space="preserve"> </w:t>
      </w:r>
      <w:r w:rsidR="002D0E12" w:rsidRPr="003F13B0">
        <w:rPr>
          <w:rFonts w:ascii="Arial Narrow" w:hAnsi="Arial Narrow" w:cs="Arial"/>
          <w:sz w:val="24"/>
          <w:szCs w:val="24"/>
        </w:rPr>
        <w:t xml:space="preserve">ont été pris sur un total de 51 à fin 2023. Les structures du troisième niveau de la pyramide sanitaire ont été érigées en Établissements Publics Hospitaliers Nationaux (EPHN) et celles du deuxième niveau en Établissements Publics Hospitaliers Régionaux (EPHR) pour les Centres Hospitaliers Régionaux (CHR) et en Établissements Publics Hospitaliers Départementaux (EPHD) pour les Hôpitaux Généraux (HG), </w:t>
      </w:r>
      <w:r w:rsidR="007569D1" w:rsidRPr="003F13B0">
        <w:rPr>
          <w:rFonts w:ascii="Arial Narrow" w:hAnsi="Arial Narrow" w:cs="Arial"/>
          <w:sz w:val="24"/>
          <w:szCs w:val="24"/>
        </w:rPr>
        <w:t>avec une personnalité morale et une autonomie de gestion, afin d’accroitre leurs capacités à dispenser des prestations de qualité répondant aux besoins de santé des populations</w:t>
      </w:r>
      <w:r w:rsidR="002D0E12" w:rsidRPr="003F13B0">
        <w:rPr>
          <w:rFonts w:ascii="Arial Narrow" w:hAnsi="Arial Narrow" w:cs="Arial"/>
          <w:sz w:val="24"/>
          <w:szCs w:val="24"/>
        </w:rPr>
        <w:t xml:space="preserve">. </w:t>
      </w:r>
      <w:r w:rsidR="007569D1" w:rsidRPr="003F13B0">
        <w:rPr>
          <w:rFonts w:ascii="Arial Narrow" w:hAnsi="Arial Narrow" w:cs="Arial"/>
          <w:sz w:val="24"/>
          <w:szCs w:val="24"/>
        </w:rPr>
        <w:t xml:space="preserve">A cet effet, 15 Directeurs Généraux des EPHN ont été recrutés en 2024 et assujettis à des contrats de performance signés. Des Conseils d’Orientation et de Surveillance (COS), comprenant des représentants des usagers ont été mis en place avec des feuilles de route afin de guider, contrôler et superviser la politique générale de l’EPH. Un mécanisme de gestion de plaintes a également été mis en place pour adresser les importantes questions liées à l’accueil des patients, à l’hygiène, à la lutte contre la corruption et le racket, ainsi que l’absentéisme dans les différents établissements. </w:t>
      </w:r>
      <w:r w:rsidR="002D0E12" w:rsidRPr="003F13B0">
        <w:rPr>
          <w:rFonts w:ascii="Arial Narrow" w:hAnsi="Arial Narrow" w:cs="Arial"/>
          <w:bCs/>
          <w:sz w:val="24"/>
          <w:szCs w:val="24"/>
        </w:rPr>
        <w:t>De plus, 134 Établissements Publics Hospitaliers (EPH) ont désormais des comptes à la Banque du Trésor ce qui est une avancée en matière de gestion financière des EPH.</w:t>
      </w:r>
    </w:p>
    <w:p w14:paraId="6BC099A0" w14:textId="1E84379B" w:rsidR="002D0E12" w:rsidRPr="003F13B0" w:rsidRDefault="007569D1" w:rsidP="002D0E12">
      <w:pPr>
        <w:jc w:val="both"/>
        <w:rPr>
          <w:rFonts w:ascii="Arial Narrow" w:hAnsi="Arial Narrow" w:cs="Arial"/>
          <w:sz w:val="24"/>
          <w:szCs w:val="24"/>
        </w:rPr>
      </w:pPr>
      <w:r w:rsidRPr="003F13B0">
        <w:rPr>
          <w:rFonts w:ascii="Arial Narrow" w:eastAsia="Times New Roman" w:hAnsi="Arial Narrow" w:cs="Arial"/>
          <w:kern w:val="0"/>
          <w:sz w:val="24"/>
          <w:szCs w:val="24"/>
          <w:lang w:eastAsia="fr-FR"/>
          <w14:ligatures w14:val="none"/>
        </w:rPr>
        <w:t>Par ailleurs</w:t>
      </w:r>
      <w:r w:rsidR="002D0E12" w:rsidRPr="003F13B0">
        <w:rPr>
          <w:rFonts w:ascii="Arial Narrow" w:eastAsia="Times New Roman" w:hAnsi="Arial Narrow" w:cs="Arial"/>
          <w:kern w:val="0"/>
          <w:sz w:val="24"/>
          <w:szCs w:val="24"/>
          <w:lang w:eastAsia="fr-FR"/>
          <w14:ligatures w14:val="none"/>
        </w:rPr>
        <w:t xml:space="preserve">, en matière de télémédecine, le </w:t>
      </w:r>
      <w:r w:rsidR="002D0E12" w:rsidRPr="00A918AC">
        <w:rPr>
          <w:rFonts w:ascii="Arial Narrow" w:eastAsia="Times New Roman" w:hAnsi="Arial Narrow" w:cs="Arial"/>
          <w:kern w:val="0"/>
          <w:sz w:val="24"/>
          <w:szCs w:val="24"/>
          <w:lang w:eastAsia="fr-FR"/>
          <w14:ligatures w14:val="none"/>
        </w:rPr>
        <w:t>plan national de télémédecine 2021-2025</w:t>
      </w:r>
      <w:r w:rsidR="002D0E12" w:rsidRPr="003F13B0">
        <w:rPr>
          <w:rFonts w:ascii="Arial Narrow" w:eastAsia="Times New Roman" w:hAnsi="Arial Narrow" w:cs="Arial"/>
          <w:kern w:val="0"/>
          <w:sz w:val="24"/>
          <w:szCs w:val="24"/>
          <w:lang w:eastAsia="fr-FR"/>
          <w14:ligatures w14:val="none"/>
        </w:rPr>
        <w:t xml:space="preserve"> a été élaboré dans le cadre de la modernisation des soins de santé en Côte d'Ivoire. Quatre (04) arrêtés d’application du décret n°2018-361 du 29 mars 2018 portant règlementation de la télémédecine ont été pris en 2021.</w:t>
      </w:r>
      <w:r w:rsidR="002D0E12" w:rsidRPr="00A918AC">
        <w:rPr>
          <w:rFonts w:ascii="Arial Narrow" w:hAnsi="Arial Narrow" w:cs="Arial"/>
          <w:sz w:val="24"/>
          <w:szCs w:val="24"/>
        </w:rPr>
        <w:t xml:space="preserve"> </w:t>
      </w:r>
      <w:r w:rsidRPr="00A918AC">
        <w:rPr>
          <w:rFonts w:ascii="Arial Narrow" w:hAnsi="Arial Narrow" w:cs="Arial"/>
          <w:sz w:val="24"/>
          <w:szCs w:val="24"/>
        </w:rPr>
        <w:t xml:space="preserve">A fin 2023, </w:t>
      </w:r>
      <w:r w:rsidR="002D0E12" w:rsidRPr="00A918AC">
        <w:rPr>
          <w:rFonts w:ascii="Arial Narrow" w:hAnsi="Arial Narrow" w:cs="Arial"/>
          <w:sz w:val="24"/>
          <w:szCs w:val="24"/>
        </w:rPr>
        <w:t>39 structures sanitaires sur les 1 114 au total réalisent la télémédecine</w:t>
      </w:r>
      <w:r w:rsidR="002D0E12" w:rsidRPr="003F13B0">
        <w:rPr>
          <w:rFonts w:ascii="Arial Narrow" w:hAnsi="Arial Narrow" w:cs="Arial"/>
          <w:sz w:val="24"/>
          <w:szCs w:val="24"/>
        </w:rPr>
        <w:t>.</w:t>
      </w:r>
    </w:p>
    <w:p w14:paraId="734835D8" w14:textId="77777777" w:rsidR="0079773B" w:rsidRPr="003F13B0" w:rsidRDefault="0079773B" w:rsidP="00761F55">
      <w:pPr>
        <w:jc w:val="both"/>
        <w:rPr>
          <w:rFonts w:ascii="Arial Narrow" w:hAnsi="Arial Narrow" w:cs="Arial"/>
          <w:sz w:val="24"/>
          <w:szCs w:val="24"/>
        </w:rPr>
      </w:pPr>
      <w:r w:rsidRPr="003F13B0">
        <w:rPr>
          <w:rFonts w:ascii="Arial Narrow" w:hAnsi="Arial Narrow" w:cs="Arial"/>
          <w:sz w:val="24"/>
          <w:szCs w:val="24"/>
        </w:rPr>
        <w:t xml:space="preserve">De même, en dépit de l’existence d’un système de management de la qualité et d’un programme de construction, de réhabilitation et d’équipement des établissements sanitaires, à peine </w:t>
      </w:r>
      <w:r w:rsidRPr="00A918AC">
        <w:rPr>
          <w:rFonts w:ascii="Arial Narrow" w:hAnsi="Arial Narrow" w:cs="Arial"/>
          <w:sz w:val="24"/>
          <w:szCs w:val="24"/>
        </w:rPr>
        <w:t>2% des établissements hospitaliers respectent les normes de fonctionnalité.</w:t>
      </w:r>
      <w:r w:rsidRPr="003F13B0">
        <w:rPr>
          <w:rFonts w:ascii="Arial Narrow" w:hAnsi="Arial Narrow" w:cs="Arial"/>
          <w:sz w:val="24"/>
          <w:szCs w:val="24"/>
        </w:rPr>
        <w:t xml:space="preserve"> Cela pourrait s’expliquer par </w:t>
      </w:r>
      <w:r w:rsidRPr="00A918AC">
        <w:rPr>
          <w:rFonts w:ascii="Arial Narrow" w:hAnsi="Arial Narrow" w:cs="Arial"/>
          <w:sz w:val="24"/>
          <w:szCs w:val="24"/>
        </w:rPr>
        <w:t>l’absence de plan de maintenance préventive des établissements de Santé.</w:t>
      </w:r>
    </w:p>
    <w:p w14:paraId="7140C53C" w14:textId="5B9CB7CA" w:rsidR="0079773B" w:rsidRPr="003F13B0" w:rsidRDefault="0079773B" w:rsidP="00DC5897">
      <w:pPr>
        <w:pStyle w:val="Lgende"/>
      </w:pPr>
      <w:bookmarkStart w:id="113" w:name="_Toc183688753"/>
      <w:r w:rsidRPr="003F13B0">
        <w:t xml:space="preserve">Tableau </w:t>
      </w:r>
      <w:r w:rsidRPr="00BE0649">
        <w:fldChar w:fldCharType="begin"/>
      </w:r>
      <w:r w:rsidRPr="003F13B0">
        <w:instrText xml:space="preserve"> SEQ Tableau \* ARABIC </w:instrText>
      </w:r>
      <w:r w:rsidRPr="00BE0649">
        <w:fldChar w:fldCharType="separate"/>
      </w:r>
      <w:r w:rsidR="005B3F76">
        <w:rPr>
          <w:noProof/>
        </w:rPr>
        <w:t>5</w:t>
      </w:r>
      <w:r w:rsidRPr="00BE0649">
        <w:fldChar w:fldCharType="end"/>
      </w:r>
      <w:r w:rsidRPr="003F13B0">
        <w:t xml:space="preserve"> : Défis </w:t>
      </w:r>
      <w:r w:rsidR="00045752" w:rsidRPr="003F13B0">
        <w:t>opérationnels liés à</w:t>
      </w:r>
      <w:r w:rsidRPr="003F13B0">
        <w:t xml:space="preserve"> l'opérationnalisation de la réforme hospitalière</w:t>
      </w:r>
      <w:bookmarkEnd w:id="113"/>
    </w:p>
    <w:tbl>
      <w:tblPr>
        <w:tblW w:w="0" w:type="auto"/>
        <w:tblLook w:val="04A0" w:firstRow="1" w:lastRow="0" w:firstColumn="1" w:lastColumn="0" w:noHBand="0" w:noVBand="1"/>
      </w:tblPr>
      <w:tblGrid>
        <w:gridCol w:w="4508"/>
        <w:gridCol w:w="4508"/>
      </w:tblGrid>
      <w:tr w:rsidR="0079773B" w:rsidRPr="00D73FE7" w14:paraId="13754658" w14:textId="77777777" w:rsidTr="005A744E">
        <w:trPr>
          <w:cantSplit/>
        </w:trPr>
        <w:tc>
          <w:tcPr>
            <w:tcW w:w="450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CDB9571" w14:textId="11B58316" w:rsidR="0079773B" w:rsidRPr="00D73FE7" w:rsidRDefault="0079773B" w:rsidP="00761F55">
            <w:pPr>
              <w:jc w:val="both"/>
              <w:rPr>
                <w:rFonts w:ascii="Arial Narrow" w:hAnsi="Arial Narrow" w:cs="Arial"/>
                <w:b/>
                <w:sz w:val="20"/>
                <w:szCs w:val="20"/>
              </w:rPr>
            </w:pPr>
            <w:r w:rsidRPr="00D73FE7">
              <w:rPr>
                <w:rFonts w:ascii="Arial Narrow" w:hAnsi="Arial Narrow" w:cs="Arial"/>
                <w:b/>
                <w:sz w:val="20"/>
                <w:szCs w:val="20"/>
              </w:rPr>
              <w:t xml:space="preserve">Défis </w:t>
            </w:r>
          </w:p>
        </w:tc>
        <w:tc>
          <w:tcPr>
            <w:tcW w:w="450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6F00F99F" w14:textId="6691AA4E" w:rsidR="0079773B" w:rsidRPr="00D73FE7" w:rsidRDefault="0079773B" w:rsidP="00761F55">
            <w:pPr>
              <w:jc w:val="both"/>
              <w:rPr>
                <w:rFonts w:ascii="Arial Narrow" w:hAnsi="Arial Narrow" w:cs="Arial"/>
                <w:b/>
                <w:sz w:val="20"/>
                <w:szCs w:val="20"/>
              </w:rPr>
            </w:pPr>
            <w:r w:rsidRPr="00D73FE7">
              <w:rPr>
                <w:rFonts w:ascii="Arial Narrow" w:hAnsi="Arial Narrow" w:cs="Arial"/>
                <w:b/>
                <w:sz w:val="20"/>
                <w:szCs w:val="20"/>
              </w:rPr>
              <w:t>Recommandations</w:t>
            </w:r>
            <w:r w:rsidR="003138B4" w:rsidRPr="00D73FE7">
              <w:rPr>
                <w:rFonts w:ascii="Arial Narrow" w:hAnsi="Arial Narrow" w:cs="Arial"/>
                <w:b/>
                <w:sz w:val="20"/>
                <w:szCs w:val="20"/>
              </w:rPr>
              <w:t xml:space="preserve"> des acteurs</w:t>
            </w:r>
          </w:p>
        </w:tc>
      </w:tr>
      <w:tr w:rsidR="0079773B" w:rsidRPr="003F13B0" w14:paraId="6B6EBE82" w14:textId="77777777" w:rsidTr="005A744E">
        <w:trPr>
          <w:cantSplit/>
        </w:trPr>
        <w:tc>
          <w:tcPr>
            <w:tcW w:w="4508" w:type="dxa"/>
            <w:tcBorders>
              <w:top w:val="single" w:sz="4" w:space="0" w:color="auto"/>
              <w:left w:val="single" w:sz="4" w:space="0" w:color="auto"/>
              <w:bottom w:val="single" w:sz="4" w:space="0" w:color="auto"/>
              <w:right w:val="single" w:sz="4" w:space="0" w:color="auto"/>
            </w:tcBorders>
            <w:vAlign w:val="center"/>
          </w:tcPr>
          <w:p w14:paraId="0DD2CF70" w14:textId="2DC15F18" w:rsidR="0079773B" w:rsidRPr="003F13B0" w:rsidRDefault="0079773B" w:rsidP="00761F55">
            <w:pPr>
              <w:jc w:val="both"/>
              <w:rPr>
                <w:rFonts w:ascii="Arial Narrow" w:hAnsi="Arial Narrow" w:cs="Arial"/>
                <w:bCs/>
                <w:sz w:val="20"/>
                <w:szCs w:val="20"/>
              </w:rPr>
            </w:pPr>
            <w:r w:rsidRPr="003F13B0">
              <w:rPr>
                <w:rFonts w:ascii="Arial Narrow" w:hAnsi="Arial Narrow" w:cs="Arial"/>
                <w:bCs/>
                <w:sz w:val="20"/>
                <w:szCs w:val="20"/>
              </w:rPr>
              <w:t>Lenteur dans la mise en place des organes de gestion (COS) : Les structures chargées de piloter la réforme peinent à se mettre en place et à fonctionner de manière optimale</w:t>
            </w:r>
          </w:p>
        </w:tc>
        <w:tc>
          <w:tcPr>
            <w:tcW w:w="4508" w:type="dxa"/>
            <w:tcBorders>
              <w:top w:val="single" w:sz="4" w:space="0" w:color="auto"/>
              <w:left w:val="single" w:sz="4" w:space="0" w:color="auto"/>
              <w:bottom w:val="single" w:sz="4" w:space="0" w:color="auto"/>
              <w:right w:val="single" w:sz="4" w:space="0" w:color="auto"/>
            </w:tcBorders>
            <w:vAlign w:val="center"/>
          </w:tcPr>
          <w:p w14:paraId="6B6CBFF2" w14:textId="6D7AB49C" w:rsidR="0079773B" w:rsidRPr="003F13B0" w:rsidRDefault="0079773B" w:rsidP="00761F55">
            <w:pPr>
              <w:jc w:val="both"/>
              <w:rPr>
                <w:rFonts w:ascii="Arial Narrow" w:hAnsi="Arial Narrow" w:cs="Arial"/>
                <w:bCs/>
                <w:sz w:val="20"/>
                <w:szCs w:val="20"/>
              </w:rPr>
            </w:pPr>
            <w:r w:rsidRPr="003F13B0">
              <w:rPr>
                <w:rFonts w:ascii="Arial Narrow" w:hAnsi="Arial Narrow" w:cs="Arial"/>
                <w:bCs/>
                <w:sz w:val="20"/>
                <w:szCs w:val="20"/>
              </w:rPr>
              <w:t>Mettre en place de façon diligente les organes de gestion prévus par la réforme et les doter des moyens nécessaires à leur fonctionnement</w:t>
            </w:r>
          </w:p>
          <w:p w14:paraId="460C92F6" w14:textId="311DCDF5" w:rsidR="0079773B" w:rsidRPr="003F13B0" w:rsidRDefault="0079773B" w:rsidP="00761F55">
            <w:pPr>
              <w:jc w:val="both"/>
              <w:rPr>
                <w:rFonts w:ascii="Arial Narrow" w:hAnsi="Arial Narrow" w:cs="Arial"/>
                <w:bCs/>
                <w:sz w:val="20"/>
                <w:szCs w:val="20"/>
              </w:rPr>
            </w:pPr>
            <w:r w:rsidRPr="003F13B0">
              <w:rPr>
                <w:rFonts w:ascii="Arial Narrow" w:hAnsi="Arial Narrow" w:cs="Arial"/>
                <w:bCs/>
                <w:sz w:val="20"/>
                <w:szCs w:val="20"/>
              </w:rPr>
              <w:t>Former les membres de ces organes aux nouvelles missions et responsabilités</w:t>
            </w:r>
          </w:p>
        </w:tc>
      </w:tr>
      <w:tr w:rsidR="0079773B" w:rsidRPr="003F13B0" w14:paraId="3A41E214" w14:textId="77777777" w:rsidTr="005A744E">
        <w:trPr>
          <w:cantSplit/>
        </w:trPr>
        <w:tc>
          <w:tcPr>
            <w:tcW w:w="4508" w:type="dxa"/>
            <w:tcBorders>
              <w:top w:val="single" w:sz="4" w:space="0" w:color="auto"/>
              <w:left w:val="single" w:sz="4" w:space="0" w:color="auto"/>
              <w:right w:val="single" w:sz="4" w:space="0" w:color="auto"/>
            </w:tcBorders>
            <w:vAlign w:val="center"/>
          </w:tcPr>
          <w:p w14:paraId="128F6496" w14:textId="4FB1C552" w:rsidR="0079773B" w:rsidRPr="003F13B0" w:rsidRDefault="0079773B" w:rsidP="00761F55">
            <w:pPr>
              <w:jc w:val="both"/>
              <w:rPr>
                <w:rFonts w:ascii="Arial Narrow" w:hAnsi="Arial Narrow" w:cs="Arial"/>
                <w:bCs/>
                <w:sz w:val="20"/>
                <w:szCs w:val="20"/>
              </w:rPr>
            </w:pPr>
            <w:r w:rsidRPr="003F13B0">
              <w:rPr>
                <w:rFonts w:ascii="Arial Narrow" w:hAnsi="Arial Narrow" w:cs="Arial"/>
                <w:bCs/>
                <w:sz w:val="20"/>
                <w:szCs w:val="20"/>
              </w:rPr>
              <w:t>Cadre réglementaire incomplet : L'absence de certains textes d'application ralentit la mise en œuvre de la réforme</w:t>
            </w:r>
          </w:p>
        </w:tc>
        <w:tc>
          <w:tcPr>
            <w:tcW w:w="4508" w:type="dxa"/>
            <w:tcBorders>
              <w:top w:val="single" w:sz="4" w:space="0" w:color="auto"/>
              <w:left w:val="single" w:sz="4" w:space="0" w:color="auto"/>
              <w:right w:val="single" w:sz="4" w:space="0" w:color="auto"/>
            </w:tcBorders>
            <w:vAlign w:val="center"/>
          </w:tcPr>
          <w:p w14:paraId="22127C93" w14:textId="7C1B4389" w:rsidR="0079773B" w:rsidRPr="003F13B0" w:rsidRDefault="0079773B" w:rsidP="00761F55">
            <w:pPr>
              <w:jc w:val="both"/>
              <w:rPr>
                <w:rFonts w:ascii="Arial Narrow" w:hAnsi="Arial Narrow" w:cs="Arial"/>
                <w:bCs/>
                <w:sz w:val="20"/>
                <w:szCs w:val="20"/>
              </w:rPr>
            </w:pPr>
            <w:r w:rsidRPr="003F13B0">
              <w:rPr>
                <w:rFonts w:ascii="Arial Narrow" w:hAnsi="Arial Narrow" w:cs="Arial"/>
                <w:bCs/>
                <w:sz w:val="20"/>
                <w:szCs w:val="20"/>
              </w:rPr>
              <w:t>Accélérer l'adoption des textes d'application manquants pour assurer un cadre juridique solide</w:t>
            </w:r>
          </w:p>
        </w:tc>
      </w:tr>
      <w:tr w:rsidR="0079773B" w:rsidRPr="003F13B0" w14:paraId="017E9F9A" w14:textId="77777777" w:rsidTr="005A744E">
        <w:trPr>
          <w:cantSplit/>
        </w:trPr>
        <w:tc>
          <w:tcPr>
            <w:tcW w:w="4508" w:type="dxa"/>
            <w:tcBorders>
              <w:top w:val="single" w:sz="4" w:space="0" w:color="auto"/>
              <w:left w:val="single" w:sz="4" w:space="0" w:color="auto"/>
              <w:bottom w:val="single" w:sz="4" w:space="0" w:color="auto"/>
              <w:right w:val="single" w:sz="4" w:space="0" w:color="auto"/>
            </w:tcBorders>
            <w:vAlign w:val="center"/>
          </w:tcPr>
          <w:p w14:paraId="0C8AE878" w14:textId="3CFACCB1" w:rsidR="0079773B" w:rsidRPr="003F13B0" w:rsidRDefault="0079773B" w:rsidP="00761F55">
            <w:pPr>
              <w:jc w:val="both"/>
              <w:rPr>
                <w:rFonts w:ascii="Arial Narrow" w:hAnsi="Arial Narrow" w:cs="Arial"/>
                <w:bCs/>
                <w:sz w:val="20"/>
                <w:szCs w:val="20"/>
              </w:rPr>
            </w:pPr>
            <w:r w:rsidRPr="003F13B0">
              <w:rPr>
                <w:rFonts w:ascii="Arial Narrow" w:hAnsi="Arial Narrow" w:cs="Arial"/>
                <w:bCs/>
                <w:sz w:val="20"/>
                <w:szCs w:val="20"/>
              </w:rPr>
              <w:lastRenderedPageBreak/>
              <w:t>Communication insuffisante : Les acteurs du niveau opérationnel ne sont pas suffisamment informés sur les enjeux et les modalités de mise en œuvre de la réforme</w:t>
            </w:r>
          </w:p>
        </w:tc>
        <w:tc>
          <w:tcPr>
            <w:tcW w:w="4508" w:type="dxa"/>
            <w:tcBorders>
              <w:top w:val="single" w:sz="4" w:space="0" w:color="auto"/>
              <w:left w:val="single" w:sz="4" w:space="0" w:color="auto"/>
              <w:bottom w:val="single" w:sz="4" w:space="0" w:color="auto"/>
              <w:right w:val="single" w:sz="4" w:space="0" w:color="auto"/>
            </w:tcBorders>
            <w:vAlign w:val="center"/>
          </w:tcPr>
          <w:p w14:paraId="4804F6D8" w14:textId="0B1865EE" w:rsidR="0079773B" w:rsidRPr="003F13B0" w:rsidRDefault="0079773B" w:rsidP="00761F55">
            <w:pPr>
              <w:jc w:val="both"/>
              <w:rPr>
                <w:rFonts w:ascii="Arial Narrow" w:hAnsi="Arial Narrow" w:cs="Arial"/>
                <w:bCs/>
                <w:sz w:val="20"/>
                <w:szCs w:val="20"/>
              </w:rPr>
            </w:pPr>
            <w:r w:rsidRPr="003F13B0">
              <w:rPr>
                <w:rFonts w:ascii="Arial Narrow" w:hAnsi="Arial Narrow" w:cs="Arial"/>
                <w:bCs/>
                <w:sz w:val="20"/>
                <w:szCs w:val="20"/>
              </w:rPr>
              <w:t>Mieux communiquer sur la réforme auprès de tous les acteurs concernés en organisant des sessions d’orientation</w:t>
            </w:r>
          </w:p>
        </w:tc>
      </w:tr>
    </w:tbl>
    <w:p w14:paraId="71BD9655" w14:textId="2D8E185A" w:rsidR="0079773B" w:rsidRPr="003F13B0" w:rsidRDefault="0079773B" w:rsidP="00DC5897">
      <w:pPr>
        <w:pStyle w:val="Lgende"/>
      </w:pPr>
      <w:r w:rsidRPr="003F13B0">
        <w:t xml:space="preserve">Sources : Données collectées pour la </w:t>
      </w:r>
      <w:r w:rsidR="00B635D8">
        <w:t>revue</w:t>
      </w:r>
      <w:r w:rsidRPr="003F13B0">
        <w:t xml:space="preserve"> du PNDS </w:t>
      </w:r>
      <w:r w:rsidR="009E3475" w:rsidRPr="003F13B0">
        <w:t>2021-2025</w:t>
      </w:r>
    </w:p>
    <w:p w14:paraId="7327C7E6" w14:textId="77777777" w:rsidR="0079773B" w:rsidRPr="003F13B0" w:rsidRDefault="0079773B" w:rsidP="00AA7D22">
      <w:pPr>
        <w:pStyle w:val="Titre3"/>
        <w:rPr>
          <w:rFonts w:ascii="Arial Narrow" w:hAnsi="Arial Narrow" w:cs="Arial"/>
          <w:sz w:val="24"/>
          <w:szCs w:val="24"/>
        </w:rPr>
      </w:pPr>
      <w:bookmarkStart w:id="114" w:name="_Toc178699572"/>
      <w:bookmarkStart w:id="115" w:name="_Toc190677484"/>
      <w:r w:rsidRPr="003F13B0">
        <w:rPr>
          <w:rFonts w:ascii="Arial Narrow" w:hAnsi="Arial Narrow" w:cs="Arial"/>
          <w:sz w:val="24"/>
          <w:szCs w:val="24"/>
        </w:rPr>
        <w:t>La réforme sur les Pôles Régionaux d’Excellence de Santé (PRES)</w:t>
      </w:r>
      <w:bookmarkEnd w:id="114"/>
      <w:bookmarkEnd w:id="115"/>
    </w:p>
    <w:p w14:paraId="43CCEE69" w14:textId="5C578319" w:rsidR="00314F90" w:rsidRPr="00A918AC" w:rsidRDefault="00314F90" w:rsidP="00A918AC">
      <w:pPr>
        <w:jc w:val="both"/>
        <w:rPr>
          <w:rFonts w:ascii="Arial Narrow" w:hAnsi="Arial Narrow"/>
          <w:color w:val="000000" w:themeColor="text1"/>
          <w:sz w:val="24"/>
          <w:szCs w:val="24"/>
        </w:rPr>
      </w:pPr>
      <w:r w:rsidRPr="00A918AC">
        <w:rPr>
          <w:rFonts w:ascii="Arial Narrow" w:hAnsi="Arial Narrow"/>
          <w:color w:val="000000" w:themeColor="text1"/>
          <w:sz w:val="24"/>
          <w:szCs w:val="24"/>
        </w:rPr>
        <w:t xml:space="preserve">Le Pôle Régional d’Excellence de Santé (PRES) en Côte d’Ivoire est un mode d’organisation permettant une prise en charge holistique et de qualité de la population basée sur un réseau d’établissements sanitaires situés dans une zone géographique définie. </w:t>
      </w:r>
      <w:r w:rsidR="00B85923" w:rsidRPr="007A001B">
        <w:rPr>
          <w:rFonts w:ascii="Arial Narrow" w:hAnsi="Arial Narrow"/>
          <w:color w:val="000000" w:themeColor="text1"/>
          <w:sz w:val="24"/>
          <w:szCs w:val="24"/>
        </w:rPr>
        <w:t xml:space="preserve">Les PRES permettront d’assurer la mutualisation des ressources humaines, techniques permettant à chaque habitant quel que soit sa localisation de bénéficier dans un rayon de 150 kilomètres, des soins adéquats avec des meilleurs plateaux techniques et des médecins </w:t>
      </w:r>
      <w:proofErr w:type="gramStart"/>
      <w:r w:rsidR="00B85923" w:rsidRPr="007A001B">
        <w:rPr>
          <w:rFonts w:ascii="Arial Narrow" w:hAnsi="Arial Narrow"/>
          <w:color w:val="000000" w:themeColor="text1"/>
          <w:sz w:val="24"/>
          <w:szCs w:val="24"/>
        </w:rPr>
        <w:t xml:space="preserve">spécialistes </w:t>
      </w:r>
      <w:r w:rsidR="00B85923">
        <w:rPr>
          <w:rFonts w:ascii="Arial Narrow" w:hAnsi="Arial Narrow"/>
          <w:color w:val="000000" w:themeColor="text1"/>
          <w:sz w:val="24"/>
          <w:szCs w:val="24"/>
        </w:rPr>
        <w:t>.</w:t>
      </w:r>
      <w:proofErr w:type="gramEnd"/>
      <w:r w:rsidR="00B85923">
        <w:rPr>
          <w:rFonts w:ascii="Arial Narrow" w:hAnsi="Arial Narrow"/>
          <w:color w:val="000000" w:themeColor="text1"/>
          <w:sz w:val="24"/>
          <w:szCs w:val="24"/>
        </w:rPr>
        <w:t xml:space="preserve"> </w:t>
      </w:r>
      <w:r w:rsidRPr="00A918AC">
        <w:rPr>
          <w:rFonts w:ascii="Arial Narrow" w:hAnsi="Arial Narrow"/>
          <w:color w:val="000000" w:themeColor="text1"/>
          <w:sz w:val="24"/>
          <w:szCs w:val="24"/>
        </w:rPr>
        <w:t>Cette mutualisation contribuera dans une grande mesure à améliorer la disponibilité de l’offre de service de santé de qualité sur toute l’étendue du territoire et à réduire les évacuations et les décès évitables.</w:t>
      </w:r>
    </w:p>
    <w:p w14:paraId="06E0D85A" w14:textId="420B1707" w:rsidR="00314F90" w:rsidRPr="003F13B0" w:rsidRDefault="00314F90" w:rsidP="00A918AC">
      <w:pPr>
        <w:jc w:val="both"/>
        <w:rPr>
          <w:rFonts w:ascii="Arial Narrow" w:hAnsi="Arial Narrow"/>
          <w:color w:val="000000" w:themeColor="text1"/>
          <w:sz w:val="24"/>
          <w:szCs w:val="24"/>
        </w:rPr>
      </w:pPr>
      <w:r w:rsidRPr="00A918AC">
        <w:rPr>
          <w:rFonts w:ascii="Arial Narrow" w:hAnsi="Arial Narrow"/>
          <w:color w:val="000000" w:themeColor="text1"/>
          <w:sz w:val="24"/>
          <w:szCs w:val="24"/>
        </w:rPr>
        <w:t xml:space="preserve">La Côte d’Ivoire est répartie en 10 pôles régionaux d’excellence de santé sur toute l’étendue du territoire </w:t>
      </w:r>
      <w:r w:rsidRPr="003F13B0" w:rsidDel="003F13B0">
        <w:rPr>
          <w:rFonts w:ascii="Arial Narrow" w:hAnsi="Arial Narrow"/>
          <w:color w:val="000000" w:themeColor="text1"/>
          <w:sz w:val="24"/>
          <w:szCs w:val="24"/>
        </w:rPr>
        <w:t>(</w:t>
      </w:r>
      <w:r w:rsidRPr="003F13B0">
        <w:rPr>
          <w:rFonts w:ascii="Arial Narrow" w:hAnsi="Arial Narrow"/>
          <w:color w:val="000000" w:themeColor="text1"/>
          <w:sz w:val="24"/>
          <w:szCs w:val="24"/>
        </w:rPr>
        <w:t>San Pedro, Man, Odienné, Korhogo, Daloa, Bouaké, Yamoussoukro, Abidjan, Abengourou et Bondoukou)</w:t>
      </w:r>
    </w:p>
    <w:p w14:paraId="2F20CA59" w14:textId="26EBC41B" w:rsidR="005B3F76" w:rsidRDefault="005B3F76" w:rsidP="00DC5897">
      <w:pPr>
        <w:pStyle w:val="Lgende"/>
      </w:pPr>
      <w:bookmarkStart w:id="116" w:name="_Toc183686786"/>
      <w:r>
        <w:t xml:space="preserve">Figure </w:t>
      </w:r>
      <w:r w:rsidR="008D75CE">
        <w:fldChar w:fldCharType="begin"/>
      </w:r>
      <w:r w:rsidR="008D75CE">
        <w:instrText xml:space="preserve"> SEQ Figure \* ARABIC </w:instrText>
      </w:r>
      <w:r w:rsidR="008D75CE">
        <w:fldChar w:fldCharType="separate"/>
      </w:r>
      <w:r w:rsidR="008D75CE">
        <w:rPr>
          <w:noProof/>
        </w:rPr>
        <w:t>4</w:t>
      </w:r>
      <w:r w:rsidR="008D75CE">
        <w:fldChar w:fldCharType="end"/>
      </w:r>
      <w:r>
        <w:t xml:space="preserve"> : Carte des Pôles Régionaux d'Excellence en Santé</w:t>
      </w:r>
      <w:bookmarkEnd w:id="116"/>
    </w:p>
    <w:p w14:paraId="258D4364" w14:textId="77777777" w:rsidR="005B3F76" w:rsidRDefault="00314F90" w:rsidP="005B3F76">
      <w:pPr>
        <w:keepNext/>
        <w:jc w:val="both"/>
      </w:pPr>
      <w:r w:rsidRPr="00A918AC">
        <w:rPr>
          <w:rFonts w:ascii="Arial Narrow" w:hAnsi="Arial Narrow"/>
          <w:noProof/>
        </w:rPr>
        <w:drawing>
          <wp:inline distT="0" distB="0" distL="0" distR="0" wp14:anchorId="20EA3E15" wp14:editId="07ED0280">
            <wp:extent cx="5731510" cy="4042410"/>
            <wp:effectExtent l="19050" t="19050" r="21590" b="15240"/>
            <wp:docPr id="12841821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1510" cy="4042410"/>
                    </a:xfrm>
                    <a:prstGeom prst="rect">
                      <a:avLst/>
                    </a:prstGeom>
                    <a:noFill/>
                    <a:ln>
                      <a:solidFill>
                        <a:schemeClr val="tx2"/>
                      </a:solidFill>
                    </a:ln>
                  </pic:spPr>
                </pic:pic>
              </a:graphicData>
            </a:graphic>
          </wp:inline>
        </w:drawing>
      </w:r>
    </w:p>
    <w:p w14:paraId="57D76660" w14:textId="52C26CE6" w:rsidR="00314F90" w:rsidRPr="00A918AC" w:rsidRDefault="005B3F76" w:rsidP="00DC5897">
      <w:pPr>
        <w:pStyle w:val="Lgende"/>
      </w:pPr>
      <w:r>
        <w:t>Source : Plan National de Développement Sanitaire 2021-2025</w:t>
      </w:r>
    </w:p>
    <w:p w14:paraId="44CBA5BE" w14:textId="5C9A1A4D" w:rsidR="0079773B" w:rsidRPr="003F13B0" w:rsidRDefault="0029574B">
      <w:pPr>
        <w:jc w:val="both"/>
        <w:rPr>
          <w:rFonts w:ascii="Arial Narrow" w:hAnsi="Arial Narrow" w:cs="Arial"/>
          <w:sz w:val="24"/>
          <w:szCs w:val="24"/>
        </w:rPr>
      </w:pPr>
      <w:r w:rsidRPr="003F13B0">
        <w:rPr>
          <w:rFonts w:ascii="Arial Narrow" w:hAnsi="Arial Narrow" w:cs="Arial"/>
          <w:sz w:val="24"/>
          <w:szCs w:val="24"/>
        </w:rPr>
        <w:t>La stratégie de mise en place de 10 PRES a été institutionnalisée à travers la prise de l’arrêté n°00203 MSHPCMU/CAB du 2 mai 2023 portant création, attribution, organisation et fonctionnement des PRES.</w:t>
      </w:r>
      <w:r w:rsidR="00FE4788" w:rsidRPr="003F13B0">
        <w:rPr>
          <w:rFonts w:ascii="Arial Narrow" w:hAnsi="Arial Narrow" w:cs="Arial"/>
          <w:sz w:val="24"/>
          <w:szCs w:val="24"/>
        </w:rPr>
        <w:t xml:space="preserve"> En outre,</w:t>
      </w:r>
      <w:r w:rsidR="0079773B" w:rsidRPr="003F13B0" w:rsidDel="00FE4788">
        <w:rPr>
          <w:rFonts w:ascii="Arial Narrow" w:hAnsi="Arial Narrow" w:cs="Arial"/>
          <w:sz w:val="24"/>
          <w:szCs w:val="24"/>
        </w:rPr>
        <w:t xml:space="preserve"> le </w:t>
      </w:r>
      <w:r w:rsidR="0079773B" w:rsidRPr="003F13B0">
        <w:rPr>
          <w:rFonts w:ascii="Arial Narrow" w:hAnsi="Arial Narrow" w:cs="Arial"/>
          <w:sz w:val="24"/>
          <w:szCs w:val="24"/>
        </w:rPr>
        <w:t>manuel de procédure des PRES</w:t>
      </w:r>
      <w:r w:rsidR="00FE4788" w:rsidRPr="003F13B0">
        <w:rPr>
          <w:rFonts w:ascii="Arial Narrow" w:hAnsi="Arial Narrow" w:cs="Arial"/>
          <w:sz w:val="24"/>
          <w:szCs w:val="24"/>
        </w:rPr>
        <w:t xml:space="preserve"> a été élaboré et u</w:t>
      </w:r>
      <w:r w:rsidR="0079773B" w:rsidRPr="003F13B0">
        <w:rPr>
          <w:rFonts w:ascii="Arial Narrow" w:hAnsi="Arial Narrow" w:cs="Arial"/>
          <w:sz w:val="24"/>
          <w:szCs w:val="24"/>
        </w:rPr>
        <w:t xml:space="preserve">n état des lieux pour la mise aux normes des établissements sanitaires a été réalisé. </w:t>
      </w:r>
    </w:p>
    <w:p w14:paraId="38AA5FBF" w14:textId="0E1FA432" w:rsidR="00314F90" w:rsidRPr="003F13B0" w:rsidRDefault="00314F90">
      <w:pPr>
        <w:jc w:val="both"/>
        <w:rPr>
          <w:rFonts w:ascii="Arial Narrow" w:hAnsi="Arial Narrow" w:cs="Arial"/>
          <w:sz w:val="24"/>
          <w:szCs w:val="24"/>
        </w:rPr>
      </w:pPr>
      <w:bookmarkStart w:id="117" w:name="_Hlk185322856"/>
      <w:r w:rsidRPr="003F13B0">
        <w:rPr>
          <w:rFonts w:ascii="Arial Narrow" w:hAnsi="Arial Narrow" w:cs="Arial"/>
          <w:sz w:val="24"/>
          <w:szCs w:val="24"/>
        </w:rPr>
        <w:lastRenderedPageBreak/>
        <w:t>Afin de rendre disponible les services hospitaliers, dispos</w:t>
      </w:r>
      <w:r w:rsidR="00B85923">
        <w:rPr>
          <w:rFonts w:ascii="Arial Narrow" w:hAnsi="Arial Narrow" w:cs="Arial"/>
          <w:sz w:val="24"/>
          <w:szCs w:val="24"/>
        </w:rPr>
        <w:t>ant</w:t>
      </w:r>
      <w:r w:rsidRPr="003F13B0">
        <w:rPr>
          <w:rFonts w:ascii="Arial Narrow" w:hAnsi="Arial Narrow" w:cs="Arial"/>
          <w:sz w:val="24"/>
          <w:szCs w:val="24"/>
        </w:rPr>
        <w:t xml:space="preserve"> de plateaux techniques de qualité dans </w:t>
      </w:r>
      <w:proofErr w:type="gramStart"/>
      <w:r w:rsidR="005A0BDF" w:rsidRPr="003F13B0">
        <w:rPr>
          <w:rFonts w:ascii="Arial Narrow" w:hAnsi="Arial Narrow" w:cs="Arial"/>
          <w:sz w:val="24"/>
          <w:szCs w:val="24"/>
        </w:rPr>
        <w:t>les différents PR</w:t>
      </w:r>
      <w:r w:rsidR="00D9052D">
        <w:rPr>
          <w:rFonts w:ascii="Arial Narrow" w:hAnsi="Arial Narrow" w:cs="Arial"/>
          <w:sz w:val="24"/>
          <w:szCs w:val="24"/>
        </w:rPr>
        <w:t>E</w:t>
      </w:r>
      <w:r w:rsidR="005A0BDF" w:rsidRPr="003F13B0">
        <w:rPr>
          <w:rFonts w:ascii="Arial Narrow" w:hAnsi="Arial Narrow" w:cs="Arial"/>
          <w:sz w:val="24"/>
          <w:szCs w:val="24"/>
        </w:rPr>
        <w:t>S</w:t>
      </w:r>
      <w:bookmarkEnd w:id="117"/>
      <w:proofErr w:type="gramEnd"/>
      <w:r w:rsidRPr="003F13B0">
        <w:rPr>
          <w:rFonts w:ascii="Arial Narrow" w:hAnsi="Arial Narrow" w:cs="Arial"/>
          <w:sz w:val="24"/>
          <w:szCs w:val="24"/>
        </w:rPr>
        <w:t>, plusieurs interventions ont été ont été réalisé dans les régions sanitaires.</w:t>
      </w:r>
      <w:r w:rsidR="00D9052D">
        <w:rPr>
          <w:rFonts w:ascii="Arial Narrow" w:hAnsi="Arial Narrow" w:cs="Arial"/>
          <w:sz w:val="24"/>
          <w:szCs w:val="24"/>
        </w:rPr>
        <w:t xml:space="preserve"> </w:t>
      </w:r>
      <w:bookmarkStart w:id="118" w:name="_Hlk185323060"/>
      <w:r w:rsidR="00D9052D">
        <w:rPr>
          <w:rFonts w:ascii="Arial Narrow" w:hAnsi="Arial Narrow" w:cs="Arial"/>
          <w:sz w:val="24"/>
          <w:szCs w:val="24"/>
        </w:rPr>
        <w:t>A ce jour</w:t>
      </w:r>
      <w:r w:rsidRPr="003F13B0">
        <w:rPr>
          <w:rFonts w:ascii="Arial Narrow" w:hAnsi="Arial Narrow" w:cs="Arial"/>
          <w:sz w:val="24"/>
          <w:szCs w:val="24"/>
        </w:rPr>
        <w:t>, les PRES d’</w:t>
      </w:r>
      <w:r w:rsidR="005A01A9">
        <w:rPr>
          <w:rFonts w:ascii="Arial Narrow" w:hAnsi="Arial Narrow" w:cs="Arial"/>
          <w:sz w:val="24"/>
          <w:szCs w:val="24"/>
        </w:rPr>
        <w:t>A</w:t>
      </w:r>
      <w:r w:rsidRPr="003F13B0">
        <w:rPr>
          <w:rFonts w:ascii="Arial Narrow" w:hAnsi="Arial Narrow" w:cs="Arial"/>
          <w:sz w:val="24"/>
          <w:szCs w:val="24"/>
        </w:rPr>
        <w:t>bidjan</w:t>
      </w:r>
      <w:r w:rsidR="00D9052D">
        <w:rPr>
          <w:rFonts w:ascii="Arial Narrow" w:hAnsi="Arial Narrow" w:cs="Arial"/>
          <w:sz w:val="24"/>
          <w:szCs w:val="24"/>
        </w:rPr>
        <w:t xml:space="preserve">, </w:t>
      </w:r>
      <w:r w:rsidRPr="003F13B0">
        <w:rPr>
          <w:rFonts w:ascii="Arial Narrow" w:hAnsi="Arial Narrow" w:cs="Arial"/>
          <w:sz w:val="24"/>
          <w:szCs w:val="24"/>
        </w:rPr>
        <w:t xml:space="preserve">de Bouaké </w:t>
      </w:r>
      <w:r w:rsidR="00D9052D">
        <w:rPr>
          <w:rFonts w:ascii="Arial Narrow" w:hAnsi="Arial Narrow" w:cs="Arial"/>
          <w:sz w:val="24"/>
          <w:szCs w:val="24"/>
        </w:rPr>
        <w:t>et San Pedro sont</w:t>
      </w:r>
      <w:r w:rsidRPr="003F13B0">
        <w:rPr>
          <w:rFonts w:ascii="Arial Narrow" w:hAnsi="Arial Narrow" w:cs="Arial"/>
          <w:sz w:val="24"/>
          <w:szCs w:val="24"/>
        </w:rPr>
        <w:t xml:space="preserve"> fonctionnel</w:t>
      </w:r>
      <w:r w:rsidR="00D9052D">
        <w:rPr>
          <w:rFonts w:ascii="Arial Narrow" w:hAnsi="Arial Narrow" w:cs="Arial"/>
          <w:sz w:val="24"/>
          <w:szCs w:val="24"/>
        </w:rPr>
        <w:t>s</w:t>
      </w:r>
      <w:r w:rsidRPr="003F13B0">
        <w:rPr>
          <w:rFonts w:ascii="Arial Narrow" w:hAnsi="Arial Narrow" w:cs="Arial"/>
          <w:sz w:val="24"/>
          <w:szCs w:val="24"/>
        </w:rPr>
        <w:t xml:space="preserve">. La mise à niveau des </w:t>
      </w:r>
      <w:r w:rsidR="00D9052D">
        <w:rPr>
          <w:rFonts w:ascii="Arial Narrow" w:hAnsi="Arial Narrow" w:cs="Arial"/>
          <w:sz w:val="24"/>
          <w:szCs w:val="24"/>
        </w:rPr>
        <w:t xml:space="preserve">7 </w:t>
      </w:r>
      <w:r w:rsidRPr="003F13B0">
        <w:rPr>
          <w:rFonts w:ascii="Arial Narrow" w:hAnsi="Arial Narrow" w:cs="Arial"/>
          <w:sz w:val="24"/>
          <w:szCs w:val="24"/>
        </w:rPr>
        <w:t>autres se poursuit pour les rendre fonctionnels.</w:t>
      </w:r>
    </w:p>
    <w:bookmarkEnd w:id="118"/>
    <w:p w14:paraId="26EF8A59" w14:textId="73643687" w:rsidR="00314F90" w:rsidRPr="00A918AC" w:rsidRDefault="0079773B" w:rsidP="00314F90">
      <w:pPr>
        <w:jc w:val="both"/>
        <w:rPr>
          <w:rFonts w:ascii="Arial Narrow" w:hAnsi="Arial Narrow"/>
          <w:color w:val="000000" w:themeColor="text1"/>
          <w:lang w:val="fr-CI"/>
        </w:rPr>
      </w:pPr>
      <w:r w:rsidRPr="003F13B0">
        <w:rPr>
          <w:rFonts w:ascii="Arial Narrow" w:hAnsi="Arial Narrow" w:cs="Arial"/>
          <w:sz w:val="24"/>
          <w:szCs w:val="24"/>
        </w:rPr>
        <w:t>La mise en</w:t>
      </w:r>
      <w:r w:rsidR="00314F90" w:rsidRPr="003F13B0">
        <w:rPr>
          <w:rFonts w:ascii="Arial Narrow" w:hAnsi="Arial Narrow" w:cs="Arial"/>
          <w:sz w:val="24"/>
          <w:szCs w:val="24"/>
        </w:rPr>
        <w:t xml:space="preserve"> place</w:t>
      </w:r>
      <w:r w:rsidRPr="003F13B0" w:rsidDel="00314F90">
        <w:rPr>
          <w:rFonts w:ascii="Arial Narrow" w:hAnsi="Arial Narrow" w:cs="Arial"/>
          <w:sz w:val="24"/>
          <w:szCs w:val="24"/>
        </w:rPr>
        <w:t xml:space="preserve"> </w:t>
      </w:r>
      <w:r w:rsidRPr="003F13B0">
        <w:rPr>
          <w:rFonts w:ascii="Arial Narrow" w:hAnsi="Arial Narrow" w:cs="Arial"/>
          <w:sz w:val="24"/>
          <w:szCs w:val="24"/>
        </w:rPr>
        <w:t>des Pôles Régionaux d'Excellence de Santé (PRES)</w:t>
      </w:r>
      <w:r w:rsidRPr="003F13B0" w:rsidDel="003A54BC">
        <w:rPr>
          <w:rFonts w:ascii="Arial Narrow" w:hAnsi="Arial Narrow" w:cs="Arial"/>
          <w:sz w:val="24"/>
          <w:szCs w:val="24"/>
        </w:rPr>
        <w:t xml:space="preserve"> </w:t>
      </w:r>
      <w:r w:rsidR="00314F90" w:rsidRPr="003F13B0">
        <w:rPr>
          <w:rFonts w:ascii="Arial Narrow" w:hAnsi="Arial Narrow" w:cs="Arial"/>
          <w:sz w:val="24"/>
          <w:szCs w:val="24"/>
        </w:rPr>
        <w:t xml:space="preserve">fait face </w:t>
      </w:r>
      <w:r w:rsidRPr="003F13B0">
        <w:rPr>
          <w:rFonts w:ascii="Arial Narrow" w:hAnsi="Arial Narrow" w:cs="Arial"/>
          <w:sz w:val="24"/>
          <w:szCs w:val="24"/>
        </w:rPr>
        <w:t>à plusieurs défis notamment</w:t>
      </w:r>
      <w:r w:rsidR="00E33227">
        <w:rPr>
          <w:rFonts w:ascii="Arial Narrow" w:hAnsi="Arial Narrow" w:cs="Arial"/>
          <w:sz w:val="24"/>
          <w:szCs w:val="24"/>
        </w:rPr>
        <w:t xml:space="preserve"> </w:t>
      </w:r>
      <w:r w:rsidRPr="00A918AC">
        <w:rPr>
          <w:rFonts w:ascii="Arial Narrow" w:hAnsi="Arial Narrow" w:cs="Arial"/>
          <w:sz w:val="24"/>
          <w:szCs w:val="24"/>
        </w:rPr>
        <w:t xml:space="preserve">la mise en place des organes de gouvernance, </w:t>
      </w:r>
      <w:r w:rsidR="00314F90" w:rsidRPr="00A918AC">
        <w:rPr>
          <w:rFonts w:ascii="Arial Narrow" w:hAnsi="Arial Narrow" w:cs="Arial"/>
          <w:sz w:val="24"/>
          <w:szCs w:val="24"/>
          <w:lang w:val="fr-CI"/>
        </w:rPr>
        <w:t>la mutualisation des ressources et la disponibilité du financement pour la mise aux normes des infrastructures sanitaires et équipements.</w:t>
      </w:r>
    </w:p>
    <w:p w14:paraId="4B1AB2E1" w14:textId="01D7135B" w:rsidR="0079773B" w:rsidRPr="00076CBF" w:rsidRDefault="0079773B" w:rsidP="00076CBF">
      <w:pPr>
        <w:pStyle w:val="Lgende"/>
      </w:pPr>
      <w:bookmarkStart w:id="119" w:name="_Toc183688754"/>
      <w:r w:rsidRPr="00076CBF">
        <w:t xml:space="preserve">Tableau </w:t>
      </w:r>
      <w:r w:rsidRPr="00076CBF">
        <w:fldChar w:fldCharType="begin"/>
      </w:r>
      <w:r w:rsidRPr="00076CBF">
        <w:instrText xml:space="preserve"> SEQ Tableau \* ARABIC </w:instrText>
      </w:r>
      <w:r w:rsidRPr="00076CBF">
        <w:fldChar w:fldCharType="separate"/>
      </w:r>
      <w:r w:rsidR="008B0A44" w:rsidRPr="00076CBF">
        <w:t>6</w:t>
      </w:r>
      <w:r w:rsidRPr="00076CBF">
        <w:fldChar w:fldCharType="end"/>
      </w:r>
      <w:r w:rsidRPr="00076CBF">
        <w:t xml:space="preserve"> : Défis </w:t>
      </w:r>
      <w:r w:rsidR="003573B9" w:rsidRPr="00076CBF">
        <w:t xml:space="preserve">opérationnels liés à </w:t>
      </w:r>
      <w:r w:rsidRPr="00076CBF">
        <w:t>l'opérationnalisation de la réforme sur les Pôles Régionaux d’Excellence en Santé (PRES)</w:t>
      </w:r>
      <w:bookmarkEnd w:id="119"/>
    </w:p>
    <w:tbl>
      <w:tblPr>
        <w:tblW w:w="0" w:type="auto"/>
        <w:tblLook w:val="04A0" w:firstRow="1" w:lastRow="0" w:firstColumn="1" w:lastColumn="0" w:noHBand="0" w:noVBand="1"/>
      </w:tblPr>
      <w:tblGrid>
        <w:gridCol w:w="4508"/>
        <w:gridCol w:w="4508"/>
      </w:tblGrid>
      <w:tr w:rsidR="0079773B" w:rsidRPr="003F13B0" w14:paraId="696881F0" w14:textId="77777777" w:rsidTr="005A744E">
        <w:trPr>
          <w:cantSplit/>
        </w:trPr>
        <w:tc>
          <w:tcPr>
            <w:tcW w:w="450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A4D43E5" w14:textId="001701D7" w:rsidR="0079773B" w:rsidRPr="003F13B0" w:rsidRDefault="0079773B" w:rsidP="00761F55">
            <w:pPr>
              <w:jc w:val="both"/>
              <w:rPr>
                <w:rFonts w:ascii="Arial Narrow" w:hAnsi="Arial Narrow" w:cs="Arial"/>
                <w:b/>
                <w:sz w:val="20"/>
                <w:szCs w:val="20"/>
              </w:rPr>
            </w:pPr>
            <w:r w:rsidRPr="003F13B0">
              <w:rPr>
                <w:rFonts w:ascii="Arial Narrow" w:hAnsi="Arial Narrow" w:cs="Arial"/>
                <w:b/>
                <w:sz w:val="20"/>
                <w:szCs w:val="20"/>
              </w:rPr>
              <w:t xml:space="preserve">Défis </w:t>
            </w:r>
          </w:p>
        </w:tc>
        <w:tc>
          <w:tcPr>
            <w:tcW w:w="450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61328015" w14:textId="64950B04" w:rsidR="0079773B" w:rsidRPr="003F13B0" w:rsidRDefault="0079773B" w:rsidP="00761F55">
            <w:pPr>
              <w:jc w:val="both"/>
              <w:rPr>
                <w:rFonts w:ascii="Arial Narrow" w:hAnsi="Arial Narrow" w:cs="Arial"/>
                <w:b/>
                <w:sz w:val="20"/>
                <w:szCs w:val="20"/>
              </w:rPr>
            </w:pPr>
            <w:r w:rsidRPr="003F13B0">
              <w:rPr>
                <w:rFonts w:ascii="Arial Narrow" w:hAnsi="Arial Narrow" w:cs="Arial"/>
                <w:b/>
                <w:sz w:val="20"/>
                <w:szCs w:val="20"/>
              </w:rPr>
              <w:t>Recommandations</w:t>
            </w:r>
            <w:r w:rsidR="003138B4" w:rsidRPr="003F13B0">
              <w:rPr>
                <w:rFonts w:ascii="Arial Narrow" w:hAnsi="Arial Narrow" w:cs="Arial"/>
                <w:b/>
                <w:sz w:val="20"/>
                <w:szCs w:val="20"/>
              </w:rPr>
              <w:t xml:space="preserve"> des acteurs</w:t>
            </w:r>
          </w:p>
        </w:tc>
      </w:tr>
      <w:tr w:rsidR="0079773B" w:rsidRPr="003F13B0" w14:paraId="6735C5ED" w14:textId="77777777" w:rsidTr="005A744E">
        <w:trPr>
          <w:cantSplit/>
        </w:trPr>
        <w:tc>
          <w:tcPr>
            <w:tcW w:w="9016" w:type="dxa"/>
            <w:gridSpan w:val="2"/>
            <w:tcBorders>
              <w:left w:val="single" w:sz="4" w:space="0" w:color="auto"/>
              <w:right w:val="single" w:sz="4" w:space="0" w:color="auto"/>
            </w:tcBorders>
            <w:shd w:val="clear" w:color="auto" w:fill="FFF2CC" w:themeFill="accent4" w:themeFillTint="33"/>
            <w:vAlign w:val="center"/>
          </w:tcPr>
          <w:p w14:paraId="00E4DE6E" w14:textId="77777777" w:rsidR="0079773B" w:rsidRPr="003F13B0" w:rsidRDefault="0079773B" w:rsidP="00761F55">
            <w:pPr>
              <w:jc w:val="both"/>
              <w:rPr>
                <w:rFonts w:ascii="Arial Narrow" w:hAnsi="Arial Narrow" w:cs="Arial"/>
                <w:b/>
                <w:sz w:val="20"/>
                <w:szCs w:val="20"/>
              </w:rPr>
            </w:pPr>
            <w:r w:rsidRPr="003F13B0">
              <w:rPr>
                <w:rFonts w:ascii="Arial Narrow" w:hAnsi="Arial Narrow" w:cs="Arial"/>
                <w:b/>
                <w:sz w:val="20"/>
                <w:szCs w:val="20"/>
              </w:rPr>
              <w:t>Organisation et coordination</w:t>
            </w:r>
          </w:p>
        </w:tc>
      </w:tr>
      <w:tr w:rsidR="0079773B" w:rsidRPr="003F13B0" w14:paraId="6B4CD907" w14:textId="77777777" w:rsidTr="005A744E">
        <w:trPr>
          <w:cantSplit/>
        </w:trPr>
        <w:tc>
          <w:tcPr>
            <w:tcW w:w="4508" w:type="dxa"/>
            <w:tcBorders>
              <w:top w:val="single" w:sz="4" w:space="0" w:color="auto"/>
              <w:left w:val="single" w:sz="4" w:space="0" w:color="auto"/>
              <w:bottom w:val="single" w:sz="4" w:space="0" w:color="auto"/>
              <w:right w:val="single" w:sz="4" w:space="0" w:color="auto"/>
            </w:tcBorders>
            <w:vAlign w:val="center"/>
          </w:tcPr>
          <w:p w14:paraId="14F6F622" w14:textId="77777777" w:rsidR="0079773B" w:rsidRPr="003F13B0" w:rsidRDefault="0079773B" w:rsidP="00761F55">
            <w:pPr>
              <w:jc w:val="both"/>
              <w:rPr>
                <w:rFonts w:ascii="Arial Narrow" w:hAnsi="Arial Narrow" w:cs="Arial"/>
                <w:sz w:val="20"/>
                <w:szCs w:val="20"/>
              </w:rPr>
            </w:pPr>
            <w:r w:rsidRPr="003F13B0">
              <w:rPr>
                <w:rFonts w:ascii="Arial Narrow" w:hAnsi="Arial Narrow" w:cs="Arial"/>
                <w:b/>
                <w:sz w:val="20"/>
                <w:szCs w:val="20"/>
              </w:rPr>
              <w:t>Non-alignement des découpages :</w:t>
            </w:r>
            <w:r w:rsidRPr="003F13B0">
              <w:rPr>
                <w:rFonts w:ascii="Arial Narrow" w:hAnsi="Arial Narrow" w:cs="Arial"/>
                <w:sz w:val="20"/>
                <w:szCs w:val="20"/>
              </w:rPr>
              <w:t xml:space="preserve"> Le découpage des PRES ne correspond pas toujours aux divisions administratives, ce qui complique la coordination avec les autorités locales.</w:t>
            </w:r>
          </w:p>
        </w:tc>
        <w:tc>
          <w:tcPr>
            <w:tcW w:w="4508" w:type="dxa"/>
            <w:tcBorders>
              <w:top w:val="single" w:sz="4" w:space="0" w:color="auto"/>
              <w:left w:val="single" w:sz="4" w:space="0" w:color="auto"/>
              <w:bottom w:val="single" w:sz="4" w:space="0" w:color="auto"/>
              <w:right w:val="single" w:sz="4" w:space="0" w:color="auto"/>
            </w:tcBorders>
            <w:vAlign w:val="center"/>
          </w:tcPr>
          <w:p w14:paraId="614D3DE8" w14:textId="77777777" w:rsidR="0079773B" w:rsidRPr="003F13B0" w:rsidRDefault="0079773B" w:rsidP="00761F55">
            <w:pPr>
              <w:keepNext/>
              <w:jc w:val="both"/>
              <w:rPr>
                <w:rFonts w:ascii="Arial Narrow" w:hAnsi="Arial Narrow" w:cs="Arial"/>
                <w:sz w:val="20"/>
                <w:szCs w:val="20"/>
              </w:rPr>
            </w:pPr>
            <w:r w:rsidRPr="003F13B0">
              <w:rPr>
                <w:rFonts w:ascii="Arial Narrow" w:hAnsi="Arial Narrow" w:cs="Arial"/>
                <w:sz w:val="20"/>
                <w:szCs w:val="20"/>
              </w:rPr>
              <w:t>Aligner les PRES sur le découpage administratif.</w:t>
            </w:r>
          </w:p>
        </w:tc>
      </w:tr>
      <w:tr w:rsidR="0079773B" w:rsidRPr="003F13B0" w14:paraId="17F2B2F6" w14:textId="77777777" w:rsidTr="005A744E">
        <w:trPr>
          <w:cantSplit/>
        </w:trPr>
        <w:tc>
          <w:tcPr>
            <w:tcW w:w="4508" w:type="dxa"/>
            <w:tcBorders>
              <w:top w:val="single" w:sz="4" w:space="0" w:color="auto"/>
              <w:left w:val="single" w:sz="4" w:space="0" w:color="auto"/>
              <w:bottom w:val="single" w:sz="4" w:space="0" w:color="auto"/>
              <w:right w:val="single" w:sz="4" w:space="0" w:color="auto"/>
            </w:tcBorders>
            <w:vAlign w:val="center"/>
          </w:tcPr>
          <w:p w14:paraId="7E2EC305" w14:textId="77777777" w:rsidR="0079773B" w:rsidRPr="003F13B0" w:rsidRDefault="0079773B" w:rsidP="00761F55">
            <w:pPr>
              <w:jc w:val="both"/>
              <w:rPr>
                <w:rFonts w:ascii="Arial Narrow" w:hAnsi="Arial Narrow" w:cs="Arial"/>
                <w:sz w:val="20"/>
                <w:szCs w:val="20"/>
              </w:rPr>
            </w:pPr>
            <w:r w:rsidRPr="003F13B0">
              <w:rPr>
                <w:rFonts w:ascii="Arial Narrow" w:hAnsi="Arial Narrow" w:cs="Arial"/>
                <w:b/>
                <w:sz w:val="20"/>
                <w:szCs w:val="20"/>
              </w:rPr>
              <w:t>Faible appropriation de la réforme liée à une insuffisance de communication :</w:t>
            </w:r>
            <w:r w:rsidRPr="003F13B0">
              <w:rPr>
                <w:rFonts w:ascii="Arial Narrow" w:hAnsi="Arial Narrow" w:cs="Arial"/>
                <w:sz w:val="20"/>
                <w:szCs w:val="20"/>
              </w:rPr>
              <w:t xml:space="preserve"> Les acteurs de terrain ne sont pas toujours impliqués et engagés dans la mise en œuvre des PRES car la communication autour de la réforme est insuffisante.</w:t>
            </w:r>
          </w:p>
        </w:tc>
        <w:tc>
          <w:tcPr>
            <w:tcW w:w="4508" w:type="dxa"/>
            <w:tcBorders>
              <w:top w:val="single" w:sz="4" w:space="0" w:color="auto"/>
              <w:left w:val="single" w:sz="4" w:space="0" w:color="auto"/>
              <w:bottom w:val="single" w:sz="4" w:space="0" w:color="auto"/>
              <w:right w:val="single" w:sz="4" w:space="0" w:color="auto"/>
            </w:tcBorders>
            <w:vAlign w:val="center"/>
          </w:tcPr>
          <w:p w14:paraId="62FCA328" w14:textId="430202E3" w:rsidR="0079773B" w:rsidRPr="003F13B0" w:rsidRDefault="0079773B" w:rsidP="00761F55">
            <w:pPr>
              <w:jc w:val="both"/>
              <w:rPr>
                <w:rFonts w:ascii="Arial Narrow" w:hAnsi="Arial Narrow" w:cs="Arial"/>
                <w:sz w:val="20"/>
                <w:szCs w:val="20"/>
              </w:rPr>
            </w:pPr>
            <w:r w:rsidRPr="003F13B0">
              <w:rPr>
                <w:rFonts w:ascii="Arial Narrow" w:hAnsi="Arial Narrow" w:cs="Arial"/>
                <w:sz w:val="20"/>
                <w:szCs w:val="20"/>
              </w:rPr>
              <w:t xml:space="preserve">Renforcer les capacités des acteurs sur les textes réglementaires et documents normatifs relatifs </w:t>
            </w:r>
            <w:r w:rsidR="00F76934" w:rsidRPr="003F13B0">
              <w:rPr>
                <w:rFonts w:ascii="Arial Narrow" w:hAnsi="Arial Narrow" w:cs="Arial"/>
                <w:sz w:val="20"/>
                <w:szCs w:val="20"/>
              </w:rPr>
              <w:t>a</w:t>
            </w:r>
            <w:r w:rsidRPr="003F13B0">
              <w:rPr>
                <w:rFonts w:ascii="Arial Narrow" w:hAnsi="Arial Narrow" w:cs="Arial"/>
                <w:sz w:val="20"/>
                <w:szCs w:val="20"/>
              </w:rPr>
              <w:t>u</w:t>
            </w:r>
            <w:r w:rsidR="00700DA4" w:rsidRPr="003F13B0">
              <w:rPr>
                <w:rFonts w:ascii="Arial Narrow" w:hAnsi="Arial Narrow" w:cs="Arial"/>
                <w:sz w:val="20"/>
                <w:szCs w:val="20"/>
              </w:rPr>
              <w:t>x</w:t>
            </w:r>
            <w:r w:rsidRPr="003F13B0">
              <w:rPr>
                <w:rFonts w:ascii="Arial Narrow" w:hAnsi="Arial Narrow" w:cs="Arial"/>
                <w:sz w:val="20"/>
                <w:szCs w:val="20"/>
              </w:rPr>
              <w:t xml:space="preserve"> PRES.</w:t>
            </w:r>
          </w:p>
          <w:p w14:paraId="110C179E" w14:textId="77777777" w:rsidR="0079773B" w:rsidRPr="003F13B0" w:rsidRDefault="0079773B" w:rsidP="00761F55">
            <w:pPr>
              <w:jc w:val="both"/>
              <w:rPr>
                <w:rFonts w:ascii="Arial Narrow" w:hAnsi="Arial Narrow" w:cs="Arial"/>
                <w:sz w:val="20"/>
                <w:szCs w:val="20"/>
              </w:rPr>
            </w:pPr>
            <w:r w:rsidRPr="003F13B0">
              <w:rPr>
                <w:rFonts w:ascii="Arial Narrow" w:hAnsi="Arial Narrow" w:cs="Arial"/>
                <w:sz w:val="20"/>
                <w:szCs w:val="20"/>
              </w:rPr>
              <w:t>Organiser des sessions de diffusion pour expliquer le contenu et les implications de la réforme</w:t>
            </w:r>
          </w:p>
        </w:tc>
      </w:tr>
    </w:tbl>
    <w:p w14:paraId="1FE80EBE" w14:textId="6D3FF053" w:rsidR="0079773B" w:rsidRPr="003F13B0" w:rsidRDefault="0079773B" w:rsidP="00DC5897">
      <w:pPr>
        <w:pStyle w:val="Lgende"/>
      </w:pPr>
      <w:r w:rsidRPr="003F13B0">
        <w:t xml:space="preserve">Sources : Données collectées pour la </w:t>
      </w:r>
      <w:r w:rsidR="00B635D8">
        <w:t>revue</w:t>
      </w:r>
      <w:r w:rsidRPr="003F13B0">
        <w:t xml:space="preserve"> du PNDS </w:t>
      </w:r>
      <w:r w:rsidR="009E3475" w:rsidRPr="003F13B0">
        <w:t>2021-2025</w:t>
      </w:r>
    </w:p>
    <w:p w14:paraId="69E91A5B" w14:textId="77777777" w:rsidR="0079773B" w:rsidRPr="003F13B0" w:rsidRDefault="0079773B" w:rsidP="00AA7D22">
      <w:pPr>
        <w:pStyle w:val="Titre3"/>
        <w:rPr>
          <w:rFonts w:ascii="Arial Narrow" w:hAnsi="Arial Narrow"/>
          <w:sz w:val="24"/>
          <w:szCs w:val="24"/>
        </w:rPr>
      </w:pPr>
      <w:bookmarkStart w:id="120" w:name="_Toc178699573"/>
      <w:bookmarkStart w:id="121" w:name="_Toc190677485"/>
      <w:r w:rsidRPr="003F13B0">
        <w:rPr>
          <w:rFonts w:ascii="Arial Narrow" w:hAnsi="Arial Narrow"/>
          <w:sz w:val="24"/>
          <w:szCs w:val="24"/>
        </w:rPr>
        <w:t>La réforme sur la digitalisation</w:t>
      </w:r>
      <w:bookmarkEnd w:id="120"/>
      <w:bookmarkEnd w:id="121"/>
    </w:p>
    <w:p w14:paraId="500A29E0" w14:textId="07A88910" w:rsidR="007F475A" w:rsidRPr="00C44C3A" w:rsidRDefault="00314F90" w:rsidP="00761F55">
      <w:pPr>
        <w:tabs>
          <w:tab w:val="left" w:pos="1085"/>
        </w:tabs>
        <w:jc w:val="both"/>
        <w:rPr>
          <w:rFonts w:ascii="Arial Narrow" w:hAnsi="Arial Narrow"/>
          <w:sz w:val="24"/>
          <w:szCs w:val="24"/>
        </w:rPr>
      </w:pPr>
      <w:r w:rsidRPr="00C44C3A">
        <w:rPr>
          <w:rFonts w:ascii="Arial Narrow" w:hAnsi="Arial Narrow"/>
          <w:sz w:val="24"/>
          <w:szCs w:val="24"/>
        </w:rPr>
        <w:t xml:space="preserve">Le MSHPCMU s’est fixé pour objectif de </w:t>
      </w:r>
      <w:r w:rsidR="0079773B" w:rsidRPr="00C44C3A">
        <w:rPr>
          <w:rFonts w:ascii="Arial Narrow" w:hAnsi="Arial Narrow"/>
          <w:sz w:val="24"/>
          <w:szCs w:val="24"/>
        </w:rPr>
        <w:t xml:space="preserve">digitalisation </w:t>
      </w:r>
      <w:r w:rsidRPr="00C44C3A">
        <w:rPr>
          <w:rFonts w:ascii="Arial Narrow" w:hAnsi="Arial Narrow"/>
          <w:sz w:val="24"/>
          <w:szCs w:val="24"/>
        </w:rPr>
        <w:t>le système de soins afin d’</w:t>
      </w:r>
      <w:r w:rsidR="0079773B" w:rsidRPr="00C44C3A">
        <w:rPr>
          <w:rFonts w:ascii="Arial Narrow" w:hAnsi="Arial Narrow"/>
          <w:sz w:val="24"/>
          <w:szCs w:val="24"/>
        </w:rPr>
        <w:t>accroitre l’efficacité, la qualité dans la délivrance des services de santé ainsi que la redevabilité et la transparence dans l’utilisation des ressources financières et humaines</w:t>
      </w:r>
      <w:r w:rsidR="0079773B" w:rsidRPr="00C44C3A" w:rsidDel="00070D0A">
        <w:rPr>
          <w:rFonts w:ascii="Arial Narrow" w:hAnsi="Arial Narrow"/>
          <w:sz w:val="24"/>
          <w:szCs w:val="24"/>
        </w:rPr>
        <w:t xml:space="preserve">. </w:t>
      </w:r>
      <w:r w:rsidR="0079773B" w:rsidRPr="00C44C3A">
        <w:rPr>
          <w:rFonts w:ascii="Arial Narrow" w:hAnsi="Arial Narrow"/>
          <w:sz w:val="24"/>
          <w:szCs w:val="24"/>
        </w:rPr>
        <w:t>L’objectif étant d’implémenter un ensemble de mesures, dans les dimensions structurelle, organisationnelle et sanitaire, soutenu par les Technologies de Communication et Information (TCI)</w:t>
      </w:r>
      <w:r w:rsidR="0079773B" w:rsidRPr="00C44C3A" w:rsidDel="00314F90">
        <w:rPr>
          <w:rFonts w:ascii="Arial Narrow" w:hAnsi="Arial Narrow"/>
          <w:sz w:val="24"/>
          <w:szCs w:val="24"/>
        </w:rPr>
        <w:t xml:space="preserve">, </w:t>
      </w:r>
      <w:r w:rsidR="0079773B" w:rsidRPr="00C44C3A">
        <w:rPr>
          <w:rFonts w:ascii="Arial Narrow" w:hAnsi="Arial Narrow"/>
          <w:sz w:val="24"/>
          <w:szCs w:val="24"/>
        </w:rPr>
        <w:t>à travers la mise en place d'un Système d’Information Hospitalière (SIH) dans les établissements de santé</w:t>
      </w:r>
      <w:r w:rsidRPr="00C44C3A">
        <w:rPr>
          <w:rFonts w:ascii="Arial Narrow" w:hAnsi="Arial Narrow"/>
          <w:sz w:val="24"/>
          <w:szCs w:val="24"/>
        </w:rPr>
        <w:t>.</w:t>
      </w:r>
    </w:p>
    <w:p w14:paraId="7B4162EC" w14:textId="6DC303C9" w:rsidR="007F475A" w:rsidRPr="00C44C3A" w:rsidRDefault="007F475A" w:rsidP="00761F55">
      <w:pPr>
        <w:tabs>
          <w:tab w:val="left" w:pos="1085"/>
        </w:tabs>
        <w:jc w:val="both"/>
        <w:rPr>
          <w:rFonts w:ascii="Arial Narrow" w:hAnsi="Arial Narrow"/>
          <w:sz w:val="24"/>
          <w:szCs w:val="24"/>
        </w:rPr>
      </w:pPr>
      <w:r w:rsidRPr="00C44C3A">
        <w:rPr>
          <w:rFonts w:ascii="Arial Narrow" w:eastAsia="Times New Roman" w:hAnsi="Arial Narrow" w:cs="Arial"/>
          <w:kern w:val="0"/>
          <w:sz w:val="24"/>
          <w:szCs w:val="24"/>
          <w:lang w:eastAsia="fr-FR"/>
          <w14:ligatures w14:val="none"/>
        </w:rPr>
        <w:t>A cet effet, le décret n° 2021-763 du 1er décembre 2021 déterminant les modalités de mise en place d’un système d’information hospitalier (SIH) pour les EPH et les Etablissements Hospitaliers Privés (EHP) a été pris afin d’améliorer le système d’information hospitalier par l’informatisation et l’interconnexion (e-santé).</w:t>
      </w:r>
    </w:p>
    <w:p w14:paraId="78A37CF5" w14:textId="4451FE98" w:rsidR="00314F90" w:rsidRPr="00C44C3A" w:rsidRDefault="00314F90" w:rsidP="00A918AC">
      <w:pPr>
        <w:tabs>
          <w:tab w:val="left" w:pos="1085"/>
        </w:tabs>
        <w:jc w:val="both"/>
        <w:rPr>
          <w:rFonts w:ascii="Arial Narrow" w:hAnsi="Arial Narrow" w:cs="Arial"/>
          <w:sz w:val="24"/>
          <w:szCs w:val="24"/>
        </w:rPr>
      </w:pPr>
      <w:r w:rsidRPr="00C44C3A">
        <w:rPr>
          <w:rFonts w:ascii="Arial Narrow" w:hAnsi="Arial Narrow" w:cs="Arial"/>
          <w:sz w:val="24"/>
          <w:szCs w:val="24"/>
        </w:rPr>
        <w:t xml:space="preserve">Depuis 2021 le processus de digitalisation du secteur de la santé a démarré, avec la mise à disposition du matériel informatique dans les structures sanitaires et la formation des prestataires à l’utilisation de ces outils. Ainsi plus de </w:t>
      </w:r>
      <w:r w:rsidRPr="00C44C3A">
        <w:rPr>
          <w:rFonts w:ascii="Arial Narrow" w:hAnsi="Arial Narrow" w:cs="Arial"/>
          <w:b/>
          <w:sz w:val="24"/>
          <w:szCs w:val="24"/>
        </w:rPr>
        <w:t>202 établissements de santé (5 EPHN, 22 EPHR, 99 EPHD, 76 ESPC</w:t>
      </w:r>
      <w:r w:rsidRPr="00C44C3A">
        <w:rPr>
          <w:rFonts w:ascii="Arial Narrow" w:hAnsi="Arial Narrow" w:cs="Arial"/>
          <w:sz w:val="24"/>
          <w:szCs w:val="24"/>
        </w:rPr>
        <w:t>) ont été connectés au Système d'Information Hospitalier (SIH)/Dossier patient informatisé (DPI), soit une couverture de 88% des EPHR et EPHD.</w:t>
      </w:r>
      <w:r w:rsidR="00E33227" w:rsidRPr="00C44C3A">
        <w:rPr>
          <w:rFonts w:ascii="Arial Narrow" w:hAnsi="Arial Narrow" w:cs="Arial"/>
          <w:sz w:val="24"/>
          <w:szCs w:val="24"/>
        </w:rPr>
        <w:t xml:space="preserve"> </w:t>
      </w:r>
      <w:r w:rsidRPr="00C44C3A">
        <w:rPr>
          <w:rFonts w:ascii="Arial Narrow" w:hAnsi="Arial Narrow" w:cs="Arial"/>
          <w:sz w:val="24"/>
          <w:szCs w:val="24"/>
        </w:rPr>
        <w:t>Cette réforme a permis d'améliorer la transparence financière, d'augmenter les ressources générées par les hôpitaux et d’assurer le suivi et l’amélioration de la qualité des soins.</w:t>
      </w:r>
      <w:r w:rsidR="00A10DD1">
        <w:rPr>
          <w:rFonts w:ascii="Arial Narrow" w:hAnsi="Arial Narrow" w:cs="Arial"/>
          <w:sz w:val="24"/>
          <w:szCs w:val="24"/>
        </w:rPr>
        <w:t xml:space="preserve"> L</w:t>
      </w:r>
      <w:r w:rsidRPr="00C44C3A">
        <w:rPr>
          <w:rFonts w:ascii="Arial Narrow" w:hAnsi="Arial Narrow" w:cs="Arial"/>
          <w:sz w:val="24"/>
          <w:szCs w:val="24"/>
        </w:rPr>
        <w:t xml:space="preserve">e SIH-DPI a permis </w:t>
      </w:r>
      <w:r w:rsidRPr="00C44C3A">
        <w:rPr>
          <w:rFonts w:ascii="Arial Narrow" w:hAnsi="Arial Narrow" w:cs="Arial"/>
          <w:b/>
          <w:sz w:val="24"/>
          <w:szCs w:val="24"/>
        </w:rPr>
        <w:t>d’accroître les ressources financières générées de l’ordre de 40% à 135% par rapport à 2021</w:t>
      </w:r>
      <w:r w:rsidRPr="00C44C3A">
        <w:rPr>
          <w:rFonts w:ascii="Arial Narrow" w:hAnsi="Arial Narrow" w:cs="Arial"/>
          <w:sz w:val="24"/>
          <w:szCs w:val="24"/>
        </w:rPr>
        <w:t xml:space="preserve">. Concernant le traçage des actes de gratuités ciblées le taux de réalisation est passé de 40% en 2022 à 57,5% en 2023. </w:t>
      </w:r>
    </w:p>
    <w:p w14:paraId="32379EF5" w14:textId="48F383BB" w:rsidR="00A10DD1" w:rsidRDefault="00314F90" w:rsidP="00A10DD1">
      <w:pPr>
        <w:tabs>
          <w:tab w:val="left" w:pos="1085"/>
        </w:tabs>
        <w:jc w:val="both"/>
        <w:rPr>
          <w:rFonts w:ascii="Arial Narrow" w:hAnsi="Arial Narrow" w:cs="Arial"/>
          <w:lang w:eastAsia="fr-FR"/>
        </w:rPr>
      </w:pPr>
      <w:r w:rsidRPr="00C44C3A">
        <w:rPr>
          <w:rFonts w:ascii="Arial Narrow" w:hAnsi="Arial Narrow"/>
        </w:rPr>
        <w:t>En vue d’établir un réseau de soins de proximité, entre les Etablissements Sanitaires de Premier Contact (ESPC) et les Etablissements Public Hospitaliers (EPH)</w:t>
      </w:r>
      <w:r w:rsidR="00A10DD1">
        <w:rPr>
          <w:rFonts w:ascii="Arial Narrow" w:hAnsi="Arial Narrow"/>
        </w:rPr>
        <w:t xml:space="preserve">, </w:t>
      </w:r>
      <w:r w:rsidR="00AA3ED0" w:rsidRPr="0044167B">
        <w:rPr>
          <w:rFonts w:ascii="Arial Narrow" w:hAnsi="Arial Narrow"/>
        </w:rPr>
        <w:t xml:space="preserve">dans le cadre de la modernisation des soins de santé en Côte </w:t>
      </w:r>
      <w:r w:rsidR="00AA3ED0" w:rsidRPr="0044167B">
        <w:rPr>
          <w:rFonts w:ascii="Arial Narrow" w:hAnsi="Arial Narrow"/>
        </w:rPr>
        <w:lastRenderedPageBreak/>
        <w:t>d'Ivoire</w:t>
      </w:r>
      <w:r w:rsidRPr="00C44C3A">
        <w:rPr>
          <w:rFonts w:ascii="Arial Narrow" w:hAnsi="Arial Narrow"/>
        </w:rPr>
        <w:t xml:space="preserve">, la </w:t>
      </w:r>
      <w:r w:rsidR="003F13B0" w:rsidRPr="00C44C3A">
        <w:rPr>
          <w:rFonts w:ascii="Arial Narrow" w:hAnsi="Arial Narrow"/>
        </w:rPr>
        <w:t>télémédecine</w:t>
      </w:r>
      <w:r w:rsidRPr="00C44C3A">
        <w:rPr>
          <w:rFonts w:ascii="Arial Narrow" w:hAnsi="Arial Narrow"/>
        </w:rPr>
        <w:t xml:space="preserve"> a été adopté</w:t>
      </w:r>
      <w:r w:rsidRPr="00A10DD1">
        <w:rPr>
          <w:rFonts w:ascii="Arial Narrow" w:hAnsi="Arial Narrow"/>
        </w:rPr>
        <w:t>e.</w:t>
      </w:r>
      <w:r w:rsidR="00AA3ED0" w:rsidRPr="0044167B">
        <w:rPr>
          <w:rFonts w:ascii="Arial Narrow" w:hAnsi="Arial Narrow"/>
        </w:rPr>
        <w:t xml:space="preserve"> Le plan national de télémédecine 2021-2025 a été élaboré</w:t>
      </w:r>
      <w:r w:rsidR="00A10DD1" w:rsidRPr="0044167B">
        <w:rPr>
          <w:rFonts w:ascii="Arial Narrow" w:hAnsi="Arial Narrow"/>
        </w:rPr>
        <w:t xml:space="preserve"> et q</w:t>
      </w:r>
      <w:r w:rsidR="00AA3ED0" w:rsidRPr="0044167B">
        <w:rPr>
          <w:rFonts w:ascii="Arial Narrow" w:hAnsi="Arial Narrow"/>
        </w:rPr>
        <w:t xml:space="preserve">uatre (04) arrêtés d’application du décret n°2018-361 du 29 mars 2018 portant règlementation de la télémédecine ont été pris en 2021. </w:t>
      </w:r>
      <w:r w:rsidRPr="00C44C3A">
        <w:rPr>
          <w:rFonts w:ascii="Arial Narrow" w:hAnsi="Arial Narrow" w:cs="Arial"/>
        </w:rPr>
        <w:t xml:space="preserve"> A fin 2023, </w:t>
      </w:r>
      <w:bookmarkStart w:id="122" w:name="_Hlk185317808"/>
      <w:r w:rsidRPr="00C44C3A">
        <w:rPr>
          <w:rFonts w:ascii="Arial Narrow" w:hAnsi="Arial Narrow" w:cs="Arial"/>
          <w:b/>
          <w:lang w:eastAsia="fr-FR"/>
        </w:rPr>
        <w:t>39 structures sanitaires</w:t>
      </w:r>
      <w:r w:rsidR="00407F12" w:rsidRPr="00C44C3A">
        <w:rPr>
          <w:rStyle w:val="Appelnotedebasdep"/>
          <w:rFonts w:ascii="Arial Narrow" w:hAnsi="Arial Narrow" w:cs="Arial"/>
          <w:b/>
          <w:lang w:eastAsia="fr-FR"/>
        </w:rPr>
        <w:footnoteReference w:id="30"/>
      </w:r>
      <w:r w:rsidRPr="00C44C3A">
        <w:rPr>
          <w:rFonts w:ascii="Arial Narrow" w:hAnsi="Arial Narrow" w:cs="Arial"/>
          <w:lang w:eastAsia="fr-FR"/>
        </w:rPr>
        <w:t xml:space="preserve">, </w:t>
      </w:r>
      <w:r w:rsidR="00AA3ED0" w:rsidRPr="00AA3ED0">
        <w:rPr>
          <w:rFonts w:ascii="Arial Narrow" w:hAnsi="Arial Narrow" w:cs="Arial"/>
          <w:sz w:val="24"/>
          <w:szCs w:val="24"/>
          <w:lang w:val="fr-CI"/>
        </w:rPr>
        <w:t>sur les 1 114</w:t>
      </w:r>
      <w:r w:rsidR="00AA3ED0">
        <w:rPr>
          <w:rFonts w:ascii="Arial Narrow" w:hAnsi="Arial Narrow" w:cs="Arial"/>
          <w:lang w:val="fr-CI"/>
        </w:rPr>
        <w:t xml:space="preserve"> </w:t>
      </w:r>
      <w:r w:rsidR="00AA3ED0" w:rsidRPr="00AA3ED0">
        <w:rPr>
          <w:rFonts w:ascii="Arial Narrow" w:hAnsi="Arial Narrow" w:cs="Arial"/>
          <w:sz w:val="24"/>
          <w:szCs w:val="24"/>
          <w:lang w:val="fr-CI"/>
        </w:rPr>
        <w:t xml:space="preserve">au total </w:t>
      </w:r>
      <w:r w:rsidR="00AA3ED0">
        <w:rPr>
          <w:rFonts w:ascii="Arial Narrow" w:hAnsi="Arial Narrow" w:cs="Arial"/>
          <w:lang w:val="fr-CI"/>
        </w:rPr>
        <w:t xml:space="preserve">réalisent la </w:t>
      </w:r>
      <w:proofErr w:type="spellStart"/>
      <w:r w:rsidR="00AA3ED0">
        <w:rPr>
          <w:rFonts w:ascii="Arial Narrow" w:hAnsi="Arial Narrow" w:cs="Arial"/>
          <w:lang w:val="fr-CI"/>
        </w:rPr>
        <w:t>télémedecine</w:t>
      </w:r>
      <w:proofErr w:type="spellEnd"/>
      <w:r w:rsidR="00AA3ED0">
        <w:rPr>
          <w:rFonts w:ascii="Arial Narrow" w:hAnsi="Arial Narrow" w:cs="Arial"/>
          <w:lang w:val="fr-CI"/>
        </w:rPr>
        <w:t xml:space="preserve">, </w:t>
      </w:r>
      <w:r w:rsidRPr="00C44C3A">
        <w:rPr>
          <w:rFonts w:ascii="Arial Narrow" w:hAnsi="Arial Narrow" w:cs="Arial"/>
          <w:lang w:eastAsia="fr-FR"/>
        </w:rPr>
        <w:t>renforçant ainsi l'accès aux soins de proximité et réduisant le recours systématique à des références médicales</w:t>
      </w:r>
      <w:bookmarkEnd w:id="122"/>
      <w:r w:rsidRPr="00C44C3A">
        <w:rPr>
          <w:rFonts w:ascii="Arial Narrow" w:hAnsi="Arial Narrow" w:cs="Arial"/>
          <w:lang w:eastAsia="fr-FR"/>
        </w:rPr>
        <w:t>. Ainsi, des projets de télé-cardiologie, de santé mère-enfant et de médecine générale ont été mis en œuvre.</w:t>
      </w:r>
    </w:p>
    <w:p w14:paraId="20E9942B" w14:textId="2EDC52FD" w:rsidR="00AA3ED0" w:rsidRPr="003F13B0" w:rsidRDefault="00D92DD2" w:rsidP="00761F55">
      <w:pPr>
        <w:tabs>
          <w:tab w:val="left" w:pos="1085"/>
        </w:tabs>
        <w:jc w:val="both"/>
        <w:rPr>
          <w:rFonts w:ascii="Arial Narrow" w:hAnsi="Arial Narrow" w:cs="Arial"/>
          <w:sz w:val="24"/>
          <w:szCs w:val="24"/>
        </w:rPr>
      </w:pPr>
      <w:r w:rsidRPr="00C44C3A">
        <w:rPr>
          <w:rFonts w:ascii="Arial Narrow" w:hAnsi="Arial Narrow" w:cs="Arial"/>
          <w:lang w:eastAsia="fr-FR"/>
        </w:rPr>
        <w:t xml:space="preserve"> </w:t>
      </w:r>
      <w:r w:rsidR="00314F90" w:rsidRPr="00C44C3A">
        <w:rPr>
          <w:rFonts w:ascii="Arial Narrow" w:hAnsi="Arial Narrow" w:cs="Arial"/>
        </w:rPr>
        <w:t>En outre, un data center du MSHPCMU a été acquis et est en cours d’installation.</w:t>
      </w:r>
    </w:p>
    <w:p w14:paraId="68239FA3" w14:textId="63032D9D" w:rsidR="00D42568" w:rsidRPr="003F13B0" w:rsidRDefault="00D42568" w:rsidP="00761F55">
      <w:pPr>
        <w:pStyle w:val="Titre1"/>
        <w:jc w:val="both"/>
        <w:rPr>
          <w:rFonts w:ascii="Arial Narrow" w:hAnsi="Arial Narrow" w:cs="Arial"/>
          <w:b/>
          <w:sz w:val="24"/>
          <w:szCs w:val="24"/>
        </w:rPr>
      </w:pPr>
      <w:bookmarkStart w:id="123" w:name="_Toc178699581"/>
      <w:bookmarkStart w:id="124" w:name="_Toc190677486"/>
      <w:r w:rsidRPr="003F13B0">
        <w:rPr>
          <w:rFonts w:ascii="Arial Narrow" w:hAnsi="Arial Narrow" w:cs="Arial"/>
          <w:b/>
          <w:sz w:val="24"/>
          <w:szCs w:val="24"/>
        </w:rPr>
        <w:t>Section I</w:t>
      </w:r>
      <w:r w:rsidR="007204D5">
        <w:rPr>
          <w:rFonts w:ascii="Arial Narrow" w:hAnsi="Arial Narrow" w:cs="Arial"/>
          <w:b/>
          <w:sz w:val="24"/>
          <w:szCs w:val="24"/>
        </w:rPr>
        <w:t>V</w:t>
      </w:r>
      <w:r w:rsidRPr="003F13B0">
        <w:rPr>
          <w:rFonts w:ascii="Arial Narrow" w:hAnsi="Arial Narrow" w:cs="Arial"/>
          <w:b/>
          <w:sz w:val="24"/>
          <w:szCs w:val="24"/>
        </w:rPr>
        <w:t xml:space="preserve"> : </w:t>
      </w:r>
      <w:r w:rsidR="007204D5">
        <w:rPr>
          <w:rFonts w:ascii="Arial Narrow" w:hAnsi="Arial Narrow" w:cs="Arial"/>
          <w:b/>
          <w:sz w:val="24"/>
          <w:szCs w:val="24"/>
        </w:rPr>
        <w:t>Difficultés, défis, p</w:t>
      </w:r>
      <w:r w:rsidRPr="003F13B0">
        <w:rPr>
          <w:rFonts w:ascii="Arial Narrow" w:hAnsi="Arial Narrow" w:cs="Arial"/>
          <w:b/>
          <w:sz w:val="24"/>
          <w:szCs w:val="24"/>
        </w:rPr>
        <w:t xml:space="preserve">erspectives </w:t>
      </w:r>
      <w:bookmarkEnd w:id="123"/>
      <w:r w:rsidR="007204D5">
        <w:rPr>
          <w:rFonts w:ascii="Arial Narrow" w:hAnsi="Arial Narrow" w:cs="Arial"/>
          <w:b/>
          <w:sz w:val="24"/>
          <w:szCs w:val="24"/>
        </w:rPr>
        <w:t>et recommandations</w:t>
      </w:r>
      <w:bookmarkEnd w:id="124"/>
    </w:p>
    <w:p w14:paraId="1DBDBA6E" w14:textId="592FDA81" w:rsidR="006E7819" w:rsidRDefault="00F007D9" w:rsidP="00761F55">
      <w:pPr>
        <w:jc w:val="both"/>
        <w:rPr>
          <w:rFonts w:ascii="Arial Narrow" w:hAnsi="Arial Narrow" w:cs="Arial"/>
          <w:sz w:val="24"/>
          <w:szCs w:val="24"/>
        </w:rPr>
      </w:pPr>
      <w:r>
        <w:rPr>
          <w:rFonts w:ascii="Arial Narrow" w:hAnsi="Arial Narrow" w:cs="Arial"/>
          <w:sz w:val="24"/>
          <w:szCs w:val="24"/>
        </w:rPr>
        <w:t xml:space="preserve">Cette section du rapport présente </w:t>
      </w:r>
      <w:r w:rsidR="00C14115">
        <w:rPr>
          <w:rFonts w:ascii="Arial Narrow" w:hAnsi="Arial Narrow" w:cs="Arial"/>
          <w:sz w:val="24"/>
          <w:szCs w:val="24"/>
        </w:rPr>
        <w:t xml:space="preserve">les difficultés et défis du MSHPCMU, </w:t>
      </w:r>
      <w:r w:rsidR="005B1C48">
        <w:rPr>
          <w:rFonts w:ascii="Arial Narrow" w:hAnsi="Arial Narrow" w:cs="Arial"/>
          <w:sz w:val="24"/>
          <w:szCs w:val="24"/>
        </w:rPr>
        <w:t>pour lesquels des actions</w:t>
      </w:r>
      <w:r w:rsidR="00C14115">
        <w:rPr>
          <w:rFonts w:ascii="Arial Narrow" w:hAnsi="Arial Narrow" w:cs="Arial"/>
          <w:sz w:val="24"/>
          <w:szCs w:val="24"/>
        </w:rPr>
        <w:t xml:space="preserve"> </w:t>
      </w:r>
      <w:r w:rsidR="005B1C48">
        <w:rPr>
          <w:rFonts w:ascii="Arial Narrow" w:hAnsi="Arial Narrow" w:cs="Arial"/>
          <w:sz w:val="24"/>
          <w:szCs w:val="24"/>
        </w:rPr>
        <w:t xml:space="preserve">devront être entreprises </w:t>
      </w:r>
      <w:r w:rsidR="001D683D">
        <w:rPr>
          <w:rFonts w:ascii="Arial Narrow" w:hAnsi="Arial Narrow" w:cs="Arial"/>
          <w:sz w:val="24"/>
          <w:szCs w:val="24"/>
        </w:rPr>
        <w:t>dans la</w:t>
      </w:r>
      <w:r w:rsidR="005B1C48">
        <w:rPr>
          <w:rFonts w:ascii="Arial Narrow" w:hAnsi="Arial Narrow" w:cs="Arial"/>
          <w:sz w:val="24"/>
          <w:szCs w:val="24"/>
        </w:rPr>
        <w:t xml:space="preserve"> perspective de l’élaboration du PNDS</w:t>
      </w:r>
      <w:r w:rsidR="005D66AF">
        <w:rPr>
          <w:rFonts w:ascii="Arial Narrow" w:hAnsi="Arial Narrow" w:cs="Arial"/>
          <w:sz w:val="24"/>
          <w:szCs w:val="24"/>
        </w:rPr>
        <w:t xml:space="preserve"> 2026-2030</w:t>
      </w:r>
      <w:r w:rsidR="005B1C48">
        <w:rPr>
          <w:rFonts w:ascii="Arial Narrow" w:hAnsi="Arial Narrow" w:cs="Arial"/>
          <w:sz w:val="24"/>
          <w:szCs w:val="24"/>
        </w:rPr>
        <w:t>.</w:t>
      </w:r>
      <w:r w:rsidR="005D66AF">
        <w:rPr>
          <w:rFonts w:ascii="Arial Narrow" w:hAnsi="Arial Narrow" w:cs="Arial"/>
          <w:sz w:val="24"/>
          <w:szCs w:val="24"/>
        </w:rPr>
        <w:t xml:space="preserve"> Aussi, des recommandations y sont formulées à l’endroit de l’ensemble des acteurs du système de santé</w:t>
      </w:r>
      <w:r w:rsidR="006E7819">
        <w:rPr>
          <w:rFonts w:ascii="Arial Narrow" w:hAnsi="Arial Narrow" w:cs="Arial"/>
          <w:sz w:val="24"/>
          <w:szCs w:val="24"/>
        </w:rPr>
        <w:t xml:space="preserve"> pour une meilleure planification, une meilleure coordination et une meilleure appropriation du PNDS par ces derniers.</w:t>
      </w:r>
      <w:r w:rsidR="005B1C48">
        <w:rPr>
          <w:rFonts w:ascii="Arial Narrow" w:hAnsi="Arial Narrow" w:cs="Arial"/>
          <w:sz w:val="24"/>
          <w:szCs w:val="24"/>
        </w:rPr>
        <w:t xml:space="preserve"> </w:t>
      </w:r>
    </w:p>
    <w:p w14:paraId="39B02D6C" w14:textId="05D4EE76" w:rsidR="00D42568" w:rsidRPr="003F13B0" w:rsidRDefault="006E7819" w:rsidP="00761F55">
      <w:pPr>
        <w:jc w:val="both"/>
        <w:rPr>
          <w:rFonts w:ascii="Arial Narrow" w:hAnsi="Arial Narrow" w:cs="Arial"/>
          <w:sz w:val="24"/>
          <w:szCs w:val="24"/>
        </w:rPr>
      </w:pPr>
      <w:r>
        <w:rPr>
          <w:rFonts w:ascii="Arial Narrow" w:hAnsi="Arial Narrow" w:cs="Arial"/>
          <w:sz w:val="24"/>
          <w:szCs w:val="24"/>
        </w:rPr>
        <w:t xml:space="preserve">Par ailleurs, </w:t>
      </w:r>
      <w:r w:rsidR="00ED5F0F">
        <w:rPr>
          <w:rFonts w:ascii="Arial Narrow" w:hAnsi="Arial Narrow" w:cs="Arial"/>
          <w:sz w:val="24"/>
          <w:szCs w:val="24"/>
        </w:rPr>
        <w:t>u</w:t>
      </w:r>
      <w:r w:rsidR="006D01BA" w:rsidRPr="003F13B0">
        <w:rPr>
          <w:rFonts w:ascii="Arial Narrow" w:hAnsi="Arial Narrow" w:cs="Arial"/>
          <w:sz w:val="24"/>
          <w:szCs w:val="24"/>
        </w:rPr>
        <w:t xml:space="preserve">n exercice d’analyse des problèmes de santé pour différentes thématiques clés a été conduit. </w:t>
      </w:r>
      <w:r w:rsidR="001C2007" w:rsidRPr="003F13B0">
        <w:rPr>
          <w:rFonts w:ascii="Arial Narrow" w:hAnsi="Arial Narrow" w:cs="Arial"/>
          <w:sz w:val="24"/>
          <w:szCs w:val="24"/>
        </w:rPr>
        <w:t>Cet exercice a révélé la persistance de différents problèmes de santé et leur facteurs explicatifs</w:t>
      </w:r>
      <w:r w:rsidR="004321B0">
        <w:rPr>
          <w:rFonts w:ascii="Arial Narrow" w:hAnsi="Arial Narrow" w:cs="Arial"/>
          <w:sz w:val="24"/>
          <w:szCs w:val="24"/>
        </w:rPr>
        <w:t xml:space="preserve"> </w:t>
      </w:r>
      <w:r w:rsidR="004321B0" w:rsidRPr="00056853">
        <w:rPr>
          <w:rFonts w:ascii="Arial Narrow" w:hAnsi="Arial Narrow" w:cs="Arial"/>
          <w:i/>
          <w:iCs/>
          <w:sz w:val="24"/>
          <w:szCs w:val="24"/>
        </w:rPr>
        <w:t>(cf.</w:t>
      </w:r>
      <w:r w:rsidR="00056853" w:rsidRPr="00056853">
        <w:rPr>
          <w:rFonts w:ascii="Arial Narrow" w:hAnsi="Arial Narrow" w:cs="Arial"/>
          <w:i/>
          <w:iCs/>
          <w:sz w:val="24"/>
          <w:szCs w:val="24"/>
        </w:rPr>
        <w:t xml:space="preserve"> annexe</w:t>
      </w:r>
      <w:r w:rsidR="008E7C3E">
        <w:rPr>
          <w:rFonts w:ascii="Arial Narrow" w:hAnsi="Arial Narrow" w:cs="Arial"/>
          <w:i/>
          <w:iCs/>
          <w:sz w:val="24"/>
          <w:szCs w:val="24"/>
        </w:rPr>
        <w:t xml:space="preserve"> 1</w:t>
      </w:r>
      <w:r w:rsidR="00056853" w:rsidRPr="00056853">
        <w:rPr>
          <w:rFonts w:ascii="Arial Narrow" w:hAnsi="Arial Narrow" w:cs="Arial"/>
          <w:i/>
          <w:iCs/>
          <w:sz w:val="24"/>
          <w:szCs w:val="24"/>
        </w:rPr>
        <w:t>)</w:t>
      </w:r>
      <w:r w:rsidR="001C2007" w:rsidRPr="003F13B0">
        <w:rPr>
          <w:rFonts w:ascii="Arial Narrow" w:hAnsi="Arial Narrow" w:cs="Arial"/>
          <w:sz w:val="24"/>
          <w:szCs w:val="24"/>
        </w:rPr>
        <w:t xml:space="preserve">, malgré la mise en œuvre en cours du PNDS 2021-2025. </w:t>
      </w:r>
      <w:r w:rsidR="00653672" w:rsidRPr="003F13B0">
        <w:rPr>
          <w:rFonts w:ascii="Arial Narrow" w:hAnsi="Arial Narrow" w:cs="Arial"/>
          <w:sz w:val="24"/>
          <w:szCs w:val="24"/>
        </w:rPr>
        <w:t>Les résultat</w:t>
      </w:r>
      <w:r w:rsidR="007E5DD8" w:rsidRPr="003F13B0">
        <w:rPr>
          <w:rFonts w:ascii="Arial Narrow" w:hAnsi="Arial Narrow" w:cs="Arial"/>
          <w:sz w:val="24"/>
          <w:szCs w:val="24"/>
        </w:rPr>
        <w:t>s</w:t>
      </w:r>
      <w:r w:rsidR="00653672" w:rsidRPr="003F13B0">
        <w:rPr>
          <w:rFonts w:ascii="Arial Narrow" w:hAnsi="Arial Narrow" w:cs="Arial"/>
          <w:sz w:val="24"/>
          <w:szCs w:val="24"/>
        </w:rPr>
        <w:t xml:space="preserve"> de cet exercice pourraient servir de pré-diagnostic pour l’élaboration du prochain PNDS.</w:t>
      </w:r>
    </w:p>
    <w:p w14:paraId="36CB4FB8" w14:textId="4F8FE941" w:rsidR="00D42568" w:rsidRPr="003F13B0" w:rsidRDefault="00D42568" w:rsidP="00761F55">
      <w:pPr>
        <w:pStyle w:val="Titre2"/>
        <w:jc w:val="both"/>
        <w:rPr>
          <w:rFonts w:ascii="Arial Narrow" w:hAnsi="Arial Narrow" w:cs="Arial"/>
          <w:sz w:val="24"/>
          <w:szCs w:val="24"/>
        </w:rPr>
      </w:pPr>
      <w:bookmarkStart w:id="125" w:name="_Toc190677487"/>
      <w:bookmarkStart w:id="126" w:name="_Toc178699582"/>
      <w:r w:rsidRPr="003F13B0">
        <w:rPr>
          <w:rFonts w:ascii="Arial Narrow" w:hAnsi="Arial Narrow" w:cs="Arial"/>
          <w:sz w:val="24"/>
          <w:szCs w:val="24"/>
        </w:rPr>
        <w:t>III.</w:t>
      </w:r>
      <w:r w:rsidR="00960BD5" w:rsidRPr="003F13B0">
        <w:rPr>
          <w:rFonts w:ascii="Arial Narrow" w:hAnsi="Arial Narrow" w:cs="Arial"/>
          <w:sz w:val="24"/>
          <w:szCs w:val="24"/>
        </w:rPr>
        <w:t>1</w:t>
      </w:r>
      <w:r w:rsidRPr="003F13B0">
        <w:rPr>
          <w:rFonts w:ascii="Arial Narrow" w:hAnsi="Arial Narrow" w:cs="Arial"/>
          <w:sz w:val="24"/>
          <w:szCs w:val="24"/>
        </w:rPr>
        <w:t xml:space="preserve">. </w:t>
      </w:r>
      <w:r w:rsidR="00357079" w:rsidRPr="003F13B0">
        <w:rPr>
          <w:rFonts w:ascii="Arial Narrow" w:hAnsi="Arial Narrow" w:cs="Arial"/>
          <w:sz w:val="24"/>
          <w:szCs w:val="24"/>
        </w:rPr>
        <w:t>Difficultés</w:t>
      </w:r>
      <w:r w:rsidR="00C539AF" w:rsidRPr="003F13B0" w:rsidDel="00C539AF">
        <w:rPr>
          <w:rFonts w:ascii="Arial Narrow" w:hAnsi="Arial Narrow" w:cs="Arial"/>
          <w:sz w:val="24"/>
          <w:szCs w:val="24"/>
        </w:rPr>
        <w:t xml:space="preserve"> </w:t>
      </w:r>
      <w:r w:rsidRPr="003F13B0">
        <w:rPr>
          <w:rFonts w:ascii="Arial Narrow" w:hAnsi="Arial Narrow" w:cs="Arial"/>
          <w:sz w:val="24"/>
          <w:szCs w:val="24"/>
        </w:rPr>
        <w:t>d</w:t>
      </w:r>
      <w:r w:rsidR="00322ABA">
        <w:rPr>
          <w:rFonts w:ascii="Arial Narrow" w:hAnsi="Arial Narrow" w:cs="Arial"/>
          <w:sz w:val="24"/>
          <w:szCs w:val="24"/>
        </w:rPr>
        <w:t>es acteurs du</w:t>
      </w:r>
      <w:r w:rsidRPr="003F13B0">
        <w:rPr>
          <w:rFonts w:ascii="Arial Narrow" w:hAnsi="Arial Narrow" w:cs="Arial"/>
          <w:sz w:val="24"/>
          <w:szCs w:val="24"/>
        </w:rPr>
        <w:t xml:space="preserve"> système de </w:t>
      </w:r>
      <w:r w:rsidR="007F4473" w:rsidRPr="003F13B0">
        <w:rPr>
          <w:rFonts w:ascii="Arial Narrow" w:hAnsi="Arial Narrow" w:cs="Arial"/>
          <w:sz w:val="24"/>
          <w:szCs w:val="24"/>
        </w:rPr>
        <w:t>santé</w:t>
      </w:r>
      <w:bookmarkEnd w:id="125"/>
      <w:r w:rsidR="007F4473" w:rsidRPr="003F13B0">
        <w:rPr>
          <w:rFonts w:ascii="Arial Narrow" w:hAnsi="Arial Narrow" w:cs="Arial"/>
          <w:sz w:val="24"/>
          <w:szCs w:val="24"/>
        </w:rPr>
        <w:t xml:space="preserve"> </w:t>
      </w:r>
      <w:bookmarkEnd w:id="126"/>
    </w:p>
    <w:p w14:paraId="04B63D95" w14:textId="3EC4702B" w:rsidR="00D42568" w:rsidRPr="003F13B0" w:rsidRDefault="00D42568" w:rsidP="00761F55">
      <w:pPr>
        <w:jc w:val="both"/>
        <w:rPr>
          <w:rFonts w:ascii="Arial Narrow" w:hAnsi="Arial Narrow" w:cs="Arial"/>
          <w:sz w:val="24"/>
          <w:szCs w:val="24"/>
        </w:rPr>
      </w:pPr>
      <w:r w:rsidRPr="003F13B0">
        <w:rPr>
          <w:rFonts w:ascii="Arial Narrow" w:hAnsi="Arial Narrow" w:cs="Arial"/>
          <w:sz w:val="24"/>
          <w:szCs w:val="24"/>
        </w:rPr>
        <w:t xml:space="preserve">Le système de </w:t>
      </w:r>
      <w:r w:rsidR="00C9070F" w:rsidRPr="003F13B0">
        <w:rPr>
          <w:rFonts w:ascii="Arial Narrow" w:hAnsi="Arial Narrow" w:cs="Arial"/>
          <w:sz w:val="24"/>
          <w:szCs w:val="24"/>
        </w:rPr>
        <w:t xml:space="preserve">santé </w:t>
      </w:r>
      <w:r w:rsidRPr="003F13B0">
        <w:rPr>
          <w:rFonts w:ascii="Arial Narrow" w:hAnsi="Arial Narrow" w:cs="Arial"/>
          <w:sz w:val="24"/>
          <w:szCs w:val="24"/>
        </w:rPr>
        <w:t xml:space="preserve">présente des </w:t>
      </w:r>
      <w:r w:rsidR="007606AF">
        <w:rPr>
          <w:rFonts w:ascii="Arial Narrow" w:hAnsi="Arial Narrow" w:cs="Arial"/>
          <w:sz w:val="24"/>
          <w:szCs w:val="24"/>
        </w:rPr>
        <w:t>difficultés</w:t>
      </w:r>
      <w:r w:rsidRPr="003F13B0">
        <w:rPr>
          <w:rFonts w:ascii="Arial Narrow" w:hAnsi="Arial Narrow" w:cs="Arial"/>
          <w:sz w:val="24"/>
          <w:szCs w:val="24"/>
        </w:rPr>
        <w:t xml:space="preserve"> d’ordres structurel, fonctionnel, organisationnel et opérationnel. Ces défis, auxquels font face les acteurs du système de </w:t>
      </w:r>
      <w:r w:rsidR="00E57FB6" w:rsidRPr="003F13B0">
        <w:rPr>
          <w:rFonts w:ascii="Arial Narrow" w:hAnsi="Arial Narrow" w:cs="Arial"/>
          <w:sz w:val="24"/>
          <w:szCs w:val="24"/>
        </w:rPr>
        <w:t>s</w:t>
      </w:r>
      <w:r w:rsidRPr="003F13B0">
        <w:rPr>
          <w:rFonts w:ascii="Arial Narrow" w:hAnsi="Arial Narrow" w:cs="Arial"/>
          <w:sz w:val="24"/>
          <w:szCs w:val="24"/>
        </w:rPr>
        <w:t xml:space="preserve">anté, ont été </w:t>
      </w:r>
      <w:r w:rsidR="00E33227" w:rsidRPr="003F13B0">
        <w:rPr>
          <w:rFonts w:ascii="Arial Narrow" w:hAnsi="Arial Narrow" w:cs="Arial"/>
          <w:sz w:val="24"/>
          <w:szCs w:val="24"/>
        </w:rPr>
        <w:t>recueillis à</w:t>
      </w:r>
      <w:r w:rsidRPr="003F13B0">
        <w:rPr>
          <w:rFonts w:ascii="Arial Narrow" w:hAnsi="Arial Narrow" w:cs="Arial"/>
          <w:sz w:val="24"/>
          <w:szCs w:val="24"/>
        </w:rPr>
        <w:t xml:space="preserve"> l’occasion de cette revue. Cette partie du rapport documente ces </w:t>
      </w:r>
      <w:r w:rsidR="002D565D">
        <w:rPr>
          <w:rFonts w:ascii="Arial Narrow" w:hAnsi="Arial Narrow" w:cs="Arial"/>
          <w:sz w:val="24"/>
          <w:szCs w:val="24"/>
        </w:rPr>
        <w:t>difficultés</w:t>
      </w:r>
      <w:r w:rsidRPr="003F13B0">
        <w:rPr>
          <w:rFonts w:ascii="Arial Narrow" w:hAnsi="Arial Narrow" w:cs="Arial"/>
          <w:sz w:val="24"/>
          <w:szCs w:val="24"/>
        </w:rPr>
        <w:t xml:space="preserve"> rencontré</w:t>
      </w:r>
      <w:r w:rsidR="002D565D">
        <w:rPr>
          <w:rFonts w:ascii="Arial Narrow" w:hAnsi="Arial Narrow" w:cs="Arial"/>
          <w:sz w:val="24"/>
          <w:szCs w:val="24"/>
        </w:rPr>
        <w:t>e</w:t>
      </w:r>
      <w:r w:rsidRPr="003F13B0">
        <w:rPr>
          <w:rFonts w:ascii="Arial Narrow" w:hAnsi="Arial Narrow" w:cs="Arial"/>
          <w:sz w:val="24"/>
          <w:szCs w:val="24"/>
        </w:rPr>
        <w:t xml:space="preserve">s par les structures du MSHPCMU, tant au niveau central que déconcentré, dans le cadre de la mise en œuvre du PNDS </w:t>
      </w:r>
      <w:r w:rsidR="009E3475" w:rsidRPr="003F13B0">
        <w:rPr>
          <w:rFonts w:ascii="Arial Narrow" w:hAnsi="Arial Narrow" w:cs="Arial"/>
          <w:sz w:val="24"/>
          <w:szCs w:val="24"/>
        </w:rPr>
        <w:t>2021-2025</w:t>
      </w:r>
      <w:r w:rsidRPr="003F13B0">
        <w:rPr>
          <w:rFonts w:ascii="Arial Narrow" w:hAnsi="Arial Narrow" w:cs="Arial"/>
          <w:sz w:val="24"/>
          <w:szCs w:val="24"/>
        </w:rPr>
        <w:t>.</w:t>
      </w:r>
    </w:p>
    <w:p w14:paraId="6CC6E7CE" w14:textId="6448C1E3" w:rsidR="00D42568" w:rsidRPr="003F13B0" w:rsidRDefault="00357079" w:rsidP="00761F55">
      <w:pPr>
        <w:pStyle w:val="Titre3"/>
        <w:jc w:val="both"/>
        <w:rPr>
          <w:rFonts w:ascii="Arial Narrow" w:hAnsi="Arial Narrow" w:cs="Arial"/>
          <w:b/>
          <w:color w:val="auto"/>
          <w:sz w:val="24"/>
          <w:szCs w:val="24"/>
        </w:rPr>
      </w:pPr>
      <w:bookmarkStart w:id="127" w:name="_Toc178699583"/>
      <w:bookmarkStart w:id="128" w:name="_Toc190677488"/>
      <w:r w:rsidRPr="003F13B0">
        <w:rPr>
          <w:rFonts w:ascii="Arial Narrow" w:hAnsi="Arial Narrow" w:cs="Arial"/>
          <w:b/>
          <w:color w:val="auto"/>
          <w:sz w:val="24"/>
          <w:szCs w:val="24"/>
        </w:rPr>
        <w:t>Difficultés</w:t>
      </w:r>
      <w:r w:rsidR="00C539AF" w:rsidRPr="003F13B0">
        <w:rPr>
          <w:rFonts w:ascii="Arial Narrow" w:hAnsi="Arial Narrow" w:cs="Arial"/>
          <w:b/>
          <w:color w:val="auto"/>
          <w:sz w:val="24"/>
          <w:szCs w:val="24"/>
        </w:rPr>
        <w:t xml:space="preserve"> </w:t>
      </w:r>
      <w:r w:rsidR="00D42568" w:rsidRPr="003F13B0">
        <w:rPr>
          <w:rFonts w:ascii="Arial Narrow" w:hAnsi="Arial Narrow" w:cs="Arial"/>
          <w:b/>
          <w:color w:val="auto"/>
          <w:sz w:val="24"/>
          <w:szCs w:val="24"/>
        </w:rPr>
        <w:t>à la mise en œuvre du PNDS au niveau central</w:t>
      </w:r>
      <w:bookmarkEnd w:id="127"/>
      <w:bookmarkEnd w:id="128"/>
      <w:r w:rsidR="006768C0" w:rsidRPr="003F13B0">
        <w:rPr>
          <w:rFonts w:ascii="Arial Narrow" w:hAnsi="Arial Narrow" w:cs="Arial"/>
          <w:b/>
          <w:color w:val="auto"/>
          <w:sz w:val="24"/>
          <w:szCs w:val="24"/>
        </w:rPr>
        <w:t xml:space="preserve"> </w:t>
      </w:r>
    </w:p>
    <w:p w14:paraId="25B7AC85" w14:textId="6A6353B9" w:rsidR="00D42568" w:rsidRPr="003F13B0" w:rsidRDefault="00D42568" w:rsidP="00761F55">
      <w:pPr>
        <w:jc w:val="both"/>
        <w:rPr>
          <w:rFonts w:ascii="Arial Narrow" w:hAnsi="Arial Narrow" w:cs="Arial"/>
          <w:sz w:val="24"/>
          <w:szCs w:val="24"/>
        </w:rPr>
      </w:pPr>
      <w:r w:rsidRPr="003F13B0">
        <w:rPr>
          <w:rFonts w:ascii="Arial Narrow" w:hAnsi="Arial Narrow" w:cs="Arial"/>
          <w:sz w:val="24"/>
          <w:szCs w:val="24"/>
        </w:rPr>
        <w:t xml:space="preserve">Les structures </w:t>
      </w:r>
      <w:r w:rsidR="00061145" w:rsidRPr="003F13B0">
        <w:rPr>
          <w:rFonts w:ascii="Arial Narrow" w:hAnsi="Arial Narrow" w:cs="Arial"/>
          <w:sz w:val="24"/>
          <w:szCs w:val="24"/>
        </w:rPr>
        <w:t xml:space="preserve">interviewées au </w:t>
      </w:r>
      <w:r w:rsidRPr="003F13B0">
        <w:rPr>
          <w:rFonts w:ascii="Arial Narrow" w:hAnsi="Arial Narrow" w:cs="Arial"/>
          <w:sz w:val="24"/>
          <w:szCs w:val="24"/>
        </w:rPr>
        <w:t xml:space="preserve">niveau central </w:t>
      </w:r>
      <w:r w:rsidR="00061145" w:rsidRPr="003F13B0">
        <w:rPr>
          <w:rFonts w:ascii="Arial Narrow" w:hAnsi="Arial Narrow" w:cs="Arial"/>
          <w:sz w:val="24"/>
          <w:szCs w:val="24"/>
        </w:rPr>
        <w:t xml:space="preserve">déclarent être </w:t>
      </w:r>
      <w:r w:rsidRPr="003F13B0">
        <w:rPr>
          <w:rFonts w:ascii="Arial Narrow" w:hAnsi="Arial Narrow" w:cs="Arial"/>
          <w:sz w:val="24"/>
          <w:szCs w:val="24"/>
        </w:rPr>
        <w:t xml:space="preserve">confrontées dans la mise en œuvre du PNDS à différents défis, dont les plus récurrents tournent successivement autour des ressources humaines (70%), des infrastructures (49%), du financement (46%) et de la coordination (30%). Autrement dit, 70% des structures interrogées au niveau central ont évoqué la question des ressources humaines comme un défi majeur dans le cadre de la mise en œuvre du PNDS </w:t>
      </w:r>
      <w:r w:rsidR="009E3475" w:rsidRPr="003F13B0">
        <w:rPr>
          <w:rFonts w:ascii="Arial Narrow" w:hAnsi="Arial Narrow" w:cs="Arial"/>
          <w:sz w:val="24"/>
          <w:szCs w:val="24"/>
        </w:rPr>
        <w:t>2021-2025</w:t>
      </w:r>
      <w:r w:rsidRPr="003F13B0">
        <w:rPr>
          <w:rFonts w:ascii="Arial Narrow" w:hAnsi="Arial Narrow" w:cs="Arial"/>
          <w:sz w:val="24"/>
          <w:szCs w:val="24"/>
        </w:rPr>
        <w:t>.</w:t>
      </w:r>
      <w:r w:rsidR="008C168F">
        <w:rPr>
          <w:rFonts w:ascii="Arial Narrow" w:hAnsi="Arial Narrow" w:cs="Arial"/>
          <w:sz w:val="24"/>
          <w:szCs w:val="24"/>
        </w:rPr>
        <w:t xml:space="preserve"> </w:t>
      </w:r>
    </w:p>
    <w:p w14:paraId="4A1198BA" w14:textId="03615BDA" w:rsidR="00DB6E17" w:rsidRDefault="00DB6E17" w:rsidP="00DC5897">
      <w:pPr>
        <w:pStyle w:val="Lgende"/>
      </w:pPr>
      <w:bookmarkStart w:id="129" w:name="_Toc183688815"/>
      <w:r>
        <w:t xml:space="preserve">Graphique </w:t>
      </w:r>
      <w:r>
        <w:fldChar w:fldCharType="begin"/>
      </w:r>
      <w:r>
        <w:instrText xml:space="preserve"> SEQ Graphique \* ARABIC </w:instrText>
      </w:r>
      <w:r>
        <w:fldChar w:fldCharType="separate"/>
      </w:r>
      <w:r w:rsidR="003E6DE7">
        <w:rPr>
          <w:noProof/>
        </w:rPr>
        <w:t>28</w:t>
      </w:r>
      <w:r>
        <w:fldChar w:fldCharType="end"/>
      </w:r>
      <w:r>
        <w:t xml:space="preserve"> : Principales difficultés de mise en œuvre du PNDS </w:t>
      </w:r>
      <w:r w:rsidR="00EB1E3B">
        <w:t xml:space="preserve">2021-2025 </w:t>
      </w:r>
      <w:r>
        <w:t>au niveau central</w:t>
      </w:r>
      <w:bookmarkEnd w:id="129"/>
    </w:p>
    <w:p w14:paraId="32A81263" w14:textId="510A05D0" w:rsidR="000E7AF6" w:rsidRPr="003F13B0" w:rsidRDefault="001308F0" w:rsidP="00DC5897">
      <w:pPr>
        <w:pStyle w:val="Lgende"/>
      </w:pPr>
      <w:r w:rsidRPr="00BE0649">
        <w:rPr>
          <w:noProof/>
          <w:lang w:eastAsia="fr-FR"/>
        </w:rPr>
        <w:drawing>
          <wp:inline distT="0" distB="0" distL="0" distR="0" wp14:anchorId="088DD44F" wp14:editId="12AB4170">
            <wp:extent cx="5731510" cy="2231136"/>
            <wp:effectExtent l="0" t="0" r="2540" b="17145"/>
            <wp:docPr id="460368351" name="Chart 1">
              <a:extLst xmlns:a="http://schemas.openxmlformats.org/drawingml/2006/main">
                <a:ext uri="{FF2B5EF4-FFF2-40B4-BE49-F238E27FC236}">
                  <a16:creationId xmlns:a16="http://schemas.microsoft.com/office/drawing/2014/main" id="{64F0FC6E-0A7A-0640-1F29-876910FCB7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012DE4CC" w14:textId="41118635" w:rsidR="000E7AF6" w:rsidRPr="003F13B0" w:rsidRDefault="000E7AF6" w:rsidP="00DC5897">
      <w:pPr>
        <w:pStyle w:val="Lgende"/>
        <w:rPr>
          <w:sz w:val="24"/>
          <w:szCs w:val="24"/>
        </w:rPr>
      </w:pPr>
      <w:r w:rsidRPr="003F13B0">
        <w:lastRenderedPageBreak/>
        <w:t xml:space="preserve">Sources : Données collectées pour la </w:t>
      </w:r>
      <w:r w:rsidR="00B635D8">
        <w:t>revue</w:t>
      </w:r>
      <w:r w:rsidRPr="003F13B0">
        <w:t xml:space="preserve"> du PNDS 2021-2025</w:t>
      </w:r>
    </w:p>
    <w:p w14:paraId="36EB367F" w14:textId="72F91D79" w:rsidR="00D42568" w:rsidRPr="003F13B0" w:rsidRDefault="00D42568" w:rsidP="00761F55">
      <w:pPr>
        <w:pStyle w:val="Titre4"/>
        <w:jc w:val="both"/>
        <w:rPr>
          <w:rFonts w:ascii="Arial Narrow" w:hAnsi="Arial Narrow" w:cs="Arial"/>
          <w:i w:val="0"/>
          <w:iCs w:val="0"/>
          <w:sz w:val="24"/>
          <w:szCs w:val="24"/>
        </w:rPr>
      </w:pPr>
      <w:bookmarkStart w:id="130" w:name="_Toc178699584"/>
      <w:r w:rsidRPr="003F13B0">
        <w:rPr>
          <w:rFonts w:ascii="Arial Narrow" w:hAnsi="Arial Narrow" w:cs="Arial"/>
          <w:i w:val="0"/>
          <w:iCs w:val="0"/>
          <w:sz w:val="24"/>
          <w:szCs w:val="24"/>
        </w:rPr>
        <w:t xml:space="preserve">Au titre des </w:t>
      </w:r>
      <w:r w:rsidR="00357079" w:rsidRPr="003F13B0">
        <w:rPr>
          <w:rFonts w:ascii="Arial Narrow" w:hAnsi="Arial Narrow" w:cs="Arial"/>
          <w:i w:val="0"/>
          <w:iCs w:val="0"/>
          <w:sz w:val="24"/>
          <w:szCs w:val="24"/>
        </w:rPr>
        <w:t>difficultés</w:t>
      </w:r>
      <w:r w:rsidR="00C539AF" w:rsidRPr="003F13B0" w:rsidDel="00C539AF">
        <w:rPr>
          <w:rFonts w:ascii="Arial Narrow" w:hAnsi="Arial Narrow" w:cs="Arial"/>
          <w:i w:val="0"/>
          <w:iCs w:val="0"/>
          <w:sz w:val="24"/>
          <w:szCs w:val="24"/>
        </w:rPr>
        <w:t xml:space="preserve"> </w:t>
      </w:r>
      <w:r w:rsidRPr="003F13B0">
        <w:rPr>
          <w:rFonts w:ascii="Arial Narrow" w:hAnsi="Arial Narrow" w:cs="Arial"/>
          <w:i w:val="0"/>
          <w:iCs w:val="0"/>
          <w:sz w:val="24"/>
          <w:szCs w:val="24"/>
        </w:rPr>
        <w:t>lié</w:t>
      </w:r>
      <w:r w:rsidR="005F4314" w:rsidRPr="003F13B0">
        <w:rPr>
          <w:rFonts w:ascii="Arial Narrow" w:hAnsi="Arial Narrow" w:cs="Arial"/>
          <w:i w:val="0"/>
          <w:iCs w:val="0"/>
          <w:sz w:val="24"/>
          <w:szCs w:val="24"/>
        </w:rPr>
        <w:t>e</w:t>
      </w:r>
      <w:r w:rsidRPr="003F13B0">
        <w:rPr>
          <w:rFonts w:ascii="Arial Narrow" w:hAnsi="Arial Narrow" w:cs="Arial"/>
          <w:i w:val="0"/>
          <w:iCs w:val="0"/>
          <w:sz w:val="24"/>
          <w:szCs w:val="24"/>
        </w:rPr>
        <w:t>s aux ressources humaines</w:t>
      </w:r>
      <w:bookmarkEnd w:id="130"/>
      <w:r w:rsidRPr="003F13B0">
        <w:rPr>
          <w:rFonts w:ascii="Arial Narrow" w:hAnsi="Arial Narrow" w:cs="Arial"/>
          <w:i w:val="0"/>
          <w:iCs w:val="0"/>
          <w:sz w:val="24"/>
          <w:szCs w:val="24"/>
        </w:rPr>
        <w:t xml:space="preserve"> </w:t>
      </w:r>
    </w:p>
    <w:p w14:paraId="78968046" w14:textId="29259172" w:rsidR="00D42568" w:rsidRPr="003F13B0" w:rsidRDefault="00D42568" w:rsidP="00761F55">
      <w:pPr>
        <w:jc w:val="both"/>
        <w:rPr>
          <w:rFonts w:ascii="Arial Narrow" w:hAnsi="Arial Narrow" w:cs="Arial"/>
          <w:sz w:val="24"/>
          <w:szCs w:val="24"/>
        </w:rPr>
      </w:pPr>
      <w:r w:rsidRPr="003F13B0">
        <w:rPr>
          <w:rFonts w:ascii="Arial Narrow" w:hAnsi="Arial Narrow" w:cs="Arial"/>
          <w:sz w:val="24"/>
          <w:szCs w:val="24"/>
        </w:rPr>
        <w:t xml:space="preserve">70% des structures au niveau central présentent le </w:t>
      </w:r>
      <w:r w:rsidRPr="003F13B0">
        <w:rPr>
          <w:rFonts w:ascii="Arial Narrow" w:hAnsi="Arial Narrow" w:cs="Arial"/>
          <w:b/>
          <w:sz w:val="24"/>
          <w:szCs w:val="24"/>
        </w:rPr>
        <w:t>recrutement et la rétention du personnel</w:t>
      </w:r>
      <w:r w:rsidRPr="003F13B0">
        <w:rPr>
          <w:rFonts w:ascii="Arial Narrow" w:hAnsi="Arial Narrow" w:cs="Arial"/>
          <w:sz w:val="24"/>
          <w:szCs w:val="24"/>
        </w:rPr>
        <w:t xml:space="preserve"> comme un défi pour la mise en œuvre de leurs activités dans le cadre du PNDS </w:t>
      </w:r>
      <w:r w:rsidR="009E3475" w:rsidRPr="003F13B0">
        <w:rPr>
          <w:rFonts w:ascii="Arial Narrow" w:hAnsi="Arial Narrow" w:cs="Arial"/>
          <w:sz w:val="24"/>
          <w:szCs w:val="24"/>
        </w:rPr>
        <w:t>2021-2025</w:t>
      </w:r>
      <w:r w:rsidRPr="003F13B0">
        <w:rPr>
          <w:rFonts w:ascii="Arial Narrow" w:hAnsi="Arial Narrow" w:cs="Arial"/>
          <w:sz w:val="24"/>
          <w:szCs w:val="24"/>
        </w:rPr>
        <w:t xml:space="preserve">. Pour plus du tiers d’entre elles (36%), la </w:t>
      </w:r>
      <w:r w:rsidRPr="003F13B0">
        <w:rPr>
          <w:rFonts w:ascii="Arial Narrow" w:hAnsi="Arial Narrow" w:cs="Arial"/>
          <w:b/>
          <w:sz w:val="24"/>
          <w:szCs w:val="24"/>
        </w:rPr>
        <w:t>faible adéquation des profils aux besoins</w:t>
      </w:r>
      <w:r w:rsidRPr="003F13B0">
        <w:rPr>
          <w:rFonts w:ascii="Arial Narrow" w:hAnsi="Arial Narrow" w:cs="Arial"/>
          <w:sz w:val="24"/>
          <w:szCs w:val="24"/>
        </w:rPr>
        <w:t xml:space="preserve"> soulève des </w:t>
      </w:r>
      <w:r w:rsidRPr="003F13B0">
        <w:rPr>
          <w:rFonts w:ascii="Arial Narrow" w:hAnsi="Arial Narrow" w:cs="Arial"/>
          <w:b/>
          <w:sz w:val="24"/>
          <w:szCs w:val="24"/>
        </w:rPr>
        <w:t xml:space="preserve">besoins en formation </w:t>
      </w:r>
      <w:r w:rsidRPr="003F13B0">
        <w:rPr>
          <w:rFonts w:ascii="Arial Narrow" w:hAnsi="Arial Narrow" w:cs="Arial"/>
          <w:b/>
          <w:bCs/>
          <w:sz w:val="24"/>
          <w:szCs w:val="24"/>
        </w:rPr>
        <w:t xml:space="preserve">continue </w:t>
      </w:r>
      <w:r w:rsidRPr="003F13B0">
        <w:rPr>
          <w:rFonts w:ascii="Arial Narrow" w:hAnsi="Arial Narrow" w:cs="Arial"/>
          <w:b/>
          <w:sz w:val="24"/>
          <w:szCs w:val="24"/>
        </w:rPr>
        <w:t>et en renforcement de capacité du personnel.</w:t>
      </w:r>
    </w:p>
    <w:p w14:paraId="40C3EAFA" w14:textId="77777777" w:rsidR="00D42568" w:rsidRPr="003F13B0" w:rsidRDefault="00D42568" w:rsidP="00761F55">
      <w:pPr>
        <w:jc w:val="both"/>
        <w:rPr>
          <w:rFonts w:ascii="Arial Narrow" w:eastAsia="Times New Roman" w:hAnsi="Arial Narrow" w:cs="Arial"/>
          <w:color w:val="000000"/>
          <w:kern w:val="0"/>
          <w:sz w:val="24"/>
          <w:szCs w:val="24"/>
          <w:lang w:eastAsia="en-GB"/>
          <w14:ligatures w14:val="none"/>
        </w:rPr>
      </w:pPr>
      <w:r w:rsidRPr="003F13B0">
        <w:rPr>
          <w:rFonts w:ascii="Arial Narrow" w:hAnsi="Arial Narrow" w:cs="Arial"/>
          <w:b/>
          <w:sz w:val="24"/>
          <w:szCs w:val="24"/>
        </w:rPr>
        <w:t xml:space="preserve">En effet, </w:t>
      </w:r>
      <w:r w:rsidRPr="003F13B0">
        <w:rPr>
          <w:rFonts w:ascii="Arial Narrow" w:eastAsia="Times New Roman" w:hAnsi="Arial Narrow" w:cs="Arial"/>
          <w:b/>
          <w:color w:val="000000"/>
          <w:kern w:val="0"/>
          <w:sz w:val="24"/>
          <w:szCs w:val="24"/>
          <w:lang w:eastAsia="en-GB"/>
          <w14:ligatures w14:val="none"/>
        </w:rPr>
        <w:t>plusieurs structures expriment le besoin de renforcer les compétences de leur personnel en matière de planification stratégique et de gestion de projet</w:t>
      </w:r>
      <w:r w:rsidRPr="003F13B0">
        <w:rPr>
          <w:rFonts w:ascii="Arial Narrow" w:eastAsia="Times New Roman" w:hAnsi="Arial Narrow" w:cs="Arial"/>
          <w:color w:val="000000"/>
          <w:kern w:val="0"/>
          <w:sz w:val="24"/>
          <w:szCs w:val="24"/>
          <w:lang w:eastAsia="en-GB"/>
          <w14:ligatures w14:val="none"/>
        </w:rPr>
        <w:t xml:space="preserve"> </w:t>
      </w:r>
      <w:r w:rsidRPr="003F13B0">
        <w:rPr>
          <w:rFonts w:ascii="Arial Narrow" w:eastAsia="Times New Roman" w:hAnsi="Arial Narrow" w:cs="Arial"/>
          <w:b/>
          <w:color w:val="000000"/>
          <w:kern w:val="0"/>
          <w:sz w:val="24"/>
          <w:szCs w:val="24"/>
          <w:lang w:eastAsia="en-GB"/>
          <w14:ligatures w14:val="none"/>
        </w:rPr>
        <w:t>en particulier</w:t>
      </w:r>
      <w:r w:rsidRPr="003F13B0">
        <w:rPr>
          <w:rFonts w:ascii="Arial Narrow" w:eastAsia="Times New Roman" w:hAnsi="Arial Narrow" w:cs="Arial"/>
          <w:color w:val="000000"/>
          <w:kern w:val="0"/>
          <w:sz w:val="24"/>
          <w:szCs w:val="24"/>
          <w:lang w:eastAsia="en-GB"/>
          <w14:ligatures w14:val="none"/>
        </w:rPr>
        <w:t xml:space="preserve"> afin de mieux s'approprier le PNDS et de l'intégrer dans leurs plans d'action respectifs.</w:t>
      </w:r>
    </w:p>
    <w:p w14:paraId="055E0C0A" w14:textId="4F2FC9C9" w:rsidR="00D42568" w:rsidRPr="003F13B0" w:rsidRDefault="00D42568" w:rsidP="00761F55">
      <w:pPr>
        <w:pStyle w:val="Titre4"/>
        <w:jc w:val="both"/>
        <w:rPr>
          <w:rFonts w:ascii="Arial Narrow" w:hAnsi="Arial Narrow" w:cs="Arial"/>
          <w:sz w:val="24"/>
          <w:szCs w:val="24"/>
        </w:rPr>
      </w:pPr>
      <w:bookmarkStart w:id="131" w:name="_Toc178699585"/>
      <w:r w:rsidRPr="003F13B0">
        <w:rPr>
          <w:rFonts w:ascii="Arial Narrow" w:hAnsi="Arial Narrow" w:cs="Arial"/>
          <w:sz w:val="24"/>
          <w:szCs w:val="24"/>
        </w:rPr>
        <w:t xml:space="preserve">Au titre des </w:t>
      </w:r>
      <w:r w:rsidR="00357079" w:rsidRPr="003F13B0">
        <w:rPr>
          <w:rFonts w:ascii="Arial Narrow" w:hAnsi="Arial Narrow" w:cs="Arial"/>
          <w:sz w:val="24"/>
          <w:szCs w:val="24"/>
        </w:rPr>
        <w:t>difficultés</w:t>
      </w:r>
      <w:r w:rsidR="00357079" w:rsidRPr="003F13B0" w:rsidDel="00C539AF">
        <w:rPr>
          <w:rFonts w:ascii="Arial Narrow" w:hAnsi="Arial Narrow" w:cs="Arial"/>
          <w:sz w:val="24"/>
          <w:szCs w:val="24"/>
        </w:rPr>
        <w:t xml:space="preserve"> </w:t>
      </w:r>
      <w:r w:rsidRPr="003F13B0">
        <w:rPr>
          <w:rFonts w:ascii="Arial Narrow" w:hAnsi="Arial Narrow" w:cs="Arial"/>
          <w:sz w:val="24"/>
          <w:szCs w:val="24"/>
        </w:rPr>
        <w:t>lié</w:t>
      </w:r>
      <w:r w:rsidR="005F4314" w:rsidRPr="003F13B0">
        <w:rPr>
          <w:rFonts w:ascii="Arial Narrow" w:hAnsi="Arial Narrow" w:cs="Arial"/>
          <w:sz w:val="24"/>
          <w:szCs w:val="24"/>
        </w:rPr>
        <w:t>e</w:t>
      </w:r>
      <w:r w:rsidRPr="003F13B0">
        <w:rPr>
          <w:rFonts w:ascii="Arial Narrow" w:hAnsi="Arial Narrow" w:cs="Arial"/>
          <w:sz w:val="24"/>
          <w:szCs w:val="24"/>
        </w:rPr>
        <w:t>s aux infrastructures, matériels et équipements</w:t>
      </w:r>
      <w:bookmarkEnd w:id="131"/>
    </w:p>
    <w:p w14:paraId="64058C16" w14:textId="6B7D845E" w:rsidR="00112D53" w:rsidRPr="003F13B0" w:rsidRDefault="00D42568" w:rsidP="00761F55">
      <w:pPr>
        <w:jc w:val="both"/>
        <w:rPr>
          <w:rFonts w:ascii="Arial Narrow" w:hAnsi="Arial Narrow" w:cs="Arial"/>
          <w:sz w:val="24"/>
          <w:szCs w:val="24"/>
        </w:rPr>
      </w:pPr>
      <w:r w:rsidRPr="003F13B0">
        <w:rPr>
          <w:rFonts w:ascii="Arial Narrow" w:hAnsi="Arial Narrow" w:cs="Arial"/>
          <w:sz w:val="24"/>
          <w:szCs w:val="24"/>
        </w:rPr>
        <w:t xml:space="preserve">Des difficultés liées aux infrastructures, aux matériels et aux équipements ont été soulevées par 49% des structures interrogées au niveau central. En particulier, l’insuffisance de bâtiments, de laboratoires et de centres de Santé limite les capacités des structures à fournir des services de qualité. Le </w:t>
      </w:r>
      <w:r w:rsidR="006A3928" w:rsidRPr="003F13B0">
        <w:rPr>
          <w:rFonts w:ascii="Arial Narrow" w:hAnsi="Arial Narrow" w:cs="Arial"/>
          <w:sz w:val="24"/>
          <w:szCs w:val="24"/>
        </w:rPr>
        <w:t xml:space="preserve">problème </w:t>
      </w:r>
      <w:r w:rsidRPr="003F13B0">
        <w:rPr>
          <w:rFonts w:ascii="Arial Narrow" w:hAnsi="Arial Narrow" w:cs="Arial"/>
          <w:sz w:val="24"/>
          <w:szCs w:val="24"/>
        </w:rPr>
        <w:t xml:space="preserve">des infrastructures se traduit différemment aux différents niveaux de la pyramide sanitaire. Au niveau central, </w:t>
      </w:r>
      <w:r w:rsidR="006A4845" w:rsidRPr="003F13B0">
        <w:rPr>
          <w:rFonts w:ascii="Arial Narrow" w:hAnsi="Arial Narrow" w:cs="Arial"/>
          <w:sz w:val="24"/>
          <w:szCs w:val="24"/>
        </w:rPr>
        <w:t>la mise au</w:t>
      </w:r>
      <w:r w:rsidR="00D83D0A" w:rsidRPr="003F13B0">
        <w:rPr>
          <w:rFonts w:ascii="Arial Narrow" w:hAnsi="Arial Narrow" w:cs="Arial"/>
          <w:sz w:val="24"/>
          <w:szCs w:val="24"/>
        </w:rPr>
        <w:t>x</w:t>
      </w:r>
      <w:r w:rsidR="006A4845" w:rsidRPr="003F13B0">
        <w:rPr>
          <w:rFonts w:ascii="Arial Narrow" w:hAnsi="Arial Narrow" w:cs="Arial"/>
          <w:sz w:val="24"/>
          <w:szCs w:val="24"/>
        </w:rPr>
        <w:t xml:space="preserve"> norme</w:t>
      </w:r>
      <w:r w:rsidR="00D83D0A" w:rsidRPr="003F13B0">
        <w:rPr>
          <w:rFonts w:ascii="Arial Narrow" w:hAnsi="Arial Narrow" w:cs="Arial"/>
          <w:sz w:val="24"/>
          <w:szCs w:val="24"/>
        </w:rPr>
        <w:t>s</w:t>
      </w:r>
      <w:r w:rsidR="006A4845" w:rsidRPr="003F13B0">
        <w:rPr>
          <w:rFonts w:ascii="Arial Narrow" w:hAnsi="Arial Narrow" w:cs="Arial"/>
          <w:sz w:val="24"/>
          <w:szCs w:val="24"/>
        </w:rPr>
        <w:t xml:space="preserve"> des infrastructures représente le principal défi.</w:t>
      </w:r>
      <w:r w:rsidRPr="003F13B0">
        <w:rPr>
          <w:rFonts w:ascii="Arial Narrow" w:hAnsi="Arial Narrow" w:cs="Arial"/>
          <w:sz w:val="24"/>
          <w:szCs w:val="24"/>
        </w:rPr>
        <w:t xml:space="preserve"> Au niveau régional, il s’agit essentiellement d</w:t>
      </w:r>
      <w:r w:rsidR="00F25079" w:rsidRPr="003F13B0">
        <w:rPr>
          <w:rFonts w:ascii="Arial Narrow" w:hAnsi="Arial Narrow" w:cs="Arial"/>
          <w:sz w:val="24"/>
          <w:szCs w:val="24"/>
        </w:rPr>
        <w:t>e la disponibilité</w:t>
      </w:r>
      <w:r w:rsidRPr="003F13B0">
        <w:rPr>
          <w:rFonts w:ascii="Arial Narrow" w:hAnsi="Arial Narrow" w:cs="Arial"/>
          <w:sz w:val="24"/>
          <w:szCs w:val="24"/>
        </w:rPr>
        <w:t xml:space="preserve"> de</w:t>
      </w:r>
      <w:r w:rsidR="00F25079" w:rsidRPr="003F13B0">
        <w:rPr>
          <w:rFonts w:ascii="Arial Narrow" w:hAnsi="Arial Narrow" w:cs="Arial"/>
          <w:sz w:val="24"/>
          <w:szCs w:val="24"/>
        </w:rPr>
        <w:t>s</w:t>
      </w:r>
      <w:r w:rsidRPr="003F13B0">
        <w:rPr>
          <w:rFonts w:ascii="Arial Narrow" w:hAnsi="Arial Narrow" w:cs="Arial"/>
          <w:sz w:val="24"/>
          <w:szCs w:val="24"/>
        </w:rPr>
        <w:t xml:space="preserve"> magasins de stockage </w:t>
      </w:r>
      <w:r w:rsidR="00942C9C" w:rsidRPr="003F13B0">
        <w:rPr>
          <w:rFonts w:ascii="Arial Narrow" w:hAnsi="Arial Narrow" w:cs="Arial"/>
          <w:sz w:val="24"/>
          <w:szCs w:val="24"/>
        </w:rPr>
        <w:t>des</w:t>
      </w:r>
      <w:r w:rsidRPr="003F13B0">
        <w:rPr>
          <w:rFonts w:ascii="Arial Narrow" w:hAnsi="Arial Narrow" w:cs="Arial"/>
          <w:sz w:val="24"/>
          <w:szCs w:val="24"/>
        </w:rPr>
        <w:t xml:space="preserve"> </w:t>
      </w:r>
      <w:r w:rsidR="00EE278E" w:rsidRPr="003F13B0">
        <w:rPr>
          <w:rFonts w:ascii="Arial Narrow" w:hAnsi="Arial Narrow" w:cs="Arial"/>
          <w:sz w:val="24"/>
          <w:szCs w:val="24"/>
        </w:rPr>
        <w:t>produits de santé</w:t>
      </w:r>
      <w:r w:rsidRPr="003F13B0">
        <w:rPr>
          <w:rFonts w:ascii="Arial Narrow" w:hAnsi="Arial Narrow" w:cs="Arial"/>
          <w:sz w:val="24"/>
          <w:szCs w:val="24"/>
        </w:rPr>
        <w:t xml:space="preserve"> </w:t>
      </w:r>
      <w:r w:rsidR="00EE278E" w:rsidRPr="003F13B0">
        <w:rPr>
          <w:rFonts w:ascii="Arial Narrow" w:hAnsi="Arial Narrow" w:cs="Arial"/>
          <w:sz w:val="24"/>
          <w:szCs w:val="24"/>
        </w:rPr>
        <w:t>e</w:t>
      </w:r>
      <w:r w:rsidR="00AE6658" w:rsidRPr="003F13B0">
        <w:rPr>
          <w:rFonts w:ascii="Arial Narrow" w:hAnsi="Arial Narrow" w:cs="Arial"/>
          <w:sz w:val="24"/>
          <w:szCs w:val="24"/>
        </w:rPr>
        <w:t xml:space="preserve">t </w:t>
      </w:r>
      <w:r w:rsidR="00EE278E" w:rsidRPr="003F13B0">
        <w:rPr>
          <w:rFonts w:ascii="Arial Narrow" w:hAnsi="Arial Narrow" w:cs="Arial"/>
          <w:sz w:val="24"/>
          <w:szCs w:val="24"/>
        </w:rPr>
        <w:t>d</w:t>
      </w:r>
      <w:r w:rsidR="00AE6658" w:rsidRPr="003F13B0">
        <w:rPr>
          <w:rFonts w:ascii="Arial Narrow" w:hAnsi="Arial Narrow" w:cs="Arial"/>
          <w:sz w:val="24"/>
          <w:szCs w:val="24"/>
        </w:rPr>
        <w:t>es</w:t>
      </w:r>
      <w:r w:rsidRPr="003F13B0">
        <w:rPr>
          <w:rFonts w:ascii="Arial Narrow" w:hAnsi="Arial Narrow" w:cs="Arial"/>
          <w:sz w:val="24"/>
          <w:szCs w:val="24"/>
        </w:rPr>
        <w:t xml:space="preserve"> laboratoires d'analyses biologiques.</w:t>
      </w:r>
    </w:p>
    <w:p w14:paraId="2DD225DE" w14:textId="5F50EB37" w:rsidR="00D42568" w:rsidRPr="003F13B0" w:rsidRDefault="00D42568" w:rsidP="00761F55">
      <w:pPr>
        <w:pStyle w:val="Titre4"/>
        <w:jc w:val="both"/>
        <w:rPr>
          <w:rFonts w:ascii="Arial Narrow" w:hAnsi="Arial Narrow" w:cs="Arial"/>
          <w:i w:val="0"/>
          <w:iCs w:val="0"/>
          <w:sz w:val="24"/>
          <w:szCs w:val="24"/>
        </w:rPr>
      </w:pPr>
      <w:bookmarkStart w:id="132" w:name="_Toc178699586"/>
      <w:r w:rsidRPr="003F13B0">
        <w:rPr>
          <w:rFonts w:ascii="Arial Narrow" w:hAnsi="Arial Narrow" w:cs="Arial"/>
          <w:i w:val="0"/>
          <w:iCs w:val="0"/>
          <w:sz w:val="24"/>
          <w:szCs w:val="24"/>
        </w:rPr>
        <w:t xml:space="preserve">Au titre des </w:t>
      </w:r>
      <w:r w:rsidR="00357079" w:rsidRPr="003F13B0">
        <w:rPr>
          <w:rFonts w:ascii="Arial Narrow" w:hAnsi="Arial Narrow" w:cs="Arial"/>
          <w:i w:val="0"/>
          <w:iCs w:val="0"/>
          <w:sz w:val="24"/>
          <w:szCs w:val="24"/>
        </w:rPr>
        <w:t>difficultés</w:t>
      </w:r>
      <w:r w:rsidR="00357079" w:rsidRPr="003F13B0" w:rsidDel="00C539AF">
        <w:rPr>
          <w:rFonts w:ascii="Arial Narrow" w:hAnsi="Arial Narrow" w:cs="Arial"/>
          <w:i w:val="0"/>
          <w:iCs w:val="0"/>
          <w:sz w:val="24"/>
          <w:szCs w:val="24"/>
        </w:rPr>
        <w:t xml:space="preserve"> </w:t>
      </w:r>
      <w:r w:rsidRPr="003F13B0">
        <w:rPr>
          <w:rFonts w:ascii="Arial Narrow" w:hAnsi="Arial Narrow" w:cs="Arial"/>
          <w:i w:val="0"/>
          <w:iCs w:val="0"/>
          <w:sz w:val="24"/>
          <w:szCs w:val="24"/>
        </w:rPr>
        <w:t>lié</w:t>
      </w:r>
      <w:r w:rsidR="005F4314" w:rsidRPr="003F13B0">
        <w:rPr>
          <w:rFonts w:ascii="Arial Narrow" w:hAnsi="Arial Narrow" w:cs="Arial"/>
          <w:i w:val="0"/>
          <w:iCs w:val="0"/>
          <w:sz w:val="24"/>
          <w:szCs w:val="24"/>
        </w:rPr>
        <w:t>e</w:t>
      </w:r>
      <w:r w:rsidRPr="003F13B0">
        <w:rPr>
          <w:rFonts w:ascii="Arial Narrow" w:hAnsi="Arial Narrow" w:cs="Arial"/>
          <w:i w:val="0"/>
          <w:iCs w:val="0"/>
          <w:sz w:val="24"/>
          <w:szCs w:val="24"/>
        </w:rPr>
        <w:t>s au financement</w:t>
      </w:r>
      <w:bookmarkEnd w:id="132"/>
      <w:r w:rsidRPr="003F13B0">
        <w:rPr>
          <w:rFonts w:ascii="Arial Narrow" w:hAnsi="Arial Narrow" w:cs="Arial"/>
          <w:i w:val="0"/>
          <w:iCs w:val="0"/>
          <w:sz w:val="24"/>
          <w:szCs w:val="24"/>
        </w:rPr>
        <w:t xml:space="preserve"> </w:t>
      </w:r>
    </w:p>
    <w:p w14:paraId="0C9C0BFC" w14:textId="4B4FFEBD" w:rsidR="00D42568" w:rsidRPr="003F13B0" w:rsidRDefault="00D42568" w:rsidP="00761F55">
      <w:pPr>
        <w:jc w:val="both"/>
        <w:rPr>
          <w:rFonts w:ascii="Arial Narrow" w:hAnsi="Arial Narrow" w:cs="Arial"/>
          <w:sz w:val="24"/>
          <w:szCs w:val="24"/>
        </w:rPr>
      </w:pPr>
      <w:r w:rsidRPr="003F13B0">
        <w:rPr>
          <w:rFonts w:ascii="Arial Narrow" w:hAnsi="Arial Narrow" w:cs="Arial"/>
          <w:sz w:val="24"/>
          <w:szCs w:val="24"/>
        </w:rPr>
        <w:t xml:space="preserve">Les budgets mis à disposition des structures centrales </w:t>
      </w:r>
      <w:r w:rsidR="00C86DD6" w:rsidRPr="003F13B0">
        <w:rPr>
          <w:rFonts w:ascii="Arial Narrow" w:hAnsi="Arial Narrow" w:cs="Arial"/>
          <w:sz w:val="24"/>
          <w:szCs w:val="24"/>
        </w:rPr>
        <w:t xml:space="preserve">par l’Etat </w:t>
      </w:r>
      <w:r w:rsidRPr="003F13B0">
        <w:rPr>
          <w:rFonts w:ascii="Arial Narrow" w:hAnsi="Arial Narrow" w:cs="Arial"/>
          <w:sz w:val="24"/>
          <w:szCs w:val="24"/>
        </w:rPr>
        <w:t xml:space="preserve">pour la mise en œuvre des actions du PNDS sont insuffisants. C’est ce qu’ont évoqué 46% </w:t>
      </w:r>
      <w:r w:rsidR="00D259E4" w:rsidRPr="003F13B0">
        <w:rPr>
          <w:rFonts w:ascii="Arial Narrow" w:hAnsi="Arial Narrow" w:cs="Arial"/>
          <w:sz w:val="24"/>
          <w:szCs w:val="24"/>
        </w:rPr>
        <w:t>des structures interviewées</w:t>
      </w:r>
      <w:r w:rsidRPr="003F13B0">
        <w:rPr>
          <w:rFonts w:ascii="Arial Narrow" w:hAnsi="Arial Narrow" w:cs="Arial"/>
          <w:sz w:val="24"/>
          <w:szCs w:val="24"/>
        </w:rPr>
        <w:t xml:space="preserve">. Cette insuffisance crée une </w:t>
      </w:r>
      <w:r w:rsidRPr="003F13B0">
        <w:rPr>
          <w:rFonts w:ascii="Arial Narrow" w:hAnsi="Arial Narrow" w:cs="Arial"/>
          <w:b/>
          <w:sz w:val="24"/>
          <w:szCs w:val="24"/>
        </w:rPr>
        <w:t>situation de dépendance vis-à-vis des financements des partenaires.</w:t>
      </w:r>
      <w:r w:rsidRPr="003F13B0">
        <w:rPr>
          <w:rFonts w:ascii="Arial Narrow" w:hAnsi="Arial Narrow" w:cs="Arial"/>
          <w:sz w:val="24"/>
          <w:szCs w:val="24"/>
        </w:rPr>
        <w:t xml:space="preserve"> Cela a été décrié par 35% des acteurs du niveau central.</w:t>
      </w:r>
      <w:r w:rsidR="00486526" w:rsidRPr="003F13B0">
        <w:rPr>
          <w:rFonts w:ascii="Arial Narrow" w:hAnsi="Arial Narrow" w:cs="Arial"/>
          <w:sz w:val="24"/>
          <w:szCs w:val="24"/>
        </w:rPr>
        <w:t xml:space="preserve"> </w:t>
      </w:r>
      <w:r w:rsidRPr="003F13B0">
        <w:rPr>
          <w:rFonts w:ascii="Arial Narrow" w:hAnsi="Arial Narrow" w:cs="Arial"/>
          <w:sz w:val="24"/>
          <w:szCs w:val="24"/>
        </w:rPr>
        <w:t>Par ailleurs, des retards dans la mise à disposition des fonds ont été signalés par 30% de ces derniers.</w:t>
      </w:r>
    </w:p>
    <w:p w14:paraId="078A3DBC" w14:textId="1A01B94E" w:rsidR="00EC40F4" w:rsidRPr="003F13B0" w:rsidRDefault="00555983" w:rsidP="000A1A7B">
      <w:pPr>
        <w:pStyle w:val="Paragraphedeliste"/>
        <w:numPr>
          <w:ilvl w:val="0"/>
          <w:numId w:val="1"/>
        </w:numPr>
        <w:jc w:val="both"/>
        <w:rPr>
          <w:rFonts w:ascii="Arial Narrow" w:hAnsi="Arial Narrow" w:cs="Arial"/>
          <w:sz w:val="24"/>
          <w:szCs w:val="24"/>
        </w:rPr>
      </w:pPr>
      <w:r w:rsidRPr="003F13B0">
        <w:rPr>
          <w:rFonts w:ascii="Arial Narrow" w:hAnsi="Arial Narrow" w:cs="Arial"/>
          <w:b/>
          <w:bCs/>
          <w:sz w:val="24"/>
          <w:szCs w:val="24"/>
        </w:rPr>
        <w:t>Insuffisance des ressources financières (budget de l'État, fonds des partenaires) pour la mise en œuvre des activités des plans d'actions :</w:t>
      </w:r>
      <w:r w:rsidRPr="003F13B0">
        <w:rPr>
          <w:rFonts w:ascii="Arial Narrow" w:hAnsi="Arial Narrow" w:cs="Arial"/>
          <w:sz w:val="24"/>
          <w:szCs w:val="24"/>
        </w:rPr>
        <w:t xml:space="preserve"> </w:t>
      </w:r>
      <w:r w:rsidR="00486526" w:rsidRPr="003F13B0">
        <w:rPr>
          <w:rFonts w:ascii="Arial Narrow" w:hAnsi="Arial Narrow" w:cs="Arial"/>
          <w:sz w:val="24"/>
          <w:szCs w:val="24"/>
        </w:rPr>
        <w:t>Le budget alloué par l'État est souvent limité au fonctionnement, ce qui ne permet pas de financer les investissements et les activités programmées. Le manque de mécanismes adéquats pour la mobilisation des ressources internes limite la diversification des sources de financement. Par ailleurs, la faible priorisation de la Santé dans les allocations budgétaires globales affecte la disponibilité des ressources pour le secteur. De même, en interne, le secteur n'effectue pas de priorisation rigoureuse des enjeux, ce qui ne permet pas une mobilisation ciblée des financements.</w:t>
      </w:r>
    </w:p>
    <w:p w14:paraId="315BFCB9" w14:textId="03ECD22F" w:rsidR="00555983" w:rsidRPr="003F13B0" w:rsidRDefault="00555983" w:rsidP="000A1A7B">
      <w:pPr>
        <w:pStyle w:val="Paragraphedeliste"/>
        <w:numPr>
          <w:ilvl w:val="0"/>
          <w:numId w:val="1"/>
        </w:numPr>
        <w:jc w:val="both"/>
        <w:rPr>
          <w:rFonts w:ascii="Arial Narrow" w:hAnsi="Arial Narrow" w:cs="Arial"/>
          <w:sz w:val="24"/>
          <w:szCs w:val="24"/>
        </w:rPr>
      </w:pPr>
      <w:r w:rsidRPr="003F13B0">
        <w:rPr>
          <w:rFonts w:ascii="Arial Narrow" w:hAnsi="Arial Narrow" w:cs="Arial"/>
          <w:b/>
          <w:bCs/>
          <w:sz w:val="24"/>
          <w:szCs w:val="24"/>
        </w:rPr>
        <w:t>Forte dépendance des financements extérieurs (partenaires) :</w:t>
      </w:r>
      <w:r w:rsidRPr="003F13B0">
        <w:rPr>
          <w:rFonts w:ascii="Arial Narrow" w:hAnsi="Arial Narrow" w:cs="Arial"/>
          <w:sz w:val="24"/>
          <w:szCs w:val="24"/>
        </w:rPr>
        <w:t xml:space="preserve"> Par ailleurs, avec la possibilité du retrait progressif des bailleurs du système de Santé Ivoirien, il se pose la question de la durabilité du financement de la Santé. </w:t>
      </w:r>
    </w:p>
    <w:p w14:paraId="7ABCCB5B" w14:textId="75ED5961" w:rsidR="00555983" w:rsidRPr="00D92DD2" w:rsidRDefault="00555983" w:rsidP="000A1A7B">
      <w:pPr>
        <w:pStyle w:val="Paragraphedeliste"/>
        <w:numPr>
          <w:ilvl w:val="0"/>
          <w:numId w:val="1"/>
        </w:numPr>
        <w:jc w:val="both"/>
        <w:rPr>
          <w:rFonts w:ascii="Arial Narrow" w:hAnsi="Arial Narrow" w:cs="Arial"/>
          <w:sz w:val="24"/>
          <w:szCs w:val="24"/>
        </w:rPr>
      </w:pPr>
      <w:r w:rsidRPr="003F13B0">
        <w:rPr>
          <w:rFonts w:ascii="Arial Narrow" w:hAnsi="Arial Narrow" w:cs="Arial"/>
          <w:b/>
          <w:bCs/>
          <w:sz w:val="24"/>
          <w:szCs w:val="24"/>
        </w:rPr>
        <w:t>Décaissement tardif des fonds :</w:t>
      </w:r>
      <w:r w:rsidRPr="003F13B0">
        <w:rPr>
          <w:rFonts w:ascii="Arial Narrow" w:hAnsi="Arial Narrow" w:cs="Arial"/>
          <w:sz w:val="24"/>
          <w:szCs w:val="24"/>
        </w:rPr>
        <w:t xml:space="preserve"> </w:t>
      </w:r>
      <w:r w:rsidR="001B525A" w:rsidRPr="003F13B0">
        <w:rPr>
          <w:rFonts w:ascii="Arial Narrow" w:hAnsi="Arial Narrow" w:cs="Arial"/>
          <w:sz w:val="24"/>
          <w:szCs w:val="24"/>
        </w:rPr>
        <w:t xml:space="preserve">Les procédures de décaissement des fonds des partenaires peuvent être longues et complexes, retardant la mise en œuvre des activités. </w:t>
      </w:r>
      <w:r w:rsidR="001B525A" w:rsidRPr="00D92DD2">
        <w:rPr>
          <w:rFonts w:ascii="Arial Narrow" w:hAnsi="Arial Narrow" w:cs="Arial"/>
          <w:sz w:val="24"/>
          <w:szCs w:val="24"/>
        </w:rPr>
        <w:t>En outre,</w:t>
      </w:r>
      <w:r w:rsidR="00C12650" w:rsidRPr="00D92DD2">
        <w:rPr>
          <w:rFonts w:ascii="Arial Narrow" w:hAnsi="Arial Narrow" w:cs="Arial"/>
          <w:sz w:val="24"/>
          <w:szCs w:val="24"/>
        </w:rPr>
        <w:t xml:space="preserve"> on note</w:t>
      </w:r>
      <w:r w:rsidR="001B525A" w:rsidRPr="00D92DD2">
        <w:rPr>
          <w:rFonts w:ascii="Arial Narrow" w:hAnsi="Arial Narrow" w:cs="Arial"/>
          <w:sz w:val="24"/>
          <w:szCs w:val="24"/>
        </w:rPr>
        <w:t xml:space="preserve"> le manque de coordination entre les différents acteurs impliqués, pour la mutualisation des ressources, dans le processus de décaissement des fonds entraîne des retards.</w:t>
      </w:r>
    </w:p>
    <w:p w14:paraId="5F4330AC" w14:textId="1EE37493" w:rsidR="00D42568" w:rsidRPr="003F13B0" w:rsidRDefault="00D42568" w:rsidP="00761F55">
      <w:pPr>
        <w:pStyle w:val="Titre4"/>
        <w:jc w:val="both"/>
        <w:rPr>
          <w:rFonts w:ascii="Arial Narrow" w:hAnsi="Arial Narrow" w:cs="Arial"/>
          <w:i w:val="0"/>
          <w:iCs w:val="0"/>
          <w:sz w:val="24"/>
          <w:szCs w:val="24"/>
        </w:rPr>
      </w:pPr>
      <w:bookmarkStart w:id="133" w:name="_Toc178699587"/>
      <w:r w:rsidRPr="003F13B0">
        <w:rPr>
          <w:rFonts w:ascii="Arial Narrow" w:hAnsi="Arial Narrow" w:cs="Arial"/>
          <w:i w:val="0"/>
          <w:iCs w:val="0"/>
          <w:sz w:val="24"/>
          <w:szCs w:val="24"/>
        </w:rPr>
        <w:t xml:space="preserve">Au titre des </w:t>
      </w:r>
      <w:r w:rsidR="00357079" w:rsidRPr="003F13B0">
        <w:rPr>
          <w:rFonts w:ascii="Arial Narrow" w:hAnsi="Arial Narrow" w:cs="Arial"/>
          <w:i w:val="0"/>
          <w:iCs w:val="0"/>
          <w:sz w:val="24"/>
          <w:szCs w:val="24"/>
        </w:rPr>
        <w:t xml:space="preserve">difficultés </w:t>
      </w:r>
      <w:r w:rsidRPr="003F13B0">
        <w:rPr>
          <w:rFonts w:ascii="Arial Narrow" w:hAnsi="Arial Narrow" w:cs="Arial"/>
          <w:i w:val="0"/>
          <w:iCs w:val="0"/>
          <w:sz w:val="24"/>
          <w:szCs w:val="24"/>
        </w:rPr>
        <w:t>lié</w:t>
      </w:r>
      <w:r w:rsidR="00BA4171" w:rsidRPr="003F13B0">
        <w:rPr>
          <w:rFonts w:ascii="Arial Narrow" w:hAnsi="Arial Narrow" w:cs="Arial"/>
          <w:i w:val="0"/>
          <w:iCs w:val="0"/>
          <w:sz w:val="24"/>
          <w:szCs w:val="24"/>
        </w:rPr>
        <w:t>e</w:t>
      </w:r>
      <w:r w:rsidRPr="003F13B0">
        <w:rPr>
          <w:rFonts w:ascii="Arial Narrow" w:hAnsi="Arial Narrow" w:cs="Arial"/>
          <w:i w:val="0"/>
          <w:iCs w:val="0"/>
          <w:sz w:val="24"/>
          <w:szCs w:val="24"/>
        </w:rPr>
        <w:t>s à la coordination et à la communication</w:t>
      </w:r>
      <w:bookmarkEnd w:id="133"/>
    </w:p>
    <w:p w14:paraId="2FAF1D23" w14:textId="77777777" w:rsidR="00D42568" w:rsidRPr="003F13B0" w:rsidRDefault="00D42568" w:rsidP="00761F55">
      <w:pPr>
        <w:jc w:val="both"/>
        <w:rPr>
          <w:rFonts w:ascii="Arial Narrow" w:eastAsia="Times New Roman" w:hAnsi="Arial Narrow" w:cs="Arial"/>
          <w:color w:val="000000"/>
          <w:kern w:val="0"/>
          <w:sz w:val="24"/>
          <w:szCs w:val="24"/>
          <w:lang w:eastAsia="en-GB"/>
          <w14:ligatures w14:val="none"/>
        </w:rPr>
      </w:pPr>
      <w:r w:rsidRPr="003F13B0">
        <w:rPr>
          <w:rFonts w:ascii="Arial Narrow" w:hAnsi="Arial Narrow" w:cs="Arial"/>
          <w:sz w:val="24"/>
          <w:szCs w:val="24"/>
        </w:rPr>
        <w:t xml:space="preserve">Selon 30% des acteurs centraux, il existe un </w:t>
      </w:r>
      <w:r w:rsidRPr="003F13B0">
        <w:rPr>
          <w:rFonts w:ascii="Arial Narrow" w:eastAsia="Times New Roman" w:hAnsi="Arial Narrow" w:cs="Arial"/>
          <w:color w:val="000000"/>
          <w:kern w:val="0"/>
          <w:sz w:val="24"/>
          <w:szCs w:val="24"/>
          <w:lang w:eastAsia="en-GB"/>
          <w14:ligatures w14:val="none"/>
        </w:rPr>
        <w:t>manque de coordination dans le secteur de la Santé. Ce manque de coordination se traduit aux différents niveaux de la pyramide sanitaire :</w:t>
      </w:r>
    </w:p>
    <w:p w14:paraId="02A771D0" w14:textId="2741CC64" w:rsidR="00D42568" w:rsidRPr="00A918AC" w:rsidRDefault="001503C3" w:rsidP="000A1A7B">
      <w:pPr>
        <w:pStyle w:val="Paragraphedeliste"/>
        <w:numPr>
          <w:ilvl w:val="0"/>
          <w:numId w:val="1"/>
        </w:numPr>
        <w:tabs>
          <w:tab w:val="left" w:pos="1100"/>
        </w:tabs>
        <w:jc w:val="both"/>
        <w:rPr>
          <w:rFonts w:ascii="Arial Narrow" w:hAnsi="Arial Narrow"/>
        </w:rPr>
      </w:pPr>
      <w:r w:rsidRPr="003F13B0">
        <w:rPr>
          <w:rFonts w:ascii="Arial Narrow" w:eastAsia="Times New Roman" w:hAnsi="Arial Narrow" w:cs="Arial"/>
          <w:b/>
          <w:color w:val="000000"/>
          <w:kern w:val="0"/>
          <w:sz w:val="24"/>
          <w:szCs w:val="24"/>
          <w:lang w:eastAsia="en-GB"/>
          <w14:ligatures w14:val="none"/>
        </w:rPr>
        <w:t xml:space="preserve">Au niveau des partenaires : </w:t>
      </w:r>
      <w:r w:rsidR="00D01FD1">
        <w:rPr>
          <w:rFonts w:ascii="Arial Narrow" w:eastAsia="Times New Roman" w:hAnsi="Arial Narrow" w:cs="Arial"/>
          <w:bCs/>
          <w:color w:val="000000"/>
          <w:kern w:val="0"/>
          <w:sz w:val="24"/>
          <w:szCs w:val="24"/>
          <w:lang w:eastAsia="en-GB"/>
          <w14:ligatures w14:val="none"/>
        </w:rPr>
        <w:t xml:space="preserve">on note une </w:t>
      </w:r>
      <w:r w:rsidR="002843CE" w:rsidRPr="00A918AC">
        <w:rPr>
          <w:rFonts w:ascii="Arial Narrow" w:eastAsia="Times New Roman" w:hAnsi="Arial Narrow" w:cs="Arial"/>
          <w:color w:val="000000"/>
          <w:kern w:val="0"/>
          <w:sz w:val="24"/>
          <w:szCs w:val="24"/>
          <w:lang w:eastAsia="en-GB"/>
          <w14:ligatures w14:val="none"/>
        </w:rPr>
        <w:t>insuffisance</w:t>
      </w:r>
      <w:r w:rsidR="002843CE" w:rsidRPr="003F13B0">
        <w:rPr>
          <w:rFonts w:ascii="Arial Narrow" w:eastAsia="Times New Roman" w:hAnsi="Arial Narrow" w:cs="Arial"/>
          <w:b/>
          <w:color w:val="000000"/>
          <w:kern w:val="0"/>
          <w:sz w:val="24"/>
          <w:szCs w:val="24"/>
          <w:lang w:eastAsia="en-GB"/>
          <w14:ligatures w14:val="none"/>
        </w:rPr>
        <w:t xml:space="preserve"> </w:t>
      </w:r>
      <w:r w:rsidRPr="003F13B0">
        <w:rPr>
          <w:rFonts w:ascii="Arial Narrow" w:hAnsi="Arial Narrow" w:cs="Arial"/>
          <w:sz w:val="24"/>
          <w:szCs w:val="24"/>
        </w:rPr>
        <w:t>d</w:t>
      </w:r>
      <w:r w:rsidR="00D01FD1">
        <w:rPr>
          <w:rFonts w:ascii="Arial Narrow" w:hAnsi="Arial Narrow" w:cs="Arial"/>
          <w:sz w:val="24"/>
          <w:szCs w:val="24"/>
        </w:rPr>
        <w:t>ans l</w:t>
      </w:r>
      <w:r w:rsidRPr="003F13B0">
        <w:rPr>
          <w:rFonts w:ascii="Arial Narrow" w:hAnsi="Arial Narrow" w:cs="Arial"/>
          <w:sz w:val="24"/>
          <w:szCs w:val="24"/>
        </w:rPr>
        <w:t>'harmonisation des interventions des différents partenaires</w:t>
      </w:r>
      <w:r w:rsidR="000D1D2B" w:rsidRPr="003F13B0">
        <w:rPr>
          <w:rFonts w:ascii="Arial Narrow" w:hAnsi="Arial Narrow" w:cs="Arial"/>
          <w:sz w:val="24"/>
          <w:szCs w:val="24"/>
        </w:rPr>
        <w:t>.</w:t>
      </w:r>
    </w:p>
    <w:p w14:paraId="7FCCAC15" w14:textId="44319A3F" w:rsidR="00D42568" w:rsidRPr="003F13B0" w:rsidRDefault="00A500EB" w:rsidP="00761F55">
      <w:pPr>
        <w:pStyle w:val="Titre3"/>
        <w:jc w:val="both"/>
        <w:rPr>
          <w:rFonts w:ascii="Arial Narrow" w:hAnsi="Arial Narrow" w:cs="Arial"/>
          <w:b/>
          <w:color w:val="auto"/>
          <w:sz w:val="24"/>
          <w:szCs w:val="24"/>
        </w:rPr>
      </w:pPr>
      <w:bookmarkStart w:id="134" w:name="_Toc178699588"/>
      <w:bookmarkStart w:id="135" w:name="_Toc190677489"/>
      <w:r w:rsidRPr="003F13B0">
        <w:rPr>
          <w:rFonts w:ascii="Arial Narrow" w:hAnsi="Arial Narrow" w:cs="Arial"/>
          <w:b/>
          <w:color w:val="auto"/>
          <w:sz w:val="24"/>
          <w:szCs w:val="24"/>
        </w:rPr>
        <w:lastRenderedPageBreak/>
        <w:t>Difficultés</w:t>
      </w:r>
      <w:r w:rsidR="00C539AF" w:rsidRPr="003F13B0" w:rsidDel="00C539AF">
        <w:rPr>
          <w:rFonts w:ascii="Arial Narrow" w:hAnsi="Arial Narrow" w:cs="Arial"/>
          <w:b/>
          <w:color w:val="auto"/>
          <w:sz w:val="24"/>
          <w:szCs w:val="24"/>
        </w:rPr>
        <w:t xml:space="preserve"> </w:t>
      </w:r>
      <w:r w:rsidR="005F4314" w:rsidRPr="003F13B0">
        <w:rPr>
          <w:rFonts w:ascii="Arial Narrow" w:hAnsi="Arial Narrow" w:cs="Arial"/>
          <w:b/>
          <w:color w:val="auto"/>
          <w:sz w:val="24"/>
          <w:szCs w:val="24"/>
        </w:rPr>
        <w:t xml:space="preserve">dans </w:t>
      </w:r>
      <w:r w:rsidR="00D42568" w:rsidRPr="003F13B0">
        <w:rPr>
          <w:rFonts w:ascii="Arial Narrow" w:hAnsi="Arial Narrow" w:cs="Arial"/>
          <w:b/>
          <w:color w:val="auto"/>
          <w:sz w:val="24"/>
          <w:szCs w:val="24"/>
        </w:rPr>
        <w:t>la mise en œuvre du PNDS au niveau déconcentré</w:t>
      </w:r>
      <w:bookmarkEnd w:id="134"/>
      <w:bookmarkEnd w:id="135"/>
    </w:p>
    <w:p w14:paraId="1B5CC3F5" w14:textId="4C90FCE2" w:rsidR="00D42568" w:rsidRPr="003F13B0" w:rsidRDefault="00036A28" w:rsidP="00761F55">
      <w:pPr>
        <w:jc w:val="both"/>
        <w:rPr>
          <w:rFonts w:ascii="Arial Narrow" w:hAnsi="Arial Narrow" w:cs="Arial"/>
          <w:sz w:val="24"/>
          <w:szCs w:val="24"/>
        </w:rPr>
      </w:pPr>
      <w:r w:rsidRPr="003F13B0">
        <w:rPr>
          <w:rFonts w:ascii="Arial Narrow" w:hAnsi="Arial Narrow" w:cs="Arial"/>
          <w:sz w:val="24"/>
          <w:szCs w:val="24"/>
        </w:rPr>
        <w:t>L</w:t>
      </w:r>
      <w:r w:rsidR="00D42568" w:rsidRPr="003F13B0">
        <w:rPr>
          <w:rFonts w:ascii="Arial Narrow" w:hAnsi="Arial Narrow" w:cs="Arial"/>
          <w:sz w:val="24"/>
          <w:szCs w:val="24"/>
        </w:rPr>
        <w:t xml:space="preserve">e niveau déconcentré rencontre </w:t>
      </w:r>
      <w:r w:rsidR="00FD6A4A" w:rsidRPr="003F13B0">
        <w:rPr>
          <w:rFonts w:ascii="Arial Narrow" w:hAnsi="Arial Narrow" w:cs="Arial"/>
          <w:sz w:val="24"/>
          <w:szCs w:val="24"/>
        </w:rPr>
        <w:t xml:space="preserve">un certain nombre de </w:t>
      </w:r>
      <w:r w:rsidR="009D2C46" w:rsidRPr="003F13B0">
        <w:rPr>
          <w:rFonts w:ascii="Arial Narrow" w:hAnsi="Arial Narrow" w:cs="Arial"/>
          <w:sz w:val="24"/>
          <w:szCs w:val="24"/>
        </w:rPr>
        <w:t xml:space="preserve">difficultés </w:t>
      </w:r>
      <w:r w:rsidR="00D42568" w:rsidRPr="003F13B0">
        <w:rPr>
          <w:rFonts w:ascii="Arial Narrow" w:hAnsi="Arial Narrow" w:cs="Arial"/>
          <w:sz w:val="24"/>
          <w:szCs w:val="24"/>
        </w:rPr>
        <w:t xml:space="preserve">dans le cadre de la mise en œuvre du PNDS </w:t>
      </w:r>
      <w:r w:rsidR="009E3475" w:rsidRPr="003F13B0">
        <w:rPr>
          <w:rFonts w:ascii="Arial Narrow" w:hAnsi="Arial Narrow" w:cs="Arial"/>
          <w:sz w:val="24"/>
          <w:szCs w:val="24"/>
        </w:rPr>
        <w:t>2021-2025</w:t>
      </w:r>
      <w:r w:rsidR="00D42568" w:rsidRPr="003F13B0">
        <w:rPr>
          <w:rFonts w:ascii="Arial Narrow" w:hAnsi="Arial Narrow" w:cs="Arial"/>
          <w:sz w:val="24"/>
          <w:szCs w:val="24"/>
        </w:rPr>
        <w:t xml:space="preserve">. Ces </w:t>
      </w:r>
      <w:r w:rsidR="00FD6A4A" w:rsidRPr="003F13B0">
        <w:rPr>
          <w:rFonts w:ascii="Arial Narrow" w:hAnsi="Arial Narrow" w:cs="Arial"/>
          <w:sz w:val="24"/>
          <w:szCs w:val="24"/>
        </w:rPr>
        <w:t xml:space="preserve">difficultés </w:t>
      </w:r>
      <w:r w:rsidR="00D42568" w:rsidRPr="003F13B0">
        <w:rPr>
          <w:rFonts w:ascii="Arial Narrow" w:hAnsi="Arial Narrow" w:cs="Arial"/>
          <w:sz w:val="24"/>
          <w:szCs w:val="24"/>
        </w:rPr>
        <w:t>s’articulent principalement autour du financement, de la coordination, des infrastructures physiques et des ressources humaines.</w:t>
      </w:r>
      <w:r w:rsidR="0076096E" w:rsidRPr="003F13B0">
        <w:rPr>
          <w:rFonts w:ascii="Arial Narrow" w:hAnsi="Arial Narrow" w:cs="Arial"/>
          <w:sz w:val="24"/>
          <w:szCs w:val="24"/>
        </w:rPr>
        <w:t xml:space="preserve"> </w:t>
      </w:r>
      <w:r w:rsidR="00D42568" w:rsidRPr="003F13B0">
        <w:rPr>
          <w:rFonts w:ascii="Arial Narrow" w:hAnsi="Arial Narrow" w:cs="Arial"/>
          <w:sz w:val="24"/>
          <w:szCs w:val="24"/>
        </w:rPr>
        <w:t>En particulier, les défis ci-dessous ont été évoqués :</w:t>
      </w:r>
    </w:p>
    <w:p w14:paraId="50D64E4B" w14:textId="52494A3C" w:rsidR="00D42568" w:rsidRPr="003F13B0" w:rsidRDefault="00D42568" w:rsidP="000A1A7B">
      <w:pPr>
        <w:pStyle w:val="Paragraphedeliste"/>
        <w:numPr>
          <w:ilvl w:val="0"/>
          <w:numId w:val="17"/>
        </w:numPr>
        <w:shd w:val="clear" w:color="auto" w:fill="FFFFFF" w:themeFill="background1"/>
        <w:jc w:val="both"/>
        <w:rPr>
          <w:rFonts w:ascii="Arial Narrow" w:hAnsi="Arial Narrow" w:cs="Arial"/>
          <w:sz w:val="24"/>
          <w:szCs w:val="24"/>
        </w:rPr>
      </w:pPr>
      <w:r w:rsidRPr="003F13B0">
        <w:rPr>
          <w:rFonts w:ascii="Arial Narrow" w:hAnsi="Arial Narrow" w:cs="Arial"/>
          <w:b/>
          <w:sz w:val="24"/>
          <w:szCs w:val="24"/>
        </w:rPr>
        <w:t>Financement insuffisant :</w:t>
      </w:r>
      <w:r w:rsidRPr="003F13B0">
        <w:rPr>
          <w:rFonts w:ascii="Arial Narrow" w:hAnsi="Arial Narrow" w:cs="Arial"/>
          <w:sz w:val="24"/>
          <w:szCs w:val="24"/>
        </w:rPr>
        <w:t xml:space="preserve"> Budgets insuffisants, retards de versement, dépendance </w:t>
      </w:r>
      <w:r w:rsidR="0076096E" w:rsidRPr="003F13B0">
        <w:rPr>
          <w:rFonts w:ascii="Arial Narrow" w:hAnsi="Arial Narrow" w:cs="Arial"/>
          <w:sz w:val="24"/>
          <w:szCs w:val="24"/>
        </w:rPr>
        <w:t xml:space="preserve">vis-à-vis des </w:t>
      </w:r>
      <w:r w:rsidRPr="003F13B0">
        <w:rPr>
          <w:rFonts w:ascii="Arial Narrow" w:hAnsi="Arial Narrow" w:cs="Arial"/>
          <w:sz w:val="24"/>
          <w:szCs w:val="24"/>
        </w:rPr>
        <w:t xml:space="preserve">bailleurs. </w:t>
      </w:r>
      <w:r w:rsidR="006126D2" w:rsidRPr="003F13B0">
        <w:rPr>
          <w:rFonts w:ascii="Arial Narrow" w:hAnsi="Arial Narrow" w:cs="Arial"/>
          <w:sz w:val="24"/>
          <w:szCs w:val="24"/>
        </w:rPr>
        <w:t>Cela l</w:t>
      </w:r>
      <w:r w:rsidRPr="003F13B0">
        <w:rPr>
          <w:rFonts w:ascii="Arial Narrow" w:hAnsi="Arial Narrow" w:cs="Arial"/>
          <w:sz w:val="24"/>
          <w:szCs w:val="24"/>
        </w:rPr>
        <w:t>imite la mise en œuvre des activités et l'atteinte des objectifs.</w:t>
      </w:r>
    </w:p>
    <w:p w14:paraId="4886673E" w14:textId="3502BD63" w:rsidR="00D42568" w:rsidRPr="003F13B0" w:rsidRDefault="00D42568" w:rsidP="000A1A7B">
      <w:pPr>
        <w:pStyle w:val="Paragraphedeliste"/>
        <w:numPr>
          <w:ilvl w:val="0"/>
          <w:numId w:val="17"/>
        </w:numPr>
        <w:shd w:val="clear" w:color="auto" w:fill="FFFFFF" w:themeFill="background1"/>
        <w:jc w:val="both"/>
        <w:rPr>
          <w:rFonts w:ascii="Arial Narrow" w:hAnsi="Arial Narrow" w:cs="Arial"/>
          <w:sz w:val="24"/>
          <w:szCs w:val="24"/>
        </w:rPr>
      </w:pPr>
      <w:r w:rsidRPr="003F13B0">
        <w:rPr>
          <w:rFonts w:ascii="Arial Narrow" w:hAnsi="Arial Narrow" w:cs="Arial"/>
          <w:b/>
          <w:sz w:val="24"/>
          <w:szCs w:val="24"/>
        </w:rPr>
        <w:t>Coordination défaillante :</w:t>
      </w:r>
      <w:r w:rsidRPr="003F13B0">
        <w:rPr>
          <w:rFonts w:ascii="Arial Narrow" w:hAnsi="Arial Narrow" w:cs="Arial"/>
          <w:sz w:val="24"/>
          <w:szCs w:val="24"/>
        </w:rPr>
        <w:t xml:space="preserve"> Chevauchement des activités</w:t>
      </w:r>
      <w:r w:rsidR="002C6FF7" w:rsidRPr="003F13B0">
        <w:rPr>
          <w:rFonts w:ascii="Arial Narrow" w:hAnsi="Arial Narrow" w:cs="Arial"/>
          <w:sz w:val="24"/>
          <w:szCs w:val="24"/>
        </w:rPr>
        <w:t xml:space="preserve"> (</w:t>
      </w:r>
      <w:r w:rsidR="00DC0401">
        <w:rPr>
          <w:rFonts w:ascii="Arial Narrow" w:hAnsi="Arial Narrow" w:cs="Arial"/>
          <w:sz w:val="24"/>
          <w:szCs w:val="24"/>
        </w:rPr>
        <w:t>c</w:t>
      </w:r>
      <w:r w:rsidR="002C6FF7" w:rsidRPr="003F13B0">
        <w:rPr>
          <w:rFonts w:ascii="Arial Narrow" w:hAnsi="Arial Narrow" w:cs="Arial"/>
          <w:sz w:val="24"/>
          <w:szCs w:val="24"/>
        </w:rPr>
        <w:t>onflits d’agenda)</w:t>
      </w:r>
      <w:r w:rsidRPr="003F13B0">
        <w:rPr>
          <w:rFonts w:ascii="Arial Narrow" w:hAnsi="Arial Narrow" w:cs="Arial"/>
          <w:sz w:val="24"/>
          <w:szCs w:val="24"/>
        </w:rPr>
        <w:t>. Cela entraîne une inefficacité et une fragmentation des efforts.</w:t>
      </w:r>
    </w:p>
    <w:p w14:paraId="0BC5448A" w14:textId="77777777" w:rsidR="00D73EA3" w:rsidRPr="00674181" w:rsidRDefault="00D42568" w:rsidP="000A1A7B">
      <w:pPr>
        <w:pStyle w:val="Paragraphedeliste"/>
        <w:numPr>
          <w:ilvl w:val="0"/>
          <w:numId w:val="17"/>
        </w:numPr>
        <w:shd w:val="clear" w:color="auto" w:fill="FFFFFF" w:themeFill="background1"/>
        <w:jc w:val="both"/>
        <w:rPr>
          <w:rFonts w:ascii="Arial Narrow" w:hAnsi="Arial Narrow" w:cs="Arial"/>
          <w:sz w:val="24"/>
          <w:szCs w:val="24"/>
        </w:rPr>
      </w:pPr>
      <w:r w:rsidRPr="00674181">
        <w:rPr>
          <w:rFonts w:ascii="Arial Narrow" w:hAnsi="Arial Narrow" w:cs="Arial"/>
          <w:b/>
          <w:sz w:val="24"/>
          <w:szCs w:val="24"/>
        </w:rPr>
        <w:t>Infrastructures inadéquates :</w:t>
      </w:r>
      <w:r w:rsidRPr="00674181">
        <w:rPr>
          <w:rFonts w:ascii="Arial Narrow" w:hAnsi="Arial Narrow" w:cs="Arial"/>
          <w:sz w:val="24"/>
          <w:szCs w:val="24"/>
        </w:rPr>
        <w:t xml:space="preserve"> Matériel obsolète, locaux inadaptés. Cela compromet la qualité des soins et la sécurité des patients.</w:t>
      </w:r>
    </w:p>
    <w:p w14:paraId="3DDF2DAD" w14:textId="5F141162" w:rsidR="00F75A8D" w:rsidRPr="003F13B0" w:rsidRDefault="00D42568" w:rsidP="000A1A7B">
      <w:pPr>
        <w:pStyle w:val="Paragraphedeliste"/>
        <w:numPr>
          <w:ilvl w:val="0"/>
          <w:numId w:val="17"/>
        </w:numPr>
        <w:shd w:val="clear" w:color="auto" w:fill="FFFFFF" w:themeFill="background1"/>
        <w:jc w:val="both"/>
        <w:rPr>
          <w:rFonts w:ascii="Arial Narrow" w:hAnsi="Arial Narrow" w:cs="Arial"/>
          <w:sz w:val="24"/>
          <w:szCs w:val="24"/>
        </w:rPr>
      </w:pPr>
      <w:r w:rsidRPr="00674181">
        <w:rPr>
          <w:rFonts w:ascii="Arial Narrow" w:hAnsi="Arial Narrow" w:cs="Arial"/>
          <w:b/>
          <w:sz w:val="24"/>
          <w:szCs w:val="24"/>
        </w:rPr>
        <w:t>Ressources humaines insuffisantes :</w:t>
      </w:r>
      <w:r w:rsidRPr="00674181">
        <w:rPr>
          <w:rFonts w:ascii="Arial Narrow" w:hAnsi="Arial Narrow" w:cs="Arial"/>
          <w:sz w:val="24"/>
          <w:szCs w:val="24"/>
        </w:rPr>
        <w:t xml:space="preserve"> Manque de personnel qualifié, notamment dans les zones rurales, ce qui limite l'accès aux soins et la qualité des services offerts</w:t>
      </w:r>
      <w:r w:rsidRPr="003F13B0">
        <w:rPr>
          <w:rFonts w:ascii="Arial Narrow" w:hAnsi="Arial Narrow" w:cs="Arial"/>
          <w:sz w:val="24"/>
          <w:szCs w:val="24"/>
        </w:rPr>
        <w:t>.</w:t>
      </w:r>
    </w:p>
    <w:p w14:paraId="0EF48705" w14:textId="5D213A98" w:rsidR="003E6DE7" w:rsidRDefault="00D42568" w:rsidP="003E6DE7">
      <w:pPr>
        <w:pStyle w:val="Paragraphedeliste"/>
        <w:numPr>
          <w:ilvl w:val="0"/>
          <w:numId w:val="17"/>
        </w:numPr>
        <w:shd w:val="clear" w:color="auto" w:fill="FFFFFF" w:themeFill="background1"/>
        <w:jc w:val="both"/>
        <w:rPr>
          <w:rFonts w:ascii="Arial Narrow" w:hAnsi="Arial Narrow" w:cs="Arial"/>
          <w:sz w:val="24"/>
          <w:szCs w:val="24"/>
        </w:rPr>
      </w:pPr>
      <w:r w:rsidRPr="00674181">
        <w:rPr>
          <w:rFonts w:ascii="Arial Narrow" w:hAnsi="Arial Narrow" w:cs="Arial"/>
          <w:b/>
          <w:sz w:val="24"/>
          <w:szCs w:val="24"/>
        </w:rPr>
        <w:t>Facteurs socioculturels :</w:t>
      </w:r>
      <w:r w:rsidRPr="00674181">
        <w:rPr>
          <w:rFonts w:ascii="Arial Narrow" w:hAnsi="Arial Narrow" w:cs="Arial"/>
          <w:sz w:val="24"/>
          <w:szCs w:val="24"/>
        </w:rPr>
        <w:t xml:space="preserve"> Croyances et pratiques traditionnelles qui entravent l'accès aux soins.</w:t>
      </w:r>
    </w:p>
    <w:p w14:paraId="2ED4AC5B" w14:textId="77777777" w:rsidR="003E6DE7" w:rsidRPr="003E6DE7" w:rsidRDefault="003E6DE7" w:rsidP="003E6DE7">
      <w:pPr>
        <w:shd w:val="clear" w:color="auto" w:fill="FFFFFF" w:themeFill="background1"/>
        <w:jc w:val="both"/>
        <w:rPr>
          <w:rFonts w:ascii="Arial Narrow" w:hAnsi="Arial Narrow" w:cs="Arial"/>
          <w:sz w:val="24"/>
          <w:szCs w:val="24"/>
        </w:rPr>
      </w:pPr>
    </w:p>
    <w:p w14:paraId="6C20CBB3" w14:textId="2B325EC8" w:rsidR="00EB1E3B" w:rsidRDefault="00EB1E3B" w:rsidP="00DC5897">
      <w:pPr>
        <w:pStyle w:val="Lgende"/>
      </w:pPr>
      <w:bookmarkStart w:id="136" w:name="_Toc183688816"/>
      <w:r>
        <w:t xml:space="preserve">Graphique </w:t>
      </w:r>
      <w:r>
        <w:fldChar w:fldCharType="begin"/>
      </w:r>
      <w:r>
        <w:instrText xml:space="preserve"> SEQ Graphique \* ARABIC </w:instrText>
      </w:r>
      <w:r>
        <w:fldChar w:fldCharType="separate"/>
      </w:r>
      <w:r w:rsidR="003E6DE7">
        <w:rPr>
          <w:noProof/>
        </w:rPr>
        <w:t>29</w:t>
      </w:r>
      <w:r>
        <w:fldChar w:fldCharType="end"/>
      </w:r>
      <w:r>
        <w:t xml:space="preserve"> : Difficultés de mise en œuvre du PNDS 2021-2025 au niveau déconcentré</w:t>
      </w:r>
      <w:bookmarkEnd w:id="136"/>
    </w:p>
    <w:p w14:paraId="090DDCD9" w14:textId="59C47AB7" w:rsidR="00F75A8D" w:rsidRPr="003F13B0" w:rsidRDefault="00F75A8D" w:rsidP="00F75A8D">
      <w:pPr>
        <w:shd w:val="clear" w:color="auto" w:fill="FFFFFF" w:themeFill="background1"/>
        <w:jc w:val="both"/>
        <w:rPr>
          <w:rFonts w:ascii="Arial Narrow" w:hAnsi="Arial Narrow" w:cs="Arial"/>
          <w:sz w:val="24"/>
          <w:szCs w:val="24"/>
        </w:rPr>
      </w:pPr>
      <w:r w:rsidRPr="00BE0649">
        <w:rPr>
          <w:rFonts w:ascii="Arial Narrow" w:hAnsi="Arial Narrow" w:cs="Arial"/>
          <w:noProof/>
          <w:sz w:val="24"/>
          <w:szCs w:val="24"/>
          <w:lang w:eastAsia="fr-FR"/>
        </w:rPr>
        <w:drawing>
          <wp:inline distT="0" distB="0" distL="0" distR="0" wp14:anchorId="61A4A37C" wp14:editId="0E594B52">
            <wp:extent cx="5731510" cy="2434661"/>
            <wp:effectExtent l="0" t="0" r="2540" b="3810"/>
            <wp:docPr id="508307589" name="Chart 1">
              <a:extLst xmlns:a="http://schemas.openxmlformats.org/drawingml/2006/main">
                <a:ext uri="{FF2B5EF4-FFF2-40B4-BE49-F238E27FC236}">
                  <a16:creationId xmlns:a16="http://schemas.microsoft.com/office/drawing/2014/main" id="{9CF79516-4BB2-48FD-E978-7376767826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520952C2" w14:textId="585680F6" w:rsidR="00F75A8D" w:rsidRPr="003F13B0" w:rsidRDefault="00F75A8D" w:rsidP="00DC5897">
      <w:pPr>
        <w:pStyle w:val="Lgende"/>
        <w:rPr>
          <w:sz w:val="24"/>
          <w:szCs w:val="24"/>
        </w:rPr>
      </w:pPr>
      <w:r w:rsidRPr="003F13B0">
        <w:t xml:space="preserve">Sources : Données collectées pour la </w:t>
      </w:r>
      <w:r w:rsidR="00B635D8">
        <w:t>revue</w:t>
      </w:r>
      <w:r w:rsidRPr="003F13B0">
        <w:t xml:space="preserve"> du PNDS 2021-2025</w:t>
      </w:r>
    </w:p>
    <w:p w14:paraId="35A87409" w14:textId="4DEF6605" w:rsidR="006F13E9" w:rsidRPr="003F13B0" w:rsidRDefault="00A500EB" w:rsidP="00761F55">
      <w:pPr>
        <w:pStyle w:val="Titre3"/>
        <w:jc w:val="both"/>
        <w:rPr>
          <w:rFonts w:ascii="Arial Narrow" w:hAnsi="Arial Narrow" w:cs="Arial"/>
          <w:b/>
          <w:color w:val="auto"/>
          <w:sz w:val="24"/>
          <w:szCs w:val="24"/>
        </w:rPr>
      </w:pPr>
      <w:bookmarkStart w:id="137" w:name="_Toc190677490"/>
      <w:r w:rsidRPr="003F13B0">
        <w:rPr>
          <w:rFonts w:ascii="Arial Narrow" w:hAnsi="Arial Narrow" w:cs="Arial"/>
          <w:b/>
          <w:color w:val="auto"/>
          <w:sz w:val="24"/>
          <w:szCs w:val="24"/>
        </w:rPr>
        <w:t>Difficultés</w:t>
      </w:r>
      <w:r w:rsidR="00C539AF" w:rsidRPr="003F13B0" w:rsidDel="00C539AF">
        <w:rPr>
          <w:rFonts w:ascii="Arial Narrow" w:hAnsi="Arial Narrow" w:cs="Arial"/>
          <w:b/>
          <w:color w:val="auto"/>
          <w:sz w:val="24"/>
          <w:szCs w:val="24"/>
        </w:rPr>
        <w:t xml:space="preserve"> </w:t>
      </w:r>
      <w:r w:rsidR="006F13E9" w:rsidRPr="003F13B0">
        <w:rPr>
          <w:rFonts w:ascii="Arial Narrow" w:hAnsi="Arial Narrow" w:cs="Arial"/>
          <w:b/>
          <w:color w:val="auto"/>
          <w:sz w:val="24"/>
          <w:szCs w:val="24"/>
        </w:rPr>
        <w:t>d</w:t>
      </w:r>
      <w:r w:rsidR="00F75A8D" w:rsidRPr="003F13B0">
        <w:rPr>
          <w:rFonts w:ascii="Arial Narrow" w:hAnsi="Arial Narrow" w:cs="Arial"/>
          <w:b/>
          <w:color w:val="auto"/>
          <w:sz w:val="24"/>
          <w:szCs w:val="24"/>
        </w:rPr>
        <w:t>e</w:t>
      </w:r>
      <w:r w:rsidR="006F13E9" w:rsidRPr="003F13B0">
        <w:rPr>
          <w:rFonts w:ascii="Arial Narrow" w:hAnsi="Arial Narrow" w:cs="Arial"/>
          <w:b/>
          <w:color w:val="auto"/>
          <w:sz w:val="24"/>
          <w:szCs w:val="24"/>
        </w:rPr>
        <w:t xml:space="preserve"> financement du PNDS, de l’engagement et de l’exécution des financements selon les </w:t>
      </w:r>
      <w:r w:rsidR="002F54F7" w:rsidRPr="003F13B0">
        <w:rPr>
          <w:rFonts w:ascii="Arial Narrow" w:hAnsi="Arial Narrow" w:cs="Arial"/>
          <w:b/>
          <w:color w:val="auto"/>
          <w:sz w:val="24"/>
          <w:szCs w:val="24"/>
        </w:rPr>
        <w:t>PTF</w:t>
      </w:r>
      <w:bookmarkEnd w:id="137"/>
    </w:p>
    <w:p w14:paraId="463CDC45" w14:textId="099E31D1" w:rsidR="00CF6625" w:rsidRPr="003F13B0" w:rsidRDefault="00CF6625" w:rsidP="00CF6625">
      <w:pPr>
        <w:jc w:val="both"/>
        <w:rPr>
          <w:rFonts w:ascii="Arial Narrow" w:hAnsi="Arial Narrow" w:cs="Arial"/>
          <w:sz w:val="24"/>
          <w:szCs w:val="24"/>
        </w:rPr>
      </w:pPr>
      <w:r w:rsidRPr="003F13B0">
        <w:rPr>
          <w:rFonts w:ascii="Arial Narrow" w:hAnsi="Arial Narrow" w:cs="Arial"/>
          <w:sz w:val="24"/>
          <w:szCs w:val="24"/>
        </w:rPr>
        <w:t xml:space="preserve">Trois défis majeurs ont été identifiés à partir des consultations menées auprès des partenaires techniques et financiers (PTF) dans le cadre de la </w:t>
      </w:r>
      <w:r w:rsidR="00B635D8">
        <w:rPr>
          <w:rFonts w:ascii="Arial Narrow" w:hAnsi="Arial Narrow" w:cs="Arial"/>
          <w:sz w:val="24"/>
          <w:szCs w:val="24"/>
        </w:rPr>
        <w:t>revue</w:t>
      </w:r>
      <w:r w:rsidRPr="003F13B0">
        <w:rPr>
          <w:rFonts w:ascii="Arial Narrow" w:hAnsi="Arial Narrow" w:cs="Arial"/>
          <w:sz w:val="24"/>
          <w:szCs w:val="24"/>
        </w:rPr>
        <w:t xml:space="preserve"> du Plan National de Développement Sanitaire (PNDS) 2021-2025 : </w:t>
      </w:r>
      <w:r w:rsidRPr="00A918AC">
        <w:rPr>
          <w:rFonts w:ascii="Arial Narrow" w:hAnsi="Arial Narrow" w:cs="Arial"/>
          <w:i/>
          <w:sz w:val="24"/>
          <w:szCs w:val="24"/>
        </w:rPr>
        <w:t>(i)</w:t>
      </w:r>
      <w:r w:rsidRPr="003F13B0">
        <w:rPr>
          <w:rFonts w:ascii="Arial Narrow" w:hAnsi="Arial Narrow" w:cs="Arial"/>
          <w:sz w:val="24"/>
          <w:szCs w:val="24"/>
        </w:rPr>
        <w:t xml:space="preserve"> la coordination des financements extérieurs</w:t>
      </w:r>
      <w:r w:rsidR="005A3EE9" w:rsidRPr="003F13B0">
        <w:rPr>
          <w:rFonts w:ascii="Arial Narrow" w:hAnsi="Arial Narrow" w:cs="Arial"/>
          <w:sz w:val="24"/>
          <w:szCs w:val="24"/>
        </w:rPr>
        <w:t> ;</w:t>
      </w:r>
      <w:r w:rsidRPr="003F13B0">
        <w:rPr>
          <w:rFonts w:ascii="Arial Narrow" w:hAnsi="Arial Narrow" w:cs="Arial"/>
          <w:sz w:val="24"/>
          <w:szCs w:val="24"/>
        </w:rPr>
        <w:t xml:space="preserve"> </w:t>
      </w:r>
      <w:r w:rsidRPr="00A918AC">
        <w:rPr>
          <w:rFonts w:ascii="Arial Narrow" w:hAnsi="Arial Narrow" w:cs="Arial"/>
          <w:i/>
          <w:sz w:val="24"/>
          <w:szCs w:val="24"/>
        </w:rPr>
        <w:t>(ii)</w:t>
      </w:r>
      <w:r w:rsidRPr="003F13B0">
        <w:rPr>
          <w:rFonts w:ascii="Arial Narrow" w:hAnsi="Arial Narrow" w:cs="Arial"/>
          <w:sz w:val="24"/>
          <w:szCs w:val="24"/>
        </w:rPr>
        <w:t xml:space="preserve"> la mobilisation des ressources domestiques pour le financement du PNDS et </w:t>
      </w:r>
      <w:r w:rsidRPr="00A918AC">
        <w:rPr>
          <w:rFonts w:ascii="Arial Narrow" w:hAnsi="Arial Narrow" w:cs="Arial"/>
          <w:i/>
          <w:sz w:val="24"/>
          <w:szCs w:val="24"/>
        </w:rPr>
        <w:t>(iii)</w:t>
      </w:r>
      <w:r w:rsidRPr="003F13B0">
        <w:rPr>
          <w:rFonts w:ascii="Arial Narrow" w:hAnsi="Arial Narrow" w:cs="Arial"/>
          <w:sz w:val="24"/>
          <w:szCs w:val="24"/>
        </w:rPr>
        <w:t xml:space="preserve"> l'engagement </w:t>
      </w:r>
      <w:r w:rsidRPr="003F13B0" w:rsidDel="001B1888">
        <w:rPr>
          <w:rFonts w:ascii="Arial Narrow" w:hAnsi="Arial Narrow" w:cs="Arial"/>
          <w:sz w:val="24"/>
          <w:szCs w:val="24"/>
        </w:rPr>
        <w:t xml:space="preserve">des </w:t>
      </w:r>
      <w:r w:rsidRPr="003F13B0">
        <w:rPr>
          <w:rFonts w:ascii="Arial Narrow" w:hAnsi="Arial Narrow" w:cs="Arial"/>
          <w:sz w:val="24"/>
          <w:szCs w:val="24"/>
        </w:rPr>
        <w:t>financements disponibles.</w:t>
      </w:r>
    </w:p>
    <w:p w14:paraId="19F118FA" w14:textId="77777777" w:rsidR="00CF6625" w:rsidRPr="00902336" w:rsidRDefault="00CF6625" w:rsidP="000A1A7B">
      <w:pPr>
        <w:pStyle w:val="Paragraphedeliste"/>
        <w:numPr>
          <w:ilvl w:val="0"/>
          <w:numId w:val="18"/>
        </w:numPr>
        <w:ind w:left="426"/>
        <w:jc w:val="both"/>
        <w:rPr>
          <w:rFonts w:ascii="Arial Narrow" w:hAnsi="Arial Narrow" w:cs="Arial"/>
          <w:sz w:val="24"/>
          <w:szCs w:val="24"/>
        </w:rPr>
      </w:pPr>
      <w:r w:rsidRPr="00902336">
        <w:rPr>
          <w:rFonts w:ascii="Arial Narrow" w:hAnsi="Arial Narrow" w:cs="Arial"/>
          <w:sz w:val="24"/>
          <w:szCs w:val="24"/>
        </w:rPr>
        <w:t>Concernant la coordination des financements extérieurs, les PTF ont souligné une insuffisance dans la coordination entre les bailleurs de fonds pour la santé. En effet, après l'élaboration du PNDS 2021-2025, aucun cadre formel, tel qu'une table ronde, n'a été établi pour recueillir de manière organisée les promesses de contribution des bailleurs.</w:t>
      </w:r>
    </w:p>
    <w:p w14:paraId="63059270" w14:textId="767510E1" w:rsidR="00CF6625" w:rsidRPr="003F13B0" w:rsidRDefault="00CF6625" w:rsidP="000A1A7B">
      <w:pPr>
        <w:pStyle w:val="Paragraphedeliste"/>
        <w:numPr>
          <w:ilvl w:val="0"/>
          <w:numId w:val="18"/>
        </w:numPr>
        <w:ind w:left="426"/>
        <w:jc w:val="both"/>
        <w:rPr>
          <w:rFonts w:ascii="Arial Narrow" w:hAnsi="Arial Narrow" w:cs="Arial"/>
          <w:sz w:val="24"/>
          <w:szCs w:val="24"/>
        </w:rPr>
      </w:pPr>
      <w:r w:rsidRPr="003F13B0">
        <w:rPr>
          <w:rFonts w:ascii="Arial Narrow" w:hAnsi="Arial Narrow" w:cs="Arial"/>
          <w:sz w:val="24"/>
          <w:szCs w:val="24"/>
        </w:rPr>
        <w:t xml:space="preserve">Sur le plan de la mobilisation des ressources domestiques pour le financement du PNDS, il est important de signaler que les ressources propres de l'État sont limitées, </w:t>
      </w:r>
      <w:r w:rsidRPr="00902336">
        <w:rPr>
          <w:rFonts w:ascii="Arial Narrow" w:hAnsi="Arial Narrow" w:cs="Arial"/>
          <w:sz w:val="24"/>
          <w:szCs w:val="24"/>
        </w:rPr>
        <w:t>ce qui entrave le financement efficace de certaines activités, notamment celles liées aux effets 3, 5 et 7</w:t>
      </w:r>
      <w:r w:rsidRPr="003F13B0">
        <w:rPr>
          <w:rFonts w:ascii="Arial Narrow" w:hAnsi="Arial Narrow" w:cs="Arial"/>
          <w:sz w:val="24"/>
          <w:szCs w:val="24"/>
        </w:rPr>
        <w:t xml:space="preserve">. Ces effets </w:t>
      </w:r>
      <w:r w:rsidRPr="003F13B0">
        <w:rPr>
          <w:rFonts w:ascii="Arial Narrow" w:hAnsi="Arial Narrow" w:cs="Arial"/>
          <w:sz w:val="24"/>
          <w:szCs w:val="24"/>
        </w:rPr>
        <w:lastRenderedPageBreak/>
        <w:t xml:space="preserve">concernent le renforcement de la prise en charge efficace des maladies, l'amélioration de l'utilisation des services de santé de qualité et l'optimisation de la qualité des services de santé. </w:t>
      </w:r>
    </w:p>
    <w:p w14:paraId="4FD9C2EE" w14:textId="0415847F" w:rsidR="006F13E9" w:rsidRPr="00902336" w:rsidRDefault="00CF6625" w:rsidP="000A1A7B">
      <w:pPr>
        <w:pStyle w:val="Paragraphedeliste"/>
        <w:numPr>
          <w:ilvl w:val="0"/>
          <w:numId w:val="18"/>
        </w:numPr>
        <w:ind w:left="426"/>
        <w:jc w:val="both"/>
        <w:rPr>
          <w:rFonts w:ascii="Arial Narrow" w:hAnsi="Arial Narrow" w:cs="Arial"/>
          <w:sz w:val="24"/>
          <w:szCs w:val="24"/>
        </w:rPr>
      </w:pPr>
      <w:r w:rsidRPr="00902336">
        <w:rPr>
          <w:rFonts w:ascii="Arial Narrow" w:hAnsi="Arial Narrow" w:cs="Arial"/>
          <w:sz w:val="24"/>
          <w:szCs w:val="24"/>
        </w:rPr>
        <w:t>En ce qui concerne l'engagement des financements disponibles, les PTF ont noté des difficultés liées à la maîtrise des procédures de décaissement par les structures bénéficiaires. De plus, des retards significatifs ont été observés dans l'exécution des financements alloués à ces structures, créant des blocages dans les décaissements ultérieurs pour d'autres activités des partenaires. Ces problématiques mettent en évidence les défis associés à la mise en œuvre effective de la Déclaration de Paris sur l'aide publique au développement.</w:t>
      </w:r>
    </w:p>
    <w:p w14:paraId="625E9DB0" w14:textId="0CC0B860" w:rsidR="00625616" w:rsidRPr="006728FA" w:rsidRDefault="006728FA" w:rsidP="006728FA">
      <w:pPr>
        <w:pStyle w:val="Titre2"/>
        <w:jc w:val="both"/>
        <w:rPr>
          <w:rFonts w:ascii="Arial Narrow" w:hAnsi="Arial Narrow" w:cs="Arial"/>
          <w:sz w:val="24"/>
          <w:szCs w:val="24"/>
        </w:rPr>
      </w:pPr>
      <w:bookmarkStart w:id="138" w:name="_Toc190677491"/>
      <w:r>
        <w:rPr>
          <w:rFonts w:ascii="Arial Narrow" w:hAnsi="Arial Narrow" w:cs="Arial"/>
          <w:sz w:val="24"/>
          <w:szCs w:val="24"/>
        </w:rPr>
        <w:t>III.</w:t>
      </w:r>
      <w:r w:rsidR="007A43CC">
        <w:rPr>
          <w:rFonts w:ascii="Arial Narrow" w:hAnsi="Arial Narrow" w:cs="Arial"/>
          <w:sz w:val="24"/>
          <w:szCs w:val="24"/>
        </w:rPr>
        <w:t xml:space="preserve">2. </w:t>
      </w:r>
      <w:r w:rsidR="00382DE4">
        <w:rPr>
          <w:rFonts w:ascii="Arial Narrow" w:hAnsi="Arial Narrow" w:cs="Arial"/>
          <w:sz w:val="24"/>
          <w:szCs w:val="24"/>
        </w:rPr>
        <w:t>Défis</w:t>
      </w:r>
      <w:r w:rsidR="00843C5F">
        <w:rPr>
          <w:rFonts w:ascii="Arial Narrow" w:hAnsi="Arial Narrow" w:cs="Arial"/>
          <w:sz w:val="24"/>
          <w:szCs w:val="24"/>
        </w:rPr>
        <w:t xml:space="preserve"> </w:t>
      </w:r>
      <w:r w:rsidR="003A5901">
        <w:rPr>
          <w:rFonts w:ascii="Arial Narrow" w:hAnsi="Arial Narrow" w:cs="Arial"/>
          <w:sz w:val="24"/>
          <w:szCs w:val="24"/>
        </w:rPr>
        <w:t>et p</w:t>
      </w:r>
      <w:r w:rsidRPr="006728FA">
        <w:rPr>
          <w:rFonts w:ascii="Arial Narrow" w:hAnsi="Arial Narrow" w:cs="Arial"/>
          <w:sz w:val="24"/>
          <w:szCs w:val="24"/>
        </w:rPr>
        <w:t xml:space="preserve">erspectives </w:t>
      </w:r>
      <w:r w:rsidR="00843C5F">
        <w:rPr>
          <w:rFonts w:ascii="Arial Narrow" w:hAnsi="Arial Narrow" w:cs="Arial"/>
          <w:sz w:val="24"/>
          <w:szCs w:val="24"/>
        </w:rPr>
        <w:t>du système de santé</w:t>
      </w:r>
      <w:bookmarkEnd w:id="138"/>
      <w:r w:rsidR="00843C5F">
        <w:rPr>
          <w:rFonts w:ascii="Arial Narrow" w:hAnsi="Arial Narrow" w:cs="Arial"/>
          <w:sz w:val="24"/>
          <w:szCs w:val="24"/>
        </w:rPr>
        <w:t xml:space="preserve"> </w:t>
      </w:r>
      <w:bookmarkStart w:id="139" w:name="_Toc178699589"/>
    </w:p>
    <w:p w14:paraId="5CF4F95C" w14:textId="52FDDD45" w:rsidR="006832D0" w:rsidRPr="003475CF" w:rsidRDefault="006832D0" w:rsidP="003475CF">
      <w:pPr>
        <w:pStyle w:val="Titre3"/>
        <w:jc w:val="both"/>
        <w:rPr>
          <w:rFonts w:ascii="Arial Narrow" w:hAnsi="Arial Narrow" w:cs="Arial"/>
          <w:b/>
          <w:color w:val="auto"/>
          <w:sz w:val="24"/>
          <w:szCs w:val="24"/>
        </w:rPr>
      </w:pPr>
      <w:bookmarkStart w:id="140" w:name="_Toc190677492"/>
      <w:r w:rsidRPr="003475CF">
        <w:rPr>
          <w:rFonts w:ascii="Arial Narrow" w:hAnsi="Arial Narrow" w:cs="Arial"/>
          <w:b/>
          <w:color w:val="auto"/>
          <w:sz w:val="24"/>
          <w:szCs w:val="24"/>
        </w:rPr>
        <w:t>Défis du système de santé</w:t>
      </w:r>
      <w:bookmarkEnd w:id="140"/>
    </w:p>
    <w:p w14:paraId="5CBCFD59" w14:textId="49B5E21E" w:rsidR="00C155D4" w:rsidRPr="00AA2ADF" w:rsidRDefault="00D93487" w:rsidP="00C155D4">
      <w:pPr>
        <w:rPr>
          <w:rFonts w:ascii="Arial Narrow" w:hAnsi="Arial Narrow"/>
          <w:sz w:val="24"/>
          <w:szCs w:val="24"/>
        </w:rPr>
      </w:pPr>
      <w:r>
        <w:rPr>
          <w:rFonts w:ascii="Arial Narrow" w:hAnsi="Arial Narrow"/>
          <w:sz w:val="24"/>
          <w:szCs w:val="24"/>
        </w:rPr>
        <w:t xml:space="preserve">Les </w:t>
      </w:r>
      <w:r w:rsidR="00B67552">
        <w:rPr>
          <w:rFonts w:ascii="Arial Narrow" w:hAnsi="Arial Narrow"/>
          <w:sz w:val="24"/>
          <w:szCs w:val="24"/>
        </w:rPr>
        <w:t xml:space="preserve">points ci-dessous détaillent les </w:t>
      </w:r>
      <w:r w:rsidR="00C155D4" w:rsidRPr="00AA2ADF">
        <w:rPr>
          <w:rFonts w:ascii="Arial Narrow" w:hAnsi="Arial Narrow"/>
          <w:sz w:val="24"/>
          <w:szCs w:val="24"/>
        </w:rPr>
        <w:t>défis majeurs du système de santé</w:t>
      </w:r>
      <w:r w:rsidR="00B67552">
        <w:rPr>
          <w:rFonts w:ascii="Arial Narrow" w:hAnsi="Arial Narrow"/>
          <w:sz w:val="24"/>
          <w:szCs w:val="24"/>
        </w:rPr>
        <w:t xml:space="preserve"> </w:t>
      </w:r>
      <w:r w:rsidR="00C155D4" w:rsidRPr="00AA2ADF">
        <w:rPr>
          <w:rFonts w:ascii="Arial Narrow" w:hAnsi="Arial Narrow"/>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7350"/>
      </w:tblGrid>
      <w:tr w:rsidR="00384EA1" w14:paraId="041EF359" w14:textId="77777777" w:rsidTr="002A018D">
        <w:tc>
          <w:tcPr>
            <w:tcW w:w="0" w:type="auto"/>
            <w:shd w:val="clear" w:color="auto" w:fill="C5E0B3" w:themeFill="accent6" w:themeFillTint="66"/>
            <w:vAlign w:val="center"/>
          </w:tcPr>
          <w:p w14:paraId="3A3B3B3C" w14:textId="77777777" w:rsidR="00384EA1" w:rsidRDefault="00384EA1" w:rsidP="002155A2">
            <w:pPr>
              <w:jc w:val="center"/>
              <w:rPr>
                <w:rFonts w:ascii="Arial Narrow" w:hAnsi="Arial Narrow"/>
              </w:rPr>
            </w:pPr>
            <w:r w:rsidRPr="00042A95">
              <w:rPr>
                <w:rFonts w:ascii="Arial Narrow" w:hAnsi="Arial Narrow"/>
              </w:rPr>
              <w:t>Gouvernance</w:t>
            </w:r>
          </w:p>
          <w:p w14:paraId="62DEC21C" w14:textId="77777777" w:rsidR="002155A2" w:rsidRDefault="002155A2" w:rsidP="002155A2">
            <w:pPr>
              <w:jc w:val="center"/>
              <w:rPr>
                <w:rFonts w:ascii="Arial Narrow" w:hAnsi="Arial Narrow"/>
              </w:rPr>
            </w:pPr>
            <w:r>
              <w:rPr>
                <w:rFonts w:ascii="Arial Narrow" w:hAnsi="Arial Narrow"/>
                <w:noProof/>
              </w:rPr>
              <w:drawing>
                <wp:inline distT="0" distB="0" distL="0" distR="0" wp14:anchorId="32791088" wp14:editId="7D52B865">
                  <wp:extent cx="506437" cy="506437"/>
                  <wp:effectExtent l="0" t="0" r="0" b="8255"/>
                  <wp:docPr id="424434278" name="Graphic 68" descr="Head with 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434278" name="Graphic 424434278" descr="Head with gears with solid fill"/>
                          <pic:cNvPicPr/>
                        </pic:nvPicPr>
                        <pic:blipFill>
                          <a:blip r:embed="rId89">
                            <a:extLst>
                              <a:ext uri="{96DAC541-7B7A-43D3-8B79-37D633B846F1}">
                                <asvg:svgBlip xmlns:asvg="http://schemas.microsoft.com/office/drawing/2016/SVG/main" r:embed="rId90"/>
                              </a:ext>
                            </a:extLst>
                          </a:blip>
                          <a:stretch>
                            <a:fillRect/>
                          </a:stretch>
                        </pic:blipFill>
                        <pic:spPr>
                          <a:xfrm>
                            <a:off x="0" y="0"/>
                            <a:ext cx="507798" cy="507798"/>
                          </a:xfrm>
                          <a:prstGeom prst="rect">
                            <a:avLst/>
                          </a:prstGeom>
                        </pic:spPr>
                      </pic:pic>
                    </a:graphicData>
                  </a:graphic>
                </wp:inline>
              </w:drawing>
            </w:r>
          </w:p>
          <w:p w14:paraId="1E5E4086" w14:textId="28CF4439" w:rsidR="002155A2" w:rsidRPr="00042A95" w:rsidRDefault="002155A2" w:rsidP="002155A2">
            <w:pPr>
              <w:jc w:val="center"/>
              <w:rPr>
                <w:rFonts w:ascii="Arial Narrow" w:hAnsi="Arial Narrow"/>
              </w:rPr>
            </w:pPr>
          </w:p>
        </w:tc>
        <w:tc>
          <w:tcPr>
            <w:tcW w:w="0" w:type="auto"/>
            <w:vAlign w:val="center"/>
          </w:tcPr>
          <w:p w14:paraId="20DE1D83" w14:textId="3E992166" w:rsidR="00384EA1" w:rsidRPr="00042A95" w:rsidRDefault="00384EA1" w:rsidP="0023636F">
            <w:pPr>
              <w:rPr>
                <w:rFonts w:ascii="Arial Narrow" w:hAnsi="Arial Narrow"/>
              </w:rPr>
            </w:pPr>
            <w:r w:rsidRPr="00042A95">
              <w:rPr>
                <w:rFonts w:ascii="Arial Narrow" w:hAnsi="Arial Narrow"/>
              </w:rPr>
              <w:t xml:space="preserve">La gouvernance du système de santé est un défi clé, notamment en ce qui concerne la finalisation de la réforme hospitalière. </w:t>
            </w:r>
            <w:r w:rsidR="0044167B" w:rsidRPr="00ED1FC1">
              <w:rPr>
                <w:rFonts w:ascii="Arial Narrow" w:hAnsi="Arial Narrow"/>
                <w:sz w:val="24"/>
                <w:szCs w:val="24"/>
              </w:rPr>
              <w:t xml:space="preserve">Celle-ci implique l’harmonisation des processus de gestion, la modernisation des structures organisationnelles et l’établissement d’un cadre réglementaire solide. Il est impératif de renforcer le </w:t>
            </w:r>
            <w:r w:rsidR="0044167B" w:rsidRPr="00ED1FC1">
              <w:rPr>
                <w:rFonts w:ascii="Arial Narrow" w:hAnsi="Arial Narrow" w:cs="Arial"/>
                <w:sz w:val="24"/>
                <w:szCs w:val="24"/>
              </w:rPr>
              <w:t>contrôle</w:t>
            </w:r>
            <w:r w:rsidR="0044167B">
              <w:rPr>
                <w:rFonts w:ascii="Arial Narrow" w:hAnsi="Arial Narrow"/>
                <w:sz w:val="24"/>
                <w:szCs w:val="24"/>
              </w:rPr>
              <w:t xml:space="preserve">, la redevabilité vis-à-vis des bénéficiaires </w:t>
            </w:r>
            <w:r w:rsidR="0044167B" w:rsidRPr="00ED1FC1">
              <w:rPr>
                <w:rFonts w:ascii="Arial Narrow" w:hAnsi="Arial Narrow"/>
                <w:sz w:val="24"/>
                <w:szCs w:val="24"/>
              </w:rPr>
              <w:t>et l</w:t>
            </w:r>
            <w:r w:rsidR="0044167B">
              <w:rPr>
                <w:rFonts w:ascii="Arial Narrow" w:hAnsi="Arial Narrow"/>
                <w:sz w:val="24"/>
                <w:szCs w:val="24"/>
              </w:rPr>
              <w:t xml:space="preserve">e suivi </w:t>
            </w:r>
            <w:r w:rsidR="0044167B" w:rsidRPr="00ED1FC1">
              <w:rPr>
                <w:rFonts w:ascii="Arial Narrow" w:hAnsi="Arial Narrow"/>
                <w:sz w:val="24"/>
                <w:szCs w:val="24"/>
              </w:rPr>
              <w:t>des mesures</w:t>
            </w:r>
            <w:r w:rsidR="0044167B">
              <w:rPr>
                <w:rFonts w:ascii="Arial Narrow" w:hAnsi="Arial Narrow"/>
                <w:sz w:val="24"/>
                <w:szCs w:val="24"/>
              </w:rPr>
              <w:t xml:space="preserve"> garantissant la qualité des prestations de santé</w:t>
            </w:r>
            <w:r w:rsidR="002F66A1">
              <w:rPr>
                <w:rFonts w:ascii="Arial Narrow" w:hAnsi="Arial Narrow"/>
              </w:rPr>
              <w:t>.</w:t>
            </w:r>
          </w:p>
        </w:tc>
      </w:tr>
      <w:tr w:rsidR="00384EA1" w14:paraId="04F0D386" w14:textId="77777777" w:rsidTr="002A018D">
        <w:tc>
          <w:tcPr>
            <w:tcW w:w="0" w:type="auto"/>
            <w:shd w:val="clear" w:color="auto" w:fill="C5E0B3" w:themeFill="accent6" w:themeFillTint="66"/>
            <w:vAlign w:val="center"/>
          </w:tcPr>
          <w:p w14:paraId="062AF7B6" w14:textId="7CF1E603" w:rsidR="005C2E20" w:rsidRPr="00042A95" w:rsidRDefault="00384EA1" w:rsidP="002155A2">
            <w:pPr>
              <w:jc w:val="center"/>
              <w:rPr>
                <w:rFonts w:ascii="Arial Narrow" w:hAnsi="Arial Narrow"/>
              </w:rPr>
            </w:pPr>
            <w:r w:rsidRPr="00042A95">
              <w:rPr>
                <w:rFonts w:ascii="Arial Narrow" w:hAnsi="Arial Narrow"/>
              </w:rPr>
              <w:t>Financement de la santé</w:t>
            </w:r>
          </w:p>
          <w:p w14:paraId="54D35E5F" w14:textId="22455CD8" w:rsidR="00B073A1" w:rsidRPr="00042A95" w:rsidRDefault="005C2E20" w:rsidP="002155A2">
            <w:pPr>
              <w:jc w:val="center"/>
              <w:rPr>
                <w:rFonts w:ascii="Arial Narrow" w:hAnsi="Arial Narrow"/>
              </w:rPr>
            </w:pPr>
            <w:r>
              <w:rPr>
                <w:rFonts w:ascii="Arial Narrow" w:hAnsi="Arial Narrow"/>
                <w:noProof/>
              </w:rPr>
              <w:drawing>
                <wp:inline distT="0" distB="0" distL="0" distR="0" wp14:anchorId="5A0794DF" wp14:editId="3811E5D3">
                  <wp:extent cx="520505" cy="520505"/>
                  <wp:effectExtent l="0" t="0" r="0" b="0"/>
                  <wp:docPr id="58577349" name="Graphic 66" descr="Mone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77349" name="Graphic 58577349" descr="Money outline"/>
                          <pic:cNvPicPr/>
                        </pic:nvPicPr>
                        <pic:blipFill>
                          <a:blip r:embed="rId91">
                            <a:extLst>
                              <a:ext uri="{96DAC541-7B7A-43D3-8B79-37D633B846F1}">
                                <asvg:svgBlip xmlns:asvg="http://schemas.microsoft.com/office/drawing/2016/SVG/main" r:embed="rId92"/>
                              </a:ext>
                            </a:extLst>
                          </a:blip>
                          <a:stretch>
                            <a:fillRect/>
                          </a:stretch>
                        </pic:blipFill>
                        <pic:spPr>
                          <a:xfrm>
                            <a:off x="0" y="0"/>
                            <a:ext cx="524519" cy="524519"/>
                          </a:xfrm>
                          <a:prstGeom prst="rect">
                            <a:avLst/>
                          </a:prstGeom>
                        </pic:spPr>
                      </pic:pic>
                    </a:graphicData>
                  </a:graphic>
                </wp:inline>
              </w:drawing>
            </w:r>
          </w:p>
          <w:p w14:paraId="326A5F1F" w14:textId="7F825806" w:rsidR="00384EA1" w:rsidRPr="00042A95" w:rsidRDefault="00384EA1" w:rsidP="0023636F">
            <w:pPr>
              <w:rPr>
                <w:rFonts w:ascii="Arial Narrow" w:hAnsi="Arial Narrow"/>
              </w:rPr>
            </w:pPr>
          </w:p>
        </w:tc>
        <w:tc>
          <w:tcPr>
            <w:tcW w:w="0" w:type="auto"/>
            <w:vAlign w:val="center"/>
          </w:tcPr>
          <w:p w14:paraId="35CFEE2C" w14:textId="13A32BCF" w:rsidR="00384EA1" w:rsidRPr="00042A95" w:rsidRDefault="00384EA1" w:rsidP="0023636F">
            <w:pPr>
              <w:rPr>
                <w:rFonts w:ascii="Arial Narrow" w:hAnsi="Arial Narrow"/>
              </w:rPr>
            </w:pPr>
            <w:r w:rsidRPr="00042A95">
              <w:rPr>
                <w:rFonts w:ascii="Arial Narrow" w:hAnsi="Arial Narrow"/>
              </w:rPr>
              <w:t xml:space="preserve">Le financement reste un défi central pour garantir la durabilité et l’efficacité du système de santé. Cela implique une mobilisation accrue des ressources financières, avec une exploration de nouvelles sources et une optimisation des fonds existants. </w:t>
            </w:r>
          </w:p>
        </w:tc>
      </w:tr>
      <w:tr w:rsidR="00384EA1" w14:paraId="1D1EB3C6" w14:textId="77777777" w:rsidTr="002A018D">
        <w:tc>
          <w:tcPr>
            <w:tcW w:w="0" w:type="auto"/>
            <w:shd w:val="clear" w:color="auto" w:fill="C5E0B3" w:themeFill="accent6" w:themeFillTint="66"/>
            <w:vAlign w:val="center"/>
          </w:tcPr>
          <w:p w14:paraId="54E19275" w14:textId="77777777" w:rsidR="002155A2" w:rsidRPr="00042A95" w:rsidRDefault="00384EA1" w:rsidP="002155A2">
            <w:pPr>
              <w:jc w:val="center"/>
              <w:rPr>
                <w:rFonts w:ascii="Arial Narrow" w:hAnsi="Arial Narrow"/>
              </w:rPr>
            </w:pPr>
            <w:r w:rsidRPr="00042A95">
              <w:rPr>
                <w:rFonts w:ascii="Arial Narrow" w:hAnsi="Arial Narrow"/>
              </w:rPr>
              <w:t>Ressources Humaines</w:t>
            </w:r>
          </w:p>
          <w:p w14:paraId="25EF5E60" w14:textId="7F6A5498" w:rsidR="00384EA1" w:rsidRPr="00042A95" w:rsidRDefault="005C2E20" w:rsidP="002155A2">
            <w:pPr>
              <w:jc w:val="center"/>
              <w:rPr>
                <w:rFonts w:ascii="Arial Narrow" w:hAnsi="Arial Narrow"/>
              </w:rPr>
            </w:pPr>
            <w:r>
              <w:rPr>
                <w:rFonts w:ascii="Arial Narrow" w:hAnsi="Arial Narrow"/>
                <w:noProof/>
              </w:rPr>
              <w:drawing>
                <wp:inline distT="0" distB="0" distL="0" distR="0" wp14:anchorId="21062F20" wp14:editId="3FB41048">
                  <wp:extent cx="569399" cy="569399"/>
                  <wp:effectExtent l="0" t="0" r="0" b="2540"/>
                  <wp:docPr id="1901452396" name="Graphic 67" descr="Doctor 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452396" name="Graphic 1901452396" descr="Doctor male with solid fill"/>
                          <pic:cNvPicPr/>
                        </pic:nvPicPr>
                        <pic:blipFill>
                          <a:blip r:embed="rId93">
                            <a:extLst>
                              <a:ext uri="{96DAC541-7B7A-43D3-8B79-37D633B846F1}">
                                <asvg:svgBlip xmlns:asvg="http://schemas.microsoft.com/office/drawing/2016/SVG/main" r:embed="rId94"/>
                              </a:ext>
                            </a:extLst>
                          </a:blip>
                          <a:stretch>
                            <a:fillRect/>
                          </a:stretch>
                        </pic:blipFill>
                        <pic:spPr>
                          <a:xfrm>
                            <a:off x="0" y="0"/>
                            <a:ext cx="576232" cy="576232"/>
                          </a:xfrm>
                          <a:prstGeom prst="rect">
                            <a:avLst/>
                          </a:prstGeom>
                        </pic:spPr>
                      </pic:pic>
                    </a:graphicData>
                  </a:graphic>
                </wp:inline>
              </w:drawing>
            </w:r>
          </w:p>
        </w:tc>
        <w:tc>
          <w:tcPr>
            <w:tcW w:w="0" w:type="auto"/>
            <w:vAlign w:val="center"/>
          </w:tcPr>
          <w:p w14:paraId="6B04402B" w14:textId="75D4714C" w:rsidR="00384EA1" w:rsidRPr="00042A95" w:rsidRDefault="00384EA1" w:rsidP="0023636F">
            <w:pPr>
              <w:rPr>
                <w:rFonts w:ascii="Arial Narrow" w:hAnsi="Arial Narrow"/>
              </w:rPr>
            </w:pPr>
            <w:r w:rsidRPr="00042A95">
              <w:rPr>
                <w:rFonts w:ascii="Arial Narrow" w:hAnsi="Arial Narrow"/>
              </w:rPr>
              <w:t xml:space="preserve">Le déficit en personnel </w:t>
            </w:r>
            <w:r w:rsidRPr="00042A95">
              <w:rPr>
                <w:rFonts w:ascii="Arial Narrow" w:hAnsi="Arial Narrow" w:cs="Arial"/>
              </w:rPr>
              <w:t>de</w:t>
            </w:r>
            <w:r w:rsidRPr="00042A95">
              <w:rPr>
                <w:rFonts w:ascii="Arial Narrow" w:hAnsi="Arial Narrow"/>
              </w:rPr>
              <w:t xml:space="preserve"> santé qualifié, particulièrement dans les zones rurales et sous-desservies, constitue un défi. Ce problème est aggravé par la difficulté à fidéliser les professionnels de santé, qui nécessite des mesures incitatives telles que l’amélioration des conditions de travail, la sécurisation des carrières et la valorisation des métiers de la santé.</w:t>
            </w:r>
          </w:p>
        </w:tc>
      </w:tr>
      <w:tr w:rsidR="00384EA1" w14:paraId="1BA31BE3" w14:textId="77777777" w:rsidTr="002A018D">
        <w:tc>
          <w:tcPr>
            <w:tcW w:w="0" w:type="auto"/>
            <w:shd w:val="clear" w:color="auto" w:fill="C5E0B3" w:themeFill="accent6" w:themeFillTint="66"/>
            <w:vAlign w:val="center"/>
          </w:tcPr>
          <w:p w14:paraId="4BD3D3C6" w14:textId="720B6D4A" w:rsidR="00384EA1" w:rsidRDefault="00384EA1" w:rsidP="002155A2">
            <w:pPr>
              <w:jc w:val="center"/>
              <w:rPr>
                <w:rFonts w:ascii="Arial Narrow" w:hAnsi="Arial Narrow"/>
              </w:rPr>
            </w:pPr>
            <w:r w:rsidRPr="00042A95">
              <w:rPr>
                <w:rFonts w:ascii="Arial Narrow" w:hAnsi="Arial Narrow"/>
              </w:rPr>
              <w:t xml:space="preserve">Accessibilité </w:t>
            </w:r>
            <w:r w:rsidR="0044167B">
              <w:rPr>
                <w:rFonts w:ascii="Arial Narrow" w:hAnsi="Arial Narrow"/>
              </w:rPr>
              <w:t>aux soins</w:t>
            </w:r>
          </w:p>
          <w:p w14:paraId="3DE37A09" w14:textId="2A452D40" w:rsidR="00384EA1" w:rsidRPr="00042A95" w:rsidRDefault="002155A2" w:rsidP="002155A2">
            <w:pPr>
              <w:jc w:val="center"/>
              <w:rPr>
                <w:rFonts w:ascii="Arial Narrow" w:hAnsi="Arial Narrow"/>
              </w:rPr>
            </w:pPr>
            <w:r>
              <w:rPr>
                <w:rFonts w:ascii="Arial Narrow" w:hAnsi="Arial Narrow"/>
                <w:noProof/>
              </w:rPr>
              <w:drawing>
                <wp:inline distT="0" distB="0" distL="0" distR="0" wp14:anchorId="3AE5CB5D" wp14:editId="27A02611">
                  <wp:extent cx="597535" cy="597535"/>
                  <wp:effectExtent l="0" t="0" r="0" b="0"/>
                  <wp:docPr id="459123914" name="Graphic 69" descr="Hospit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23914" name="Graphic 459123914" descr="Hospital with solid fill"/>
                          <pic:cNvPicPr/>
                        </pic:nvPicPr>
                        <pic:blipFill>
                          <a:blip r:embed="rId95">
                            <a:extLst>
                              <a:ext uri="{96DAC541-7B7A-43D3-8B79-37D633B846F1}">
                                <asvg:svgBlip xmlns:asvg="http://schemas.microsoft.com/office/drawing/2016/SVG/main" r:embed="rId96"/>
                              </a:ext>
                            </a:extLst>
                          </a:blip>
                          <a:stretch>
                            <a:fillRect/>
                          </a:stretch>
                        </pic:blipFill>
                        <pic:spPr>
                          <a:xfrm>
                            <a:off x="0" y="0"/>
                            <a:ext cx="601604" cy="601604"/>
                          </a:xfrm>
                          <a:prstGeom prst="rect">
                            <a:avLst/>
                          </a:prstGeom>
                        </pic:spPr>
                      </pic:pic>
                    </a:graphicData>
                  </a:graphic>
                </wp:inline>
              </w:drawing>
            </w:r>
          </w:p>
        </w:tc>
        <w:tc>
          <w:tcPr>
            <w:tcW w:w="0" w:type="auto"/>
            <w:vAlign w:val="center"/>
          </w:tcPr>
          <w:p w14:paraId="5ACD9392" w14:textId="23550CE5" w:rsidR="00384EA1" w:rsidRPr="00042A95" w:rsidRDefault="00384EA1" w:rsidP="0023636F">
            <w:pPr>
              <w:rPr>
                <w:rFonts w:ascii="Arial Narrow" w:hAnsi="Arial Narrow"/>
              </w:rPr>
            </w:pPr>
            <w:r w:rsidRPr="00042A95">
              <w:rPr>
                <w:rFonts w:ascii="Arial Narrow" w:hAnsi="Arial Narrow"/>
              </w:rPr>
              <w:t xml:space="preserve">Les disparités géographiques dans l'accès aux soins </w:t>
            </w:r>
            <w:r w:rsidR="0044167B">
              <w:rPr>
                <w:rFonts w:ascii="Arial Narrow" w:hAnsi="Arial Narrow"/>
              </w:rPr>
              <w:t>subsistent</w:t>
            </w:r>
            <w:r w:rsidRPr="00042A95">
              <w:rPr>
                <w:rFonts w:ascii="Arial Narrow" w:hAnsi="Arial Narrow"/>
              </w:rPr>
              <w:t>. Cela requiert des investissements pour améliorer l’accessibilité des populations aux établissements de santé et</w:t>
            </w:r>
            <w:r w:rsidR="0044167B">
              <w:rPr>
                <w:rFonts w:ascii="Arial Narrow" w:hAnsi="Arial Narrow"/>
              </w:rPr>
              <w:t xml:space="preserve"> </w:t>
            </w:r>
            <w:r w:rsidR="0044167B" w:rsidRPr="00042A95">
              <w:rPr>
                <w:rFonts w:ascii="Arial Narrow" w:hAnsi="Arial Narrow"/>
              </w:rPr>
              <w:t>l</w:t>
            </w:r>
            <w:r w:rsidR="0044167B">
              <w:rPr>
                <w:rFonts w:ascii="Arial Narrow" w:hAnsi="Arial Narrow"/>
              </w:rPr>
              <w:t>a</w:t>
            </w:r>
            <w:r w:rsidR="0044167B" w:rsidRPr="00042A95">
              <w:rPr>
                <w:rFonts w:ascii="Arial Narrow" w:hAnsi="Arial Narrow"/>
              </w:rPr>
              <w:t xml:space="preserve"> m</w:t>
            </w:r>
            <w:r w:rsidR="0044167B">
              <w:rPr>
                <w:rFonts w:ascii="Arial Narrow" w:hAnsi="Arial Narrow"/>
              </w:rPr>
              <w:t xml:space="preserve">ise </w:t>
            </w:r>
            <w:r w:rsidR="0044167B" w:rsidRPr="00042A95">
              <w:rPr>
                <w:rFonts w:ascii="Arial Narrow" w:hAnsi="Arial Narrow"/>
              </w:rPr>
              <w:t>aux normes</w:t>
            </w:r>
            <w:r w:rsidRPr="00042A95">
              <w:rPr>
                <w:rFonts w:ascii="Arial Narrow" w:hAnsi="Arial Narrow"/>
              </w:rPr>
              <w:t xml:space="preserve"> </w:t>
            </w:r>
            <w:r w:rsidR="0044167B">
              <w:rPr>
                <w:rFonts w:ascii="Arial Narrow" w:hAnsi="Arial Narrow"/>
              </w:rPr>
              <w:t>d</w:t>
            </w:r>
            <w:r w:rsidRPr="00042A95">
              <w:rPr>
                <w:rFonts w:ascii="Arial Narrow" w:hAnsi="Arial Narrow"/>
              </w:rPr>
              <w:t xml:space="preserve">es </w:t>
            </w:r>
            <w:r w:rsidRPr="007A001B">
              <w:rPr>
                <w:rFonts w:ascii="Arial Narrow" w:hAnsi="Arial Narrow" w:cs="Arial"/>
                <w:bCs/>
              </w:rPr>
              <w:t>infrastructures</w:t>
            </w:r>
            <w:r w:rsidRPr="0044167B">
              <w:rPr>
                <w:rFonts w:ascii="Arial Narrow" w:hAnsi="Arial Narrow"/>
                <w:bCs/>
              </w:rPr>
              <w:t xml:space="preserve"> sanitaires</w:t>
            </w:r>
            <w:r w:rsidRPr="00042A95">
              <w:rPr>
                <w:rFonts w:ascii="Arial Narrow" w:hAnsi="Arial Narrow"/>
              </w:rPr>
              <w:t>, tout en assurant leur maintenance régulière</w:t>
            </w:r>
            <w:r w:rsidR="0044167B">
              <w:rPr>
                <w:rFonts w:ascii="Arial Narrow" w:hAnsi="Arial Narrow"/>
              </w:rPr>
              <w:t xml:space="preserve">, </w:t>
            </w:r>
            <w:r w:rsidR="0044167B" w:rsidRPr="00042A95">
              <w:rPr>
                <w:rFonts w:ascii="Arial Narrow" w:hAnsi="Arial Narrow"/>
              </w:rPr>
              <w:t>avec une attention particulière à l’intégration des soins pour les personnes en situation de handicap à tous les niveaux</w:t>
            </w:r>
            <w:r w:rsidRPr="00042A95">
              <w:rPr>
                <w:rFonts w:ascii="Arial Narrow" w:hAnsi="Arial Narrow"/>
              </w:rPr>
              <w:t>.</w:t>
            </w:r>
            <w:r w:rsidR="0044167B">
              <w:rPr>
                <w:rFonts w:ascii="Arial Narrow" w:hAnsi="Arial Narrow"/>
              </w:rPr>
              <w:t xml:space="preserve"> Parallèlement</w:t>
            </w:r>
            <w:r w:rsidRPr="00042A95">
              <w:rPr>
                <w:rFonts w:ascii="Arial Narrow" w:hAnsi="Arial Narrow"/>
              </w:rPr>
              <w:t xml:space="preserve"> </w:t>
            </w:r>
            <w:r w:rsidR="0044167B">
              <w:rPr>
                <w:rFonts w:ascii="Arial Narrow" w:hAnsi="Arial Narrow"/>
              </w:rPr>
              <w:t xml:space="preserve">la généralisation </w:t>
            </w:r>
            <w:r w:rsidRPr="00042A95">
              <w:rPr>
                <w:rFonts w:ascii="Arial Narrow" w:hAnsi="Arial Narrow"/>
              </w:rPr>
              <w:t>de la Couverture Maladie Universelle (CMU) est également essentielle.</w:t>
            </w:r>
          </w:p>
        </w:tc>
      </w:tr>
      <w:tr w:rsidR="00384EA1" w14:paraId="436E9CC6" w14:textId="77777777" w:rsidTr="002A018D">
        <w:tc>
          <w:tcPr>
            <w:tcW w:w="0" w:type="auto"/>
            <w:shd w:val="clear" w:color="auto" w:fill="C5E0B3" w:themeFill="accent6" w:themeFillTint="66"/>
            <w:vAlign w:val="center"/>
          </w:tcPr>
          <w:p w14:paraId="44C45522" w14:textId="10DC6E88" w:rsidR="00384EA1" w:rsidRDefault="0044167B" w:rsidP="002155A2">
            <w:pPr>
              <w:jc w:val="center"/>
              <w:rPr>
                <w:rFonts w:ascii="Arial Narrow" w:hAnsi="Arial Narrow"/>
              </w:rPr>
            </w:pPr>
            <w:r>
              <w:rPr>
                <w:rFonts w:ascii="Arial Narrow" w:hAnsi="Arial Narrow"/>
              </w:rPr>
              <w:t>Produits de santé</w:t>
            </w:r>
          </w:p>
          <w:p w14:paraId="5B7190C1" w14:textId="1B6C447A" w:rsidR="002155A2" w:rsidRPr="00042A95" w:rsidRDefault="002155A2" w:rsidP="002155A2">
            <w:pPr>
              <w:jc w:val="center"/>
              <w:rPr>
                <w:rFonts w:ascii="Arial Narrow" w:hAnsi="Arial Narrow"/>
              </w:rPr>
            </w:pPr>
            <w:r>
              <w:rPr>
                <w:rFonts w:ascii="Arial Narrow" w:hAnsi="Arial Narrow"/>
                <w:noProof/>
              </w:rPr>
              <w:drawing>
                <wp:inline distT="0" distB="0" distL="0" distR="0" wp14:anchorId="238BB318" wp14:editId="3BC5D7FA">
                  <wp:extent cx="625670" cy="625670"/>
                  <wp:effectExtent l="0" t="0" r="0" b="3175"/>
                  <wp:docPr id="1126801101" name="Graphic 70" descr="Need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01101" name="Graphic 1126801101" descr="Needle with solid fill"/>
                          <pic:cNvPicPr/>
                        </pic:nvPicPr>
                        <pic:blipFill>
                          <a:blip r:embed="rId97">
                            <a:extLst>
                              <a:ext uri="{96DAC541-7B7A-43D3-8B79-37D633B846F1}">
                                <asvg:svgBlip xmlns:asvg="http://schemas.microsoft.com/office/drawing/2016/SVG/main" r:embed="rId98"/>
                              </a:ext>
                            </a:extLst>
                          </a:blip>
                          <a:stretch>
                            <a:fillRect/>
                          </a:stretch>
                        </pic:blipFill>
                        <pic:spPr>
                          <a:xfrm>
                            <a:off x="0" y="0"/>
                            <a:ext cx="629064" cy="629064"/>
                          </a:xfrm>
                          <a:prstGeom prst="rect">
                            <a:avLst/>
                          </a:prstGeom>
                        </pic:spPr>
                      </pic:pic>
                    </a:graphicData>
                  </a:graphic>
                </wp:inline>
              </w:drawing>
            </w:r>
          </w:p>
        </w:tc>
        <w:tc>
          <w:tcPr>
            <w:tcW w:w="0" w:type="auto"/>
            <w:vAlign w:val="center"/>
          </w:tcPr>
          <w:p w14:paraId="2ECB2C48" w14:textId="2CCB742B" w:rsidR="00384EA1" w:rsidRPr="00042A95" w:rsidRDefault="00384EA1" w:rsidP="0023636F">
            <w:pPr>
              <w:rPr>
                <w:rFonts w:ascii="Arial Narrow" w:hAnsi="Arial Narrow"/>
              </w:rPr>
            </w:pPr>
            <w:r w:rsidRPr="00042A95">
              <w:rPr>
                <w:rFonts w:ascii="Arial Narrow" w:hAnsi="Arial Narrow"/>
              </w:rPr>
              <w:t xml:space="preserve">L’approvisionnement en médicaments essentiels, vaccins et autres intrants stratégiques est insuffisant, ce qui entrave l'accès équitable aux soins. </w:t>
            </w:r>
            <w:bookmarkStart w:id="141" w:name="_Hlk185332892"/>
            <w:r w:rsidRPr="00042A95">
              <w:rPr>
                <w:rFonts w:ascii="Arial Narrow" w:hAnsi="Arial Narrow"/>
              </w:rPr>
              <w:t>Par ailleurs, le développement d’une industrie pharmaceutique locale est stratégique pour réduire la dépendance aux importations et renforcer la résilience du système.</w:t>
            </w:r>
            <w:bookmarkEnd w:id="141"/>
          </w:p>
        </w:tc>
      </w:tr>
      <w:tr w:rsidR="00384EA1" w14:paraId="59B11ADC" w14:textId="77777777" w:rsidTr="002A018D">
        <w:tc>
          <w:tcPr>
            <w:tcW w:w="0" w:type="auto"/>
            <w:shd w:val="clear" w:color="auto" w:fill="C5E0B3" w:themeFill="accent6" w:themeFillTint="66"/>
            <w:vAlign w:val="center"/>
          </w:tcPr>
          <w:p w14:paraId="5EE7AB81" w14:textId="77777777" w:rsidR="002155A2" w:rsidRDefault="00384EA1" w:rsidP="002155A2">
            <w:pPr>
              <w:jc w:val="center"/>
              <w:rPr>
                <w:rFonts w:ascii="Arial Narrow" w:hAnsi="Arial Narrow"/>
              </w:rPr>
            </w:pPr>
            <w:r w:rsidRPr="00042A95">
              <w:rPr>
                <w:rFonts w:ascii="Arial Narrow" w:hAnsi="Arial Narrow"/>
              </w:rPr>
              <w:lastRenderedPageBreak/>
              <w:t>Digitalisation et informations sanitaires</w:t>
            </w:r>
          </w:p>
          <w:p w14:paraId="058130E0" w14:textId="339FCA69" w:rsidR="002155A2" w:rsidRPr="00042A95" w:rsidRDefault="002155A2" w:rsidP="002155A2">
            <w:pPr>
              <w:jc w:val="center"/>
              <w:rPr>
                <w:rFonts w:ascii="Arial Narrow" w:hAnsi="Arial Narrow"/>
              </w:rPr>
            </w:pPr>
            <w:r>
              <w:rPr>
                <w:rFonts w:ascii="Arial Narrow" w:hAnsi="Arial Narrow"/>
                <w:noProof/>
              </w:rPr>
              <w:drawing>
                <wp:inline distT="0" distB="0" distL="0" distR="0" wp14:anchorId="1424DE70" wp14:editId="0DC49262">
                  <wp:extent cx="513471" cy="513471"/>
                  <wp:effectExtent l="0" t="0" r="0" b="1270"/>
                  <wp:docPr id="957448450" name="Graphic 71" descr="Plu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448450" name="Graphic 957448450" descr="Plug with solid fill"/>
                          <pic:cNvPicPr/>
                        </pic:nvPicPr>
                        <pic:blipFill>
                          <a:blip r:embed="rId99">
                            <a:extLst>
                              <a:ext uri="{96DAC541-7B7A-43D3-8B79-37D633B846F1}">
                                <asvg:svgBlip xmlns:asvg="http://schemas.microsoft.com/office/drawing/2016/SVG/main" r:embed="rId100"/>
                              </a:ext>
                            </a:extLst>
                          </a:blip>
                          <a:stretch>
                            <a:fillRect/>
                          </a:stretch>
                        </pic:blipFill>
                        <pic:spPr>
                          <a:xfrm>
                            <a:off x="0" y="0"/>
                            <a:ext cx="519834" cy="519834"/>
                          </a:xfrm>
                          <a:prstGeom prst="rect">
                            <a:avLst/>
                          </a:prstGeom>
                        </pic:spPr>
                      </pic:pic>
                    </a:graphicData>
                  </a:graphic>
                </wp:inline>
              </w:drawing>
            </w:r>
          </w:p>
        </w:tc>
        <w:tc>
          <w:tcPr>
            <w:tcW w:w="0" w:type="auto"/>
            <w:vAlign w:val="center"/>
          </w:tcPr>
          <w:p w14:paraId="483CA5CA" w14:textId="2D578EF1" w:rsidR="00384EA1" w:rsidRPr="00042A95" w:rsidRDefault="00384EA1" w:rsidP="0023636F">
            <w:pPr>
              <w:rPr>
                <w:rFonts w:ascii="Arial Narrow" w:hAnsi="Arial Narrow"/>
              </w:rPr>
            </w:pPr>
            <w:r w:rsidRPr="00042A95">
              <w:rPr>
                <w:rFonts w:ascii="Arial Narrow" w:hAnsi="Arial Narrow"/>
              </w:rPr>
              <w:t>La digitalisation du système de santé reste incomplète, limitant l’efficacité et la transparence des services. La finalisation de cette transformation numérique est essentielle pour garantir une gestion optimale des données sanitaires et une prise de décision éclairée. De plus, la mise en place d’un mécanisme durable pour la réalisation régulière d’enquêtes sanitaires est nécessaire pour un suivi précis des indicateurs de performance et des besoins de santé.</w:t>
            </w:r>
          </w:p>
        </w:tc>
      </w:tr>
    </w:tbl>
    <w:p w14:paraId="2DFFCF28" w14:textId="77777777" w:rsidR="00384EA1" w:rsidRDefault="00384EA1" w:rsidP="00C155D4">
      <w:pPr>
        <w:rPr>
          <w:rFonts w:ascii="Arial Narrow" w:hAnsi="Arial Narrow"/>
          <w:sz w:val="24"/>
          <w:szCs w:val="24"/>
        </w:rPr>
      </w:pPr>
    </w:p>
    <w:p w14:paraId="3CEEB2B6" w14:textId="77777777" w:rsidR="00B635D8" w:rsidRDefault="00B635D8" w:rsidP="002D1573">
      <w:pPr>
        <w:pStyle w:val="Titre3"/>
        <w:jc w:val="both"/>
        <w:rPr>
          <w:rFonts w:ascii="Arial Narrow" w:hAnsi="Arial Narrow" w:cs="Arial"/>
          <w:b/>
          <w:color w:val="auto"/>
          <w:sz w:val="24"/>
          <w:szCs w:val="24"/>
        </w:rPr>
      </w:pPr>
    </w:p>
    <w:p w14:paraId="3ECD1575" w14:textId="3638D275" w:rsidR="00C155D4" w:rsidRPr="002D1573" w:rsidRDefault="003475CF" w:rsidP="002D1573">
      <w:pPr>
        <w:pStyle w:val="Titre3"/>
        <w:jc w:val="both"/>
        <w:rPr>
          <w:rFonts w:ascii="Arial Narrow" w:hAnsi="Arial Narrow" w:cs="Arial"/>
          <w:b/>
          <w:color w:val="auto"/>
          <w:sz w:val="24"/>
          <w:szCs w:val="24"/>
        </w:rPr>
      </w:pPr>
      <w:bookmarkStart w:id="142" w:name="_Toc190677493"/>
      <w:r w:rsidRPr="002D1573">
        <w:rPr>
          <w:rFonts w:ascii="Arial Narrow" w:hAnsi="Arial Narrow" w:cs="Arial"/>
          <w:b/>
          <w:color w:val="auto"/>
          <w:sz w:val="24"/>
          <w:szCs w:val="24"/>
        </w:rPr>
        <w:t xml:space="preserve">Perspectives </w:t>
      </w:r>
      <w:r w:rsidR="002D1573" w:rsidRPr="002D1573">
        <w:rPr>
          <w:rFonts w:ascii="Arial Narrow" w:hAnsi="Arial Narrow" w:cs="Arial"/>
          <w:b/>
          <w:color w:val="auto"/>
          <w:sz w:val="24"/>
          <w:szCs w:val="24"/>
        </w:rPr>
        <w:t>pour 2025</w:t>
      </w:r>
      <w:bookmarkEnd w:id="142"/>
    </w:p>
    <w:p w14:paraId="79B1D54F" w14:textId="4469CE3B" w:rsidR="006B3F49" w:rsidRDefault="00271C0C" w:rsidP="00183E76">
      <w:pPr>
        <w:jc w:val="both"/>
        <w:rPr>
          <w:rFonts w:ascii="Arial Narrow" w:hAnsi="Arial Narrow" w:cs="Arial"/>
          <w:sz w:val="24"/>
          <w:szCs w:val="24"/>
        </w:rPr>
      </w:pPr>
      <w:r w:rsidRPr="00271C0C">
        <w:rPr>
          <w:rFonts w:ascii="Arial Narrow" w:hAnsi="Arial Narrow" w:cs="Arial"/>
          <w:sz w:val="24"/>
          <w:szCs w:val="24"/>
        </w:rPr>
        <w:t>Les perspectives 202</w:t>
      </w:r>
      <w:r w:rsidR="00244F24">
        <w:rPr>
          <w:rFonts w:ascii="Arial Narrow" w:hAnsi="Arial Narrow" w:cs="Arial"/>
          <w:sz w:val="24"/>
          <w:szCs w:val="24"/>
        </w:rPr>
        <w:t>5</w:t>
      </w:r>
      <w:r w:rsidRPr="00271C0C">
        <w:rPr>
          <w:rFonts w:ascii="Arial Narrow" w:hAnsi="Arial Narrow" w:cs="Arial"/>
          <w:sz w:val="24"/>
          <w:szCs w:val="24"/>
        </w:rPr>
        <w:t xml:space="preserve"> portent sur les engagements du ministère en charge de la santé dans le cadre du programme gouvernemental de 202</w:t>
      </w:r>
      <w:r w:rsidR="009823AA">
        <w:rPr>
          <w:rFonts w:ascii="Arial Narrow" w:hAnsi="Arial Narrow" w:cs="Arial"/>
          <w:sz w:val="24"/>
          <w:szCs w:val="24"/>
        </w:rPr>
        <w:t>5</w:t>
      </w:r>
      <w:r w:rsidRPr="00271C0C">
        <w:rPr>
          <w:rFonts w:ascii="Arial Narrow" w:hAnsi="Arial Narrow" w:cs="Arial"/>
          <w:sz w:val="24"/>
          <w:szCs w:val="24"/>
        </w:rPr>
        <w:t>.</w:t>
      </w:r>
      <w:r>
        <w:rPr>
          <w:rFonts w:ascii="Arial Narrow" w:hAnsi="Arial Narrow" w:cs="Arial"/>
          <w:sz w:val="24"/>
          <w:szCs w:val="24"/>
        </w:rPr>
        <w:t xml:space="preserve"> </w:t>
      </w:r>
      <w:r w:rsidR="006A5C42">
        <w:rPr>
          <w:rFonts w:ascii="Arial Narrow" w:hAnsi="Arial Narrow" w:cs="Arial"/>
          <w:sz w:val="24"/>
          <w:szCs w:val="24"/>
        </w:rPr>
        <w:t xml:space="preserve">Elles concernent </w:t>
      </w:r>
      <w:r w:rsidR="00FB114D">
        <w:rPr>
          <w:rFonts w:ascii="Arial Narrow" w:hAnsi="Arial Narrow" w:cs="Arial"/>
          <w:sz w:val="24"/>
          <w:szCs w:val="24"/>
        </w:rPr>
        <w:t xml:space="preserve">la gouvernance, </w:t>
      </w:r>
      <w:r w:rsidR="003D7139">
        <w:rPr>
          <w:rFonts w:ascii="Arial Narrow" w:hAnsi="Arial Narrow" w:cs="Arial"/>
          <w:sz w:val="24"/>
          <w:szCs w:val="24"/>
        </w:rPr>
        <w:t xml:space="preserve">le financement, </w:t>
      </w:r>
      <w:r w:rsidR="00E43266">
        <w:rPr>
          <w:rFonts w:ascii="Arial Narrow" w:hAnsi="Arial Narrow" w:cs="Arial"/>
          <w:sz w:val="24"/>
          <w:szCs w:val="24"/>
        </w:rPr>
        <w:t>les ressource</w:t>
      </w:r>
      <w:r w:rsidR="00593491">
        <w:rPr>
          <w:rFonts w:ascii="Arial Narrow" w:hAnsi="Arial Narrow" w:cs="Arial"/>
          <w:sz w:val="24"/>
          <w:szCs w:val="24"/>
        </w:rPr>
        <w:t xml:space="preserve">s humaines, </w:t>
      </w:r>
      <w:r w:rsidR="00BE5FCE">
        <w:rPr>
          <w:rFonts w:ascii="Arial Narrow" w:hAnsi="Arial Narrow" w:cs="Arial"/>
          <w:sz w:val="24"/>
          <w:szCs w:val="24"/>
        </w:rPr>
        <w:t>les prestations de services, les médicaments et l’information sanitaire.</w:t>
      </w:r>
    </w:p>
    <w:p w14:paraId="19D35D03" w14:textId="3DA77EBB" w:rsidR="0044167B" w:rsidRPr="00024BBE" w:rsidRDefault="0044167B" w:rsidP="0044167B">
      <w:pPr>
        <w:pStyle w:val="Paragraphedeliste"/>
        <w:numPr>
          <w:ilvl w:val="0"/>
          <w:numId w:val="27"/>
        </w:numPr>
        <w:ind w:left="357" w:hanging="357"/>
        <w:contextualSpacing w:val="0"/>
        <w:jc w:val="both"/>
        <w:rPr>
          <w:rFonts w:ascii="Arial Narrow" w:hAnsi="Arial Narrow" w:cs="Arial"/>
          <w:sz w:val="24"/>
          <w:szCs w:val="24"/>
        </w:rPr>
      </w:pPr>
      <w:r w:rsidRPr="00024BBE">
        <w:rPr>
          <w:rFonts w:ascii="Arial Narrow" w:hAnsi="Arial Narrow" w:cs="Arial"/>
          <w:b/>
          <w:bCs/>
          <w:sz w:val="24"/>
          <w:szCs w:val="24"/>
        </w:rPr>
        <w:t xml:space="preserve">Gouvernance </w:t>
      </w:r>
      <w:r>
        <w:rPr>
          <w:rFonts w:ascii="Arial Narrow" w:hAnsi="Arial Narrow" w:cs="Arial"/>
          <w:b/>
          <w:bCs/>
          <w:sz w:val="24"/>
          <w:szCs w:val="24"/>
        </w:rPr>
        <w:t xml:space="preserve">: </w:t>
      </w:r>
      <w:r w:rsidRPr="00024BBE">
        <w:rPr>
          <w:rFonts w:ascii="Arial Narrow" w:hAnsi="Arial Narrow" w:cs="Arial"/>
          <w:sz w:val="24"/>
          <w:szCs w:val="24"/>
        </w:rPr>
        <w:t>La finalisation de la réforme hospitalière demeure une priorité.</w:t>
      </w:r>
      <w:r>
        <w:rPr>
          <w:rFonts w:ascii="Arial Narrow" w:hAnsi="Arial Narrow" w:cs="Arial"/>
          <w:sz w:val="24"/>
          <w:szCs w:val="24"/>
        </w:rPr>
        <w:t xml:space="preserve"> </w:t>
      </w:r>
      <w:r w:rsidRPr="00024BBE">
        <w:rPr>
          <w:rFonts w:ascii="Arial Narrow" w:hAnsi="Arial Narrow" w:cs="Arial"/>
          <w:sz w:val="24"/>
          <w:szCs w:val="24"/>
        </w:rPr>
        <w:t>Pour garantir l</w:t>
      </w:r>
      <w:r>
        <w:rPr>
          <w:rFonts w:ascii="Arial Narrow" w:hAnsi="Arial Narrow" w:cs="Arial"/>
          <w:sz w:val="24"/>
          <w:szCs w:val="24"/>
        </w:rPr>
        <w:t xml:space="preserve">’opérationnalisation complète </w:t>
      </w:r>
      <w:r w:rsidRPr="00024BBE">
        <w:rPr>
          <w:rFonts w:ascii="Arial Narrow" w:hAnsi="Arial Narrow" w:cs="Arial"/>
          <w:sz w:val="24"/>
          <w:szCs w:val="24"/>
        </w:rPr>
        <w:t>de cette réforme, il est impératif d’accélérer l’adoption des textes réglementaires manquants et de mettre en place rapidement les organes de gestion prévus, en le</w:t>
      </w:r>
      <w:r>
        <w:rPr>
          <w:rFonts w:ascii="Arial Narrow" w:hAnsi="Arial Narrow" w:cs="Arial"/>
          <w:sz w:val="24"/>
          <w:szCs w:val="24"/>
        </w:rPr>
        <w:t>s</w:t>
      </w:r>
      <w:r w:rsidRPr="00024BBE">
        <w:rPr>
          <w:rFonts w:ascii="Arial Narrow" w:hAnsi="Arial Narrow" w:cs="Arial"/>
          <w:sz w:val="24"/>
          <w:szCs w:val="24"/>
        </w:rPr>
        <w:t xml:space="preserve"> dotant </w:t>
      </w:r>
      <w:r>
        <w:rPr>
          <w:rFonts w:ascii="Arial Narrow" w:hAnsi="Arial Narrow" w:cs="Arial"/>
          <w:sz w:val="24"/>
          <w:szCs w:val="24"/>
        </w:rPr>
        <w:t>de</w:t>
      </w:r>
      <w:r w:rsidRPr="00024BBE">
        <w:rPr>
          <w:rFonts w:ascii="Arial Narrow" w:hAnsi="Arial Narrow" w:cs="Arial"/>
          <w:sz w:val="24"/>
          <w:szCs w:val="24"/>
        </w:rPr>
        <w:t xml:space="preserve"> ressources nécessaires à leur fonctionnement. En parallèle, des efforts seront poursuivis pour réguler et assainir le secteur privé.</w:t>
      </w:r>
    </w:p>
    <w:p w14:paraId="5CA401D9" w14:textId="58CC9E67" w:rsidR="0044167B" w:rsidRPr="00024BBE" w:rsidRDefault="0044167B" w:rsidP="0044167B">
      <w:pPr>
        <w:pStyle w:val="Paragraphedeliste"/>
        <w:numPr>
          <w:ilvl w:val="0"/>
          <w:numId w:val="27"/>
        </w:numPr>
        <w:ind w:left="357" w:hanging="357"/>
        <w:contextualSpacing w:val="0"/>
        <w:jc w:val="both"/>
        <w:rPr>
          <w:rFonts w:ascii="Arial Narrow" w:hAnsi="Arial Narrow" w:cs="Arial"/>
          <w:sz w:val="24"/>
          <w:szCs w:val="24"/>
        </w:rPr>
      </w:pPr>
      <w:r w:rsidRPr="00024BBE">
        <w:rPr>
          <w:rFonts w:ascii="Arial Narrow" w:hAnsi="Arial Narrow" w:cs="Arial"/>
          <w:b/>
          <w:bCs/>
          <w:sz w:val="24"/>
          <w:szCs w:val="24"/>
        </w:rPr>
        <w:t>Ressources humaines</w:t>
      </w:r>
      <w:r>
        <w:rPr>
          <w:rFonts w:ascii="Arial Narrow" w:hAnsi="Arial Narrow" w:cs="Arial"/>
          <w:b/>
          <w:bCs/>
          <w:sz w:val="24"/>
          <w:szCs w:val="24"/>
        </w:rPr>
        <w:t xml:space="preserve"> : </w:t>
      </w:r>
      <w:r w:rsidRPr="00024BBE">
        <w:rPr>
          <w:rFonts w:ascii="Arial Narrow" w:hAnsi="Arial Narrow" w:cs="Arial"/>
          <w:sz w:val="24"/>
          <w:szCs w:val="24"/>
        </w:rPr>
        <w:t xml:space="preserve">Le </w:t>
      </w:r>
      <w:r>
        <w:rPr>
          <w:rFonts w:ascii="Arial Narrow" w:hAnsi="Arial Narrow" w:cs="Arial"/>
          <w:sz w:val="24"/>
          <w:szCs w:val="24"/>
        </w:rPr>
        <w:t>M</w:t>
      </w:r>
      <w:r w:rsidRPr="00024BBE">
        <w:rPr>
          <w:rFonts w:ascii="Arial Narrow" w:hAnsi="Arial Narrow" w:cs="Arial"/>
          <w:sz w:val="24"/>
          <w:szCs w:val="24"/>
        </w:rPr>
        <w:t>inistère prévoit une augmentation des effectifs en personnel de santé qualifié, particulièrement dans les zones rurales et difficiles d’accès, afin de réduire les disparités. Par ailleurs, des mécanismes innovants de fidélisation seront développés pour stabiliser et motiver</w:t>
      </w:r>
      <w:r>
        <w:rPr>
          <w:rFonts w:ascii="Arial Narrow" w:hAnsi="Arial Narrow" w:cs="Arial"/>
          <w:sz w:val="24"/>
          <w:szCs w:val="24"/>
        </w:rPr>
        <w:t xml:space="preserve"> le personnel de santé</w:t>
      </w:r>
      <w:r w:rsidRPr="00024BBE">
        <w:rPr>
          <w:rFonts w:ascii="Arial Narrow" w:hAnsi="Arial Narrow" w:cs="Arial"/>
          <w:sz w:val="24"/>
          <w:szCs w:val="24"/>
        </w:rPr>
        <w:t xml:space="preserve">. </w:t>
      </w:r>
    </w:p>
    <w:p w14:paraId="1AE7BFCB" w14:textId="2F4AD53C" w:rsidR="0044167B" w:rsidRPr="00024BBE" w:rsidRDefault="0044167B" w:rsidP="0044167B">
      <w:pPr>
        <w:pStyle w:val="Paragraphedeliste"/>
        <w:numPr>
          <w:ilvl w:val="0"/>
          <w:numId w:val="27"/>
        </w:numPr>
        <w:ind w:left="357" w:hanging="357"/>
        <w:contextualSpacing w:val="0"/>
        <w:jc w:val="both"/>
        <w:rPr>
          <w:rFonts w:ascii="Arial Narrow" w:hAnsi="Arial Narrow" w:cs="Arial"/>
          <w:sz w:val="24"/>
          <w:szCs w:val="24"/>
        </w:rPr>
      </w:pPr>
      <w:r w:rsidRPr="00024BBE">
        <w:rPr>
          <w:rFonts w:ascii="Arial Narrow" w:hAnsi="Arial Narrow" w:cs="Arial"/>
          <w:b/>
          <w:bCs/>
          <w:sz w:val="24"/>
          <w:szCs w:val="24"/>
        </w:rPr>
        <w:t>Prestations de service et accessibilité</w:t>
      </w:r>
      <w:r>
        <w:rPr>
          <w:rFonts w:ascii="Arial Narrow" w:hAnsi="Arial Narrow" w:cs="Arial"/>
          <w:b/>
          <w:bCs/>
          <w:sz w:val="24"/>
          <w:szCs w:val="24"/>
        </w:rPr>
        <w:t xml:space="preserve"> : </w:t>
      </w:r>
      <w:r w:rsidRPr="00024BBE">
        <w:rPr>
          <w:rFonts w:ascii="Arial Narrow" w:hAnsi="Arial Narrow" w:cs="Arial"/>
          <w:sz w:val="24"/>
          <w:szCs w:val="24"/>
        </w:rPr>
        <w:t>L</w:t>
      </w:r>
      <w:r>
        <w:rPr>
          <w:rFonts w:ascii="Arial Narrow" w:hAnsi="Arial Narrow" w:cs="Arial"/>
          <w:sz w:val="24"/>
          <w:szCs w:val="24"/>
        </w:rPr>
        <w:t>e</w:t>
      </w:r>
      <w:r w:rsidRPr="00024BBE">
        <w:rPr>
          <w:rFonts w:ascii="Arial Narrow" w:hAnsi="Arial Narrow" w:cs="Arial"/>
          <w:sz w:val="24"/>
          <w:szCs w:val="24"/>
        </w:rPr>
        <w:t xml:space="preserve"> </w:t>
      </w:r>
      <w:r w:rsidRPr="00DA2E64">
        <w:rPr>
          <w:rFonts w:ascii="Arial Narrow" w:hAnsi="Arial Narrow" w:cs="Arial"/>
          <w:sz w:val="24"/>
          <w:szCs w:val="24"/>
        </w:rPr>
        <w:t xml:space="preserve">développement </w:t>
      </w:r>
      <w:r w:rsidRPr="00024BBE">
        <w:rPr>
          <w:rFonts w:ascii="Arial Narrow" w:hAnsi="Arial Narrow" w:cs="Arial"/>
          <w:sz w:val="24"/>
          <w:szCs w:val="24"/>
        </w:rPr>
        <w:t xml:space="preserve">des Pôles Régionaux d’Excellence Santé (PRES) se poursuivra pour améliorer l'accès aux soins spécialisés et rapprocher les services des populations. </w:t>
      </w:r>
      <w:r>
        <w:rPr>
          <w:rFonts w:ascii="Arial Narrow" w:hAnsi="Arial Narrow" w:cs="Arial"/>
          <w:sz w:val="24"/>
          <w:szCs w:val="24"/>
        </w:rPr>
        <w:t>A cet effet</w:t>
      </w:r>
      <w:r w:rsidRPr="00024BBE">
        <w:rPr>
          <w:rFonts w:ascii="Arial Narrow" w:hAnsi="Arial Narrow" w:cs="Arial"/>
          <w:sz w:val="24"/>
          <w:szCs w:val="24"/>
        </w:rPr>
        <w:t xml:space="preserve">, des efforts seront intensifiés pour la mise à niveau des infrastructures sanitaires, incluant leur construction, leur équipement et leur entretien afin d’assurer leur durabilité. La prévention et la lutte contre les maladies resteront au centre des priorités, avec un accent particulier sur l’intégration de la prise en </w:t>
      </w:r>
      <w:r w:rsidRPr="00513A6B">
        <w:rPr>
          <w:rFonts w:ascii="Arial Narrow" w:hAnsi="Arial Narrow" w:cs="Arial"/>
          <w:sz w:val="24"/>
          <w:szCs w:val="24"/>
        </w:rPr>
        <w:t>charge</w:t>
      </w:r>
      <w:r w:rsidRPr="006168A8">
        <w:rPr>
          <w:rFonts w:ascii="Arial Narrow" w:hAnsi="Arial Narrow" w:cs="Arial"/>
          <w:sz w:val="24"/>
          <w:szCs w:val="24"/>
        </w:rPr>
        <w:t xml:space="preserve"> des</w:t>
      </w:r>
      <w:r w:rsidRPr="00024BBE">
        <w:rPr>
          <w:rFonts w:ascii="Arial Narrow" w:hAnsi="Arial Narrow" w:cs="Arial"/>
          <w:sz w:val="24"/>
          <w:szCs w:val="24"/>
        </w:rPr>
        <w:t xml:space="preserve"> handicaps dans le système de santé. Parallèlement, des campagnes de communication ciblées seront menées pour sensibiliser les populations sur les services disponibles, notamment ceux offerts dans le cadre de la CMU.</w:t>
      </w:r>
    </w:p>
    <w:p w14:paraId="47B5A00B" w14:textId="77777777" w:rsidR="0044167B" w:rsidRPr="00024BBE" w:rsidRDefault="0044167B" w:rsidP="0044167B">
      <w:pPr>
        <w:pStyle w:val="Paragraphedeliste"/>
        <w:numPr>
          <w:ilvl w:val="0"/>
          <w:numId w:val="27"/>
        </w:numPr>
        <w:ind w:left="357" w:hanging="357"/>
        <w:contextualSpacing w:val="0"/>
        <w:jc w:val="both"/>
        <w:rPr>
          <w:rFonts w:ascii="Arial Narrow" w:hAnsi="Arial Narrow" w:cs="Arial"/>
          <w:sz w:val="24"/>
          <w:szCs w:val="24"/>
        </w:rPr>
      </w:pPr>
      <w:r>
        <w:rPr>
          <w:rFonts w:ascii="Arial Narrow" w:hAnsi="Arial Narrow" w:cs="Arial"/>
          <w:b/>
          <w:bCs/>
          <w:sz w:val="24"/>
          <w:szCs w:val="24"/>
        </w:rPr>
        <w:t xml:space="preserve">Produits de santé </w:t>
      </w:r>
      <w:r w:rsidRPr="00024BBE">
        <w:rPr>
          <w:rFonts w:ascii="Arial Narrow" w:hAnsi="Arial Narrow" w:cs="Arial"/>
          <w:b/>
          <w:bCs/>
          <w:sz w:val="24"/>
          <w:szCs w:val="24"/>
        </w:rPr>
        <w:t xml:space="preserve">: </w:t>
      </w:r>
      <w:r w:rsidRPr="00024BBE">
        <w:rPr>
          <w:rFonts w:ascii="Arial Narrow" w:hAnsi="Arial Narrow" w:cs="Arial"/>
          <w:sz w:val="24"/>
          <w:szCs w:val="24"/>
        </w:rPr>
        <w:t>Pour assurer un accès équitable aux médicaments et autres intrants stratégiques (vaccins, produits sanguins, etc.), des initiatives seront mises en œuvre pour renforcer la chaîne d’approvisionnement et promouvoir la production locale. Ces mesures permettront non seulement de réduire la dépendance aux importations mais aussi d’améliorer la résilience et la souveraineté sanitaire du pays. Par ailleurs, l’utilisation de systèmes de gestion des stocks sera renforcée pour une distribution plus efficace et une réduction des ruptures d’approvisionnement.</w:t>
      </w:r>
    </w:p>
    <w:p w14:paraId="1DC9A2E9" w14:textId="3EAEB195" w:rsidR="0044167B" w:rsidRPr="00A73C54" w:rsidRDefault="0044167B" w:rsidP="0044167B">
      <w:pPr>
        <w:pStyle w:val="Paragraphedeliste"/>
        <w:numPr>
          <w:ilvl w:val="0"/>
          <w:numId w:val="27"/>
        </w:numPr>
        <w:ind w:left="357" w:hanging="357"/>
        <w:contextualSpacing w:val="0"/>
        <w:jc w:val="both"/>
        <w:rPr>
          <w:rFonts w:ascii="Arial Narrow" w:hAnsi="Arial Narrow" w:cs="Arial"/>
          <w:sz w:val="24"/>
          <w:szCs w:val="24"/>
        </w:rPr>
      </w:pPr>
      <w:r w:rsidRPr="00024BBE">
        <w:rPr>
          <w:rFonts w:ascii="Arial Narrow" w:hAnsi="Arial Narrow" w:cs="Arial"/>
          <w:b/>
          <w:bCs/>
          <w:sz w:val="24"/>
          <w:szCs w:val="24"/>
        </w:rPr>
        <w:t xml:space="preserve">Digitalisation et </w:t>
      </w:r>
      <w:r>
        <w:rPr>
          <w:rFonts w:ascii="Arial Narrow" w:hAnsi="Arial Narrow" w:cs="Arial"/>
          <w:b/>
          <w:bCs/>
          <w:sz w:val="24"/>
          <w:szCs w:val="24"/>
        </w:rPr>
        <w:t xml:space="preserve">information sanitaire : </w:t>
      </w:r>
      <w:r w:rsidRPr="00024BBE">
        <w:rPr>
          <w:rFonts w:ascii="Arial Narrow" w:hAnsi="Arial Narrow" w:cs="Arial"/>
          <w:sz w:val="24"/>
          <w:szCs w:val="24"/>
        </w:rPr>
        <w:t xml:space="preserve">La digitalisation du secteur de la santé sera poursuivie à tous les niveaux de la pyramide sanitaire pour garantir une gestion plus efficace des données et des processus. Cette transformation numérique vise </w:t>
      </w:r>
      <w:r>
        <w:rPr>
          <w:rFonts w:ascii="Arial Narrow" w:hAnsi="Arial Narrow" w:cs="Arial"/>
          <w:sz w:val="24"/>
          <w:szCs w:val="24"/>
        </w:rPr>
        <w:t xml:space="preserve">à </w:t>
      </w:r>
      <w:r w:rsidRPr="00024BBE">
        <w:rPr>
          <w:rFonts w:ascii="Arial Narrow" w:hAnsi="Arial Narrow" w:cs="Arial"/>
          <w:sz w:val="24"/>
          <w:szCs w:val="24"/>
        </w:rPr>
        <w:t>améliorer la transparence</w:t>
      </w:r>
      <w:r>
        <w:rPr>
          <w:rFonts w:ascii="Arial Narrow" w:hAnsi="Arial Narrow" w:cs="Arial"/>
          <w:sz w:val="24"/>
          <w:szCs w:val="24"/>
        </w:rPr>
        <w:t xml:space="preserve"> et la qualité des services</w:t>
      </w:r>
      <w:r w:rsidRPr="00024BBE">
        <w:rPr>
          <w:rFonts w:ascii="Arial Narrow" w:hAnsi="Arial Narrow" w:cs="Arial"/>
          <w:sz w:val="24"/>
          <w:szCs w:val="24"/>
        </w:rPr>
        <w:t xml:space="preserve">. Une attention particulière sera portée à l’amélioration de la qualité des </w:t>
      </w:r>
      <w:r w:rsidRPr="00513A6B">
        <w:rPr>
          <w:rFonts w:ascii="Arial Narrow" w:hAnsi="Arial Narrow" w:cs="Arial"/>
          <w:sz w:val="24"/>
          <w:szCs w:val="24"/>
        </w:rPr>
        <w:t>données</w:t>
      </w:r>
      <w:r w:rsidRPr="00A46B68">
        <w:rPr>
          <w:rFonts w:ascii="Arial Narrow" w:hAnsi="Arial Narrow" w:cs="Arial"/>
          <w:sz w:val="24"/>
          <w:szCs w:val="24"/>
        </w:rPr>
        <w:t xml:space="preserve"> </w:t>
      </w:r>
      <w:r w:rsidRPr="00024BBE">
        <w:rPr>
          <w:rFonts w:ascii="Arial Narrow" w:hAnsi="Arial Narrow" w:cs="Arial"/>
          <w:sz w:val="24"/>
          <w:szCs w:val="24"/>
        </w:rPr>
        <w:t>sanitaires et de leur disponibilité dans les délais requis pour une planification et une prise de décision éclairées.</w:t>
      </w:r>
    </w:p>
    <w:p w14:paraId="4DE4ED76" w14:textId="738919DD" w:rsidR="00DD43D4" w:rsidRDefault="00DD43D4">
      <w:pPr>
        <w:rPr>
          <w:rFonts w:ascii="Arial Narrow" w:hAnsi="Arial Narrow" w:cs="Arial"/>
          <w:b/>
          <w:bCs/>
          <w:sz w:val="24"/>
          <w:szCs w:val="24"/>
        </w:rPr>
      </w:pPr>
    </w:p>
    <w:p w14:paraId="6276AA3F" w14:textId="77777777" w:rsidR="00DD43D4" w:rsidRPr="007A001B" w:rsidRDefault="00DD43D4" w:rsidP="007A001B">
      <w:pPr>
        <w:jc w:val="both"/>
        <w:rPr>
          <w:rFonts w:ascii="Arial Narrow" w:hAnsi="Arial Narrow" w:cs="Arial"/>
          <w:b/>
          <w:bCs/>
          <w:sz w:val="24"/>
          <w:szCs w:val="24"/>
        </w:rPr>
        <w:sectPr w:rsidR="00DD43D4" w:rsidRPr="007A001B" w:rsidSect="00B9650E">
          <w:pgSz w:w="11906" w:h="16838"/>
          <w:pgMar w:top="1276" w:right="1440" w:bottom="1440" w:left="1440" w:header="709" w:footer="708" w:gutter="0"/>
          <w:cols w:space="708"/>
          <w:docGrid w:linePitch="360"/>
        </w:sectPr>
      </w:pPr>
    </w:p>
    <w:p w14:paraId="2548BAF9" w14:textId="754A0904" w:rsidR="009134AC" w:rsidRDefault="009134AC" w:rsidP="007A001B">
      <w:pPr>
        <w:jc w:val="both"/>
        <w:rPr>
          <w:rFonts w:ascii="Arial Narrow" w:hAnsi="Arial Narrow" w:cs="Arial"/>
          <w:sz w:val="24"/>
          <w:szCs w:val="24"/>
        </w:rPr>
        <w:sectPr w:rsidR="009134AC" w:rsidSect="007A001B">
          <w:pgSz w:w="11906" w:h="16838"/>
          <w:pgMar w:top="1440" w:right="1440" w:bottom="1276" w:left="1440" w:header="709" w:footer="709" w:gutter="0"/>
          <w:cols w:space="708"/>
          <w:docGrid w:linePitch="360"/>
        </w:sectPr>
      </w:pPr>
    </w:p>
    <w:p w14:paraId="20F7EB08" w14:textId="3C801979" w:rsidR="00D42568" w:rsidRPr="003F13B0" w:rsidRDefault="00D42568" w:rsidP="00761F55">
      <w:pPr>
        <w:pStyle w:val="Titre2"/>
        <w:jc w:val="both"/>
        <w:rPr>
          <w:rFonts w:ascii="Arial Narrow" w:hAnsi="Arial Narrow" w:cs="Arial"/>
          <w:sz w:val="24"/>
          <w:szCs w:val="24"/>
        </w:rPr>
      </w:pPr>
      <w:bookmarkStart w:id="143" w:name="_Toc190677494"/>
      <w:r w:rsidRPr="003F13B0">
        <w:rPr>
          <w:rFonts w:ascii="Arial Narrow" w:hAnsi="Arial Narrow" w:cs="Arial"/>
          <w:sz w:val="24"/>
          <w:szCs w:val="24"/>
        </w:rPr>
        <w:lastRenderedPageBreak/>
        <w:t>III.</w:t>
      </w:r>
      <w:r w:rsidR="007A43CC">
        <w:rPr>
          <w:rFonts w:ascii="Arial Narrow" w:hAnsi="Arial Narrow" w:cs="Arial"/>
          <w:sz w:val="24"/>
          <w:szCs w:val="24"/>
        </w:rPr>
        <w:t>3</w:t>
      </w:r>
      <w:r w:rsidRPr="003F13B0">
        <w:rPr>
          <w:rFonts w:ascii="Arial Narrow" w:hAnsi="Arial Narrow" w:cs="Arial"/>
          <w:sz w:val="24"/>
          <w:szCs w:val="24"/>
        </w:rPr>
        <w:t>. Recommandations pour l’amélioration d</w:t>
      </w:r>
      <w:r w:rsidR="00C7601E" w:rsidRPr="003F13B0">
        <w:rPr>
          <w:rFonts w:ascii="Arial Narrow" w:hAnsi="Arial Narrow" w:cs="Arial"/>
          <w:sz w:val="24"/>
          <w:szCs w:val="24"/>
        </w:rPr>
        <w:t xml:space="preserve">e la conception, le suivi et la mise en œuvre </w:t>
      </w:r>
      <w:r w:rsidR="00F2556F" w:rsidRPr="003F13B0">
        <w:rPr>
          <w:rFonts w:ascii="Arial Narrow" w:hAnsi="Arial Narrow" w:cs="Arial"/>
          <w:sz w:val="24"/>
          <w:szCs w:val="24"/>
        </w:rPr>
        <w:t xml:space="preserve">du </w:t>
      </w:r>
      <w:r w:rsidRPr="003F13B0">
        <w:rPr>
          <w:rFonts w:ascii="Arial Narrow" w:hAnsi="Arial Narrow" w:cs="Arial"/>
          <w:sz w:val="24"/>
          <w:szCs w:val="24"/>
        </w:rPr>
        <w:t>PNDS</w:t>
      </w:r>
      <w:bookmarkEnd w:id="139"/>
      <w:bookmarkEnd w:id="143"/>
    </w:p>
    <w:p w14:paraId="49F7A625" w14:textId="097CA72D" w:rsidR="00480EBA" w:rsidRPr="003F13B0" w:rsidRDefault="00DC6C7D" w:rsidP="00761F55">
      <w:pPr>
        <w:jc w:val="both"/>
        <w:rPr>
          <w:rFonts w:ascii="Arial Narrow" w:hAnsi="Arial Narrow" w:cs="Arial"/>
          <w:sz w:val="24"/>
          <w:szCs w:val="24"/>
        </w:rPr>
      </w:pPr>
      <w:r w:rsidRPr="003F13B0">
        <w:rPr>
          <w:rFonts w:ascii="Arial Narrow" w:hAnsi="Arial Narrow" w:cs="Arial"/>
          <w:sz w:val="24"/>
          <w:szCs w:val="24"/>
        </w:rPr>
        <w:t xml:space="preserve">A l’issue de la </w:t>
      </w:r>
      <w:r w:rsidR="000D6A22" w:rsidRPr="003F13B0">
        <w:rPr>
          <w:rFonts w:ascii="Arial Narrow" w:hAnsi="Arial Narrow" w:cs="Arial"/>
          <w:sz w:val="24"/>
          <w:szCs w:val="24"/>
        </w:rPr>
        <w:t>revue</w:t>
      </w:r>
      <w:r w:rsidRPr="003F13B0">
        <w:rPr>
          <w:rFonts w:ascii="Arial Narrow" w:hAnsi="Arial Narrow" w:cs="Arial"/>
          <w:sz w:val="24"/>
          <w:szCs w:val="24"/>
        </w:rPr>
        <w:t xml:space="preserve"> </w:t>
      </w:r>
      <w:r w:rsidR="00AE6B26" w:rsidRPr="003F13B0">
        <w:rPr>
          <w:rFonts w:ascii="Arial Narrow" w:hAnsi="Arial Narrow" w:cs="Arial"/>
          <w:sz w:val="24"/>
          <w:szCs w:val="24"/>
        </w:rPr>
        <w:t xml:space="preserve">et sur la base des constats et observations, des recommandations visant </w:t>
      </w:r>
      <w:r w:rsidR="00644507" w:rsidRPr="003F13B0">
        <w:rPr>
          <w:rFonts w:ascii="Arial Narrow" w:hAnsi="Arial Narrow" w:cs="Arial"/>
          <w:sz w:val="24"/>
          <w:szCs w:val="24"/>
        </w:rPr>
        <w:t>à</w:t>
      </w:r>
      <w:r w:rsidR="00AE6B26" w:rsidRPr="003F13B0">
        <w:rPr>
          <w:rFonts w:ascii="Arial Narrow" w:hAnsi="Arial Narrow" w:cs="Arial"/>
          <w:sz w:val="24"/>
          <w:szCs w:val="24"/>
        </w:rPr>
        <w:t xml:space="preserve"> améliorer la conception, le suivi et la mise en œuvre </w:t>
      </w:r>
      <w:r w:rsidR="00C60F38" w:rsidRPr="003F13B0">
        <w:rPr>
          <w:rFonts w:ascii="Arial Narrow" w:hAnsi="Arial Narrow" w:cs="Arial"/>
          <w:sz w:val="24"/>
          <w:szCs w:val="24"/>
        </w:rPr>
        <w:t>du PNDS sont formulées</w:t>
      </w:r>
      <w:r w:rsidR="00D8509E" w:rsidRPr="003F13B0">
        <w:rPr>
          <w:rFonts w:ascii="Arial Narrow" w:hAnsi="Arial Narrow" w:cs="Arial"/>
          <w:sz w:val="24"/>
          <w:szCs w:val="24"/>
        </w:rPr>
        <w:t>. Ces recommandations</w:t>
      </w:r>
      <w:r w:rsidR="00717EF7" w:rsidRPr="003F13B0">
        <w:rPr>
          <w:rFonts w:ascii="Arial Narrow" w:hAnsi="Arial Narrow" w:cs="Arial"/>
          <w:sz w:val="24"/>
          <w:szCs w:val="24"/>
        </w:rPr>
        <w:t xml:space="preserve"> sont </w:t>
      </w:r>
      <w:r w:rsidR="00D8509E" w:rsidRPr="003F13B0">
        <w:rPr>
          <w:rFonts w:ascii="Arial Narrow" w:hAnsi="Arial Narrow" w:cs="Arial"/>
          <w:sz w:val="24"/>
          <w:szCs w:val="24"/>
        </w:rPr>
        <w:t>adressées respectivement a</w:t>
      </w:r>
      <w:r w:rsidR="000D6A22" w:rsidRPr="003F13B0">
        <w:rPr>
          <w:rFonts w:ascii="Arial Narrow" w:hAnsi="Arial Narrow" w:cs="Arial"/>
          <w:sz w:val="24"/>
          <w:szCs w:val="24"/>
        </w:rPr>
        <w:t>u Cabinet MSHPCMU</w:t>
      </w:r>
      <w:r w:rsidR="00F2698E" w:rsidRPr="003F13B0">
        <w:rPr>
          <w:rFonts w:ascii="Arial Narrow" w:hAnsi="Arial Narrow" w:cs="Arial"/>
          <w:sz w:val="24"/>
          <w:szCs w:val="24"/>
        </w:rPr>
        <w:t xml:space="preserve">, </w:t>
      </w:r>
      <w:r w:rsidR="00AE7D2A">
        <w:rPr>
          <w:rFonts w:ascii="Arial Narrow" w:hAnsi="Arial Narrow" w:cs="Arial"/>
          <w:sz w:val="24"/>
          <w:szCs w:val="24"/>
        </w:rPr>
        <w:t>aux</w:t>
      </w:r>
      <w:r w:rsidR="00F2698E" w:rsidRPr="003F13B0">
        <w:rPr>
          <w:rFonts w:ascii="Arial Narrow" w:hAnsi="Arial Narrow" w:cs="Arial"/>
          <w:sz w:val="24"/>
          <w:szCs w:val="24"/>
        </w:rPr>
        <w:t xml:space="preserve"> </w:t>
      </w:r>
      <w:r w:rsidR="00AE7D2A">
        <w:rPr>
          <w:rFonts w:ascii="Arial Narrow" w:hAnsi="Arial Narrow" w:cs="Arial"/>
          <w:sz w:val="24"/>
          <w:szCs w:val="24"/>
        </w:rPr>
        <w:t>structures du niveau central</w:t>
      </w:r>
      <w:r w:rsidR="009677A2">
        <w:rPr>
          <w:rFonts w:ascii="Arial Narrow" w:hAnsi="Arial Narrow" w:cs="Arial"/>
          <w:sz w:val="24"/>
          <w:szCs w:val="24"/>
        </w:rPr>
        <w:t>,</w:t>
      </w:r>
      <w:r w:rsidR="00AE7D2A">
        <w:rPr>
          <w:rFonts w:ascii="Arial Narrow" w:hAnsi="Arial Narrow" w:cs="Arial"/>
          <w:sz w:val="24"/>
          <w:szCs w:val="24"/>
        </w:rPr>
        <w:t xml:space="preserve"> </w:t>
      </w:r>
      <w:r w:rsidR="003161EF" w:rsidRPr="003F13B0">
        <w:rPr>
          <w:rFonts w:ascii="Arial Narrow" w:hAnsi="Arial Narrow" w:cs="Arial"/>
          <w:sz w:val="24"/>
          <w:szCs w:val="24"/>
        </w:rPr>
        <w:t xml:space="preserve">aux structures </w:t>
      </w:r>
      <w:r w:rsidR="00644507" w:rsidRPr="003F13B0">
        <w:rPr>
          <w:rFonts w:ascii="Arial Narrow" w:hAnsi="Arial Narrow" w:cs="Arial"/>
          <w:sz w:val="24"/>
          <w:szCs w:val="24"/>
        </w:rPr>
        <w:t>décentralisées et aux PTF</w:t>
      </w:r>
      <w:r w:rsidR="00717EF7" w:rsidRPr="003F13B0">
        <w:rPr>
          <w:rFonts w:ascii="Arial Narrow" w:hAnsi="Arial Narrow" w:cs="Arial"/>
          <w:sz w:val="24"/>
          <w:szCs w:val="24"/>
        </w:rPr>
        <w:t xml:space="preserve">. Des recommandations pour la poursuite de la mise en œuvre de l’actuel PNDS sont également déclinées. </w:t>
      </w:r>
    </w:p>
    <w:p w14:paraId="07E2970C" w14:textId="0E2629DD" w:rsidR="00D17E8A" w:rsidRPr="003F13B0" w:rsidRDefault="004B19CD" w:rsidP="009B789F">
      <w:pPr>
        <w:jc w:val="both"/>
        <w:rPr>
          <w:rFonts w:ascii="Arial Narrow" w:hAnsi="Arial Narrow" w:cs="Arial"/>
          <w:b/>
          <w:sz w:val="24"/>
          <w:szCs w:val="24"/>
        </w:rPr>
      </w:pPr>
      <w:r w:rsidRPr="003F13B0">
        <w:rPr>
          <w:rFonts w:ascii="Arial Narrow" w:hAnsi="Arial Narrow" w:cs="Arial"/>
          <w:b/>
          <w:bCs/>
          <w:sz w:val="24"/>
          <w:szCs w:val="24"/>
        </w:rPr>
        <w:t xml:space="preserve">Recommandations </w:t>
      </w:r>
      <w:r w:rsidR="009E47D4" w:rsidRPr="003F13B0">
        <w:rPr>
          <w:rFonts w:ascii="Arial Narrow" w:hAnsi="Arial Narrow" w:cs="Arial"/>
          <w:b/>
          <w:bCs/>
          <w:sz w:val="24"/>
          <w:szCs w:val="24"/>
        </w:rPr>
        <w:t>à</w:t>
      </w:r>
      <w:r w:rsidRPr="003F13B0">
        <w:rPr>
          <w:rFonts w:ascii="Arial Narrow" w:hAnsi="Arial Narrow" w:cs="Arial"/>
          <w:b/>
          <w:bCs/>
          <w:sz w:val="24"/>
          <w:szCs w:val="24"/>
        </w:rPr>
        <w:t xml:space="preserve"> l’endroit </w:t>
      </w:r>
      <w:r w:rsidR="00D17E8A" w:rsidRPr="003F13B0">
        <w:rPr>
          <w:rFonts w:ascii="Arial Narrow" w:hAnsi="Arial Narrow" w:cs="Arial"/>
          <w:b/>
          <w:sz w:val="24"/>
          <w:szCs w:val="24"/>
        </w:rPr>
        <w:t>du niveau central du MSHPCMU (Cabinet du Ministre, Direction</w:t>
      </w:r>
      <w:r w:rsidR="009677A2">
        <w:rPr>
          <w:rFonts w:ascii="Arial Narrow" w:hAnsi="Arial Narrow" w:cs="Arial"/>
          <w:b/>
          <w:sz w:val="24"/>
          <w:szCs w:val="24"/>
        </w:rPr>
        <w:t>s</w:t>
      </w:r>
      <w:r w:rsidR="00D17E8A" w:rsidRPr="003F13B0">
        <w:rPr>
          <w:rFonts w:ascii="Arial Narrow" w:hAnsi="Arial Narrow" w:cs="Arial"/>
          <w:b/>
          <w:sz w:val="24"/>
          <w:szCs w:val="24"/>
        </w:rPr>
        <w:t xml:space="preserve"> </w:t>
      </w:r>
      <w:r w:rsidR="009D1085" w:rsidRPr="003F13B0">
        <w:rPr>
          <w:rFonts w:ascii="Arial Narrow" w:hAnsi="Arial Narrow" w:cs="Arial"/>
          <w:b/>
          <w:sz w:val="24"/>
          <w:szCs w:val="24"/>
        </w:rPr>
        <w:t>Générale</w:t>
      </w:r>
      <w:r w:rsidR="009677A2">
        <w:rPr>
          <w:rFonts w:ascii="Arial Narrow" w:hAnsi="Arial Narrow" w:cs="Arial"/>
          <w:b/>
          <w:sz w:val="24"/>
          <w:szCs w:val="24"/>
        </w:rPr>
        <w:t>s</w:t>
      </w:r>
      <w:r w:rsidR="009D1085" w:rsidRPr="003F13B0">
        <w:rPr>
          <w:rFonts w:ascii="Arial Narrow" w:hAnsi="Arial Narrow" w:cs="Arial"/>
          <w:b/>
          <w:sz w:val="24"/>
          <w:szCs w:val="24"/>
        </w:rPr>
        <w:t xml:space="preserve">, </w:t>
      </w:r>
      <w:r w:rsidR="00CF5D3A" w:rsidRPr="003F13B0">
        <w:rPr>
          <w:rFonts w:ascii="Arial Narrow" w:hAnsi="Arial Narrow" w:cs="Arial"/>
          <w:b/>
          <w:sz w:val="24"/>
          <w:szCs w:val="24"/>
        </w:rPr>
        <w:t>DPPS</w:t>
      </w:r>
      <w:r w:rsidR="003D28B4" w:rsidRPr="003F13B0">
        <w:rPr>
          <w:rFonts w:ascii="Arial Narrow" w:hAnsi="Arial Narrow" w:cs="Arial"/>
          <w:b/>
          <w:sz w:val="24"/>
          <w:szCs w:val="24"/>
        </w:rPr>
        <w:t>, autres directions centrales</w:t>
      </w:r>
      <w:r w:rsidR="009677A2">
        <w:rPr>
          <w:rFonts w:ascii="Arial Narrow" w:hAnsi="Arial Narrow" w:cs="Arial"/>
          <w:b/>
          <w:sz w:val="24"/>
          <w:szCs w:val="24"/>
        </w:rPr>
        <w:t xml:space="preserve"> et programmes de santé</w:t>
      </w:r>
      <w:r w:rsidR="003D28B4" w:rsidRPr="003F13B0">
        <w:rPr>
          <w:rFonts w:ascii="Arial Narrow" w:hAnsi="Arial Narrow" w:cs="Arial"/>
          <w:b/>
          <w:sz w:val="24"/>
          <w:szCs w:val="24"/>
        </w:rPr>
        <w:t>)</w:t>
      </w:r>
    </w:p>
    <w:p w14:paraId="558A0D9F" w14:textId="58BC26C8" w:rsidR="00CB3235" w:rsidRPr="003F13B0" w:rsidRDefault="00CB3235" w:rsidP="00822193">
      <w:pPr>
        <w:pStyle w:val="Paragraphedeliste"/>
        <w:numPr>
          <w:ilvl w:val="0"/>
          <w:numId w:val="19"/>
        </w:numPr>
        <w:ind w:left="426"/>
        <w:jc w:val="both"/>
        <w:rPr>
          <w:rFonts w:ascii="Arial Narrow" w:hAnsi="Arial Narrow" w:cs="Arial"/>
          <w:sz w:val="24"/>
          <w:szCs w:val="24"/>
          <w:u w:val="single"/>
        </w:rPr>
      </w:pPr>
      <w:r w:rsidRPr="003F13B0">
        <w:rPr>
          <w:rFonts w:ascii="Arial Narrow" w:hAnsi="Arial Narrow" w:cs="Arial"/>
          <w:sz w:val="24"/>
          <w:szCs w:val="24"/>
          <w:u w:val="single"/>
        </w:rPr>
        <w:t>Gouvernance et vision du secteur</w:t>
      </w:r>
    </w:p>
    <w:p w14:paraId="61DD15E7" w14:textId="0A64BBEC" w:rsidR="00916571" w:rsidRPr="003F13B0" w:rsidRDefault="004D4653" w:rsidP="00822193">
      <w:pPr>
        <w:pStyle w:val="Paragraphedeliste"/>
        <w:numPr>
          <w:ilvl w:val="1"/>
          <w:numId w:val="19"/>
        </w:numPr>
        <w:ind w:left="851"/>
        <w:jc w:val="both"/>
        <w:rPr>
          <w:rFonts w:ascii="Arial Narrow" w:hAnsi="Arial Narrow" w:cs="Arial"/>
          <w:sz w:val="24"/>
          <w:szCs w:val="24"/>
        </w:rPr>
      </w:pPr>
      <w:r w:rsidRPr="003F13B0">
        <w:rPr>
          <w:rFonts w:ascii="Arial Narrow" w:hAnsi="Arial Narrow" w:cs="Arial"/>
          <w:sz w:val="24"/>
          <w:szCs w:val="24"/>
        </w:rPr>
        <w:t xml:space="preserve">Développer une vision </w:t>
      </w:r>
      <w:r w:rsidR="00417716" w:rsidRPr="003F13B0">
        <w:rPr>
          <w:rFonts w:ascii="Arial Narrow" w:hAnsi="Arial Narrow" w:cs="Arial"/>
          <w:sz w:val="24"/>
          <w:szCs w:val="24"/>
        </w:rPr>
        <w:t xml:space="preserve">à long terme du secteur de la santé </w:t>
      </w:r>
      <w:r w:rsidR="00CA55B1" w:rsidRPr="003F13B0">
        <w:rPr>
          <w:rFonts w:ascii="Arial Narrow" w:hAnsi="Arial Narrow" w:cs="Arial"/>
          <w:sz w:val="24"/>
          <w:szCs w:val="24"/>
        </w:rPr>
        <w:t xml:space="preserve">à partir d’une </w:t>
      </w:r>
      <w:r w:rsidR="00B06EF2" w:rsidRPr="003F13B0">
        <w:rPr>
          <w:rFonts w:ascii="Arial Narrow" w:hAnsi="Arial Narrow" w:cs="Arial"/>
          <w:sz w:val="24"/>
          <w:szCs w:val="24"/>
        </w:rPr>
        <w:t>analyse prospective</w:t>
      </w:r>
      <w:r w:rsidR="00077916" w:rsidRPr="003F13B0">
        <w:rPr>
          <w:rFonts w:ascii="Arial Narrow" w:hAnsi="Arial Narrow" w:cs="Arial"/>
          <w:sz w:val="24"/>
          <w:szCs w:val="24"/>
        </w:rPr>
        <w:t xml:space="preserve"> en référence avec les cadres stratégiques nationaux (Vision 2030, Cote d’Ivoire 2040)</w:t>
      </w:r>
    </w:p>
    <w:p w14:paraId="0E1CD5A9" w14:textId="2F60F3AE" w:rsidR="00916571" w:rsidRPr="003F13B0" w:rsidRDefault="00CD0695" w:rsidP="00822193">
      <w:pPr>
        <w:pStyle w:val="Paragraphedeliste"/>
        <w:numPr>
          <w:ilvl w:val="1"/>
          <w:numId w:val="19"/>
        </w:numPr>
        <w:ind w:left="851"/>
        <w:jc w:val="both"/>
        <w:rPr>
          <w:rFonts w:ascii="Arial Narrow" w:hAnsi="Arial Narrow" w:cs="Arial"/>
          <w:sz w:val="24"/>
          <w:szCs w:val="24"/>
        </w:rPr>
      </w:pPr>
      <w:r w:rsidRPr="003F13B0">
        <w:rPr>
          <w:rFonts w:ascii="Arial Narrow" w:hAnsi="Arial Narrow" w:cs="Arial"/>
          <w:sz w:val="24"/>
          <w:szCs w:val="24"/>
        </w:rPr>
        <w:t>Améliorer</w:t>
      </w:r>
      <w:r w:rsidR="0044088D" w:rsidRPr="003F13B0">
        <w:rPr>
          <w:rFonts w:ascii="Arial Narrow" w:hAnsi="Arial Narrow" w:cs="Arial"/>
          <w:sz w:val="24"/>
          <w:szCs w:val="24"/>
        </w:rPr>
        <w:t xml:space="preserve"> la gouvernance et la coordination du PNDS par l’institutionnalisation </w:t>
      </w:r>
      <w:r w:rsidR="00076BF5" w:rsidRPr="003F13B0">
        <w:rPr>
          <w:rFonts w:ascii="Arial Narrow" w:hAnsi="Arial Narrow" w:cs="Arial"/>
          <w:sz w:val="24"/>
          <w:szCs w:val="24"/>
        </w:rPr>
        <w:t>et l’opérationnalisation</w:t>
      </w:r>
      <w:r w:rsidR="0044088D" w:rsidRPr="003F13B0">
        <w:rPr>
          <w:rFonts w:ascii="Arial Narrow" w:hAnsi="Arial Narrow" w:cs="Arial"/>
          <w:sz w:val="24"/>
          <w:szCs w:val="24"/>
        </w:rPr>
        <w:t xml:space="preserve"> </w:t>
      </w:r>
      <w:r w:rsidRPr="003F13B0">
        <w:rPr>
          <w:rFonts w:ascii="Arial Narrow" w:hAnsi="Arial Narrow" w:cs="Arial"/>
          <w:sz w:val="24"/>
          <w:szCs w:val="24"/>
        </w:rPr>
        <w:t xml:space="preserve">du cadre de coordination et de suivi de la mise en œuvre du PNDS </w:t>
      </w:r>
    </w:p>
    <w:p w14:paraId="1D6A02E7" w14:textId="77777777" w:rsidR="00C37114" w:rsidRPr="003F13B0" w:rsidRDefault="00C37114" w:rsidP="00C37114">
      <w:pPr>
        <w:pStyle w:val="Paragraphedeliste"/>
        <w:ind w:left="1440"/>
        <w:jc w:val="both"/>
        <w:rPr>
          <w:rFonts w:ascii="Arial Narrow" w:hAnsi="Arial Narrow" w:cs="Arial"/>
          <w:sz w:val="24"/>
          <w:szCs w:val="24"/>
        </w:rPr>
      </w:pPr>
    </w:p>
    <w:p w14:paraId="739F9F6A" w14:textId="352F724A" w:rsidR="00CB3235" w:rsidRPr="003F13B0" w:rsidRDefault="00351DCF" w:rsidP="00822193">
      <w:pPr>
        <w:pStyle w:val="Paragraphedeliste"/>
        <w:numPr>
          <w:ilvl w:val="0"/>
          <w:numId w:val="19"/>
        </w:numPr>
        <w:ind w:left="426"/>
        <w:jc w:val="both"/>
        <w:rPr>
          <w:rFonts w:ascii="Arial Narrow" w:hAnsi="Arial Narrow" w:cs="Arial"/>
          <w:sz w:val="24"/>
          <w:szCs w:val="24"/>
          <w:u w:val="single"/>
        </w:rPr>
      </w:pPr>
      <w:r w:rsidRPr="003F13B0">
        <w:rPr>
          <w:rFonts w:ascii="Arial Narrow" w:hAnsi="Arial Narrow" w:cs="Arial"/>
          <w:sz w:val="24"/>
          <w:szCs w:val="24"/>
          <w:u w:val="single"/>
        </w:rPr>
        <w:t xml:space="preserve">Planification et suivi interne </w:t>
      </w:r>
    </w:p>
    <w:p w14:paraId="267EF98C" w14:textId="0019B851" w:rsidR="004F6AA6" w:rsidRPr="003F13B0" w:rsidRDefault="004F6AA6" w:rsidP="00822193">
      <w:pPr>
        <w:pStyle w:val="Paragraphedeliste"/>
        <w:numPr>
          <w:ilvl w:val="1"/>
          <w:numId w:val="19"/>
        </w:numPr>
        <w:ind w:left="851"/>
        <w:jc w:val="both"/>
        <w:rPr>
          <w:rFonts w:ascii="Arial Narrow" w:hAnsi="Arial Narrow" w:cs="Arial"/>
          <w:sz w:val="24"/>
          <w:szCs w:val="24"/>
        </w:rPr>
      </w:pPr>
      <w:r w:rsidRPr="003F13B0">
        <w:rPr>
          <w:rFonts w:ascii="Arial Narrow" w:hAnsi="Arial Narrow" w:cs="Arial"/>
          <w:sz w:val="24"/>
          <w:szCs w:val="24"/>
        </w:rPr>
        <w:t xml:space="preserve">Etablir un cadre de résultat, contenant un nombre réduit d’indicateurs mesurables par le système d’information </w:t>
      </w:r>
      <w:r w:rsidR="0017724B" w:rsidRPr="003F13B0">
        <w:rPr>
          <w:rFonts w:ascii="Arial Narrow" w:hAnsi="Arial Narrow" w:cs="Arial"/>
          <w:sz w:val="24"/>
          <w:szCs w:val="24"/>
        </w:rPr>
        <w:t>sanitaire ;</w:t>
      </w:r>
    </w:p>
    <w:p w14:paraId="60C090FA" w14:textId="75C09F50" w:rsidR="003B4FEC" w:rsidRPr="003F13B0" w:rsidRDefault="003B4FEC" w:rsidP="00822193">
      <w:pPr>
        <w:pStyle w:val="Paragraphedeliste"/>
        <w:numPr>
          <w:ilvl w:val="1"/>
          <w:numId w:val="19"/>
        </w:numPr>
        <w:ind w:left="851"/>
        <w:jc w:val="both"/>
        <w:rPr>
          <w:rFonts w:ascii="Arial Narrow" w:hAnsi="Arial Narrow" w:cs="Arial"/>
          <w:sz w:val="24"/>
          <w:szCs w:val="24"/>
        </w:rPr>
      </w:pPr>
      <w:r w:rsidRPr="003F13B0">
        <w:rPr>
          <w:rFonts w:ascii="Arial Narrow" w:hAnsi="Arial Narrow" w:cs="Arial"/>
          <w:sz w:val="24"/>
          <w:szCs w:val="24"/>
        </w:rPr>
        <w:t>Procéder à la priorisation de l’ensemble des interventions au titre du PNDS, afin d’obtenir un portefeuille de projets prioritaires, et procéder à un séquençage de leur mise en œuvre dans le temps</w:t>
      </w:r>
      <w:r w:rsidR="0017724B" w:rsidRPr="003F13B0">
        <w:rPr>
          <w:rFonts w:ascii="Arial Narrow" w:hAnsi="Arial Narrow" w:cs="Arial"/>
          <w:sz w:val="24"/>
          <w:szCs w:val="24"/>
        </w:rPr>
        <w:t> ;</w:t>
      </w:r>
    </w:p>
    <w:p w14:paraId="76A618BB" w14:textId="2152095E" w:rsidR="00135EC2" w:rsidRPr="003F13B0" w:rsidRDefault="00135EC2" w:rsidP="00822193">
      <w:pPr>
        <w:pStyle w:val="Paragraphedeliste"/>
        <w:numPr>
          <w:ilvl w:val="1"/>
          <w:numId w:val="19"/>
        </w:numPr>
        <w:ind w:left="851"/>
        <w:jc w:val="both"/>
        <w:rPr>
          <w:rFonts w:ascii="Arial Narrow" w:hAnsi="Arial Narrow" w:cs="Arial"/>
          <w:sz w:val="24"/>
          <w:szCs w:val="24"/>
        </w:rPr>
      </w:pPr>
      <w:r w:rsidRPr="003F13B0">
        <w:rPr>
          <w:rFonts w:ascii="Arial Narrow" w:hAnsi="Arial Narrow" w:cs="Arial"/>
          <w:sz w:val="24"/>
          <w:szCs w:val="24"/>
        </w:rPr>
        <w:t xml:space="preserve">Prévoir l’organisation des revues globales et thématiques du PNDS, incluant la revue </w:t>
      </w:r>
      <w:r w:rsidR="00BE43DF" w:rsidRPr="003F13B0">
        <w:rPr>
          <w:rFonts w:ascii="Arial Narrow" w:hAnsi="Arial Narrow" w:cs="Arial"/>
          <w:sz w:val="24"/>
          <w:szCs w:val="24"/>
        </w:rPr>
        <w:t>de la</w:t>
      </w:r>
      <w:r w:rsidRPr="003F13B0">
        <w:rPr>
          <w:rFonts w:ascii="Arial Narrow" w:hAnsi="Arial Narrow" w:cs="Arial"/>
          <w:sz w:val="24"/>
          <w:szCs w:val="24"/>
        </w:rPr>
        <w:t xml:space="preserve"> performance des projets, la revue de l’exécution du budget ainsi que le dialogue avec les partenaires au développement</w:t>
      </w:r>
      <w:r w:rsidR="0017724B" w:rsidRPr="003F13B0">
        <w:rPr>
          <w:rFonts w:ascii="Arial Narrow" w:hAnsi="Arial Narrow" w:cs="Arial"/>
          <w:sz w:val="24"/>
          <w:szCs w:val="24"/>
        </w:rPr>
        <w:t xml:space="preserve"> qui </w:t>
      </w:r>
      <w:r w:rsidRPr="003F13B0">
        <w:rPr>
          <w:rFonts w:ascii="Arial Narrow" w:hAnsi="Arial Narrow" w:cs="Arial"/>
          <w:sz w:val="24"/>
          <w:szCs w:val="24"/>
        </w:rPr>
        <w:t>seront programmées et organisées semestriellement</w:t>
      </w:r>
    </w:p>
    <w:p w14:paraId="7875113A" w14:textId="6457932E" w:rsidR="00135EC2" w:rsidRPr="003F13B0" w:rsidRDefault="00135EC2" w:rsidP="00822193">
      <w:pPr>
        <w:pStyle w:val="Paragraphedeliste"/>
        <w:numPr>
          <w:ilvl w:val="1"/>
          <w:numId w:val="19"/>
        </w:numPr>
        <w:ind w:left="851"/>
        <w:jc w:val="both"/>
        <w:rPr>
          <w:rFonts w:ascii="Arial Narrow" w:hAnsi="Arial Narrow" w:cs="Arial"/>
          <w:sz w:val="24"/>
          <w:szCs w:val="24"/>
        </w:rPr>
      </w:pPr>
      <w:r w:rsidRPr="003F13B0">
        <w:rPr>
          <w:rFonts w:ascii="Arial Narrow" w:hAnsi="Arial Narrow" w:cs="Arial"/>
          <w:sz w:val="24"/>
          <w:szCs w:val="24"/>
        </w:rPr>
        <w:t>Renforcer la gestion de la performance du PNDS par la mise en place de mécanismes et outils pertinents : tableau de bord digital</w:t>
      </w:r>
      <w:r w:rsidR="008C5735" w:rsidRPr="003F13B0">
        <w:rPr>
          <w:rFonts w:ascii="Arial Narrow" w:hAnsi="Arial Narrow" w:cs="Arial"/>
          <w:sz w:val="24"/>
          <w:szCs w:val="24"/>
        </w:rPr>
        <w:t>.</w:t>
      </w:r>
    </w:p>
    <w:p w14:paraId="76BF6FF0" w14:textId="0F616E0C" w:rsidR="00351DCF" w:rsidRPr="003F13B0" w:rsidRDefault="00A63310" w:rsidP="00822193">
      <w:pPr>
        <w:pStyle w:val="Paragraphedeliste"/>
        <w:numPr>
          <w:ilvl w:val="0"/>
          <w:numId w:val="19"/>
        </w:numPr>
        <w:ind w:left="426"/>
        <w:jc w:val="both"/>
        <w:rPr>
          <w:rFonts w:ascii="Arial Narrow" w:hAnsi="Arial Narrow" w:cs="Arial"/>
          <w:sz w:val="24"/>
          <w:szCs w:val="24"/>
          <w:u w:val="single"/>
        </w:rPr>
      </w:pPr>
      <w:r w:rsidRPr="003F13B0">
        <w:rPr>
          <w:rFonts w:ascii="Arial Narrow" w:hAnsi="Arial Narrow" w:cs="Arial"/>
          <w:sz w:val="24"/>
          <w:szCs w:val="24"/>
          <w:u w:val="single"/>
        </w:rPr>
        <w:t>Coordination</w:t>
      </w:r>
      <w:r w:rsidR="0026188F" w:rsidRPr="003F13B0">
        <w:rPr>
          <w:rFonts w:ascii="Arial Narrow" w:hAnsi="Arial Narrow" w:cs="Arial"/>
          <w:sz w:val="24"/>
          <w:szCs w:val="24"/>
          <w:u w:val="single"/>
        </w:rPr>
        <w:t xml:space="preserve"> et </w:t>
      </w:r>
      <w:r w:rsidRPr="003F13B0">
        <w:rPr>
          <w:rFonts w:ascii="Arial Narrow" w:hAnsi="Arial Narrow" w:cs="Arial"/>
          <w:sz w:val="24"/>
          <w:szCs w:val="24"/>
          <w:u w:val="single"/>
        </w:rPr>
        <w:t xml:space="preserve">alignement </w:t>
      </w:r>
    </w:p>
    <w:p w14:paraId="050A0842" w14:textId="633E1777" w:rsidR="00A36723" w:rsidRPr="003F13B0" w:rsidRDefault="00AE0758" w:rsidP="00822193">
      <w:pPr>
        <w:pStyle w:val="Paragraphedeliste"/>
        <w:numPr>
          <w:ilvl w:val="1"/>
          <w:numId w:val="19"/>
        </w:numPr>
        <w:ind w:left="851"/>
        <w:jc w:val="both"/>
        <w:rPr>
          <w:rFonts w:ascii="Arial Narrow" w:hAnsi="Arial Narrow" w:cs="Arial"/>
          <w:sz w:val="24"/>
          <w:szCs w:val="24"/>
        </w:rPr>
      </w:pPr>
      <w:r w:rsidRPr="003F13B0">
        <w:rPr>
          <w:rFonts w:ascii="Arial Narrow" w:hAnsi="Arial Narrow" w:cs="Arial"/>
          <w:sz w:val="24"/>
          <w:szCs w:val="24"/>
        </w:rPr>
        <w:t xml:space="preserve">Assurer la diffusion du </w:t>
      </w:r>
      <w:r w:rsidR="00A36723" w:rsidRPr="003F13B0">
        <w:rPr>
          <w:rFonts w:ascii="Arial Narrow" w:hAnsi="Arial Narrow" w:cs="Arial"/>
          <w:sz w:val="24"/>
          <w:szCs w:val="24"/>
        </w:rPr>
        <w:t>PNDS aux autorités régionales</w:t>
      </w:r>
      <w:r w:rsidRPr="003F13B0">
        <w:rPr>
          <w:rFonts w:ascii="Arial Narrow" w:hAnsi="Arial Narrow" w:cs="Arial"/>
          <w:sz w:val="24"/>
          <w:szCs w:val="24"/>
        </w:rPr>
        <w:t xml:space="preserve"> et prévoir des</w:t>
      </w:r>
      <w:r w:rsidR="00296B04" w:rsidRPr="003F13B0">
        <w:rPr>
          <w:rFonts w:ascii="Arial Narrow" w:hAnsi="Arial Narrow" w:cs="Arial"/>
          <w:sz w:val="24"/>
          <w:szCs w:val="24"/>
        </w:rPr>
        <w:t xml:space="preserve"> tables</w:t>
      </w:r>
      <w:r w:rsidRPr="003F13B0">
        <w:rPr>
          <w:rFonts w:ascii="Arial Narrow" w:hAnsi="Arial Narrow" w:cs="Arial"/>
          <w:sz w:val="24"/>
          <w:szCs w:val="24"/>
        </w:rPr>
        <w:t xml:space="preserve"> rondes de la santé en vue de sa vulgarisation</w:t>
      </w:r>
    </w:p>
    <w:p w14:paraId="154C3133" w14:textId="77777777" w:rsidR="004E12BA" w:rsidRPr="003F13B0" w:rsidRDefault="004E12BA" w:rsidP="00822193">
      <w:pPr>
        <w:pStyle w:val="Paragraphedeliste"/>
        <w:numPr>
          <w:ilvl w:val="1"/>
          <w:numId w:val="19"/>
        </w:numPr>
        <w:ind w:left="851"/>
        <w:jc w:val="both"/>
        <w:rPr>
          <w:rFonts w:ascii="Arial Narrow" w:hAnsi="Arial Narrow" w:cs="Arial"/>
          <w:sz w:val="24"/>
          <w:szCs w:val="24"/>
        </w:rPr>
      </w:pPr>
      <w:r w:rsidRPr="003F13B0">
        <w:rPr>
          <w:rFonts w:ascii="Arial Narrow" w:hAnsi="Arial Narrow" w:cs="Arial"/>
          <w:sz w:val="24"/>
          <w:szCs w:val="24"/>
        </w:rPr>
        <w:t>Conduire des ateliers de diffusion du PNDS à l’ensemble du personnel de la santé</w:t>
      </w:r>
    </w:p>
    <w:p w14:paraId="1D5EDF03" w14:textId="67CDD1CC" w:rsidR="00A63310" w:rsidRPr="003F13B0" w:rsidRDefault="00B92CFA" w:rsidP="00822193">
      <w:pPr>
        <w:pStyle w:val="Paragraphedeliste"/>
        <w:numPr>
          <w:ilvl w:val="0"/>
          <w:numId w:val="19"/>
        </w:numPr>
        <w:ind w:left="426"/>
        <w:jc w:val="both"/>
        <w:rPr>
          <w:rFonts w:ascii="Arial Narrow" w:hAnsi="Arial Narrow" w:cs="Arial"/>
          <w:sz w:val="24"/>
          <w:szCs w:val="24"/>
          <w:u w:val="single"/>
        </w:rPr>
      </w:pPr>
      <w:r w:rsidRPr="003F13B0">
        <w:rPr>
          <w:rFonts w:ascii="Arial Narrow" w:hAnsi="Arial Narrow" w:cs="Arial"/>
          <w:sz w:val="24"/>
          <w:szCs w:val="24"/>
          <w:u w:val="single"/>
        </w:rPr>
        <w:t>Optimisation</w:t>
      </w:r>
      <w:r w:rsidR="00767703" w:rsidRPr="003F13B0">
        <w:rPr>
          <w:rFonts w:ascii="Arial Narrow" w:hAnsi="Arial Narrow" w:cs="Arial"/>
          <w:sz w:val="24"/>
          <w:szCs w:val="24"/>
          <w:u w:val="single"/>
        </w:rPr>
        <w:t xml:space="preserve"> des ressources</w:t>
      </w:r>
      <w:r w:rsidRPr="003F13B0">
        <w:rPr>
          <w:rFonts w:ascii="Arial Narrow" w:hAnsi="Arial Narrow" w:cs="Arial"/>
          <w:sz w:val="24"/>
          <w:szCs w:val="24"/>
          <w:u w:val="single"/>
        </w:rPr>
        <w:t xml:space="preserve"> et suivi financier </w:t>
      </w:r>
    </w:p>
    <w:p w14:paraId="46466105" w14:textId="05D28A3F" w:rsidR="00B92CFA" w:rsidRPr="003F13B0" w:rsidRDefault="00E82A5B" w:rsidP="00822193">
      <w:pPr>
        <w:pStyle w:val="Paragraphedeliste"/>
        <w:numPr>
          <w:ilvl w:val="1"/>
          <w:numId w:val="19"/>
        </w:numPr>
        <w:ind w:left="851"/>
        <w:jc w:val="both"/>
        <w:rPr>
          <w:rFonts w:ascii="Arial Narrow" w:hAnsi="Arial Narrow" w:cs="Arial"/>
          <w:sz w:val="24"/>
          <w:szCs w:val="24"/>
        </w:rPr>
      </w:pPr>
      <w:r w:rsidRPr="003F13B0">
        <w:rPr>
          <w:rFonts w:ascii="Arial Narrow" w:hAnsi="Arial Narrow" w:cs="Arial"/>
          <w:sz w:val="24"/>
          <w:szCs w:val="24"/>
        </w:rPr>
        <w:t>Assurer une meilleure budgétisation des interventions dans le PNDS</w:t>
      </w:r>
    </w:p>
    <w:p w14:paraId="52FBADA3" w14:textId="6920C5D2" w:rsidR="00B92CFA" w:rsidRPr="003F13B0" w:rsidRDefault="00167233" w:rsidP="00822193">
      <w:pPr>
        <w:pStyle w:val="Paragraphedeliste"/>
        <w:numPr>
          <w:ilvl w:val="1"/>
          <w:numId w:val="19"/>
        </w:numPr>
        <w:ind w:left="851"/>
        <w:jc w:val="both"/>
        <w:rPr>
          <w:rFonts w:ascii="Arial Narrow" w:hAnsi="Arial Narrow" w:cs="Arial"/>
          <w:sz w:val="24"/>
          <w:szCs w:val="24"/>
        </w:rPr>
      </w:pPr>
      <w:r w:rsidRPr="003F13B0">
        <w:rPr>
          <w:rFonts w:ascii="Arial Narrow" w:hAnsi="Arial Narrow" w:cs="Arial"/>
          <w:sz w:val="24"/>
          <w:szCs w:val="24"/>
        </w:rPr>
        <w:t>Renforcer le suivi des taux d’exécution financière, notamment pour les projets bailleurs, par l’instauration de points de suivi budgétaires réguliers</w:t>
      </w:r>
    </w:p>
    <w:p w14:paraId="11A2EF67" w14:textId="7CAE2489" w:rsidR="00D04AF9" w:rsidRPr="003F13B0" w:rsidRDefault="004E12BA" w:rsidP="00822193">
      <w:pPr>
        <w:pStyle w:val="Paragraphedeliste"/>
        <w:numPr>
          <w:ilvl w:val="1"/>
          <w:numId w:val="19"/>
        </w:numPr>
        <w:ind w:left="851"/>
        <w:jc w:val="both"/>
        <w:rPr>
          <w:rFonts w:ascii="Arial Narrow" w:hAnsi="Arial Narrow" w:cs="Arial"/>
          <w:sz w:val="24"/>
          <w:szCs w:val="24"/>
        </w:rPr>
      </w:pPr>
      <w:r w:rsidRPr="003F13B0">
        <w:rPr>
          <w:rFonts w:ascii="Arial Narrow" w:hAnsi="Arial Narrow" w:cs="Arial"/>
          <w:sz w:val="24"/>
          <w:szCs w:val="24"/>
        </w:rPr>
        <w:t>Articuler les axes d’intervention du PNDS aux programmes budgétaires</w:t>
      </w:r>
      <w:r w:rsidR="00D04AF9" w:rsidRPr="003F13B0">
        <w:rPr>
          <w:rFonts w:ascii="Arial Narrow" w:hAnsi="Arial Narrow" w:cs="Arial"/>
          <w:sz w:val="24"/>
          <w:szCs w:val="24"/>
        </w:rPr>
        <w:t xml:space="preserve"> définis dans le cadre du budget-programme (Budget de l’Etat) </w:t>
      </w:r>
    </w:p>
    <w:p w14:paraId="1A1C6647" w14:textId="4747F3B7" w:rsidR="004E12BA" w:rsidRPr="003F13B0" w:rsidRDefault="004E12BA" w:rsidP="00822193">
      <w:pPr>
        <w:pStyle w:val="Paragraphedeliste"/>
        <w:numPr>
          <w:ilvl w:val="1"/>
          <w:numId w:val="19"/>
        </w:numPr>
        <w:ind w:left="851"/>
        <w:jc w:val="both"/>
        <w:rPr>
          <w:rFonts w:ascii="Arial Narrow" w:hAnsi="Arial Narrow" w:cs="Arial"/>
          <w:sz w:val="24"/>
          <w:szCs w:val="24"/>
        </w:rPr>
      </w:pPr>
      <w:r w:rsidRPr="003F13B0">
        <w:rPr>
          <w:rFonts w:ascii="Arial Narrow" w:hAnsi="Arial Narrow" w:cs="Arial"/>
          <w:sz w:val="24"/>
          <w:szCs w:val="24"/>
        </w:rPr>
        <w:t>Adopter un plan de mobilisation des ressources pour le financement du PNDS</w:t>
      </w:r>
      <w:r w:rsidR="00B23B92" w:rsidRPr="003F13B0">
        <w:rPr>
          <w:rFonts w:ascii="Arial Narrow" w:hAnsi="Arial Narrow" w:cs="Arial"/>
          <w:sz w:val="24"/>
          <w:szCs w:val="24"/>
        </w:rPr>
        <w:t xml:space="preserve"> incluant l’</w:t>
      </w:r>
      <w:r w:rsidR="001362E9" w:rsidRPr="003F13B0">
        <w:rPr>
          <w:rFonts w:ascii="Arial Narrow" w:hAnsi="Arial Narrow" w:cs="Arial"/>
          <w:sz w:val="24"/>
          <w:szCs w:val="24"/>
        </w:rPr>
        <w:t>ensemble des partenaires de la santé (PTF, ONG, Secteur privé, acteurs communautaires)</w:t>
      </w:r>
      <w:r w:rsidRPr="003F13B0">
        <w:rPr>
          <w:rFonts w:ascii="Arial Narrow" w:hAnsi="Arial Narrow" w:cs="Arial"/>
          <w:sz w:val="24"/>
          <w:szCs w:val="24"/>
        </w:rPr>
        <w:t xml:space="preserve">, avec un mécanisme </w:t>
      </w:r>
      <w:r w:rsidR="001362E9" w:rsidRPr="003F13B0">
        <w:rPr>
          <w:rFonts w:ascii="Arial Narrow" w:hAnsi="Arial Narrow" w:cs="Arial"/>
          <w:sz w:val="24"/>
          <w:szCs w:val="24"/>
        </w:rPr>
        <w:t xml:space="preserve">dédié </w:t>
      </w:r>
      <w:r w:rsidRPr="003F13B0">
        <w:rPr>
          <w:rFonts w:ascii="Arial Narrow" w:hAnsi="Arial Narrow" w:cs="Arial"/>
          <w:sz w:val="24"/>
          <w:szCs w:val="24"/>
        </w:rPr>
        <w:t>de suivi</w:t>
      </w:r>
    </w:p>
    <w:p w14:paraId="1E5F7477" w14:textId="797F27A0" w:rsidR="000957B8" w:rsidRPr="003F13B0" w:rsidRDefault="000957B8" w:rsidP="002A61F3">
      <w:pPr>
        <w:pStyle w:val="Paragraphedeliste"/>
        <w:numPr>
          <w:ilvl w:val="2"/>
          <w:numId w:val="19"/>
        </w:numPr>
        <w:ind w:left="1276"/>
        <w:jc w:val="both"/>
        <w:rPr>
          <w:rFonts w:ascii="Arial Narrow" w:hAnsi="Arial Narrow" w:cs="Arial"/>
          <w:sz w:val="24"/>
          <w:szCs w:val="24"/>
        </w:rPr>
      </w:pPr>
      <w:r w:rsidRPr="003F13B0">
        <w:rPr>
          <w:rFonts w:ascii="Arial Narrow" w:hAnsi="Arial Narrow" w:cs="Arial"/>
          <w:sz w:val="24"/>
          <w:szCs w:val="24"/>
        </w:rPr>
        <w:t>Organiser une table-ronde d’engagement avec les partenaires, y compris le secteur privé pour solliciter</w:t>
      </w:r>
      <w:r w:rsidR="002E1C3B" w:rsidRPr="003F13B0">
        <w:rPr>
          <w:rFonts w:ascii="Arial Narrow" w:hAnsi="Arial Narrow" w:cs="Arial"/>
          <w:sz w:val="24"/>
          <w:szCs w:val="24"/>
        </w:rPr>
        <w:t xml:space="preserve"> </w:t>
      </w:r>
      <w:r w:rsidRPr="003F13B0">
        <w:rPr>
          <w:rFonts w:ascii="Arial Narrow" w:hAnsi="Arial Narrow" w:cs="Arial"/>
          <w:sz w:val="24"/>
          <w:szCs w:val="24"/>
        </w:rPr>
        <w:t>leurs apports au financement</w:t>
      </w:r>
      <w:r w:rsidR="002E1C3B" w:rsidRPr="003F13B0">
        <w:rPr>
          <w:rFonts w:ascii="Arial Narrow" w:hAnsi="Arial Narrow" w:cs="Arial"/>
          <w:sz w:val="24"/>
          <w:szCs w:val="24"/>
        </w:rPr>
        <w:t xml:space="preserve"> du plan. </w:t>
      </w:r>
    </w:p>
    <w:p w14:paraId="7B39B15C" w14:textId="250384AB" w:rsidR="00FD7090" w:rsidRPr="003F13B0" w:rsidRDefault="00FD7090" w:rsidP="002A61F3">
      <w:pPr>
        <w:pStyle w:val="Paragraphedeliste"/>
        <w:numPr>
          <w:ilvl w:val="2"/>
          <w:numId w:val="19"/>
        </w:numPr>
        <w:ind w:left="1276"/>
        <w:jc w:val="both"/>
        <w:rPr>
          <w:rFonts w:ascii="Arial Narrow" w:hAnsi="Arial Narrow" w:cs="Arial"/>
          <w:sz w:val="24"/>
          <w:szCs w:val="24"/>
        </w:rPr>
      </w:pPr>
      <w:r w:rsidRPr="003F13B0">
        <w:rPr>
          <w:rFonts w:ascii="Arial Narrow" w:hAnsi="Arial Narrow" w:cs="Arial"/>
          <w:sz w:val="24"/>
          <w:szCs w:val="24"/>
        </w:rPr>
        <w:t>Inviter le secteur privé à participer activement à la planification et à la mise en œuvre des politiques de santé, en promouvant les partenariats public-privé dès le début des projets.</w:t>
      </w:r>
    </w:p>
    <w:p w14:paraId="414FDEA2" w14:textId="13056054" w:rsidR="00FD7090" w:rsidRPr="003F13B0" w:rsidRDefault="00FD7090" w:rsidP="002A61F3">
      <w:pPr>
        <w:pStyle w:val="Paragraphedeliste"/>
        <w:numPr>
          <w:ilvl w:val="2"/>
          <w:numId w:val="19"/>
        </w:numPr>
        <w:ind w:left="1276"/>
        <w:jc w:val="both"/>
        <w:rPr>
          <w:rFonts w:ascii="Arial Narrow" w:hAnsi="Arial Narrow" w:cs="Arial"/>
          <w:sz w:val="24"/>
          <w:szCs w:val="24"/>
        </w:rPr>
      </w:pPr>
      <w:r w:rsidRPr="003F13B0">
        <w:rPr>
          <w:rFonts w:ascii="Arial Narrow" w:hAnsi="Arial Narrow" w:cs="Arial"/>
          <w:sz w:val="24"/>
          <w:szCs w:val="24"/>
        </w:rPr>
        <w:t>Créer des cadres incitatifs pour encourager les investissements privés dans le secteur de la santé, en particulier dans les domaines de l'innovation, des infrastructures et des services spécialisés.</w:t>
      </w:r>
    </w:p>
    <w:p w14:paraId="0DA593A2" w14:textId="64DE64C2" w:rsidR="007271B4" w:rsidRPr="003F13B0" w:rsidRDefault="007271B4" w:rsidP="007271B4">
      <w:pPr>
        <w:jc w:val="both"/>
        <w:rPr>
          <w:rFonts w:ascii="Arial Narrow" w:hAnsi="Arial Narrow" w:cs="Arial"/>
          <w:b/>
          <w:bCs/>
          <w:sz w:val="24"/>
          <w:szCs w:val="24"/>
        </w:rPr>
      </w:pPr>
      <w:r w:rsidRPr="003F13B0">
        <w:rPr>
          <w:rFonts w:ascii="Arial Narrow" w:hAnsi="Arial Narrow" w:cs="Arial"/>
          <w:b/>
          <w:bCs/>
          <w:sz w:val="24"/>
          <w:szCs w:val="24"/>
        </w:rPr>
        <w:lastRenderedPageBreak/>
        <w:t>Recommandations à l’endroit des PTF</w:t>
      </w:r>
    </w:p>
    <w:p w14:paraId="7DDDBBA6" w14:textId="40E4135D" w:rsidR="00B03729" w:rsidRPr="003F13B0" w:rsidRDefault="00B03729" w:rsidP="00822193">
      <w:pPr>
        <w:pStyle w:val="Paragraphedeliste"/>
        <w:numPr>
          <w:ilvl w:val="0"/>
          <w:numId w:val="19"/>
        </w:numPr>
        <w:ind w:left="426"/>
        <w:jc w:val="both"/>
        <w:rPr>
          <w:rFonts w:ascii="Arial Narrow" w:hAnsi="Arial Narrow" w:cs="Arial"/>
          <w:sz w:val="24"/>
          <w:szCs w:val="24"/>
          <w:u w:val="single"/>
        </w:rPr>
      </w:pPr>
      <w:r w:rsidRPr="003F13B0">
        <w:rPr>
          <w:rFonts w:ascii="Arial Narrow" w:hAnsi="Arial Narrow" w:cs="Arial"/>
          <w:sz w:val="24"/>
          <w:szCs w:val="24"/>
          <w:u w:val="single"/>
        </w:rPr>
        <w:t>Coordination entre PTF</w:t>
      </w:r>
    </w:p>
    <w:p w14:paraId="67A413A5" w14:textId="08C7A610" w:rsidR="00B03729" w:rsidRPr="003F13B0" w:rsidRDefault="00CC3113" w:rsidP="00822193">
      <w:pPr>
        <w:pStyle w:val="Paragraphedeliste"/>
        <w:numPr>
          <w:ilvl w:val="1"/>
          <w:numId w:val="19"/>
        </w:numPr>
        <w:ind w:left="851"/>
        <w:jc w:val="both"/>
        <w:rPr>
          <w:rFonts w:ascii="Arial Narrow" w:hAnsi="Arial Narrow" w:cs="Arial"/>
          <w:sz w:val="24"/>
          <w:szCs w:val="24"/>
        </w:rPr>
      </w:pPr>
      <w:r w:rsidRPr="003F13B0">
        <w:rPr>
          <w:rFonts w:ascii="Arial Narrow" w:hAnsi="Arial Narrow" w:cs="Arial"/>
          <w:sz w:val="24"/>
          <w:szCs w:val="24"/>
        </w:rPr>
        <w:t xml:space="preserve">Organiser régulièrement des tables rondes ou des plateformes de coordination pour faciliter l’échange d’informations entre les différents </w:t>
      </w:r>
      <w:r w:rsidR="00B03729" w:rsidRPr="003F13B0">
        <w:rPr>
          <w:rFonts w:ascii="Arial Narrow" w:hAnsi="Arial Narrow" w:cs="Arial"/>
          <w:sz w:val="24"/>
          <w:szCs w:val="24"/>
        </w:rPr>
        <w:t>PTF</w:t>
      </w:r>
      <w:r w:rsidRPr="003F13B0">
        <w:rPr>
          <w:rFonts w:ascii="Arial Narrow" w:hAnsi="Arial Narrow" w:cs="Arial"/>
          <w:sz w:val="24"/>
          <w:szCs w:val="24"/>
        </w:rPr>
        <w:t xml:space="preserve"> et assurer une meilleure synergie des financements. Ce cadre permettrait également de clarifier les priorités et d'aligner les contributions sur les besoins nationaux.</w:t>
      </w:r>
    </w:p>
    <w:p w14:paraId="649468C9" w14:textId="702EF798" w:rsidR="00B03729" w:rsidRPr="003F13B0" w:rsidRDefault="00CC3113" w:rsidP="00822193">
      <w:pPr>
        <w:pStyle w:val="Paragraphedeliste"/>
        <w:numPr>
          <w:ilvl w:val="1"/>
          <w:numId w:val="19"/>
        </w:numPr>
        <w:ind w:left="851"/>
        <w:jc w:val="both"/>
        <w:rPr>
          <w:rFonts w:ascii="Arial Narrow" w:hAnsi="Arial Narrow" w:cs="Arial"/>
          <w:sz w:val="24"/>
          <w:szCs w:val="24"/>
        </w:rPr>
      </w:pPr>
      <w:r w:rsidRPr="003F13B0">
        <w:rPr>
          <w:rFonts w:ascii="Arial Narrow" w:hAnsi="Arial Narrow" w:cs="Arial"/>
          <w:sz w:val="24"/>
          <w:szCs w:val="24"/>
        </w:rPr>
        <w:t>Encourager l’harmonisation des aides pour éviter les doublons, identifier les lacunes et coordonner les financements en fonction des domaines du PNDS.</w:t>
      </w:r>
      <w:r w:rsidR="00B03729" w:rsidRPr="003F13B0">
        <w:rPr>
          <w:rFonts w:ascii="Arial Narrow" w:hAnsi="Arial Narrow" w:cs="Arial"/>
          <w:sz w:val="24"/>
          <w:szCs w:val="24"/>
        </w:rPr>
        <w:t xml:space="preserve"> </w:t>
      </w:r>
    </w:p>
    <w:p w14:paraId="782A302E" w14:textId="3EC0B0C8" w:rsidR="00CC3113" w:rsidRPr="007A001B" w:rsidRDefault="00CC3113" w:rsidP="007A001B">
      <w:pPr>
        <w:pStyle w:val="Paragraphedeliste"/>
        <w:numPr>
          <w:ilvl w:val="0"/>
          <w:numId w:val="19"/>
        </w:numPr>
        <w:ind w:left="426"/>
        <w:jc w:val="both"/>
        <w:rPr>
          <w:rFonts w:ascii="Arial Narrow" w:hAnsi="Arial Narrow" w:cs="Arial"/>
          <w:sz w:val="24"/>
          <w:szCs w:val="24"/>
          <w:u w:val="single"/>
        </w:rPr>
      </w:pPr>
      <w:r w:rsidRPr="007A001B">
        <w:rPr>
          <w:rFonts w:ascii="Arial Narrow" w:hAnsi="Arial Narrow" w:cs="Arial"/>
          <w:sz w:val="24"/>
          <w:szCs w:val="24"/>
          <w:u w:val="single"/>
        </w:rPr>
        <w:t>Amélior</w:t>
      </w:r>
      <w:r w:rsidR="008942EA" w:rsidRPr="007A001B">
        <w:rPr>
          <w:rFonts w:ascii="Arial Narrow" w:hAnsi="Arial Narrow" w:cs="Arial"/>
          <w:sz w:val="24"/>
          <w:szCs w:val="24"/>
          <w:u w:val="single"/>
        </w:rPr>
        <w:t>ation de</w:t>
      </w:r>
      <w:r w:rsidRPr="007A001B">
        <w:rPr>
          <w:rFonts w:ascii="Arial Narrow" w:hAnsi="Arial Narrow" w:cs="Arial"/>
          <w:sz w:val="24"/>
          <w:szCs w:val="24"/>
          <w:u w:val="single"/>
        </w:rPr>
        <w:t xml:space="preserve"> la gestion et l’utilisation des financements</w:t>
      </w:r>
    </w:p>
    <w:p w14:paraId="5ECB7295" w14:textId="5003E503" w:rsidR="00212352" w:rsidRPr="003F13B0" w:rsidRDefault="00CC3113" w:rsidP="00822193">
      <w:pPr>
        <w:pStyle w:val="Paragraphedeliste"/>
        <w:numPr>
          <w:ilvl w:val="1"/>
          <w:numId w:val="19"/>
        </w:numPr>
        <w:ind w:left="851"/>
        <w:jc w:val="both"/>
        <w:rPr>
          <w:rFonts w:ascii="Arial Narrow" w:hAnsi="Arial Narrow" w:cs="Arial"/>
          <w:sz w:val="24"/>
          <w:szCs w:val="24"/>
        </w:rPr>
      </w:pPr>
      <w:r w:rsidRPr="00B47B36">
        <w:rPr>
          <w:rFonts w:ascii="Arial Narrow" w:hAnsi="Arial Narrow" w:cs="Arial"/>
          <w:sz w:val="24"/>
          <w:szCs w:val="24"/>
        </w:rPr>
        <w:t xml:space="preserve">Soutenir la formation et le renforcement des capacités </w:t>
      </w:r>
      <w:r w:rsidR="00194DEA" w:rsidRPr="00B47B36">
        <w:rPr>
          <w:rFonts w:ascii="Arial Narrow" w:hAnsi="Arial Narrow" w:cs="Arial"/>
          <w:sz w:val="24"/>
          <w:szCs w:val="24"/>
        </w:rPr>
        <w:t xml:space="preserve">des structures </w:t>
      </w:r>
      <w:r w:rsidRPr="00B47B36">
        <w:rPr>
          <w:rFonts w:ascii="Arial Narrow" w:hAnsi="Arial Narrow" w:cs="Arial"/>
          <w:sz w:val="24"/>
          <w:szCs w:val="24"/>
        </w:rPr>
        <w:t>dans la gestion des procédures de décaissement et la mise</w:t>
      </w:r>
      <w:r w:rsidRPr="003F13B0">
        <w:rPr>
          <w:rFonts w:ascii="Arial Narrow" w:hAnsi="Arial Narrow" w:cs="Arial"/>
          <w:sz w:val="24"/>
          <w:szCs w:val="24"/>
        </w:rPr>
        <w:t xml:space="preserve"> en œuvre des projets, pour éviter les retards et améliorer l'absorption des financements.</w:t>
      </w:r>
    </w:p>
    <w:p w14:paraId="0D80C033" w14:textId="643FFA25" w:rsidR="00CC3113" w:rsidRPr="003F13B0" w:rsidRDefault="00CC3113" w:rsidP="00822193">
      <w:pPr>
        <w:pStyle w:val="Paragraphedeliste"/>
        <w:numPr>
          <w:ilvl w:val="0"/>
          <w:numId w:val="19"/>
        </w:numPr>
        <w:ind w:left="426"/>
        <w:jc w:val="both"/>
        <w:rPr>
          <w:rFonts w:ascii="Arial Narrow" w:hAnsi="Arial Narrow" w:cs="Arial"/>
          <w:sz w:val="24"/>
          <w:szCs w:val="24"/>
          <w:u w:val="single"/>
        </w:rPr>
      </w:pPr>
      <w:r w:rsidRPr="003F13B0">
        <w:rPr>
          <w:rFonts w:ascii="Arial Narrow" w:hAnsi="Arial Narrow" w:cs="Arial"/>
          <w:sz w:val="24"/>
          <w:szCs w:val="24"/>
          <w:u w:val="single"/>
        </w:rPr>
        <w:t>Aligne</w:t>
      </w:r>
      <w:r w:rsidR="008942EA" w:rsidRPr="003F13B0">
        <w:rPr>
          <w:rFonts w:ascii="Arial Narrow" w:hAnsi="Arial Narrow" w:cs="Arial"/>
          <w:sz w:val="24"/>
          <w:szCs w:val="24"/>
          <w:u w:val="single"/>
        </w:rPr>
        <w:t>ment des</w:t>
      </w:r>
      <w:r w:rsidRPr="003F13B0">
        <w:rPr>
          <w:rFonts w:ascii="Arial Narrow" w:hAnsi="Arial Narrow" w:cs="Arial"/>
          <w:sz w:val="24"/>
          <w:szCs w:val="24"/>
          <w:u w:val="single"/>
        </w:rPr>
        <w:t xml:space="preserve"> stratégies des PTF sur les priorités nationales</w:t>
      </w:r>
    </w:p>
    <w:p w14:paraId="46D37348" w14:textId="7A01DBE0" w:rsidR="00D1712B" w:rsidRPr="003F13B0" w:rsidRDefault="00D1712B" w:rsidP="00822193">
      <w:pPr>
        <w:pStyle w:val="Paragraphedeliste"/>
        <w:numPr>
          <w:ilvl w:val="1"/>
          <w:numId w:val="19"/>
        </w:numPr>
        <w:ind w:left="851"/>
        <w:jc w:val="both"/>
        <w:rPr>
          <w:rFonts w:ascii="Arial Narrow" w:hAnsi="Arial Narrow" w:cs="Arial"/>
          <w:sz w:val="24"/>
          <w:szCs w:val="24"/>
        </w:rPr>
      </w:pPr>
      <w:r w:rsidRPr="003F13B0">
        <w:rPr>
          <w:rFonts w:ascii="Arial Narrow" w:hAnsi="Arial Narrow" w:cs="Arial"/>
          <w:sz w:val="24"/>
          <w:szCs w:val="24"/>
        </w:rPr>
        <w:t xml:space="preserve">Travailler </w:t>
      </w:r>
      <w:r w:rsidR="00CC3113" w:rsidRPr="003F13B0">
        <w:rPr>
          <w:rFonts w:ascii="Arial Narrow" w:hAnsi="Arial Narrow" w:cs="Arial"/>
          <w:sz w:val="24"/>
          <w:szCs w:val="24"/>
        </w:rPr>
        <w:t xml:space="preserve">à aligner les programmes et </w:t>
      </w:r>
      <w:r w:rsidR="00194DEA" w:rsidRPr="003F13B0">
        <w:rPr>
          <w:rFonts w:ascii="Arial Narrow" w:hAnsi="Arial Narrow" w:cs="Arial"/>
          <w:sz w:val="24"/>
          <w:szCs w:val="24"/>
        </w:rPr>
        <w:t xml:space="preserve">les </w:t>
      </w:r>
      <w:r w:rsidR="00CC3113" w:rsidRPr="003F13B0">
        <w:rPr>
          <w:rFonts w:ascii="Arial Narrow" w:hAnsi="Arial Narrow" w:cs="Arial"/>
          <w:sz w:val="24"/>
          <w:szCs w:val="24"/>
        </w:rPr>
        <w:t xml:space="preserve">projets sur les priorités du PNDS, en s'assurant </w:t>
      </w:r>
      <w:r w:rsidR="00194DEA" w:rsidRPr="003F13B0">
        <w:rPr>
          <w:rFonts w:ascii="Arial Narrow" w:hAnsi="Arial Narrow" w:cs="Arial"/>
          <w:sz w:val="24"/>
          <w:szCs w:val="24"/>
        </w:rPr>
        <w:t xml:space="preserve">que les </w:t>
      </w:r>
      <w:r w:rsidR="00CC3113" w:rsidRPr="003F13B0">
        <w:rPr>
          <w:rFonts w:ascii="Arial Narrow" w:hAnsi="Arial Narrow" w:cs="Arial"/>
          <w:sz w:val="24"/>
          <w:szCs w:val="24"/>
        </w:rPr>
        <w:t>interventions répondent aux objectifs à long terme définis par le gouvernement.</w:t>
      </w:r>
    </w:p>
    <w:p w14:paraId="5EB96BA3" w14:textId="2951EE85" w:rsidR="00CC3113" w:rsidRPr="003F13B0" w:rsidRDefault="00CC3113" w:rsidP="00822193">
      <w:pPr>
        <w:pStyle w:val="Paragraphedeliste"/>
        <w:numPr>
          <w:ilvl w:val="1"/>
          <w:numId w:val="19"/>
        </w:numPr>
        <w:ind w:left="851"/>
        <w:jc w:val="both"/>
        <w:rPr>
          <w:rFonts w:ascii="Arial Narrow" w:hAnsi="Arial Narrow" w:cs="Arial"/>
          <w:sz w:val="24"/>
          <w:szCs w:val="24"/>
        </w:rPr>
      </w:pPr>
      <w:r w:rsidRPr="003F13B0">
        <w:rPr>
          <w:rFonts w:ascii="Arial Narrow" w:hAnsi="Arial Narrow" w:cs="Arial"/>
          <w:sz w:val="24"/>
          <w:szCs w:val="24"/>
        </w:rPr>
        <w:t>Promouvoir une approche flexible permettant au</w:t>
      </w:r>
      <w:r w:rsidR="00D1712B" w:rsidRPr="003F13B0">
        <w:rPr>
          <w:rFonts w:ascii="Arial Narrow" w:hAnsi="Arial Narrow" w:cs="Arial"/>
          <w:sz w:val="24"/>
          <w:szCs w:val="24"/>
        </w:rPr>
        <w:t>x</w:t>
      </w:r>
      <w:r w:rsidR="00194DEA" w:rsidRPr="003F13B0">
        <w:rPr>
          <w:rFonts w:ascii="Arial Narrow" w:hAnsi="Arial Narrow" w:cs="Arial"/>
          <w:sz w:val="24"/>
          <w:szCs w:val="24"/>
        </w:rPr>
        <w:t xml:space="preserve"> </w:t>
      </w:r>
      <w:r w:rsidR="00591BAE">
        <w:rPr>
          <w:rFonts w:ascii="Arial Narrow" w:hAnsi="Arial Narrow" w:cs="Arial"/>
          <w:sz w:val="24"/>
          <w:szCs w:val="24"/>
        </w:rPr>
        <w:t>bénéficiaires (</w:t>
      </w:r>
      <w:r w:rsidR="00D83662">
        <w:rPr>
          <w:rFonts w:ascii="Arial Narrow" w:hAnsi="Arial Narrow" w:cs="Arial"/>
          <w:sz w:val="24"/>
          <w:szCs w:val="24"/>
        </w:rPr>
        <w:t>structures techniques du MSHPCMU)</w:t>
      </w:r>
      <w:r w:rsidR="00D1712B" w:rsidRPr="003F13B0">
        <w:rPr>
          <w:rFonts w:ascii="Arial Narrow" w:hAnsi="Arial Narrow" w:cs="Arial"/>
          <w:sz w:val="24"/>
          <w:szCs w:val="24"/>
        </w:rPr>
        <w:t xml:space="preserve"> </w:t>
      </w:r>
      <w:r w:rsidRPr="003F13B0">
        <w:rPr>
          <w:rFonts w:ascii="Arial Narrow" w:hAnsi="Arial Narrow" w:cs="Arial"/>
          <w:sz w:val="24"/>
          <w:szCs w:val="24"/>
        </w:rPr>
        <w:t>d’ajuster le</w:t>
      </w:r>
      <w:r w:rsidR="00D1712B" w:rsidRPr="003F13B0">
        <w:rPr>
          <w:rFonts w:ascii="Arial Narrow" w:hAnsi="Arial Narrow" w:cs="Arial"/>
          <w:sz w:val="24"/>
          <w:szCs w:val="24"/>
        </w:rPr>
        <w:t xml:space="preserve">s </w:t>
      </w:r>
      <w:r w:rsidRPr="003F13B0">
        <w:rPr>
          <w:rFonts w:ascii="Arial Narrow" w:hAnsi="Arial Narrow" w:cs="Arial"/>
          <w:sz w:val="24"/>
          <w:szCs w:val="24"/>
        </w:rPr>
        <w:t xml:space="preserve">engagements en fonction des nouveaux besoins et priorités identifiés lors de la </w:t>
      </w:r>
      <w:r w:rsidR="00B635D8">
        <w:rPr>
          <w:rFonts w:ascii="Arial Narrow" w:hAnsi="Arial Narrow" w:cs="Arial"/>
          <w:sz w:val="24"/>
          <w:szCs w:val="24"/>
        </w:rPr>
        <w:t>revue</w:t>
      </w:r>
      <w:r w:rsidRPr="003F13B0">
        <w:rPr>
          <w:rFonts w:ascii="Arial Narrow" w:hAnsi="Arial Narrow" w:cs="Arial"/>
          <w:sz w:val="24"/>
          <w:szCs w:val="24"/>
        </w:rPr>
        <w:t>, notamment en réponse à des crises sanitaires émergentes.</w:t>
      </w:r>
    </w:p>
    <w:p w14:paraId="66EC0EAE" w14:textId="345D15DD" w:rsidR="00D561A3" w:rsidRPr="003F13B0" w:rsidRDefault="009D079A" w:rsidP="00D561A3">
      <w:pPr>
        <w:jc w:val="both"/>
        <w:rPr>
          <w:rFonts w:ascii="Arial Narrow" w:hAnsi="Arial Narrow" w:cs="Arial"/>
          <w:sz w:val="24"/>
          <w:szCs w:val="24"/>
        </w:rPr>
      </w:pPr>
      <w:r w:rsidRPr="003F13B0">
        <w:rPr>
          <w:rFonts w:ascii="Arial Narrow" w:hAnsi="Arial Narrow" w:cs="Arial"/>
          <w:b/>
          <w:sz w:val="24"/>
          <w:szCs w:val="24"/>
        </w:rPr>
        <w:t xml:space="preserve">Pour la poursuite de la mise en </w:t>
      </w:r>
      <w:r w:rsidR="004E44D5" w:rsidRPr="003F13B0">
        <w:rPr>
          <w:rFonts w:ascii="Arial Narrow" w:hAnsi="Arial Narrow" w:cs="Arial"/>
          <w:b/>
          <w:sz w:val="24"/>
          <w:szCs w:val="24"/>
        </w:rPr>
        <w:t>œuvre</w:t>
      </w:r>
      <w:r w:rsidRPr="003F13B0">
        <w:rPr>
          <w:rFonts w:ascii="Arial Narrow" w:hAnsi="Arial Narrow" w:cs="Arial"/>
          <w:b/>
          <w:sz w:val="24"/>
          <w:szCs w:val="24"/>
        </w:rPr>
        <w:t xml:space="preserve"> du PNDS</w:t>
      </w:r>
      <w:r w:rsidR="00FB7EFE" w:rsidRPr="003F13B0">
        <w:rPr>
          <w:rFonts w:ascii="Arial Narrow" w:hAnsi="Arial Narrow" w:cs="Arial"/>
          <w:b/>
          <w:bCs/>
          <w:sz w:val="24"/>
          <w:szCs w:val="24"/>
        </w:rPr>
        <w:t xml:space="preserve"> 2021-2025</w:t>
      </w:r>
      <w:r w:rsidRPr="003F13B0">
        <w:rPr>
          <w:rFonts w:ascii="Arial Narrow" w:hAnsi="Arial Narrow" w:cs="Arial"/>
          <w:sz w:val="24"/>
          <w:szCs w:val="24"/>
        </w:rPr>
        <w:t xml:space="preserve">, </w:t>
      </w:r>
      <w:r w:rsidR="00DF139E" w:rsidRPr="003F13B0">
        <w:rPr>
          <w:rFonts w:ascii="Arial Narrow" w:hAnsi="Arial Narrow" w:cs="Arial"/>
          <w:sz w:val="24"/>
          <w:szCs w:val="24"/>
        </w:rPr>
        <w:t>il est essentiel de capitaliser sur les leçons apprises et d'ajuster les stratégies pour garantir une mise en œuvre réussie d'ici 2025. C</w:t>
      </w:r>
      <w:r w:rsidRPr="003F13B0">
        <w:rPr>
          <w:rFonts w:ascii="Arial Narrow" w:hAnsi="Arial Narrow" w:cs="Arial"/>
          <w:sz w:val="24"/>
          <w:szCs w:val="24"/>
        </w:rPr>
        <w:t xml:space="preserve">ompte tenu des </w:t>
      </w:r>
      <w:r w:rsidR="00DF139E" w:rsidRPr="003F13B0">
        <w:rPr>
          <w:rFonts w:ascii="Arial Narrow" w:hAnsi="Arial Narrow" w:cs="Arial"/>
          <w:sz w:val="24"/>
          <w:szCs w:val="24"/>
        </w:rPr>
        <w:t>impératifs</w:t>
      </w:r>
      <w:r w:rsidRPr="003F13B0">
        <w:rPr>
          <w:rFonts w:ascii="Arial Narrow" w:hAnsi="Arial Narrow" w:cs="Arial"/>
          <w:sz w:val="24"/>
          <w:szCs w:val="24"/>
        </w:rPr>
        <w:t xml:space="preserve"> </w:t>
      </w:r>
      <w:r w:rsidR="004E44D5" w:rsidRPr="003F13B0">
        <w:rPr>
          <w:rFonts w:ascii="Arial Narrow" w:hAnsi="Arial Narrow" w:cs="Arial"/>
          <w:sz w:val="24"/>
          <w:szCs w:val="24"/>
        </w:rPr>
        <w:t>liés</w:t>
      </w:r>
      <w:r w:rsidRPr="003F13B0">
        <w:rPr>
          <w:rFonts w:ascii="Arial Narrow" w:hAnsi="Arial Narrow" w:cs="Arial"/>
          <w:sz w:val="24"/>
          <w:szCs w:val="24"/>
        </w:rPr>
        <w:t xml:space="preserve"> au temps restant de mise en </w:t>
      </w:r>
      <w:r w:rsidR="004E44D5" w:rsidRPr="003F13B0">
        <w:rPr>
          <w:rFonts w:ascii="Arial Narrow" w:hAnsi="Arial Narrow" w:cs="Arial"/>
          <w:sz w:val="24"/>
          <w:szCs w:val="24"/>
        </w:rPr>
        <w:t>œuvre</w:t>
      </w:r>
      <w:r w:rsidRPr="003F13B0">
        <w:rPr>
          <w:rFonts w:ascii="Arial Narrow" w:hAnsi="Arial Narrow" w:cs="Arial"/>
          <w:sz w:val="24"/>
          <w:szCs w:val="24"/>
        </w:rPr>
        <w:t xml:space="preserve"> </w:t>
      </w:r>
      <w:r w:rsidR="004E44D5" w:rsidRPr="003F13B0">
        <w:rPr>
          <w:rFonts w:ascii="Arial Narrow" w:hAnsi="Arial Narrow" w:cs="Arial"/>
          <w:sz w:val="24"/>
          <w:szCs w:val="24"/>
        </w:rPr>
        <w:t>relativement</w:t>
      </w:r>
      <w:r w:rsidRPr="003F13B0">
        <w:rPr>
          <w:rFonts w:ascii="Arial Narrow" w:hAnsi="Arial Narrow" w:cs="Arial"/>
          <w:sz w:val="24"/>
          <w:szCs w:val="24"/>
        </w:rPr>
        <w:t xml:space="preserve"> court (</w:t>
      </w:r>
      <w:r w:rsidR="00251219" w:rsidRPr="003F13B0">
        <w:rPr>
          <w:rFonts w:ascii="Arial Narrow" w:hAnsi="Arial Narrow" w:cs="Arial"/>
          <w:sz w:val="24"/>
          <w:szCs w:val="24"/>
        </w:rPr>
        <w:t>0</w:t>
      </w:r>
      <w:r w:rsidRPr="003F13B0">
        <w:rPr>
          <w:rFonts w:ascii="Arial Narrow" w:hAnsi="Arial Narrow" w:cs="Arial"/>
          <w:sz w:val="24"/>
          <w:szCs w:val="24"/>
        </w:rPr>
        <w:t xml:space="preserve">1 an), </w:t>
      </w:r>
      <w:r w:rsidR="00CF771B" w:rsidRPr="003F13B0">
        <w:rPr>
          <w:rFonts w:ascii="Arial Narrow" w:hAnsi="Arial Narrow" w:cs="Arial"/>
          <w:sz w:val="24"/>
          <w:szCs w:val="24"/>
        </w:rPr>
        <w:t>à</w:t>
      </w:r>
      <w:r w:rsidRPr="003F13B0">
        <w:rPr>
          <w:rFonts w:ascii="Arial Narrow" w:hAnsi="Arial Narrow" w:cs="Arial"/>
          <w:sz w:val="24"/>
          <w:szCs w:val="24"/>
        </w:rPr>
        <w:t xml:space="preserve"> l'</w:t>
      </w:r>
      <w:r w:rsidR="004E44D5" w:rsidRPr="003F13B0">
        <w:rPr>
          <w:rFonts w:ascii="Arial Narrow" w:hAnsi="Arial Narrow" w:cs="Arial"/>
          <w:sz w:val="24"/>
          <w:szCs w:val="24"/>
        </w:rPr>
        <w:t>élaboration</w:t>
      </w:r>
      <w:r w:rsidRPr="003F13B0">
        <w:rPr>
          <w:rFonts w:ascii="Arial Narrow" w:hAnsi="Arial Narrow" w:cs="Arial"/>
          <w:sz w:val="24"/>
          <w:szCs w:val="24"/>
        </w:rPr>
        <w:t xml:space="preserve"> imminente du prochain PNDS, aux contraintes </w:t>
      </w:r>
      <w:r w:rsidR="004E44D5" w:rsidRPr="003F13B0">
        <w:rPr>
          <w:rFonts w:ascii="Arial Narrow" w:hAnsi="Arial Narrow" w:cs="Arial"/>
          <w:sz w:val="24"/>
          <w:szCs w:val="24"/>
        </w:rPr>
        <w:t>budgétaires</w:t>
      </w:r>
      <w:r w:rsidRPr="003F13B0">
        <w:rPr>
          <w:rFonts w:ascii="Arial Narrow" w:hAnsi="Arial Narrow" w:cs="Arial"/>
          <w:sz w:val="24"/>
          <w:szCs w:val="24"/>
        </w:rPr>
        <w:t xml:space="preserve"> et aux </w:t>
      </w:r>
      <w:r w:rsidR="004E44D5" w:rsidRPr="003F13B0">
        <w:rPr>
          <w:rFonts w:ascii="Arial Narrow" w:hAnsi="Arial Narrow" w:cs="Arial"/>
          <w:sz w:val="24"/>
          <w:szCs w:val="24"/>
        </w:rPr>
        <w:t>défis</w:t>
      </w:r>
      <w:r w:rsidRPr="003F13B0">
        <w:rPr>
          <w:rFonts w:ascii="Arial Narrow" w:hAnsi="Arial Narrow" w:cs="Arial"/>
          <w:sz w:val="24"/>
          <w:szCs w:val="24"/>
        </w:rPr>
        <w:t xml:space="preserve"> du </w:t>
      </w:r>
      <w:r w:rsidR="004E44D5" w:rsidRPr="003F13B0">
        <w:rPr>
          <w:rFonts w:ascii="Arial Narrow" w:hAnsi="Arial Narrow" w:cs="Arial"/>
          <w:sz w:val="24"/>
          <w:szCs w:val="24"/>
        </w:rPr>
        <w:t>système</w:t>
      </w:r>
      <w:r w:rsidRPr="003F13B0">
        <w:rPr>
          <w:rFonts w:ascii="Arial Narrow" w:hAnsi="Arial Narrow" w:cs="Arial"/>
          <w:sz w:val="24"/>
          <w:szCs w:val="24"/>
        </w:rPr>
        <w:t xml:space="preserve"> de sant</w:t>
      </w:r>
      <w:r w:rsidR="00DF139E" w:rsidRPr="003F13B0">
        <w:rPr>
          <w:rFonts w:ascii="Arial Narrow" w:hAnsi="Arial Narrow" w:cs="Arial"/>
          <w:sz w:val="24"/>
          <w:szCs w:val="24"/>
        </w:rPr>
        <w:t>é</w:t>
      </w:r>
      <w:r w:rsidRPr="003F13B0">
        <w:rPr>
          <w:rFonts w:ascii="Arial Narrow" w:hAnsi="Arial Narrow" w:cs="Arial"/>
          <w:sz w:val="24"/>
          <w:szCs w:val="24"/>
        </w:rPr>
        <w:t xml:space="preserve"> identifies dans le </w:t>
      </w:r>
      <w:r w:rsidR="004E44D5" w:rsidRPr="003F13B0">
        <w:rPr>
          <w:rFonts w:ascii="Arial Narrow" w:hAnsi="Arial Narrow" w:cs="Arial"/>
          <w:sz w:val="24"/>
          <w:szCs w:val="24"/>
        </w:rPr>
        <w:t>présent</w:t>
      </w:r>
      <w:r w:rsidRPr="003F13B0">
        <w:rPr>
          <w:rFonts w:ascii="Arial Narrow" w:hAnsi="Arial Narrow" w:cs="Arial"/>
          <w:sz w:val="24"/>
          <w:szCs w:val="24"/>
        </w:rPr>
        <w:t xml:space="preserve"> rapport, les </w:t>
      </w:r>
      <w:r w:rsidR="004E44D5" w:rsidRPr="003F13B0">
        <w:rPr>
          <w:rFonts w:ascii="Arial Narrow" w:hAnsi="Arial Narrow" w:cs="Arial"/>
          <w:sz w:val="24"/>
          <w:szCs w:val="24"/>
        </w:rPr>
        <w:t>présentes</w:t>
      </w:r>
      <w:r w:rsidRPr="003F13B0">
        <w:rPr>
          <w:rFonts w:ascii="Arial Narrow" w:hAnsi="Arial Narrow" w:cs="Arial"/>
          <w:sz w:val="24"/>
          <w:szCs w:val="24"/>
        </w:rPr>
        <w:t xml:space="preserve"> recommandations sont </w:t>
      </w:r>
      <w:r w:rsidR="004E44D5" w:rsidRPr="003F13B0">
        <w:rPr>
          <w:rFonts w:ascii="Arial Narrow" w:hAnsi="Arial Narrow" w:cs="Arial"/>
          <w:sz w:val="24"/>
          <w:szCs w:val="24"/>
        </w:rPr>
        <w:t>formulées</w:t>
      </w:r>
      <w:r w:rsidR="00231D2B" w:rsidRPr="003F13B0">
        <w:rPr>
          <w:rFonts w:ascii="Arial Narrow" w:hAnsi="Arial Narrow" w:cs="Arial"/>
          <w:sz w:val="24"/>
          <w:szCs w:val="24"/>
        </w:rPr>
        <w:t xml:space="preserve"> </w:t>
      </w:r>
      <w:r w:rsidRPr="003F13B0">
        <w:rPr>
          <w:rFonts w:ascii="Arial Narrow" w:hAnsi="Arial Narrow" w:cs="Arial"/>
          <w:sz w:val="24"/>
          <w:szCs w:val="24"/>
        </w:rPr>
        <w:t>:</w:t>
      </w:r>
    </w:p>
    <w:p w14:paraId="46006F56" w14:textId="0FBD87A9" w:rsidR="003E1A8A" w:rsidRPr="003F13B0" w:rsidRDefault="003E1A8A" w:rsidP="00822193">
      <w:pPr>
        <w:pStyle w:val="Paragraphedeliste"/>
        <w:numPr>
          <w:ilvl w:val="0"/>
          <w:numId w:val="19"/>
        </w:numPr>
        <w:ind w:left="426"/>
        <w:jc w:val="both"/>
        <w:rPr>
          <w:rFonts w:ascii="Arial Narrow" w:hAnsi="Arial Narrow" w:cs="Arial"/>
          <w:sz w:val="24"/>
          <w:szCs w:val="24"/>
          <w:u w:val="single"/>
        </w:rPr>
      </w:pPr>
      <w:r w:rsidRPr="003F13B0">
        <w:rPr>
          <w:rFonts w:ascii="Arial Narrow" w:hAnsi="Arial Narrow" w:cs="Arial"/>
          <w:sz w:val="24"/>
          <w:szCs w:val="24"/>
          <w:u w:val="single"/>
        </w:rPr>
        <w:t>Renforcement de la coordination et du leadership national</w:t>
      </w:r>
    </w:p>
    <w:p w14:paraId="19BC091E" w14:textId="47382701" w:rsidR="003E1A8A" w:rsidRPr="003F13B0" w:rsidRDefault="003E1A8A" w:rsidP="00822193">
      <w:pPr>
        <w:pStyle w:val="Paragraphedeliste"/>
        <w:numPr>
          <w:ilvl w:val="1"/>
          <w:numId w:val="19"/>
        </w:numPr>
        <w:ind w:left="851"/>
        <w:jc w:val="both"/>
        <w:rPr>
          <w:rFonts w:ascii="Arial Narrow" w:hAnsi="Arial Narrow" w:cs="Arial"/>
          <w:sz w:val="24"/>
          <w:szCs w:val="24"/>
        </w:rPr>
      </w:pPr>
      <w:r w:rsidRPr="003F13B0">
        <w:rPr>
          <w:rFonts w:ascii="Arial Narrow" w:hAnsi="Arial Narrow" w:cs="Arial"/>
          <w:sz w:val="24"/>
          <w:szCs w:val="24"/>
        </w:rPr>
        <w:t>Mettre en place un comité de suivi post-</w:t>
      </w:r>
      <w:r w:rsidR="00B635D8">
        <w:rPr>
          <w:rFonts w:ascii="Arial Narrow" w:hAnsi="Arial Narrow" w:cs="Arial"/>
          <w:sz w:val="24"/>
          <w:szCs w:val="24"/>
        </w:rPr>
        <w:t>revue</w:t>
      </w:r>
      <w:r w:rsidRPr="003F13B0">
        <w:rPr>
          <w:rFonts w:ascii="Arial Narrow" w:hAnsi="Arial Narrow" w:cs="Arial"/>
          <w:sz w:val="24"/>
          <w:szCs w:val="24"/>
        </w:rPr>
        <w:t xml:space="preserve">, composé du </w:t>
      </w:r>
      <w:r w:rsidR="00B60F6B" w:rsidRPr="003F13B0">
        <w:rPr>
          <w:rFonts w:ascii="Arial Narrow" w:hAnsi="Arial Narrow" w:cs="Arial"/>
          <w:sz w:val="24"/>
          <w:szCs w:val="24"/>
        </w:rPr>
        <w:t>Ministère</w:t>
      </w:r>
      <w:r w:rsidRPr="003F13B0">
        <w:rPr>
          <w:rFonts w:ascii="Arial Narrow" w:hAnsi="Arial Narrow" w:cs="Arial"/>
          <w:sz w:val="24"/>
          <w:szCs w:val="24"/>
        </w:rPr>
        <w:t>, des PTF, et des acteurs du secteur privé pour assurer une meilleure coordination des interventions de santé.</w:t>
      </w:r>
    </w:p>
    <w:p w14:paraId="1D69FB15" w14:textId="77777777" w:rsidR="003E1A8A" w:rsidRPr="003F13B0" w:rsidRDefault="003E1A8A" w:rsidP="00822193">
      <w:pPr>
        <w:pStyle w:val="Paragraphedeliste"/>
        <w:numPr>
          <w:ilvl w:val="1"/>
          <w:numId w:val="19"/>
        </w:numPr>
        <w:ind w:left="851"/>
        <w:jc w:val="both"/>
        <w:rPr>
          <w:rFonts w:ascii="Arial Narrow" w:hAnsi="Arial Narrow" w:cs="Arial"/>
          <w:sz w:val="24"/>
          <w:szCs w:val="24"/>
        </w:rPr>
      </w:pPr>
      <w:r w:rsidRPr="003F13B0">
        <w:rPr>
          <w:rFonts w:ascii="Arial Narrow" w:hAnsi="Arial Narrow" w:cs="Arial"/>
          <w:sz w:val="24"/>
          <w:szCs w:val="24"/>
        </w:rPr>
        <w:t>Encourager un rôle plus actif de l'État dans la coordination des financements et des projets de santé, en renforçant les capacités institutionnelles à tous les niveaux pour piloter la mise en œuvre des réformes.</w:t>
      </w:r>
    </w:p>
    <w:p w14:paraId="3B733688" w14:textId="6C94A424" w:rsidR="003E1A8A" w:rsidRPr="003F13B0" w:rsidRDefault="003E1A8A" w:rsidP="00822193">
      <w:pPr>
        <w:pStyle w:val="Paragraphedeliste"/>
        <w:numPr>
          <w:ilvl w:val="0"/>
          <w:numId w:val="19"/>
        </w:numPr>
        <w:ind w:left="426"/>
        <w:jc w:val="both"/>
        <w:rPr>
          <w:rFonts w:ascii="Arial Narrow" w:hAnsi="Arial Narrow" w:cs="Arial"/>
          <w:sz w:val="24"/>
          <w:szCs w:val="24"/>
          <w:u w:val="single"/>
        </w:rPr>
      </w:pPr>
      <w:r w:rsidRPr="003F13B0">
        <w:rPr>
          <w:rFonts w:ascii="Arial Narrow" w:hAnsi="Arial Narrow" w:cs="Arial"/>
          <w:sz w:val="24"/>
          <w:szCs w:val="24"/>
          <w:u w:val="single"/>
        </w:rPr>
        <w:t>Priorisation des actions et ajustements stratégiques</w:t>
      </w:r>
    </w:p>
    <w:p w14:paraId="4DFFD127" w14:textId="503D1E2A" w:rsidR="003E1A8A" w:rsidRPr="00440DE1" w:rsidRDefault="003E1A8A" w:rsidP="00822193">
      <w:pPr>
        <w:pStyle w:val="Paragraphedeliste"/>
        <w:numPr>
          <w:ilvl w:val="1"/>
          <w:numId w:val="19"/>
        </w:numPr>
        <w:ind w:left="851"/>
        <w:jc w:val="both"/>
        <w:rPr>
          <w:rFonts w:ascii="Arial Narrow" w:hAnsi="Arial Narrow" w:cs="Arial"/>
          <w:sz w:val="24"/>
          <w:szCs w:val="24"/>
        </w:rPr>
      </w:pPr>
      <w:r w:rsidRPr="00440DE1">
        <w:rPr>
          <w:rFonts w:ascii="Arial Narrow" w:hAnsi="Arial Narrow" w:cs="Arial"/>
          <w:sz w:val="24"/>
          <w:szCs w:val="24"/>
        </w:rPr>
        <w:t xml:space="preserve">Revoir les priorités du PNDS à la lumière des résultats de la </w:t>
      </w:r>
      <w:r w:rsidR="00B635D8">
        <w:rPr>
          <w:rFonts w:ascii="Arial Narrow" w:hAnsi="Arial Narrow" w:cs="Arial"/>
          <w:sz w:val="24"/>
          <w:szCs w:val="24"/>
        </w:rPr>
        <w:t>revue</w:t>
      </w:r>
      <w:r w:rsidRPr="00440DE1">
        <w:rPr>
          <w:rFonts w:ascii="Arial Narrow" w:hAnsi="Arial Narrow" w:cs="Arial"/>
          <w:sz w:val="24"/>
          <w:szCs w:val="24"/>
        </w:rPr>
        <w:t xml:space="preserve"> pour mieux concentrer les efforts sur les domaines ayant montré des lacunes</w:t>
      </w:r>
      <w:r w:rsidR="00403A68" w:rsidRPr="00440DE1">
        <w:rPr>
          <w:rFonts w:ascii="Arial Narrow" w:hAnsi="Arial Narrow" w:cs="Arial"/>
          <w:sz w:val="24"/>
          <w:szCs w:val="24"/>
        </w:rPr>
        <w:t> ;</w:t>
      </w:r>
    </w:p>
    <w:p w14:paraId="7DCE0830" w14:textId="4D173EB6" w:rsidR="00D77669" w:rsidRPr="003F13B0" w:rsidRDefault="003E1A8A" w:rsidP="00822193">
      <w:pPr>
        <w:pStyle w:val="Paragraphedeliste"/>
        <w:numPr>
          <w:ilvl w:val="1"/>
          <w:numId w:val="19"/>
        </w:numPr>
        <w:ind w:left="851"/>
        <w:jc w:val="both"/>
        <w:rPr>
          <w:rFonts w:ascii="Arial Narrow" w:hAnsi="Arial Narrow" w:cs="Arial"/>
          <w:sz w:val="24"/>
          <w:szCs w:val="24"/>
        </w:rPr>
      </w:pPr>
      <w:r w:rsidRPr="003F13B0">
        <w:rPr>
          <w:rFonts w:ascii="Arial Narrow" w:hAnsi="Arial Narrow" w:cs="Arial"/>
          <w:sz w:val="24"/>
          <w:szCs w:val="24"/>
        </w:rPr>
        <w:t>Élaborer un plan d'action révisé qui fixe des objectifs clairs</w:t>
      </w:r>
      <w:r w:rsidR="00F572C3" w:rsidRPr="003F13B0">
        <w:rPr>
          <w:rFonts w:ascii="Arial Narrow" w:hAnsi="Arial Narrow" w:cs="Arial"/>
          <w:sz w:val="24"/>
          <w:szCs w:val="24"/>
        </w:rPr>
        <w:t xml:space="preserve"> pour</w:t>
      </w:r>
      <w:r w:rsidRPr="003F13B0">
        <w:rPr>
          <w:rFonts w:ascii="Arial Narrow" w:hAnsi="Arial Narrow" w:cs="Arial"/>
          <w:sz w:val="24"/>
          <w:szCs w:val="24"/>
        </w:rPr>
        <w:t xml:space="preserve"> </w:t>
      </w:r>
      <w:r w:rsidR="00194DEA" w:rsidRPr="003F13B0">
        <w:rPr>
          <w:rFonts w:ascii="Arial Narrow" w:hAnsi="Arial Narrow" w:cs="Arial"/>
          <w:sz w:val="24"/>
          <w:szCs w:val="24"/>
        </w:rPr>
        <w:t xml:space="preserve">le reste de la mise en œuvre </w:t>
      </w:r>
      <w:r w:rsidRPr="003F13B0">
        <w:rPr>
          <w:rFonts w:ascii="Arial Narrow" w:hAnsi="Arial Narrow" w:cs="Arial"/>
          <w:sz w:val="24"/>
          <w:szCs w:val="24"/>
        </w:rPr>
        <w:t>du PNDS, avec des indicateurs mesurables et des échéances spécifiques pour suivre les progrès.</w:t>
      </w:r>
    </w:p>
    <w:p w14:paraId="4265F626" w14:textId="3D082DB3" w:rsidR="003E1A8A" w:rsidRPr="003F13B0" w:rsidRDefault="003E1A8A" w:rsidP="00822193">
      <w:pPr>
        <w:pStyle w:val="Paragraphedeliste"/>
        <w:numPr>
          <w:ilvl w:val="0"/>
          <w:numId w:val="19"/>
        </w:numPr>
        <w:ind w:left="426"/>
        <w:jc w:val="both"/>
        <w:rPr>
          <w:rFonts w:ascii="Arial Narrow" w:hAnsi="Arial Narrow" w:cs="Arial"/>
          <w:sz w:val="24"/>
          <w:szCs w:val="24"/>
          <w:u w:val="single"/>
        </w:rPr>
      </w:pPr>
      <w:r w:rsidRPr="003F13B0">
        <w:rPr>
          <w:rFonts w:ascii="Arial Narrow" w:hAnsi="Arial Narrow" w:cs="Arial"/>
          <w:sz w:val="24"/>
          <w:szCs w:val="24"/>
          <w:u w:val="single"/>
        </w:rPr>
        <w:t>Mobilisation accrue des ressources domestiques</w:t>
      </w:r>
    </w:p>
    <w:p w14:paraId="5CA0DBEE" w14:textId="5D4F96BD" w:rsidR="003E1A8A" w:rsidRPr="003F13B0" w:rsidRDefault="003E1A8A" w:rsidP="00822193">
      <w:pPr>
        <w:pStyle w:val="Paragraphedeliste"/>
        <w:numPr>
          <w:ilvl w:val="1"/>
          <w:numId w:val="19"/>
        </w:numPr>
        <w:ind w:left="851"/>
        <w:jc w:val="both"/>
        <w:rPr>
          <w:rFonts w:ascii="Arial Narrow" w:hAnsi="Arial Narrow" w:cs="Arial"/>
          <w:sz w:val="24"/>
          <w:szCs w:val="24"/>
        </w:rPr>
      </w:pPr>
      <w:r w:rsidRPr="003F13B0">
        <w:rPr>
          <w:rFonts w:ascii="Arial Narrow" w:hAnsi="Arial Narrow" w:cs="Arial"/>
          <w:sz w:val="24"/>
          <w:szCs w:val="24"/>
        </w:rPr>
        <w:t>Recommander au gouvernement d’augmenter progressivement le budget de la santé pour atteindre l'objectif de 15% du budget national, conformément aux engagements internationaux.</w:t>
      </w:r>
    </w:p>
    <w:p w14:paraId="22222848" w14:textId="0D3C5B26" w:rsidR="003E1A8A" w:rsidRPr="003F13B0" w:rsidRDefault="003E1A8A" w:rsidP="00822193">
      <w:pPr>
        <w:pStyle w:val="Paragraphedeliste"/>
        <w:numPr>
          <w:ilvl w:val="1"/>
          <w:numId w:val="19"/>
        </w:numPr>
        <w:ind w:left="851"/>
        <w:jc w:val="both"/>
        <w:rPr>
          <w:rFonts w:ascii="Arial Narrow" w:hAnsi="Arial Narrow" w:cs="Arial"/>
          <w:sz w:val="24"/>
          <w:szCs w:val="24"/>
        </w:rPr>
      </w:pPr>
      <w:r w:rsidRPr="003F13B0">
        <w:rPr>
          <w:rFonts w:ascii="Arial Narrow" w:hAnsi="Arial Narrow" w:cs="Arial"/>
          <w:sz w:val="24"/>
          <w:szCs w:val="24"/>
        </w:rPr>
        <w:t>Encourager la mobilisation de ressources additionnelles à travers la taxation innovante (comme les taxes sur le tabac ou l’alcool), ainsi que des partenariats public-privé pour financer les infrastructures et les services de santé.</w:t>
      </w:r>
    </w:p>
    <w:p w14:paraId="13701E70" w14:textId="53EA58AC" w:rsidR="003E1A8A" w:rsidRPr="003F13B0" w:rsidRDefault="003E1A8A" w:rsidP="00822193">
      <w:pPr>
        <w:pStyle w:val="Paragraphedeliste"/>
        <w:numPr>
          <w:ilvl w:val="0"/>
          <w:numId w:val="19"/>
        </w:numPr>
        <w:ind w:left="426"/>
        <w:jc w:val="both"/>
        <w:rPr>
          <w:rFonts w:ascii="Arial Narrow" w:hAnsi="Arial Narrow" w:cs="Arial"/>
          <w:sz w:val="24"/>
          <w:szCs w:val="24"/>
          <w:u w:val="single"/>
        </w:rPr>
      </w:pPr>
      <w:r w:rsidRPr="003F13B0">
        <w:rPr>
          <w:rFonts w:ascii="Arial Narrow" w:hAnsi="Arial Narrow" w:cs="Arial"/>
          <w:sz w:val="24"/>
          <w:szCs w:val="24"/>
          <w:u w:val="single"/>
        </w:rPr>
        <w:t>Renforcement des capacités et de la gestion des financements</w:t>
      </w:r>
    </w:p>
    <w:p w14:paraId="4F4C5EB7" w14:textId="0FCDB1A6" w:rsidR="003E1A8A" w:rsidRPr="003F13B0" w:rsidRDefault="003E1A8A" w:rsidP="00822193">
      <w:pPr>
        <w:pStyle w:val="Paragraphedeliste"/>
        <w:numPr>
          <w:ilvl w:val="1"/>
          <w:numId w:val="19"/>
        </w:numPr>
        <w:ind w:left="851"/>
        <w:jc w:val="both"/>
        <w:rPr>
          <w:rFonts w:ascii="Arial Narrow" w:hAnsi="Arial Narrow" w:cs="Arial"/>
          <w:sz w:val="24"/>
          <w:szCs w:val="24"/>
        </w:rPr>
      </w:pPr>
      <w:r w:rsidRPr="003F13B0">
        <w:rPr>
          <w:rFonts w:ascii="Arial Narrow" w:hAnsi="Arial Narrow" w:cs="Arial"/>
          <w:sz w:val="24"/>
          <w:szCs w:val="24"/>
        </w:rPr>
        <w:t xml:space="preserve">Renforcer les capacités des </w:t>
      </w:r>
      <w:r w:rsidR="00194DEA" w:rsidRPr="003F13B0">
        <w:rPr>
          <w:rFonts w:ascii="Arial Narrow" w:hAnsi="Arial Narrow" w:cs="Arial"/>
          <w:sz w:val="24"/>
          <w:szCs w:val="24"/>
        </w:rPr>
        <w:t xml:space="preserve">structures </w:t>
      </w:r>
      <w:r w:rsidRPr="003F13B0">
        <w:rPr>
          <w:rFonts w:ascii="Arial Narrow" w:hAnsi="Arial Narrow" w:cs="Arial"/>
          <w:sz w:val="24"/>
          <w:szCs w:val="24"/>
        </w:rPr>
        <w:t>dans la gestion des financements, en particulier concernant les procédures de décaissement, pour éviter les retards et améliorer l'absorption des fonds.</w:t>
      </w:r>
    </w:p>
    <w:p w14:paraId="3FDA7CE1" w14:textId="6124E580" w:rsidR="003E1A8A" w:rsidRPr="003F13B0" w:rsidRDefault="003E1A8A" w:rsidP="00822193">
      <w:pPr>
        <w:pStyle w:val="Paragraphedeliste"/>
        <w:numPr>
          <w:ilvl w:val="1"/>
          <w:numId w:val="19"/>
        </w:numPr>
        <w:ind w:left="851"/>
        <w:jc w:val="both"/>
        <w:rPr>
          <w:rFonts w:ascii="Arial Narrow" w:hAnsi="Arial Narrow" w:cs="Arial"/>
          <w:sz w:val="24"/>
          <w:szCs w:val="24"/>
        </w:rPr>
      </w:pPr>
      <w:r w:rsidRPr="003F13B0">
        <w:rPr>
          <w:rFonts w:ascii="Arial Narrow" w:hAnsi="Arial Narrow" w:cs="Arial"/>
          <w:sz w:val="24"/>
          <w:szCs w:val="24"/>
        </w:rPr>
        <w:lastRenderedPageBreak/>
        <w:t xml:space="preserve">Introduire des outils </w:t>
      </w:r>
      <w:r w:rsidR="00333A09" w:rsidRPr="003F13B0">
        <w:rPr>
          <w:rFonts w:ascii="Arial Narrow" w:hAnsi="Arial Narrow" w:cs="Arial"/>
          <w:sz w:val="24"/>
          <w:szCs w:val="24"/>
        </w:rPr>
        <w:t xml:space="preserve">digitaux </w:t>
      </w:r>
      <w:r w:rsidRPr="003F13B0">
        <w:rPr>
          <w:rFonts w:ascii="Arial Narrow" w:hAnsi="Arial Narrow" w:cs="Arial"/>
          <w:sz w:val="24"/>
          <w:szCs w:val="24"/>
        </w:rPr>
        <w:t>et des systèmes de gestion de projet intégrés pour suivre en temps réel l'exécution des financements et prévenir les blocages.</w:t>
      </w:r>
    </w:p>
    <w:p w14:paraId="3BF59AE1" w14:textId="7C8CDED0" w:rsidR="003E1A8A" w:rsidRPr="0026133A" w:rsidRDefault="003E1A8A" w:rsidP="00822193">
      <w:pPr>
        <w:pStyle w:val="Paragraphedeliste"/>
        <w:numPr>
          <w:ilvl w:val="0"/>
          <w:numId w:val="19"/>
        </w:numPr>
        <w:ind w:left="426"/>
        <w:jc w:val="both"/>
        <w:rPr>
          <w:rFonts w:ascii="Arial Narrow" w:hAnsi="Arial Narrow" w:cs="Arial"/>
          <w:sz w:val="24"/>
          <w:szCs w:val="24"/>
          <w:u w:val="single"/>
        </w:rPr>
      </w:pPr>
      <w:r w:rsidRPr="0026133A">
        <w:rPr>
          <w:rFonts w:ascii="Arial Narrow" w:hAnsi="Arial Narrow" w:cs="Arial"/>
          <w:sz w:val="24"/>
          <w:szCs w:val="24"/>
          <w:u w:val="single"/>
        </w:rPr>
        <w:t>Suivi-évaluation et transparence</w:t>
      </w:r>
    </w:p>
    <w:p w14:paraId="58438D18" w14:textId="4727843C" w:rsidR="003E1A8A" w:rsidRPr="003F13B0" w:rsidRDefault="003E1A8A" w:rsidP="00822193">
      <w:pPr>
        <w:pStyle w:val="Paragraphedeliste"/>
        <w:numPr>
          <w:ilvl w:val="1"/>
          <w:numId w:val="19"/>
        </w:numPr>
        <w:ind w:left="851"/>
        <w:jc w:val="both"/>
        <w:rPr>
          <w:rFonts w:ascii="Arial Narrow" w:hAnsi="Arial Narrow" w:cs="Arial"/>
          <w:sz w:val="24"/>
          <w:szCs w:val="24"/>
        </w:rPr>
      </w:pPr>
      <w:r w:rsidRPr="003F13B0">
        <w:rPr>
          <w:rFonts w:ascii="Arial Narrow" w:hAnsi="Arial Narrow" w:cs="Arial"/>
          <w:sz w:val="24"/>
          <w:szCs w:val="24"/>
        </w:rPr>
        <w:t>Développer un système de suivi-évaluation renforcé pour mesurer les progrès réalisés sur les indicateurs-clés du PNDS, avec des rapports périodiques pour identifier rapidement les défis et ajuster les interventions.</w:t>
      </w:r>
    </w:p>
    <w:p w14:paraId="3288A604" w14:textId="5F85422E" w:rsidR="003E1A8A" w:rsidRPr="003F13B0" w:rsidRDefault="003E1A8A" w:rsidP="00822193">
      <w:pPr>
        <w:pStyle w:val="Paragraphedeliste"/>
        <w:numPr>
          <w:ilvl w:val="1"/>
          <w:numId w:val="19"/>
        </w:numPr>
        <w:ind w:left="851"/>
        <w:jc w:val="both"/>
        <w:rPr>
          <w:rFonts w:ascii="Arial Narrow" w:hAnsi="Arial Narrow" w:cs="Arial"/>
          <w:sz w:val="24"/>
          <w:szCs w:val="24"/>
        </w:rPr>
      </w:pPr>
      <w:r w:rsidRPr="003F13B0">
        <w:rPr>
          <w:rFonts w:ascii="Arial Narrow" w:hAnsi="Arial Narrow" w:cs="Arial"/>
          <w:sz w:val="24"/>
          <w:szCs w:val="24"/>
        </w:rPr>
        <w:t xml:space="preserve">Instaurer des mécanismes de transparence pour permettre une meilleure traçabilité des financements et une redevabilité des </w:t>
      </w:r>
      <w:r w:rsidR="00343F4E" w:rsidRPr="003F13B0">
        <w:rPr>
          <w:rFonts w:ascii="Arial Narrow" w:hAnsi="Arial Narrow" w:cs="Arial"/>
          <w:sz w:val="24"/>
          <w:szCs w:val="24"/>
        </w:rPr>
        <w:t>acteurs</w:t>
      </w:r>
      <w:r w:rsidRPr="003F13B0">
        <w:rPr>
          <w:rFonts w:ascii="Arial Narrow" w:hAnsi="Arial Narrow" w:cs="Arial"/>
          <w:sz w:val="24"/>
          <w:szCs w:val="24"/>
        </w:rPr>
        <w:t>, impliquant la société civile et les communautés locales.</w:t>
      </w:r>
    </w:p>
    <w:p w14:paraId="2564B358" w14:textId="53BB1210" w:rsidR="00DB4108" w:rsidRPr="003F13B0" w:rsidRDefault="003E1A8A" w:rsidP="00DB4108">
      <w:pPr>
        <w:jc w:val="both"/>
        <w:rPr>
          <w:rFonts w:ascii="Arial Narrow" w:hAnsi="Arial Narrow" w:cs="Arial"/>
          <w:sz w:val="24"/>
          <w:szCs w:val="24"/>
        </w:rPr>
      </w:pPr>
      <w:r w:rsidRPr="003F13B0">
        <w:rPr>
          <w:rFonts w:ascii="Arial Narrow" w:hAnsi="Arial Narrow" w:cs="Arial"/>
          <w:sz w:val="24"/>
          <w:szCs w:val="24"/>
        </w:rPr>
        <w:t>En appliquant ces recommandations, les travaux post-</w:t>
      </w:r>
      <w:r w:rsidR="00B635D8">
        <w:rPr>
          <w:rFonts w:ascii="Arial Narrow" w:hAnsi="Arial Narrow" w:cs="Arial"/>
          <w:sz w:val="24"/>
          <w:szCs w:val="24"/>
        </w:rPr>
        <w:t>revue</w:t>
      </w:r>
      <w:r w:rsidRPr="003F13B0">
        <w:rPr>
          <w:rFonts w:ascii="Arial Narrow" w:hAnsi="Arial Narrow" w:cs="Arial"/>
          <w:sz w:val="24"/>
          <w:szCs w:val="24"/>
        </w:rPr>
        <w:t xml:space="preserve"> permettront de renforcer les bases déjà posées, d'améliorer l'efficacité des interventions et de maximiser les résultats attendus du PNDS d'ici 2025.</w:t>
      </w:r>
    </w:p>
    <w:p w14:paraId="06047F71" w14:textId="77777777" w:rsidR="00AC3D82" w:rsidRDefault="00AC3D82" w:rsidP="00DB4108">
      <w:pPr>
        <w:jc w:val="both"/>
        <w:rPr>
          <w:rFonts w:ascii="Arial Narrow" w:hAnsi="Arial Narrow" w:cs="Arial"/>
          <w:sz w:val="24"/>
          <w:szCs w:val="24"/>
        </w:rPr>
      </w:pPr>
    </w:p>
    <w:p w14:paraId="25477438" w14:textId="77777777" w:rsidR="00AC3D82" w:rsidRDefault="00AC3D82" w:rsidP="00DB4108">
      <w:pPr>
        <w:jc w:val="both"/>
        <w:rPr>
          <w:rFonts w:ascii="Arial Narrow" w:hAnsi="Arial Narrow" w:cs="Arial"/>
          <w:sz w:val="24"/>
          <w:szCs w:val="24"/>
        </w:rPr>
      </w:pPr>
    </w:p>
    <w:p w14:paraId="28E60BF5" w14:textId="77777777" w:rsidR="00AC3D82" w:rsidRDefault="00AC3D82" w:rsidP="00DB4108">
      <w:pPr>
        <w:jc w:val="both"/>
        <w:rPr>
          <w:rFonts w:ascii="Arial Narrow" w:hAnsi="Arial Narrow" w:cs="Arial"/>
          <w:sz w:val="24"/>
          <w:szCs w:val="24"/>
        </w:rPr>
      </w:pPr>
    </w:p>
    <w:p w14:paraId="630DEB22" w14:textId="29CD2B2F" w:rsidR="00822193" w:rsidRDefault="00822193">
      <w:pPr>
        <w:rPr>
          <w:rFonts w:ascii="Arial Narrow" w:hAnsi="Arial Narrow" w:cs="Arial"/>
          <w:sz w:val="24"/>
          <w:szCs w:val="24"/>
        </w:rPr>
      </w:pPr>
      <w:r>
        <w:rPr>
          <w:rFonts w:ascii="Arial Narrow" w:hAnsi="Arial Narrow" w:cs="Arial"/>
          <w:sz w:val="24"/>
          <w:szCs w:val="24"/>
        </w:rPr>
        <w:br w:type="page"/>
      </w:r>
    </w:p>
    <w:p w14:paraId="37631366" w14:textId="34EBDC81" w:rsidR="00BC30AE" w:rsidRPr="0052623B" w:rsidRDefault="00BC30AE" w:rsidP="009F5EF7">
      <w:pPr>
        <w:pStyle w:val="Titre1"/>
        <w:jc w:val="both"/>
        <w:rPr>
          <w:rFonts w:ascii="Arial Narrow" w:hAnsi="Arial Narrow" w:cs="Arial"/>
          <w:b/>
          <w:color w:val="auto"/>
          <w:sz w:val="24"/>
          <w:szCs w:val="24"/>
        </w:rPr>
      </w:pPr>
      <w:bookmarkStart w:id="144" w:name="_Toc190677495"/>
      <w:r w:rsidRPr="0052623B">
        <w:rPr>
          <w:rFonts w:ascii="Arial Narrow" w:hAnsi="Arial Narrow" w:cs="Arial"/>
          <w:b/>
          <w:color w:val="auto"/>
          <w:sz w:val="24"/>
          <w:szCs w:val="24"/>
        </w:rPr>
        <w:lastRenderedPageBreak/>
        <w:t>Annexes</w:t>
      </w:r>
      <w:bookmarkEnd w:id="144"/>
    </w:p>
    <w:p w14:paraId="201866EE" w14:textId="1943F108" w:rsidR="00BC30AE" w:rsidRPr="0052623B" w:rsidRDefault="009F5EF7" w:rsidP="00277CBB">
      <w:pPr>
        <w:pStyle w:val="Titre2"/>
        <w:jc w:val="both"/>
        <w:rPr>
          <w:rFonts w:ascii="Arial Narrow" w:hAnsi="Arial Narrow" w:cstheme="minorHAnsi"/>
          <w:sz w:val="24"/>
          <w:szCs w:val="24"/>
        </w:rPr>
      </w:pPr>
      <w:bookmarkStart w:id="145" w:name="_Toc190677496"/>
      <w:r w:rsidRPr="0052623B">
        <w:rPr>
          <w:rFonts w:ascii="Arial Narrow" w:hAnsi="Arial Narrow"/>
          <w:sz w:val="24"/>
          <w:szCs w:val="24"/>
        </w:rPr>
        <w:t xml:space="preserve">Annexe 1 : </w:t>
      </w:r>
      <w:bookmarkStart w:id="146" w:name="_Toc178699530"/>
      <w:bookmarkStart w:id="147" w:name="_Toc178699593"/>
      <w:r w:rsidR="00BC30AE" w:rsidRPr="0052623B">
        <w:rPr>
          <w:rFonts w:ascii="Arial Narrow" w:hAnsi="Arial Narrow" w:cstheme="minorHAnsi"/>
          <w:sz w:val="24"/>
          <w:szCs w:val="24"/>
        </w:rPr>
        <w:t xml:space="preserve">Cas-pratiques : comment résoudre les problèmes de </w:t>
      </w:r>
      <w:r w:rsidR="002F66A1">
        <w:rPr>
          <w:rFonts w:ascii="Arial Narrow" w:hAnsi="Arial Narrow" w:cstheme="minorHAnsi"/>
          <w:sz w:val="24"/>
          <w:szCs w:val="24"/>
        </w:rPr>
        <w:t>s</w:t>
      </w:r>
      <w:r w:rsidR="00BC30AE" w:rsidRPr="0052623B">
        <w:rPr>
          <w:rFonts w:ascii="Arial Narrow" w:hAnsi="Arial Narrow" w:cstheme="minorHAnsi"/>
          <w:sz w:val="24"/>
          <w:szCs w:val="24"/>
        </w:rPr>
        <w:t>anté persistant ?</w:t>
      </w:r>
      <w:bookmarkEnd w:id="145"/>
      <w:bookmarkEnd w:id="146"/>
      <w:bookmarkEnd w:id="147"/>
    </w:p>
    <w:p w14:paraId="63317BBF" w14:textId="4389B918" w:rsidR="00BC30AE" w:rsidRPr="0052623B" w:rsidRDefault="00BC30AE" w:rsidP="00BC30AE">
      <w:pPr>
        <w:jc w:val="both"/>
        <w:rPr>
          <w:rFonts w:ascii="Arial Narrow" w:hAnsi="Arial Narrow" w:cstheme="minorHAnsi"/>
          <w:sz w:val="24"/>
          <w:szCs w:val="24"/>
        </w:rPr>
      </w:pPr>
      <w:r w:rsidRPr="0052623B">
        <w:rPr>
          <w:rFonts w:ascii="Arial Narrow" w:hAnsi="Arial Narrow" w:cstheme="minorHAnsi"/>
          <w:sz w:val="24"/>
          <w:szCs w:val="24"/>
        </w:rPr>
        <w:t xml:space="preserve">Cette partie du rapport anticipe sur l’élaboration du prochain PNDS, en identifiant les causes profondes des problèmes de </w:t>
      </w:r>
      <w:r w:rsidR="002F66A1">
        <w:rPr>
          <w:rFonts w:ascii="Arial Narrow" w:hAnsi="Arial Narrow" w:cstheme="minorHAnsi"/>
          <w:sz w:val="24"/>
          <w:szCs w:val="24"/>
        </w:rPr>
        <w:t>s</w:t>
      </w:r>
      <w:r w:rsidRPr="0052623B">
        <w:rPr>
          <w:rFonts w:ascii="Arial Narrow" w:hAnsi="Arial Narrow" w:cstheme="minorHAnsi"/>
          <w:sz w:val="24"/>
          <w:szCs w:val="24"/>
        </w:rPr>
        <w:t>anté persistant en Côte d’Ivoire. Pour ces causes, le prochain PNDS devrait apporter des réponses en vue de leur résolution.</w:t>
      </w:r>
    </w:p>
    <w:p w14:paraId="7C652C91" w14:textId="4AB0E3BA" w:rsidR="00BC30AE" w:rsidRPr="00241675" w:rsidRDefault="00BC30AE" w:rsidP="00BC30AE">
      <w:pPr>
        <w:jc w:val="both"/>
        <w:rPr>
          <w:rFonts w:ascii="Arial Narrow" w:hAnsi="Arial Narrow" w:cstheme="minorHAnsi"/>
          <w:sz w:val="24"/>
          <w:szCs w:val="24"/>
        </w:rPr>
      </w:pPr>
      <w:r w:rsidRPr="00241675">
        <w:rPr>
          <w:rFonts w:ascii="Arial Narrow" w:hAnsi="Arial Narrow" w:cstheme="minorHAnsi"/>
          <w:sz w:val="24"/>
          <w:szCs w:val="24"/>
        </w:rPr>
        <w:t xml:space="preserve">Malgré le PNDS </w:t>
      </w:r>
      <w:r w:rsidR="00EB1CA0" w:rsidRPr="00241675">
        <w:rPr>
          <w:rFonts w:ascii="Arial Narrow" w:hAnsi="Arial Narrow" w:cstheme="minorHAnsi"/>
          <w:sz w:val="24"/>
          <w:szCs w:val="24"/>
        </w:rPr>
        <w:t>2021-2025</w:t>
      </w:r>
      <w:r w:rsidRPr="00241675">
        <w:rPr>
          <w:rFonts w:ascii="Arial Narrow" w:hAnsi="Arial Narrow" w:cstheme="minorHAnsi"/>
          <w:sz w:val="24"/>
          <w:szCs w:val="24"/>
        </w:rPr>
        <w:t xml:space="preserve">, plusieurs problèmes de </w:t>
      </w:r>
      <w:r w:rsidR="002F66A1">
        <w:rPr>
          <w:rFonts w:ascii="Arial Narrow" w:hAnsi="Arial Narrow" w:cstheme="minorHAnsi"/>
          <w:sz w:val="24"/>
          <w:szCs w:val="24"/>
        </w:rPr>
        <w:t>s</w:t>
      </w:r>
      <w:r w:rsidRPr="00241675">
        <w:rPr>
          <w:rFonts w:ascii="Arial Narrow" w:hAnsi="Arial Narrow" w:cstheme="minorHAnsi"/>
          <w:sz w:val="24"/>
          <w:szCs w:val="24"/>
        </w:rPr>
        <w:t xml:space="preserve">anté persistent. Dans le cadre de cette revue, ces problèmes ont été identifiés pour chacune des thématiques clés du PNDS, à savoir la Santé de la mère et de l’enfant, l’accessibilité (géographique et financière), les maladies tropicales négligées et les maladies transmissibles et les maladies non-transmissibles, au titre des axes 2 et 3. </w:t>
      </w:r>
    </w:p>
    <w:p w14:paraId="506BC33E" w14:textId="7F1D3055" w:rsidR="00BC30AE" w:rsidRPr="0052623B" w:rsidRDefault="00BC30AE" w:rsidP="00BC30AE">
      <w:pPr>
        <w:jc w:val="both"/>
        <w:rPr>
          <w:rFonts w:ascii="Arial Narrow" w:hAnsi="Arial Narrow"/>
          <w:sz w:val="24"/>
          <w:szCs w:val="24"/>
        </w:rPr>
      </w:pPr>
      <w:r w:rsidRPr="0052623B">
        <w:rPr>
          <w:rFonts w:ascii="Arial Narrow" w:hAnsi="Arial Narrow" w:cstheme="minorHAnsi"/>
          <w:sz w:val="24"/>
          <w:szCs w:val="24"/>
        </w:rPr>
        <w:t>Pour chacun des problèmes identifiés, une analyse des causes profondes a été réalisée, avec pour résultat la hiérarchisation de ces causes selon leur degré d’impact et la faisabilité de leur résolution. Cette analyse a été faite avec les acteurs</w:t>
      </w:r>
      <w:r w:rsidR="00F86F0A">
        <w:rPr>
          <w:rFonts w:ascii="Arial Narrow" w:hAnsi="Arial Narrow" w:cstheme="minorHAnsi"/>
          <w:sz w:val="24"/>
          <w:szCs w:val="24"/>
        </w:rPr>
        <w:t xml:space="preserve"> du niveau déconcentré</w:t>
      </w:r>
      <w:r w:rsidRPr="0052623B">
        <w:rPr>
          <w:rFonts w:ascii="Arial Narrow" w:hAnsi="Arial Narrow" w:cstheme="minorHAnsi"/>
          <w:sz w:val="24"/>
          <w:szCs w:val="24"/>
        </w:rPr>
        <w:t xml:space="preserve">. </w:t>
      </w:r>
    </w:p>
    <w:p w14:paraId="6B1C0A25" w14:textId="51DF705D" w:rsidR="00BC30AE" w:rsidRPr="004933B9" w:rsidRDefault="00BC30AE" w:rsidP="00CF59E5">
      <w:pPr>
        <w:shd w:val="clear" w:color="auto" w:fill="BDD6EE" w:themeFill="accent5" w:themeFillTint="66"/>
        <w:rPr>
          <w:rFonts w:ascii="Arial Narrow" w:hAnsi="Arial Narrow" w:cstheme="majorBidi"/>
          <w:b/>
          <w:sz w:val="24"/>
          <w:szCs w:val="24"/>
        </w:rPr>
      </w:pPr>
      <w:bookmarkStart w:id="148" w:name="_Toc178699594"/>
      <w:r w:rsidRPr="004933B9">
        <w:rPr>
          <w:rFonts w:ascii="Arial Narrow" w:hAnsi="Arial Narrow" w:cstheme="majorBidi"/>
          <w:b/>
          <w:sz w:val="24"/>
          <w:szCs w:val="24"/>
        </w:rPr>
        <w:t xml:space="preserve">Problèmes de </w:t>
      </w:r>
      <w:r w:rsidR="002F66A1">
        <w:rPr>
          <w:rFonts w:ascii="Arial Narrow" w:hAnsi="Arial Narrow" w:cstheme="majorBidi"/>
          <w:b/>
          <w:sz w:val="24"/>
          <w:szCs w:val="24"/>
        </w:rPr>
        <w:t>s</w:t>
      </w:r>
      <w:r w:rsidRPr="004933B9">
        <w:rPr>
          <w:rFonts w:ascii="Arial Narrow" w:hAnsi="Arial Narrow" w:cstheme="majorBidi"/>
          <w:b/>
          <w:sz w:val="24"/>
          <w:szCs w:val="24"/>
        </w:rPr>
        <w:t xml:space="preserve">anté relatifs à la </w:t>
      </w:r>
      <w:r w:rsidR="002F66A1">
        <w:rPr>
          <w:rFonts w:ascii="Arial Narrow" w:hAnsi="Arial Narrow" w:cstheme="majorBidi"/>
          <w:b/>
          <w:sz w:val="24"/>
          <w:szCs w:val="24"/>
        </w:rPr>
        <w:t>s</w:t>
      </w:r>
      <w:r w:rsidRPr="004933B9">
        <w:rPr>
          <w:rFonts w:ascii="Arial Narrow" w:hAnsi="Arial Narrow" w:cstheme="majorBidi"/>
          <w:b/>
          <w:sz w:val="24"/>
          <w:szCs w:val="24"/>
        </w:rPr>
        <w:t>anté de la mère et de l’enfant</w:t>
      </w:r>
      <w:bookmarkEnd w:id="148"/>
    </w:p>
    <w:p w14:paraId="2DBE2999" w14:textId="1DCE7803" w:rsidR="00BC30AE" w:rsidRPr="0052623B" w:rsidRDefault="00BC30AE" w:rsidP="00C354B0">
      <w:pPr>
        <w:jc w:val="both"/>
        <w:rPr>
          <w:rFonts w:ascii="Arial Narrow" w:hAnsi="Arial Narrow" w:cstheme="minorHAnsi"/>
          <w:sz w:val="24"/>
          <w:szCs w:val="24"/>
        </w:rPr>
      </w:pPr>
      <w:r w:rsidRPr="0052623B">
        <w:rPr>
          <w:rFonts w:ascii="Arial Narrow" w:hAnsi="Arial Narrow" w:cstheme="minorHAnsi"/>
          <w:sz w:val="24"/>
          <w:szCs w:val="24"/>
        </w:rPr>
        <w:t xml:space="preserve">Sur la thématique de la </w:t>
      </w:r>
      <w:r w:rsidR="002F66A1">
        <w:rPr>
          <w:rFonts w:ascii="Arial Narrow" w:hAnsi="Arial Narrow" w:cstheme="minorHAnsi"/>
          <w:sz w:val="24"/>
          <w:szCs w:val="24"/>
        </w:rPr>
        <w:t>s</w:t>
      </w:r>
      <w:r w:rsidRPr="0052623B">
        <w:rPr>
          <w:rFonts w:ascii="Arial Narrow" w:hAnsi="Arial Narrow" w:cstheme="minorHAnsi"/>
          <w:sz w:val="24"/>
          <w:szCs w:val="24"/>
        </w:rPr>
        <w:t xml:space="preserve">anté de la mère et de l’enfant, les problèmes de </w:t>
      </w:r>
      <w:r w:rsidR="002F66A1">
        <w:rPr>
          <w:rFonts w:ascii="Arial Narrow" w:hAnsi="Arial Narrow" w:cstheme="minorHAnsi"/>
          <w:sz w:val="24"/>
          <w:szCs w:val="24"/>
        </w:rPr>
        <w:t>s</w:t>
      </w:r>
      <w:r w:rsidRPr="0052623B">
        <w:rPr>
          <w:rFonts w:ascii="Arial Narrow" w:hAnsi="Arial Narrow" w:cstheme="minorHAnsi"/>
          <w:sz w:val="24"/>
          <w:szCs w:val="24"/>
        </w:rPr>
        <w:t>anté ci-après ont été recensés au niveau des régions sanitaires, malgré la mise en œuvre du PNDS </w:t>
      </w:r>
      <w:r w:rsidR="00EB1CA0">
        <w:rPr>
          <w:rFonts w:ascii="Arial Narrow" w:hAnsi="Arial Narrow" w:cstheme="minorHAnsi"/>
          <w:sz w:val="24"/>
          <w:szCs w:val="24"/>
        </w:rPr>
        <w:t>2021-2025</w:t>
      </w:r>
      <w:r w:rsidRPr="0052623B">
        <w:rPr>
          <w:rFonts w:ascii="Arial Narrow" w:hAnsi="Arial Narrow" w:cstheme="minorHAnsi"/>
          <w:sz w:val="24"/>
          <w:szCs w:val="24"/>
        </w:rPr>
        <w:t xml:space="preserve"> :</w:t>
      </w:r>
    </w:p>
    <w:p w14:paraId="734EABAB" w14:textId="77777777" w:rsidR="00BC30AE" w:rsidRPr="00790ED9" w:rsidRDefault="00BC30AE" w:rsidP="00790ED9">
      <w:pPr>
        <w:pStyle w:val="Paragraphedeliste"/>
        <w:numPr>
          <w:ilvl w:val="0"/>
          <w:numId w:val="54"/>
        </w:numPr>
        <w:ind w:left="426"/>
        <w:jc w:val="both"/>
        <w:rPr>
          <w:rFonts w:ascii="Arial Narrow" w:hAnsi="Arial Narrow" w:cstheme="minorHAnsi"/>
          <w:i/>
          <w:iCs/>
          <w:sz w:val="24"/>
          <w:szCs w:val="24"/>
        </w:rPr>
      </w:pPr>
      <w:r w:rsidRPr="00790ED9">
        <w:rPr>
          <w:rFonts w:ascii="Arial Narrow" w:hAnsi="Arial Narrow" w:cstheme="minorHAnsi"/>
          <w:i/>
          <w:iCs/>
          <w:sz w:val="24"/>
          <w:szCs w:val="24"/>
        </w:rPr>
        <w:t>La faible couverture en consultation prénatale au 1er trimestre (CPN1) ;</w:t>
      </w:r>
    </w:p>
    <w:p w14:paraId="2C1CBE33" w14:textId="77777777" w:rsidR="00BC30AE" w:rsidRPr="00790ED9" w:rsidRDefault="00BC30AE" w:rsidP="00790ED9">
      <w:pPr>
        <w:pStyle w:val="Paragraphedeliste"/>
        <w:numPr>
          <w:ilvl w:val="0"/>
          <w:numId w:val="54"/>
        </w:numPr>
        <w:ind w:left="426"/>
        <w:jc w:val="both"/>
        <w:rPr>
          <w:rFonts w:ascii="Arial Narrow" w:hAnsi="Arial Narrow"/>
          <w:i/>
          <w:iCs/>
          <w:sz w:val="24"/>
          <w:szCs w:val="24"/>
        </w:rPr>
      </w:pPr>
      <w:r w:rsidRPr="00790ED9">
        <w:rPr>
          <w:rFonts w:ascii="Arial Narrow" w:hAnsi="Arial Narrow"/>
          <w:i/>
          <w:iCs/>
          <w:sz w:val="24"/>
          <w:szCs w:val="24"/>
        </w:rPr>
        <w:t>La faible couverture en Consultation Post-Natale (</w:t>
      </w:r>
      <w:proofErr w:type="spellStart"/>
      <w:r w:rsidRPr="00790ED9">
        <w:rPr>
          <w:rFonts w:ascii="Arial Narrow" w:hAnsi="Arial Narrow"/>
          <w:i/>
          <w:iCs/>
          <w:sz w:val="24"/>
          <w:szCs w:val="24"/>
        </w:rPr>
        <w:t>CPoN</w:t>
      </w:r>
      <w:proofErr w:type="spellEnd"/>
      <w:r w:rsidRPr="00790ED9">
        <w:rPr>
          <w:rFonts w:ascii="Arial Narrow" w:hAnsi="Arial Narrow"/>
          <w:i/>
          <w:iCs/>
          <w:sz w:val="24"/>
          <w:szCs w:val="24"/>
        </w:rPr>
        <w:t>) ;</w:t>
      </w:r>
    </w:p>
    <w:p w14:paraId="65B986C3" w14:textId="77777777" w:rsidR="00BC30AE" w:rsidRPr="00790ED9" w:rsidRDefault="00BC30AE" w:rsidP="00790ED9">
      <w:pPr>
        <w:pStyle w:val="Paragraphedeliste"/>
        <w:numPr>
          <w:ilvl w:val="0"/>
          <w:numId w:val="54"/>
        </w:numPr>
        <w:ind w:left="426"/>
        <w:jc w:val="both"/>
        <w:rPr>
          <w:rFonts w:ascii="Arial Narrow" w:hAnsi="Arial Narrow" w:cstheme="minorHAnsi"/>
          <w:i/>
          <w:iCs/>
          <w:sz w:val="24"/>
          <w:szCs w:val="24"/>
        </w:rPr>
      </w:pPr>
      <w:r w:rsidRPr="00790ED9">
        <w:rPr>
          <w:rFonts w:ascii="Arial Narrow" w:hAnsi="Arial Narrow" w:cstheme="minorHAnsi"/>
          <w:i/>
          <w:iCs/>
          <w:sz w:val="24"/>
          <w:szCs w:val="24"/>
        </w:rPr>
        <w:t>La faible couverture vaccinale en Penta 3, Tétanos et RR ;</w:t>
      </w:r>
    </w:p>
    <w:p w14:paraId="1973D7AF" w14:textId="77777777" w:rsidR="00BC30AE" w:rsidRPr="00790ED9" w:rsidRDefault="00BC30AE" w:rsidP="00790ED9">
      <w:pPr>
        <w:pStyle w:val="Paragraphedeliste"/>
        <w:numPr>
          <w:ilvl w:val="0"/>
          <w:numId w:val="54"/>
        </w:numPr>
        <w:ind w:left="426"/>
        <w:jc w:val="both"/>
        <w:rPr>
          <w:rFonts w:ascii="Arial Narrow" w:hAnsi="Arial Narrow" w:cstheme="minorHAnsi"/>
          <w:i/>
          <w:iCs/>
          <w:sz w:val="24"/>
          <w:szCs w:val="24"/>
        </w:rPr>
      </w:pPr>
      <w:r w:rsidRPr="00790ED9">
        <w:rPr>
          <w:rFonts w:ascii="Arial Narrow" w:hAnsi="Arial Narrow" w:cstheme="minorHAnsi"/>
          <w:i/>
          <w:iCs/>
          <w:sz w:val="24"/>
          <w:szCs w:val="24"/>
        </w:rPr>
        <w:t>L’augmentation du nombre de décès maternel et infantile dans les régions sanitaires ;</w:t>
      </w:r>
    </w:p>
    <w:p w14:paraId="0C261D2F" w14:textId="77777777" w:rsidR="00BC30AE" w:rsidRPr="00790ED9" w:rsidRDefault="00BC30AE" w:rsidP="00790ED9">
      <w:pPr>
        <w:pStyle w:val="Paragraphedeliste"/>
        <w:numPr>
          <w:ilvl w:val="0"/>
          <w:numId w:val="54"/>
        </w:numPr>
        <w:ind w:left="426"/>
        <w:jc w:val="both"/>
        <w:rPr>
          <w:rFonts w:ascii="Arial Narrow" w:hAnsi="Arial Narrow" w:cstheme="minorHAnsi"/>
          <w:i/>
          <w:iCs/>
          <w:sz w:val="24"/>
          <w:szCs w:val="24"/>
        </w:rPr>
      </w:pPr>
      <w:r w:rsidRPr="00790ED9">
        <w:rPr>
          <w:rFonts w:ascii="Arial Narrow" w:hAnsi="Arial Narrow" w:cstheme="minorHAnsi"/>
          <w:i/>
          <w:iCs/>
          <w:sz w:val="24"/>
          <w:szCs w:val="24"/>
        </w:rPr>
        <w:t>L’</w:t>
      </w:r>
      <w:r w:rsidRPr="00790ED9">
        <w:rPr>
          <w:rFonts w:ascii="Arial Narrow" w:hAnsi="Arial Narrow"/>
          <w:i/>
          <w:iCs/>
        </w:rPr>
        <w:t>i</w:t>
      </w:r>
      <w:r w:rsidRPr="00790ED9">
        <w:rPr>
          <w:rFonts w:ascii="Arial Narrow" w:hAnsi="Arial Narrow" w:cstheme="minorHAnsi"/>
          <w:i/>
          <w:iCs/>
          <w:sz w:val="24"/>
          <w:szCs w:val="24"/>
        </w:rPr>
        <w:t>nsuffisance dans l'utilisation des nouvelles méthodes contraceptives ;</w:t>
      </w:r>
    </w:p>
    <w:p w14:paraId="2D3A47ED" w14:textId="77777777" w:rsidR="00BC30AE" w:rsidRPr="00790ED9" w:rsidRDefault="00BC30AE" w:rsidP="00790ED9">
      <w:pPr>
        <w:pStyle w:val="Paragraphedeliste"/>
        <w:numPr>
          <w:ilvl w:val="0"/>
          <w:numId w:val="54"/>
        </w:numPr>
        <w:ind w:left="426"/>
        <w:jc w:val="both"/>
        <w:rPr>
          <w:rFonts w:ascii="Arial Narrow" w:hAnsi="Arial Narrow" w:cstheme="minorHAnsi"/>
          <w:i/>
          <w:iCs/>
          <w:sz w:val="24"/>
          <w:szCs w:val="24"/>
        </w:rPr>
      </w:pPr>
      <w:r w:rsidRPr="00790ED9">
        <w:rPr>
          <w:rFonts w:ascii="Arial Narrow" w:hAnsi="Arial Narrow" w:cstheme="minorHAnsi"/>
          <w:i/>
          <w:iCs/>
          <w:sz w:val="24"/>
          <w:szCs w:val="24"/>
        </w:rPr>
        <w:t>L’augmentation de l’incidence de la malnutrition aigüe sévère chez les enfants de 0 à 59 mois.</w:t>
      </w:r>
    </w:p>
    <w:p w14:paraId="2FE61D40" w14:textId="77777777" w:rsidR="00BC30AE" w:rsidRPr="00C354B0" w:rsidRDefault="00BC30AE" w:rsidP="00CF59E5">
      <w:pPr>
        <w:shd w:val="clear" w:color="auto" w:fill="DEEAF6" w:themeFill="accent5" w:themeFillTint="33"/>
        <w:jc w:val="both"/>
        <w:rPr>
          <w:rFonts w:ascii="Arial Narrow" w:hAnsi="Arial Narrow" w:cstheme="minorHAnsi"/>
          <w:b/>
          <w:bCs/>
          <w:i/>
          <w:iCs/>
          <w:sz w:val="24"/>
          <w:szCs w:val="24"/>
        </w:rPr>
      </w:pPr>
      <w:bookmarkStart w:id="149" w:name="_Toc178699595"/>
      <w:r w:rsidRPr="008D75CE">
        <w:rPr>
          <w:rFonts w:ascii="Arial Narrow" w:hAnsi="Arial Narrow" w:cstheme="minorHAnsi"/>
          <w:b/>
          <w:bCs/>
          <w:i/>
          <w:iCs/>
          <w:sz w:val="24"/>
          <w:szCs w:val="24"/>
        </w:rPr>
        <w:t>Comment atteindre une couverture en Consultation Prénatale au 1</w:t>
      </w:r>
      <w:r w:rsidRPr="008D75CE">
        <w:rPr>
          <w:rFonts w:ascii="Arial Narrow" w:hAnsi="Arial Narrow" w:cstheme="minorHAnsi"/>
          <w:b/>
          <w:bCs/>
          <w:i/>
          <w:iCs/>
          <w:sz w:val="24"/>
          <w:szCs w:val="24"/>
          <w:vertAlign w:val="superscript"/>
        </w:rPr>
        <w:t>er</w:t>
      </w:r>
      <w:r w:rsidRPr="008D75CE">
        <w:rPr>
          <w:rFonts w:ascii="Arial Narrow" w:hAnsi="Arial Narrow" w:cstheme="minorHAnsi"/>
          <w:b/>
          <w:bCs/>
          <w:i/>
          <w:iCs/>
          <w:sz w:val="24"/>
          <w:szCs w:val="24"/>
        </w:rPr>
        <w:t xml:space="preserve"> trimestre (CPN1) de 46% d’ici à fin 2025 ?</w:t>
      </w:r>
      <w:bookmarkEnd w:id="149"/>
    </w:p>
    <w:p w14:paraId="0EC8786B" w14:textId="77777777" w:rsidR="00BC30AE" w:rsidRPr="00500353" w:rsidRDefault="00BC30AE" w:rsidP="008D75CE">
      <w:pPr>
        <w:jc w:val="both"/>
        <w:rPr>
          <w:rFonts w:ascii="Arial Narrow" w:hAnsi="Arial Narrow" w:cstheme="minorHAnsi"/>
          <w:sz w:val="24"/>
          <w:szCs w:val="24"/>
        </w:rPr>
      </w:pPr>
      <w:r w:rsidRPr="00500353">
        <w:rPr>
          <w:rFonts w:ascii="Arial Narrow" w:hAnsi="Arial Narrow" w:cstheme="minorHAnsi"/>
          <w:sz w:val="24"/>
          <w:szCs w:val="24"/>
        </w:rPr>
        <w:t>Pour résoudre la problématique de la faible couverture en consultation prénatale au 1</w:t>
      </w:r>
      <w:r w:rsidRPr="00500353">
        <w:rPr>
          <w:rFonts w:ascii="Arial Narrow" w:hAnsi="Arial Narrow" w:cstheme="minorHAnsi"/>
          <w:sz w:val="24"/>
          <w:szCs w:val="24"/>
          <w:vertAlign w:val="superscript"/>
        </w:rPr>
        <w:t>er</w:t>
      </w:r>
      <w:r w:rsidRPr="00500353">
        <w:rPr>
          <w:rFonts w:ascii="Arial Narrow" w:hAnsi="Arial Narrow" w:cstheme="minorHAnsi"/>
          <w:sz w:val="24"/>
          <w:szCs w:val="24"/>
        </w:rPr>
        <w:t xml:space="preserve"> trimestre de la grossesse, il faudrait apporter une solution aux causes suivantes identifiées par les acteurs du niveau déconcentré eux-mêmes :</w:t>
      </w:r>
    </w:p>
    <w:p w14:paraId="3BC048A9" w14:textId="77777777" w:rsidR="00BC30AE" w:rsidRPr="00901CD3" w:rsidRDefault="00BC30AE" w:rsidP="00901CD3">
      <w:pPr>
        <w:pStyle w:val="Paragraphedeliste"/>
        <w:numPr>
          <w:ilvl w:val="0"/>
          <w:numId w:val="33"/>
        </w:numPr>
        <w:ind w:left="426"/>
        <w:jc w:val="both"/>
        <w:rPr>
          <w:rFonts w:ascii="Arial Narrow" w:hAnsi="Arial Narrow" w:cstheme="minorHAnsi"/>
          <w:i/>
          <w:iCs/>
          <w:sz w:val="24"/>
          <w:szCs w:val="24"/>
        </w:rPr>
      </w:pPr>
      <w:r w:rsidRPr="00901CD3">
        <w:rPr>
          <w:rFonts w:ascii="Arial Narrow" w:hAnsi="Arial Narrow" w:cstheme="minorHAnsi"/>
          <w:i/>
          <w:iCs/>
          <w:sz w:val="24"/>
          <w:szCs w:val="24"/>
        </w:rPr>
        <w:t>Dissimulation de la grossesse : les femmes enceintes dissimulent culturellement le plus longtemps possible leur grossesse, ce qui les emmènent à ne pas se rendre dans les structures sanitaires au vu et au su de leur entourage ;</w:t>
      </w:r>
    </w:p>
    <w:p w14:paraId="5AB0402D" w14:textId="77777777" w:rsidR="00BC30AE" w:rsidRPr="00901CD3" w:rsidRDefault="00BC30AE" w:rsidP="00901CD3">
      <w:pPr>
        <w:pStyle w:val="Paragraphedeliste"/>
        <w:numPr>
          <w:ilvl w:val="0"/>
          <w:numId w:val="33"/>
        </w:numPr>
        <w:ind w:left="426"/>
        <w:jc w:val="both"/>
        <w:rPr>
          <w:rFonts w:ascii="Arial Narrow" w:hAnsi="Arial Narrow" w:cstheme="minorHAnsi"/>
          <w:i/>
          <w:iCs/>
          <w:sz w:val="24"/>
          <w:szCs w:val="24"/>
        </w:rPr>
      </w:pPr>
      <w:r w:rsidRPr="00901CD3">
        <w:rPr>
          <w:rFonts w:ascii="Arial Narrow" w:hAnsi="Arial Narrow" w:cstheme="minorHAnsi"/>
          <w:i/>
          <w:iCs/>
          <w:sz w:val="24"/>
          <w:szCs w:val="24"/>
        </w:rPr>
        <w:t>Croyances sociales : il est répandu dans la croyance populaire que les traitements hospitaliers prolongent la grossesse ;</w:t>
      </w:r>
    </w:p>
    <w:p w14:paraId="369AF4CF" w14:textId="77777777" w:rsidR="00BC30AE" w:rsidRPr="00901CD3" w:rsidRDefault="00BC30AE" w:rsidP="00901CD3">
      <w:pPr>
        <w:pStyle w:val="Paragraphedeliste"/>
        <w:numPr>
          <w:ilvl w:val="0"/>
          <w:numId w:val="33"/>
        </w:numPr>
        <w:ind w:left="426"/>
        <w:jc w:val="both"/>
        <w:rPr>
          <w:rFonts w:ascii="Arial Narrow" w:hAnsi="Arial Narrow" w:cstheme="minorHAnsi"/>
          <w:i/>
          <w:iCs/>
          <w:sz w:val="24"/>
          <w:szCs w:val="24"/>
        </w:rPr>
      </w:pPr>
      <w:r w:rsidRPr="00901CD3">
        <w:rPr>
          <w:rFonts w:ascii="Arial Narrow" w:hAnsi="Arial Narrow" w:cstheme="minorHAnsi"/>
          <w:i/>
          <w:iCs/>
          <w:sz w:val="24"/>
          <w:szCs w:val="24"/>
        </w:rPr>
        <w:t>Fréquentation des matrones : Préférence des femmes enceintes pour les matrones plutôt que les structures de Santé formelles ;</w:t>
      </w:r>
    </w:p>
    <w:p w14:paraId="71AE89B4" w14:textId="77777777" w:rsidR="00BC30AE" w:rsidRPr="00901CD3" w:rsidRDefault="00BC30AE" w:rsidP="00901CD3">
      <w:pPr>
        <w:pStyle w:val="Paragraphedeliste"/>
        <w:numPr>
          <w:ilvl w:val="0"/>
          <w:numId w:val="33"/>
        </w:numPr>
        <w:ind w:left="426"/>
        <w:jc w:val="both"/>
        <w:rPr>
          <w:rFonts w:ascii="Arial Narrow" w:hAnsi="Arial Narrow" w:cstheme="minorHAnsi"/>
          <w:i/>
          <w:iCs/>
          <w:sz w:val="24"/>
          <w:szCs w:val="24"/>
        </w:rPr>
      </w:pPr>
      <w:r w:rsidRPr="00901CD3">
        <w:rPr>
          <w:rFonts w:ascii="Arial Narrow" w:hAnsi="Arial Narrow" w:cstheme="minorHAnsi"/>
          <w:i/>
          <w:iCs/>
          <w:sz w:val="24"/>
          <w:szCs w:val="24"/>
        </w:rPr>
        <w:t>Qualité de l’hospitalité au sein des structures sanitaires : Mauvais accueil des femmes enceintes au sein des structures sanitaires ;</w:t>
      </w:r>
    </w:p>
    <w:p w14:paraId="4FE5BCCB" w14:textId="77777777" w:rsidR="00BC30AE" w:rsidRPr="00901CD3" w:rsidRDefault="00BC30AE" w:rsidP="00901CD3">
      <w:pPr>
        <w:pStyle w:val="Paragraphedeliste"/>
        <w:numPr>
          <w:ilvl w:val="0"/>
          <w:numId w:val="33"/>
        </w:numPr>
        <w:ind w:left="426"/>
        <w:jc w:val="both"/>
        <w:rPr>
          <w:rFonts w:ascii="Arial Narrow" w:hAnsi="Arial Narrow" w:cstheme="minorHAnsi"/>
          <w:i/>
          <w:iCs/>
          <w:sz w:val="24"/>
          <w:szCs w:val="24"/>
        </w:rPr>
      </w:pPr>
      <w:r w:rsidRPr="00901CD3">
        <w:rPr>
          <w:rFonts w:ascii="Arial Narrow" w:hAnsi="Arial Narrow" w:cstheme="minorHAnsi"/>
          <w:i/>
          <w:iCs/>
          <w:sz w:val="24"/>
          <w:szCs w:val="24"/>
        </w:rPr>
        <w:t>Faible intégration des matrones : Insuffisance de collaboration entre le personnel de Santé (sage-femmes, maïeuticiens, infirmiers) et les matrones ;</w:t>
      </w:r>
    </w:p>
    <w:p w14:paraId="3B88A212" w14:textId="77777777" w:rsidR="00BC30AE" w:rsidRPr="00901CD3" w:rsidRDefault="00BC30AE" w:rsidP="00901CD3">
      <w:pPr>
        <w:pStyle w:val="Paragraphedeliste"/>
        <w:numPr>
          <w:ilvl w:val="0"/>
          <w:numId w:val="33"/>
        </w:numPr>
        <w:ind w:left="426"/>
        <w:jc w:val="both"/>
        <w:rPr>
          <w:rFonts w:ascii="Arial Narrow" w:hAnsi="Arial Narrow" w:cstheme="minorHAnsi"/>
          <w:i/>
          <w:iCs/>
          <w:sz w:val="24"/>
          <w:szCs w:val="24"/>
        </w:rPr>
      </w:pPr>
      <w:r w:rsidRPr="00901CD3">
        <w:rPr>
          <w:rFonts w:ascii="Arial Narrow" w:hAnsi="Arial Narrow" w:cstheme="minorHAnsi"/>
          <w:i/>
          <w:iCs/>
          <w:sz w:val="24"/>
          <w:szCs w:val="24"/>
        </w:rPr>
        <w:t>Faible pouvoir d'achat des femmes enceintes rendant difficile la prise en charge des déplacements ;</w:t>
      </w:r>
    </w:p>
    <w:p w14:paraId="03BE5CB7" w14:textId="77777777" w:rsidR="00BC30AE" w:rsidRPr="00901CD3" w:rsidRDefault="00BC30AE" w:rsidP="00901CD3">
      <w:pPr>
        <w:pStyle w:val="Paragraphedeliste"/>
        <w:numPr>
          <w:ilvl w:val="0"/>
          <w:numId w:val="33"/>
        </w:numPr>
        <w:ind w:left="426"/>
        <w:jc w:val="both"/>
        <w:rPr>
          <w:rFonts w:ascii="Arial Narrow" w:hAnsi="Arial Narrow" w:cstheme="minorHAnsi"/>
          <w:i/>
          <w:iCs/>
          <w:sz w:val="24"/>
          <w:szCs w:val="24"/>
        </w:rPr>
      </w:pPr>
      <w:r w:rsidRPr="00901CD3">
        <w:rPr>
          <w:rFonts w:ascii="Arial Narrow" w:hAnsi="Arial Narrow" w:cstheme="minorHAnsi"/>
          <w:i/>
          <w:iCs/>
          <w:sz w:val="24"/>
          <w:szCs w:val="24"/>
        </w:rPr>
        <w:t>Forte dépendance financière des femmes vis-à-vis des conjoints ;</w:t>
      </w:r>
    </w:p>
    <w:p w14:paraId="38F79998" w14:textId="77777777" w:rsidR="00BC30AE" w:rsidRPr="00901CD3" w:rsidRDefault="00BC30AE" w:rsidP="00901CD3">
      <w:pPr>
        <w:pStyle w:val="Paragraphedeliste"/>
        <w:numPr>
          <w:ilvl w:val="0"/>
          <w:numId w:val="33"/>
        </w:numPr>
        <w:ind w:left="426"/>
        <w:jc w:val="both"/>
        <w:rPr>
          <w:rFonts w:ascii="Arial Narrow" w:hAnsi="Arial Narrow" w:cstheme="minorHAnsi"/>
          <w:i/>
          <w:iCs/>
          <w:sz w:val="24"/>
          <w:szCs w:val="24"/>
        </w:rPr>
      </w:pPr>
      <w:r w:rsidRPr="00901CD3">
        <w:rPr>
          <w:rFonts w:ascii="Arial Narrow" w:hAnsi="Arial Narrow" w:cstheme="minorHAnsi"/>
          <w:i/>
          <w:iCs/>
          <w:sz w:val="24"/>
          <w:szCs w:val="24"/>
        </w:rPr>
        <w:t>Accessibilité aux structures sanitaires : Difficulté d'accès aux centres de Santé en raison de routes impraticables ;</w:t>
      </w:r>
    </w:p>
    <w:p w14:paraId="0DCC3024" w14:textId="77777777" w:rsidR="00BC30AE" w:rsidRPr="00901CD3" w:rsidRDefault="00BC30AE" w:rsidP="00901CD3">
      <w:pPr>
        <w:pStyle w:val="Paragraphedeliste"/>
        <w:numPr>
          <w:ilvl w:val="0"/>
          <w:numId w:val="33"/>
        </w:numPr>
        <w:ind w:left="426"/>
        <w:jc w:val="both"/>
        <w:rPr>
          <w:rFonts w:ascii="Arial Narrow" w:hAnsi="Arial Narrow" w:cstheme="minorHAnsi"/>
          <w:i/>
          <w:iCs/>
          <w:sz w:val="24"/>
          <w:szCs w:val="24"/>
        </w:rPr>
      </w:pPr>
      <w:r w:rsidRPr="00901CD3">
        <w:rPr>
          <w:rFonts w:ascii="Arial Narrow" w:hAnsi="Arial Narrow" w:cstheme="minorHAnsi"/>
          <w:i/>
          <w:iCs/>
          <w:sz w:val="24"/>
          <w:szCs w:val="24"/>
        </w:rPr>
        <w:t>Insuffisance des intrants pour les bilans prénataux ;</w:t>
      </w:r>
    </w:p>
    <w:p w14:paraId="6D5F9956" w14:textId="77777777" w:rsidR="00BC30AE" w:rsidRPr="00901CD3" w:rsidRDefault="00BC30AE" w:rsidP="00901CD3">
      <w:pPr>
        <w:pStyle w:val="Paragraphedeliste"/>
        <w:numPr>
          <w:ilvl w:val="0"/>
          <w:numId w:val="33"/>
        </w:numPr>
        <w:ind w:left="426"/>
        <w:jc w:val="both"/>
        <w:rPr>
          <w:rFonts w:ascii="Arial Narrow" w:hAnsi="Arial Narrow" w:cstheme="minorHAnsi"/>
          <w:i/>
          <w:iCs/>
          <w:sz w:val="24"/>
          <w:szCs w:val="24"/>
        </w:rPr>
      </w:pPr>
      <w:r w:rsidRPr="00901CD3">
        <w:rPr>
          <w:rFonts w:ascii="Arial Narrow" w:hAnsi="Arial Narrow" w:cstheme="minorHAnsi"/>
          <w:i/>
          <w:iCs/>
          <w:sz w:val="24"/>
          <w:szCs w:val="24"/>
        </w:rPr>
        <w:lastRenderedPageBreak/>
        <w:t>Insuffisance des plateaux techniques et du personnel qualifié.</w:t>
      </w:r>
    </w:p>
    <w:p w14:paraId="0BE0D0D0" w14:textId="21837205" w:rsidR="008D75CE" w:rsidRDefault="008D75CE" w:rsidP="00DC5897">
      <w:pPr>
        <w:pStyle w:val="Lgende"/>
      </w:pPr>
      <w:bookmarkStart w:id="150" w:name="_Toc183686787"/>
      <w:r>
        <w:t xml:space="preserve">Figure </w:t>
      </w:r>
      <w:r>
        <w:fldChar w:fldCharType="begin"/>
      </w:r>
      <w:r>
        <w:instrText xml:space="preserve"> SEQ Figure \* ARABIC </w:instrText>
      </w:r>
      <w:r>
        <w:fldChar w:fldCharType="separate"/>
      </w:r>
      <w:r>
        <w:rPr>
          <w:noProof/>
        </w:rPr>
        <w:t>6</w:t>
      </w:r>
      <w:r>
        <w:fldChar w:fldCharType="end"/>
      </w:r>
      <w:r>
        <w:t xml:space="preserve"> :</w:t>
      </w:r>
      <w:r>
        <w:rPr>
          <w:noProof/>
        </w:rPr>
        <w:t xml:space="preserve"> </w:t>
      </w:r>
      <w:r w:rsidRPr="005E17AB">
        <w:rPr>
          <w:noProof/>
        </w:rPr>
        <w:t>Causes expliquant la faible couverture en consultation prénatale au 1er trimestre (CPN1)</w:t>
      </w:r>
      <w:bookmarkEnd w:id="150"/>
    </w:p>
    <w:p w14:paraId="63364206" w14:textId="77777777" w:rsidR="00BC30AE" w:rsidRPr="0052623B" w:rsidRDefault="00BC30AE" w:rsidP="00545C0D">
      <w:pPr>
        <w:rPr>
          <w:rFonts w:ascii="Arial Narrow" w:hAnsi="Arial Narrow"/>
        </w:rPr>
      </w:pPr>
      <w:r w:rsidRPr="0052623B">
        <w:rPr>
          <w:rFonts w:ascii="Arial Narrow" w:hAnsi="Arial Narrow"/>
          <w:noProof/>
        </w:rPr>
        <w:drawing>
          <wp:inline distT="0" distB="0" distL="0" distR="0" wp14:anchorId="57C33080" wp14:editId="1E0A6D89">
            <wp:extent cx="5537200" cy="2393950"/>
            <wp:effectExtent l="0" t="0" r="6350" b="6350"/>
            <wp:docPr id="1729837040"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597898" cy="2420192"/>
                    </a:xfrm>
                    <a:prstGeom prst="rect">
                      <a:avLst/>
                    </a:prstGeom>
                    <a:noFill/>
                  </pic:spPr>
                </pic:pic>
              </a:graphicData>
            </a:graphic>
          </wp:inline>
        </w:drawing>
      </w:r>
    </w:p>
    <w:p w14:paraId="338FC389" w14:textId="77777777" w:rsidR="00BC30AE" w:rsidRPr="0052623B" w:rsidRDefault="00BC30AE" w:rsidP="00545C0D">
      <w:pPr>
        <w:rPr>
          <w:rFonts w:ascii="Arial Narrow" w:hAnsi="Arial Narrow"/>
        </w:rPr>
      </w:pPr>
      <w:r w:rsidRPr="0052623B">
        <w:rPr>
          <w:rFonts w:ascii="Arial Narrow" w:hAnsi="Arial Narrow"/>
          <w:noProof/>
        </w:rPr>
        <w:drawing>
          <wp:inline distT="0" distB="0" distL="0" distR="0" wp14:anchorId="0D8E65E3" wp14:editId="2265E703">
            <wp:extent cx="5530850" cy="2475230"/>
            <wp:effectExtent l="0" t="0" r="0" b="1270"/>
            <wp:docPr id="1751233216"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647537" cy="2527451"/>
                    </a:xfrm>
                    <a:prstGeom prst="rect">
                      <a:avLst/>
                    </a:prstGeom>
                    <a:noFill/>
                  </pic:spPr>
                </pic:pic>
              </a:graphicData>
            </a:graphic>
          </wp:inline>
        </w:drawing>
      </w:r>
    </w:p>
    <w:p w14:paraId="2D4D3311" w14:textId="1DD41DF3" w:rsidR="00BC30AE" w:rsidRPr="00754AF9" w:rsidRDefault="00BC30AE" w:rsidP="00DC5897">
      <w:pPr>
        <w:pStyle w:val="Lgende"/>
      </w:pPr>
      <w:r w:rsidRPr="0052623B">
        <w:t xml:space="preserve">Sources : Données collectées pour la </w:t>
      </w:r>
      <w:r w:rsidR="00B635D8">
        <w:t>revue</w:t>
      </w:r>
      <w:r w:rsidRPr="0052623B">
        <w:t xml:space="preserve"> du PNDS </w:t>
      </w:r>
      <w:r w:rsidR="00EB1CA0">
        <w:t>2021-2025</w:t>
      </w:r>
    </w:p>
    <w:p w14:paraId="524A8F73" w14:textId="77777777" w:rsidR="00BC30AE" w:rsidRPr="008D75CE" w:rsidRDefault="00BC30AE" w:rsidP="00CF59E5">
      <w:pPr>
        <w:shd w:val="clear" w:color="auto" w:fill="DEEAF6" w:themeFill="accent5" w:themeFillTint="33"/>
        <w:rPr>
          <w:rFonts w:ascii="Arial Narrow" w:hAnsi="Arial Narrow" w:cstheme="minorHAnsi"/>
          <w:b/>
          <w:bCs/>
          <w:i/>
          <w:iCs/>
          <w:sz w:val="24"/>
          <w:szCs w:val="24"/>
        </w:rPr>
      </w:pPr>
      <w:bookmarkStart w:id="151" w:name="_Toc178699596"/>
      <w:r w:rsidRPr="008D75CE">
        <w:rPr>
          <w:rFonts w:ascii="Arial Narrow" w:hAnsi="Arial Narrow" w:cstheme="minorHAnsi"/>
          <w:b/>
          <w:bCs/>
          <w:i/>
          <w:iCs/>
          <w:sz w:val="24"/>
          <w:szCs w:val="24"/>
        </w:rPr>
        <w:t xml:space="preserve">Comment atteindre une </w:t>
      </w:r>
      <w:r w:rsidRPr="00FB59F7">
        <w:rPr>
          <w:rFonts w:ascii="Arial Narrow" w:hAnsi="Arial Narrow" w:cstheme="minorHAnsi"/>
          <w:b/>
          <w:bCs/>
          <w:i/>
          <w:iCs/>
          <w:sz w:val="24"/>
          <w:szCs w:val="24"/>
        </w:rPr>
        <w:t xml:space="preserve">couverture en </w:t>
      </w:r>
      <w:proofErr w:type="spellStart"/>
      <w:r w:rsidRPr="00702D1E">
        <w:rPr>
          <w:rFonts w:ascii="Arial Narrow" w:hAnsi="Arial Narrow" w:cstheme="minorHAnsi"/>
          <w:b/>
          <w:bCs/>
          <w:i/>
          <w:iCs/>
          <w:sz w:val="24"/>
          <w:szCs w:val="24"/>
        </w:rPr>
        <w:t>CPoN</w:t>
      </w:r>
      <w:proofErr w:type="spellEnd"/>
      <w:r w:rsidRPr="00702D1E">
        <w:rPr>
          <w:rFonts w:ascii="Arial Narrow" w:hAnsi="Arial Narrow" w:cstheme="minorHAnsi"/>
          <w:b/>
          <w:bCs/>
          <w:i/>
          <w:iCs/>
          <w:sz w:val="24"/>
          <w:szCs w:val="24"/>
        </w:rPr>
        <w:t xml:space="preserve"> de 89,1% d’ici</w:t>
      </w:r>
      <w:r w:rsidRPr="008D75CE">
        <w:rPr>
          <w:rFonts w:ascii="Arial Narrow" w:hAnsi="Arial Narrow" w:cstheme="minorHAnsi"/>
          <w:b/>
          <w:bCs/>
          <w:i/>
          <w:iCs/>
          <w:sz w:val="24"/>
          <w:szCs w:val="24"/>
        </w:rPr>
        <w:t xml:space="preserve"> à fin 2025 ?</w:t>
      </w:r>
      <w:bookmarkEnd w:id="151"/>
    </w:p>
    <w:p w14:paraId="10BC0134" w14:textId="77777777" w:rsidR="00BC30AE" w:rsidRPr="00500353" w:rsidRDefault="00BC30AE" w:rsidP="008D75CE">
      <w:pPr>
        <w:jc w:val="both"/>
        <w:rPr>
          <w:rFonts w:ascii="Arial Narrow" w:hAnsi="Arial Narrow" w:cstheme="minorHAnsi"/>
          <w:sz w:val="24"/>
          <w:szCs w:val="24"/>
        </w:rPr>
      </w:pPr>
      <w:r w:rsidRPr="00500353">
        <w:rPr>
          <w:rFonts w:ascii="Arial Narrow" w:hAnsi="Arial Narrow" w:cstheme="minorHAnsi"/>
          <w:sz w:val="24"/>
          <w:szCs w:val="24"/>
        </w:rPr>
        <w:t>La résolution de la problématique de la faible couverture en Consultation Post-Natale (</w:t>
      </w:r>
      <w:proofErr w:type="spellStart"/>
      <w:r w:rsidRPr="00500353">
        <w:rPr>
          <w:rFonts w:ascii="Arial Narrow" w:hAnsi="Arial Narrow" w:cstheme="minorHAnsi"/>
          <w:sz w:val="24"/>
          <w:szCs w:val="24"/>
        </w:rPr>
        <w:t>CPoN</w:t>
      </w:r>
      <w:proofErr w:type="spellEnd"/>
      <w:r w:rsidRPr="00500353">
        <w:rPr>
          <w:rFonts w:ascii="Arial Narrow" w:hAnsi="Arial Narrow" w:cstheme="minorHAnsi"/>
          <w:sz w:val="24"/>
          <w:szCs w:val="24"/>
        </w:rPr>
        <w:t>) passerait par apporter une solution aux causes suivantes identifiées par les acteurs du niveau déconcentré eux-mêmes :</w:t>
      </w:r>
    </w:p>
    <w:p w14:paraId="1786EA48" w14:textId="77777777" w:rsidR="00BC30AE" w:rsidRPr="00166A7F" w:rsidRDefault="00BC30AE" w:rsidP="00166A7F">
      <w:pPr>
        <w:pStyle w:val="Paragraphedeliste"/>
        <w:numPr>
          <w:ilvl w:val="0"/>
          <w:numId w:val="33"/>
        </w:numPr>
        <w:ind w:left="426"/>
        <w:jc w:val="both"/>
        <w:rPr>
          <w:rFonts w:ascii="Arial Narrow" w:hAnsi="Arial Narrow" w:cstheme="minorHAnsi"/>
          <w:i/>
          <w:iCs/>
          <w:sz w:val="24"/>
          <w:szCs w:val="24"/>
        </w:rPr>
      </w:pPr>
      <w:r w:rsidRPr="00166A7F">
        <w:rPr>
          <w:rFonts w:ascii="Arial Narrow" w:hAnsi="Arial Narrow" w:cstheme="minorHAnsi"/>
          <w:i/>
          <w:iCs/>
          <w:sz w:val="24"/>
          <w:szCs w:val="24"/>
        </w:rPr>
        <w:t xml:space="preserve">Méconnaissance des femmes de l’importance des </w:t>
      </w:r>
      <w:proofErr w:type="spellStart"/>
      <w:r w:rsidRPr="00166A7F">
        <w:rPr>
          <w:rFonts w:ascii="Arial Narrow" w:hAnsi="Arial Narrow" w:cstheme="minorHAnsi"/>
          <w:i/>
          <w:iCs/>
          <w:sz w:val="24"/>
          <w:szCs w:val="24"/>
        </w:rPr>
        <w:t>CPoN</w:t>
      </w:r>
      <w:proofErr w:type="spellEnd"/>
      <w:r w:rsidRPr="00166A7F">
        <w:rPr>
          <w:rFonts w:ascii="Arial Narrow" w:hAnsi="Arial Narrow" w:cstheme="minorHAnsi"/>
          <w:i/>
          <w:iCs/>
          <w:sz w:val="24"/>
          <w:szCs w:val="24"/>
        </w:rPr>
        <w:t xml:space="preserve"> (6-8 semaines) ;</w:t>
      </w:r>
    </w:p>
    <w:p w14:paraId="2DD67D16" w14:textId="77777777" w:rsidR="00BC30AE" w:rsidRPr="00166A7F" w:rsidRDefault="00BC30AE" w:rsidP="00166A7F">
      <w:pPr>
        <w:pStyle w:val="Paragraphedeliste"/>
        <w:numPr>
          <w:ilvl w:val="0"/>
          <w:numId w:val="33"/>
        </w:numPr>
        <w:ind w:left="426"/>
        <w:jc w:val="both"/>
        <w:rPr>
          <w:rFonts w:ascii="Arial Narrow" w:hAnsi="Arial Narrow" w:cstheme="minorHAnsi"/>
          <w:i/>
          <w:iCs/>
          <w:sz w:val="24"/>
          <w:szCs w:val="24"/>
        </w:rPr>
      </w:pPr>
      <w:r w:rsidRPr="00166A7F">
        <w:rPr>
          <w:rFonts w:ascii="Arial Narrow" w:hAnsi="Arial Narrow" w:cstheme="minorHAnsi"/>
          <w:i/>
          <w:iCs/>
          <w:sz w:val="24"/>
          <w:szCs w:val="24"/>
        </w:rPr>
        <w:t xml:space="preserve">Faible sensibilisation des femmes enceintes lors des CPN : Insuffisance d'information sur l'importance des </w:t>
      </w:r>
      <w:proofErr w:type="spellStart"/>
      <w:r w:rsidRPr="00166A7F">
        <w:rPr>
          <w:rFonts w:ascii="Arial Narrow" w:hAnsi="Arial Narrow" w:cstheme="minorHAnsi"/>
          <w:i/>
          <w:iCs/>
          <w:sz w:val="24"/>
          <w:szCs w:val="24"/>
        </w:rPr>
        <w:t>CPoN</w:t>
      </w:r>
      <w:proofErr w:type="spellEnd"/>
      <w:r w:rsidRPr="00166A7F">
        <w:rPr>
          <w:rFonts w:ascii="Arial Narrow" w:hAnsi="Arial Narrow" w:cstheme="minorHAnsi"/>
          <w:i/>
          <w:iCs/>
          <w:sz w:val="24"/>
          <w:szCs w:val="24"/>
        </w:rPr>
        <w:t xml:space="preserve"> lors des CPN ;</w:t>
      </w:r>
    </w:p>
    <w:p w14:paraId="18897FEC" w14:textId="77777777" w:rsidR="00BC30AE" w:rsidRPr="00166A7F" w:rsidRDefault="00BC30AE" w:rsidP="00166A7F">
      <w:pPr>
        <w:pStyle w:val="Paragraphedeliste"/>
        <w:numPr>
          <w:ilvl w:val="0"/>
          <w:numId w:val="33"/>
        </w:numPr>
        <w:ind w:left="426"/>
        <w:jc w:val="both"/>
        <w:rPr>
          <w:rFonts w:ascii="Arial Narrow" w:hAnsi="Arial Narrow" w:cstheme="minorHAnsi"/>
          <w:i/>
          <w:iCs/>
          <w:sz w:val="24"/>
          <w:szCs w:val="24"/>
        </w:rPr>
      </w:pPr>
      <w:r w:rsidRPr="00166A7F">
        <w:rPr>
          <w:rFonts w:ascii="Arial Narrow" w:hAnsi="Arial Narrow" w:cstheme="minorHAnsi"/>
          <w:i/>
          <w:iCs/>
          <w:sz w:val="24"/>
          <w:szCs w:val="24"/>
        </w:rPr>
        <w:t>Pénibilité des consultations : Longues attentes des mères dans les structures sanitaires, liée à l’intégration des services ;</w:t>
      </w:r>
    </w:p>
    <w:p w14:paraId="6DFD4CC9" w14:textId="77777777" w:rsidR="00BC30AE" w:rsidRPr="00166A7F" w:rsidRDefault="00BC30AE" w:rsidP="00166A7F">
      <w:pPr>
        <w:pStyle w:val="Paragraphedeliste"/>
        <w:numPr>
          <w:ilvl w:val="0"/>
          <w:numId w:val="33"/>
        </w:numPr>
        <w:ind w:left="426"/>
        <w:jc w:val="both"/>
        <w:rPr>
          <w:rFonts w:ascii="Arial Narrow" w:hAnsi="Arial Narrow" w:cstheme="minorHAnsi"/>
          <w:i/>
          <w:iCs/>
          <w:sz w:val="24"/>
          <w:szCs w:val="24"/>
        </w:rPr>
      </w:pPr>
      <w:r w:rsidRPr="00166A7F">
        <w:rPr>
          <w:rFonts w:ascii="Arial Narrow" w:hAnsi="Arial Narrow" w:cstheme="minorHAnsi"/>
          <w:i/>
          <w:iCs/>
          <w:sz w:val="24"/>
          <w:szCs w:val="24"/>
        </w:rPr>
        <w:t>Hospitalité au sein des structures sanitaires : Insuffisance des soins humanisés au sein des structures sanitaires.</w:t>
      </w:r>
    </w:p>
    <w:p w14:paraId="7C39BD56" w14:textId="729BA619" w:rsidR="008D75CE" w:rsidRDefault="008D75CE" w:rsidP="00DC5897">
      <w:pPr>
        <w:pStyle w:val="Lgende"/>
      </w:pPr>
      <w:bookmarkStart w:id="152" w:name="_Toc183686788"/>
      <w:r>
        <w:t xml:space="preserve">Figure </w:t>
      </w:r>
      <w:r>
        <w:fldChar w:fldCharType="begin"/>
      </w:r>
      <w:r>
        <w:instrText xml:space="preserve"> SEQ Figure \* ARABIC </w:instrText>
      </w:r>
      <w:r>
        <w:fldChar w:fldCharType="separate"/>
      </w:r>
      <w:r>
        <w:rPr>
          <w:noProof/>
        </w:rPr>
        <w:t>7</w:t>
      </w:r>
      <w:r>
        <w:fldChar w:fldCharType="end"/>
      </w:r>
      <w:r>
        <w:t xml:space="preserve"> : </w:t>
      </w:r>
      <w:r w:rsidRPr="008A621B">
        <w:t xml:space="preserve">Causes expliquant la faible couverture en </w:t>
      </w:r>
      <w:proofErr w:type="spellStart"/>
      <w:r w:rsidRPr="008A621B">
        <w:t>CPoN</w:t>
      </w:r>
      <w:bookmarkEnd w:id="152"/>
      <w:proofErr w:type="spellEnd"/>
    </w:p>
    <w:p w14:paraId="5DB816DD" w14:textId="77777777" w:rsidR="008D75CE" w:rsidRDefault="00BC30AE" w:rsidP="008D75CE">
      <w:pPr>
        <w:keepNext/>
      </w:pPr>
      <w:r w:rsidRPr="0052623B">
        <w:rPr>
          <w:rFonts w:ascii="Arial Narrow" w:hAnsi="Arial Narrow" w:cstheme="minorHAnsi"/>
          <w:noProof/>
          <w:sz w:val="24"/>
          <w:szCs w:val="24"/>
        </w:rPr>
        <w:lastRenderedPageBreak/>
        <w:drawing>
          <wp:inline distT="0" distB="0" distL="0" distR="0" wp14:anchorId="0C556458" wp14:editId="4D6A42D8">
            <wp:extent cx="5645150" cy="2100464"/>
            <wp:effectExtent l="0" t="0" r="0" b="0"/>
            <wp:docPr id="65476763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94686" cy="2156104"/>
                    </a:xfrm>
                    <a:prstGeom prst="rect">
                      <a:avLst/>
                    </a:prstGeom>
                    <a:noFill/>
                  </pic:spPr>
                </pic:pic>
              </a:graphicData>
            </a:graphic>
          </wp:inline>
        </w:drawing>
      </w:r>
    </w:p>
    <w:p w14:paraId="6DB0158F" w14:textId="6BB66C77" w:rsidR="00BC30AE" w:rsidRPr="0052623B" w:rsidRDefault="008D75CE" w:rsidP="00DC5897">
      <w:pPr>
        <w:pStyle w:val="Lgende"/>
      </w:pPr>
      <w:r>
        <w:t>Source :</w:t>
      </w:r>
      <w:r>
        <w:rPr>
          <w:noProof/>
        </w:rPr>
        <w:t xml:space="preserve"> </w:t>
      </w:r>
      <w:r w:rsidRPr="004B7F84">
        <w:rPr>
          <w:noProof/>
        </w:rPr>
        <w:t xml:space="preserve">Données collectées pour la </w:t>
      </w:r>
      <w:r w:rsidR="00B635D8">
        <w:rPr>
          <w:noProof/>
        </w:rPr>
        <w:t>revue</w:t>
      </w:r>
      <w:r w:rsidRPr="004B7F84">
        <w:rPr>
          <w:noProof/>
        </w:rPr>
        <w:t xml:space="preserve"> du PNDS 2021-2025</w:t>
      </w:r>
    </w:p>
    <w:p w14:paraId="1F750C75" w14:textId="77777777" w:rsidR="00BC30AE" w:rsidRPr="008E5A64" w:rsidRDefault="00BC30AE" w:rsidP="00CF59E5">
      <w:pPr>
        <w:shd w:val="clear" w:color="auto" w:fill="DEEAF6" w:themeFill="accent5" w:themeFillTint="33"/>
        <w:jc w:val="both"/>
        <w:rPr>
          <w:rFonts w:ascii="Arial Narrow" w:hAnsi="Arial Narrow" w:cstheme="minorHAnsi"/>
          <w:b/>
          <w:bCs/>
          <w:i/>
          <w:iCs/>
          <w:sz w:val="24"/>
          <w:szCs w:val="24"/>
        </w:rPr>
      </w:pPr>
      <w:bookmarkStart w:id="153" w:name="_Toc178699597"/>
      <w:r w:rsidRPr="008E5A64">
        <w:rPr>
          <w:rFonts w:ascii="Arial Narrow" w:hAnsi="Arial Narrow" w:cstheme="minorHAnsi"/>
          <w:b/>
          <w:bCs/>
          <w:i/>
          <w:iCs/>
          <w:sz w:val="24"/>
          <w:szCs w:val="24"/>
        </w:rPr>
        <w:t>Comment atteindre la couverture vaccinale en (Penta 3, Tétanos et RR) de 95% d’ici fin 2025 ?</w:t>
      </w:r>
      <w:bookmarkEnd w:id="153"/>
    </w:p>
    <w:p w14:paraId="2A752444" w14:textId="77777777" w:rsidR="00BC30AE" w:rsidRPr="000B70D1" w:rsidRDefault="00BC30AE" w:rsidP="008E5A64">
      <w:pPr>
        <w:jc w:val="both"/>
        <w:rPr>
          <w:rFonts w:ascii="Arial Narrow" w:hAnsi="Arial Narrow" w:cstheme="minorHAnsi"/>
          <w:sz w:val="24"/>
          <w:szCs w:val="24"/>
        </w:rPr>
      </w:pPr>
      <w:r w:rsidRPr="000B70D1">
        <w:rPr>
          <w:rFonts w:ascii="Arial Narrow" w:hAnsi="Arial Narrow" w:cstheme="minorHAnsi"/>
          <w:sz w:val="24"/>
          <w:szCs w:val="24"/>
        </w:rPr>
        <w:t>Afin de résoudre la problématique de la faible couverture vaccinale en Penta 3, Tétanos et RR, il faudrait apporter une solution aux causes suivantes identifiées par les acteurs du niveau déconcentré eux-mêmes :</w:t>
      </w:r>
    </w:p>
    <w:p w14:paraId="6AFD10C1" w14:textId="77777777" w:rsidR="00BC30AE" w:rsidRPr="00166A7F" w:rsidRDefault="00BC30AE" w:rsidP="00166A7F">
      <w:pPr>
        <w:pStyle w:val="Paragraphedeliste"/>
        <w:numPr>
          <w:ilvl w:val="0"/>
          <w:numId w:val="33"/>
        </w:numPr>
        <w:ind w:left="426"/>
        <w:jc w:val="both"/>
        <w:rPr>
          <w:rFonts w:ascii="Arial Narrow" w:hAnsi="Arial Narrow" w:cstheme="minorHAnsi"/>
          <w:i/>
          <w:iCs/>
          <w:sz w:val="24"/>
          <w:szCs w:val="24"/>
        </w:rPr>
      </w:pPr>
      <w:r w:rsidRPr="00166A7F">
        <w:rPr>
          <w:rFonts w:ascii="Arial Narrow" w:hAnsi="Arial Narrow" w:cstheme="minorHAnsi"/>
          <w:i/>
          <w:iCs/>
          <w:sz w:val="24"/>
          <w:szCs w:val="24"/>
        </w:rPr>
        <w:t>Croyances sociales : rumeurs persistantes au sein de populations sur les vaccins et leurs conséquences, notamment l’infertilité des femmes ;</w:t>
      </w:r>
    </w:p>
    <w:p w14:paraId="0978A3F8" w14:textId="77777777" w:rsidR="00BC30AE" w:rsidRPr="00166A7F" w:rsidRDefault="00BC30AE" w:rsidP="00166A7F">
      <w:pPr>
        <w:pStyle w:val="Paragraphedeliste"/>
        <w:numPr>
          <w:ilvl w:val="0"/>
          <w:numId w:val="33"/>
        </w:numPr>
        <w:ind w:left="426"/>
        <w:jc w:val="both"/>
        <w:rPr>
          <w:rFonts w:ascii="Arial Narrow" w:hAnsi="Arial Narrow" w:cstheme="minorHAnsi"/>
          <w:i/>
          <w:iCs/>
          <w:sz w:val="24"/>
          <w:szCs w:val="24"/>
        </w:rPr>
      </w:pPr>
      <w:r w:rsidRPr="00166A7F">
        <w:rPr>
          <w:rFonts w:ascii="Arial Narrow" w:hAnsi="Arial Narrow" w:cstheme="minorHAnsi"/>
          <w:i/>
          <w:iCs/>
          <w:sz w:val="24"/>
          <w:szCs w:val="24"/>
        </w:rPr>
        <w:t>Pénibilité des séances de vaccination pour les femmes : longues attentes des mères lors de la vaccination de leurs enfants ;</w:t>
      </w:r>
    </w:p>
    <w:p w14:paraId="74370B47" w14:textId="77777777" w:rsidR="00BC30AE" w:rsidRPr="00166A7F" w:rsidRDefault="00BC30AE" w:rsidP="00166A7F">
      <w:pPr>
        <w:pStyle w:val="Paragraphedeliste"/>
        <w:numPr>
          <w:ilvl w:val="0"/>
          <w:numId w:val="33"/>
        </w:numPr>
        <w:ind w:left="426"/>
        <w:jc w:val="both"/>
        <w:rPr>
          <w:rFonts w:ascii="Arial Narrow" w:hAnsi="Arial Narrow" w:cstheme="minorHAnsi"/>
          <w:i/>
          <w:iCs/>
          <w:sz w:val="24"/>
          <w:szCs w:val="24"/>
        </w:rPr>
      </w:pPr>
      <w:r w:rsidRPr="00166A7F">
        <w:rPr>
          <w:rFonts w:ascii="Arial Narrow" w:hAnsi="Arial Narrow" w:cstheme="minorHAnsi"/>
          <w:i/>
          <w:iCs/>
          <w:sz w:val="24"/>
          <w:szCs w:val="24"/>
        </w:rPr>
        <w:t>Méconnaissance de l'importance de la vaccination pour les femmes enceintes et les enfants ;</w:t>
      </w:r>
    </w:p>
    <w:p w14:paraId="7EB886BE" w14:textId="77777777" w:rsidR="00BC30AE" w:rsidRPr="00166A7F" w:rsidRDefault="00BC30AE" w:rsidP="00166A7F">
      <w:pPr>
        <w:pStyle w:val="Paragraphedeliste"/>
        <w:numPr>
          <w:ilvl w:val="0"/>
          <w:numId w:val="33"/>
        </w:numPr>
        <w:ind w:left="426"/>
        <w:jc w:val="both"/>
        <w:rPr>
          <w:rFonts w:ascii="Arial Narrow" w:hAnsi="Arial Narrow" w:cstheme="minorHAnsi"/>
          <w:i/>
          <w:iCs/>
          <w:sz w:val="24"/>
          <w:szCs w:val="24"/>
        </w:rPr>
      </w:pPr>
      <w:r w:rsidRPr="00166A7F">
        <w:rPr>
          <w:rFonts w:ascii="Arial Narrow" w:hAnsi="Arial Narrow" w:cstheme="minorHAnsi"/>
          <w:i/>
          <w:iCs/>
          <w:sz w:val="24"/>
          <w:szCs w:val="24"/>
        </w:rPr>
        <w:t>Faible implication des communautés aux activités de vaccination de routine ;</w:t>
      </w:r>
    </w:p>
    <w:p w14:paraId="08163338" w14:textId="77777777" w:rsidR="00BC30AE" w:rsidRPr="00166A7F" w:rsidRDefault="00BC30AE" w:rsidP="00166A7F">
      <w:pPr>
        <w:pStyle w:val="Paragraphedeliste"/>
        <w:numPr>
          <w:ilvl w:val="0"/>
          <w:numId w:val="33"/>
        </w:numPr>
        <w:ind w:left="426"/>
        <w:jc w:val="both"/>
        <w:rPr>
          <w:rFonts w:ascii="Arial Narrow" w:hAnsi="Arial Narrow" w:cstheme="minorHAnsi"/>
          <w:i/>
          <w:iCs/>
          <w:sz w:val="24"/>
          <w:szCs w:val="24"/>
        </w:rPr>
      </w:pPr>
      <w:r w:rsidRPr="00166A7F">
        <w:rPr>
          <w:rFonts w:ascii="Arial Narrow" w:hAnsi="Arial Narrow" w:cstheme="minorHAnsi"/>
          <w:i/>
          <w:iCs/>
          <w:sz w:val="24"/>
          <w:szCs w:val="24"/>
        </w:rPr>
        <w:t>Insécurité sur les routes empruntées par les vaccinateurs.</w:t>
      </w:r>
    </w:p>
    <w:p w14:paraId="56B79920" w14:textId="40EC9D4D" w:rsidR="00BC30AE" w:rsidRPr="0052623B" w:rsidRDefault="00BC30AE" w:rsidP="00DC5897">
      <w:pPr>
        <w:pStyle w:val="Lgende"/>
      </w:pPr>
      <w:bookmarkStart w:id="154" w:name="_Toc178679341"/>
      <w:bookmarkStart w:id="155" w:name="_Toc183686789"/>
      <w:r w:rsidRPr="0052623B">
        <w:t xml:space="preserve">Figure </w:t>
      </w:r>
      <w:r w:rsidR="008D75CE">
        <w:fldChar w:fldCharType="begin"/>
      </w:r>
      <w:r w:rsidR="008D75CE">
        <w:instrText xml:space="preserve"> SEQ Figure \* ARABIC </w:instrText>
      </w:r>
      <w:r w:rsidR="008D75CE">
        <w:fldChar w:fldCharType="separate"/>
      </w:r>
      <w:r w:rsidR="008D75CE">
        <w:t>8</w:t>
      </w:r>
      <w:r w:rsidR="008D75CE">
        <w:fldChar w:fldCharType="end"/>
      </w:r>
      <w:r w:rsidRPr="0052623B">
        <w:t xml:space="preserve"> : Causes expliquant la faible couverture vaccinale en Penta 3, Tétanos et RR</w:t>
      </w:r>
      <w:bookmarkEnd w:id="154"/>
      <w:bookmarkEnd w:id="155"/>
    </w:p>
    <w:p w14:paraId="5C7A39CA" w14:textId="77777777" w:rsidR="00BC30AE" w:rsidRPr="0052623B" w:rsidRDefault="00BC30AE" w:rsidP="00545C0D">
      <w:pPr>
        <w:rPr>
          <w:rFonts w:ascii="Arial Narrow" w:hAnsi="Arial Narrow"/>
        </w:rPr>
      </w:pPr>
      <w:r w:rsidRPr="0052623B">
        <w:rPr>
          <w:rFonts w:ascii="Arial Narrow" w:hAnsi="Arial Narrow" w:cstheme="minorHAnsi"/>
          <w:noProof/>
          <w:sz w:val="24"/>
          <w:szCs w:val="24"/>
        </w:rPr>
        <w:drawing>
          <wp:inline distT="0" distB="0" distL="0" distR="0" wp14:anchorId="22D74DEA" wp14:editId="42976392">
            <wp:extent cx="5632450" cy="2288540"/>
            <wp:effectExtent l="0" t="0" r="6350" b="0"/>
            <wp:docPr id="98006755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677273" cy="2306752"/>
                    </a:xfrm>
                    <a:prstGeom prst="rect">
                      <a:avLst/>
                    </a:prstGeom>
                    <a:noFill/>
                  </pic:spPr>
                </pic:pic>
              </a:graphicData>
            </a:graphic>
          </wp:inline>
        </w:drawing>
      </w:r>
    </w:p>
    <w:p w14:paraId="5807DA11" w14:textId="77777777" w:rsidR="00BC30AE" w:rsidRPr="0052623B" w:rsidRDefault="00BC30AE" w:rsidP="00545C0D">
      <w:pPr>
        <w:rPr>
          <w:rFonts w:ascii="Arial Narrow" w:hAnsi="Arial Narrow"/>
        </w:rPr>
      </w:pPr>
      <w:r w:rsidRPr="0052623B">
        <w:rPr>
          <w:rFonts w:ascii="Arial Narrow" w:hAnsi="Arial Narrow"/>
          <w:noProof/>
        </w:rPr>
        <w:lastRenderedPageBreak/>
        <w:drawing>
          <wp:inline distT="0" distB="0" distL="0" distR="0" wp14:anchorId="55C94075" wp14:editId="37E44339">
            <wp:extent cx="5626100" cy="1404620"/>
            <wp:effectExtent l="0" t="0" r="0" b="5080"/>
            <wp:docPr id="460474089"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50264" cy="1435619"/>
                    </a:xfrm>
                    <a:prstGeom prst="rect">
                      <a:avLst/>
                    </a:prstGeom>
                    <a:noFill/>
                  </pic:spPr>
                </pic:pic>
              </a:graphicData>
            </a:graphic>
          </wp:inline>
        </w:drawing>
      </w:r>
    </w:p>
    <w:p w14:paraId="4045964B" w14:textId="506BFD0D" w:rsidR="00BC30AE" w:rsidRPr="008E5A64" w:rsidRDefault="00BC30AE" w:rsidP="00DC5897">
      <w:pPr>
        <w:pStyle w:val="Lgende"/>
      </w:pPr>
      <w:r w:rsidRPr="0052623B">
        <w:t xml:space="preserve">Sources : Données collectées pour la </w:t>
      </w:r>
      <w:r w:rsidR="00B635D8">
        <w:t>revue</w:t>
      </w:r>
      <w:r w:rsidRPr="0052623B">
        <w:t xml:space="preserve"> du PNDS </w:t>
      </w:r>
      <w:r w:rsidR="00EB1CA0">
        <w:t>2021-2025</w:t>
      </w:r>
    </w:p>
    <w:p w14:paraId="445C5887" w14:textId="59D7C43F" w:rsidR="00BC30AE" w:rsidRPr="000B70D1" w:rsidRDefault="00BC30AE" w:rsidP="00CF59E5">
      <w:pPr>
        <w:shd w:val="clear" w:color="auto" w:fill="DEEAF6" w:themeFill="accent5" w:themeFillTint="33"/>
        <w:jc w:val="both"/>
        <w:rPr>
          <w:rFonts w:ascii="Arial Narrow" w:hAnsi="Arial Narrow" w:cstheme="minorHAnsi"/>
          <w:b/>
          <w:bCs/>
          <w:i/>
          <w:iCs/>
          <w:sz w:val="24"/>
          <w:szCs w:val="24"/>
        </w:rPr>
      </w:pPr>
      <w:bookmarkStart w:id="156" w:name="_Toc178699598"/>
      <w:r w:rsidRPr="000B70D1">
        <w:rPr>
          <w:rFonts w:ascii="Arial Narrow" w:hAnsi="Arial Narrow" w:cstheme="minorHAnsi"/>
          <w:b/>
          <w:bCs/>
          <w:i/>
          <w:iCs/>
          <w:sz w:val="24"/>
          <w:szCs w:val="24"/>
        </w:rPr>
        <w:t xml:space="preserve">Comment réduire </w:t>
      </w:r>
      <w:r w:rsidR="00F86F0A">
        <w:rPr>
          <w:rFonts w:ascii="Arial Narrow" w:hAnsi="Arial Narrow" w:cstheme="minorHAnsi"/>
          <w:b/>
          <w:bCs/>
          <w:i/>
          <w:iCs/>
          <w:sz w:val="24"/>
          <w:szCs w:val="24"/>
        </w:rPr>
        <w:t>le</w:t>
      </w:r>
      <w:r w:rsidRPr="000B70D1">
        <w:rPr>
          <w:rFonts w:ascii="Arial Narrow" w:hAnsi="Arial Narrow" w:cstheme="minorHAnsi"/>
          <w:b/>
          <w:bCs/>
          <w:i/>
          <w:iCs/>
          <w:sz w:val="24"/>
          <w:szCs w:val="24"/>
        </w:rPr>
        <w:t xml:space="preserve"> nombre de décès maternel</w:t>
      </w:r>
      <w:r w:rsidR="00F86F0A">
        <w:rPr>
          <w:rFonts w:ascii="Arial Narrow" w:hAnsi="Arial Narrow" w:cstheme="minorHAnsi"/>
          <w:b/>
          <w:bCs/>
          <w:i/>
          <w:iCs/>
          <w:sz w:val="24"/>
          <w:szCs w:val="24"/>
        </w:rPr>
        <w:t>,</w:t>
      </w:r>
      <w:r w:rsidRPr="000B70D1">
        <w:rPr>
          <w:rFonts w:ascii="Arial Narrow" w:hAnsi="Arial Narrow" w:cstheme="minorHAnsi"/>
          <w:b/>
          <w:bCs/>
          <w:i/>
          <w:iCs/>
          <w:sz w:val="24"/>
          <w:szCs w:val="24"/>
        </w:rPr>
        <w:t xml:space="preserve"> </w:t>
      </w:r>
      <w:r w:rsidR="00F86F0A">
        <w:rPr>
          <w:rFonts w:ascii="Arial Narrow" w:hAnsi="Arial Narrow" w:cstheme="minorHAnsi"/>
          <w:b/>
          <w:bCs/>
          <w:i/>
          <w:iCs/>
          <w:sz w:val="24"/>
          <w:szCs w:val="24"/>
        </w:rPr>
        <w:t xml:space="preserve">néonatale </w:t>
      </w:r>
      <w:r w:rsidRPr="000B70D1">
        <w:rPr>
          <w:rFonts w:ascii="Arial Narrow" w:hAnsi="Arial Narrow" w:cstheme="minorHAnsi"/>
          <w:b/>
          <w:bCs/>
          <w:i/>
          <w:iCs/>
          <w:sz w:val="24"/>
          <w:szCs w:val="24"/>
        </w:rPr>
        <w:t>et infantile dans les régions sanitaires d’ici à fin 2025 ?</w:t>
      </w:r>
      <w:bookmarkEnd w:id="156"/>
    </w:p>
    <w:p w14:paraId="24CE335B" w14:textId="77777777" w:rsidR="00BC30AE" w:rsidRPr="0052623B" w:rsidRDefault="00BC30AE" w:rsidP="000B70D1">
      <w:pPr>
        <w:jc w:val="both"/>
        <w:rPr>
          <w:rFonts w:ascii="Arial Narrow" w:hAnsi="Arial Narrow" w:cstheme="minorHAnsi"/>
          <w:sz w:val="24"/>
          <w:szCs w:val="24"/>
        </w:rPr>
      </w:pPr>
      <w:r w:rsidRPr="0052623B">
        <w:rPr>
          <w:rFonts w:ascii="Arial Narrow" w:hAnsi="Arial Narrow" w:cstheme="minorHAnsi"/>
          <w:sz w:val="24"/>
          <w:szCs w:val="24"/>
        </w:rPr>
        <w:t>Résoudre la problématique de l'augmentation du nombre de décès maternel et infantile dans les régions sanitaires reviendrait à apporter une solution aux causes suivantes identifiées par les acteurs du niveau déconcentré eux-mêmes :</w:t>
      </w:r>
    </w:p>
    <w:p w14:paraId="1594DFEF" w14:textId="77777777" w:rsidR="00BC30AE" w:rsidRPr="00166A7F" w:rsidRDefault="00BC30AE" w:rsidP="00166A7F">
      <w:pPr>
        <w:pStyle w:val="Paragraphedeliste"/>
        <w:numPr>
          <w:ilvl w:val="0"/>
          <w:numId w:val="33"/>
        </w:numPr>
        <w:ind w:left="426"/>
        <w:jc w:val="both"/>
        <w:rPr>
          <w:rFonts w:ascii="Arial Narrow" w:hAnsi="Arial Narrow" w:cstheme="minorHAnsi"/>
          <w:i/>
          <w:iCs/>
          <w:sz w:val="24"/>
          <w:szCs w:val="24"/>
        </w:rPr>
      </w:pPr>
      <w:r w:rsidRPr="00166A7F">
        <w:rPr>
          <w:rFonts w:ascii="Arial Narrow" w:hAnsi="Arial Narrow" w:cstheme="minorHAnsi"/>
          <w:i/>
          <w:iCs/>
          <w:sz w:val="24"/>
          <w:szCs w:val="24"/>
        </w:rPr>
        <w:t>Insuffisance de gynécologues, sage-femmes, pédiatres, anesthésistes dans certaines structures sanitaires ;</w:t>
      </w:r>
    </w:p>
    <w:p w14:paraId="0B5F9E4E" w14:textId="77777777" w:rsidR="00BC30AE" w:rsidRPr="00166A7F" w:rsidRDefault="00BC30AE" w:rsidP="00166A7F">
      <w:pPr>
        <w:pStyle w:val="Paragraphedeliste"/>
        <w:numPr>
          <w:ilvl w:val="0"/>
          <w:numId w:val="33"/>
        </w:numPr>
        <w:ind w:left="426"/>
        <w:jc w:val="both"/>
        <w:rPr>
          <w:rFonts w:ascii="Arial Narrow" w:hAnsi="Arial Narrow" w:cstheme="minorHAnsi"/>
          <w:i/>
          <w:iCs/>
          <w:sz w:val="24"/>
          <w:szCs w:val="24"/>
        </w:rPr>
      </w:pPr>
      <w:r w:rsidRPr="00166A7F">
        <w:rPr>
          <w:rFonts w:ascii="Arial Narrow" w:hAnsi="Arial Narrow" w:cstheme="minorHAnsi"/>
          <w:i/>
          <w:iCs/>
          <w:sz w:val="24"/>
          <w:szCs w:val="24"/>
        </w:rPr>
        <w:t>Notification systématique de tout cas de décès maternels y compris les décès dans la communauté ;</w:t>
      </w:r>
    </w:p>
    <w:p w14:paraId="6E48DEF0" w14:textId="77777777" w:rsidR="00BC30AE" w:rsidRPr="00166A7F" w:rsidRDefault="00BC30AE" w:rsidP="00166A7F">
      <w:pPr>
        <w:pStyle w:val="Paragraphedeliste"/>
        <w:numPr>
          <w:ilvl w:val="0"/>
          <w:numId w:val="33"/>
        </w:numPr>
        <w:ind w:left="426"/>
        <w:jc w:val="both"/>
        <w:rPr>
          <w:rFonts w:ascii="Arial Narrow" w:hAnsi="Arial Narrow" w:cstheme="minorHAnsi"/>
          <w:i/>
          <w:iCs/>
          <w:sz w:val="24"/>
          <w:szCs w:val="24"/>
        </w:rPr>
      </w:pPr>
      <w:r w:rsidRPr="00166A7F">
        <w:rPr>
          <w:rFonts w:ascii="Arial Narrow" w:hAnsi="Arial Narrow" w:cstheme="minorHAnsi"/>
          <w:i/>
          <w:iCs/>
          <w:sz w:val="24"/>
          <w:szCs w:val="24"/>
        </w:rPr>
        <w:t>Insuffisance d'application des réformes, notamment de la réforme hospitalière et du PBF entraînant la démotivation du personnel ;</w:t>
      </w:r>
    </w:p>
    <w:p w14:paraId="7C9D9DC3" w14:textId="77777777" w:rsidR="00BC30AE" w:rsidRPr="00166A7F" w:rsidRDefault="00BC30AE" w:rsidP="00166A7F">
      <w:pPr>
        <w:pStyle w:val="Paragraphedeliste"/>
        <w:numPr>
          <w:ilvl w:val="0"/>
          <w:numId w:val="33"/>
        </w:numPr>
        <w:ind w:left="426"/>
        <w:jc w:val="both"/>
        <w:rPr>
          <w:rFonts w:ascii="Arial Narrow" w:hAnsi="Arial Narrow" w:cstheme="minorHAnsi"/>
          <w:i/>
          <w:iCs/>
          <w:sz w:val="24"/>
          <w:szCs w:val="24"/>
        </w:rPr>
      </w:pPr>
      <w:r w:rsidRPr="00166A7F">
        <w:rPr>
          <w:rFonts w:ascii="Arial Narrow" w:hAnsi="Arial Narrow" w:cstheme="minorHAnsi"/>
          <w:i/>
          <w:iCs/>
          <w:sz w:val="24"/>
          <w:szCs w:val="24"/>
        </w:rPr>
        <w:t>Manques de blocs opératoires, de services de réanimation et d'ambulances médicalisées dans certains hôpitaux ;</w:t>
      </w:r>
    </w:p>
    <w:p w14:paraId="45BA365A" w14:textId="77777777" w:rsidR="00BC30AE" w:rsidRPr="00166A7F" w:rsidRDefault="00BC30AE" w:rsidP="00166A7F">
      <w:pPr>
        <w:pStyle w:val="Paragraphedeliste"/>
        <w:numPr>
          <w:ilvl w:val="0"/>
          <w:numId w:val="33"/>
        </w:numPr>
        <w:ind w:left="426"/>
        <w:jc w:val="both"/>
        <w:rPr>
          <w:rFonts w:ascii="Arial Narrow" w:hAnsi="Arial Narrow" w:cstheme="minorHAnsi"/>
          <w:i/>
          <w:iCs/>
          <w:sz w:val="24"/>
          <w:szCs w:val="24"/>
        </w:rPr>
      </w:pPr>
      <w:r w:rsidRPr="00166A7F">
        <w:rPr>
          <w:rFonts w:ascii="Arial Narrow" w:hAnsi="Arial Narrow" w:cstheme="minorHAnsi"/>
          <w:i/>
          <w:iCs/>
          <w:sz w:val="24"/>
          <w:szCs w:val="24"/>
        </w:rPr>
        <w:t>Mauvais état des routes affectant les évacuations d'urgence ;</w:t>
      </w:r>
    </w:p>
    <w:p w14:paraId="13C405EC" w14:textId="77777777" w:rsidR="00BC30AE" w:rsidRPr="00166A7F" w:rsidRDefault="00BC30AE" w:rsidP="00166A7F">
      <w:pPr>
        <w:pStyle w:val="Paragraphedeliste"/>
        <w:numPr>
          <w:ilvl w:val="0"/>
          <w:numId w:val="33"/>
        </w:numPr>
        <w:ind w:left="426"/>
        <w:jc w:val="both"/>
        <w:rPr>
          <w:rFonts w:ascii="Arial Narrow" w:hAnsi="Arial Narrow" w:cstheme="minorHAnsi"/>
          <w:i/>
          <w:iCs/>
          <w:sz w:val="24"/>
          <w:szCs w:val="24"/>
        </w:rPr>
      </w:pPr>
      <w:r w:rsidRPr="00166A7F">
        <w:rPr>
          <w:rFonts w:ascii="Arial Narrow" w:hAnsi="Arial Narrow" w:cstheme="minorHAnsi"/>
          <w:i/>
          <w:iCs/>
          <w:sz w:val="24"/>
          <w:szCs w:val="24"/>
        </w:rPr>
        <w:t>Faible dotation en carburant pour les évacuations et supervisions ;</w:t>
      </w:r>
    </w:p>
    <w:p w14:paraId="6223DF70" w14:textId="77777777" w:rsidR="00BC30AE" w:rsidRPr="00166A7F" w:rsidRDefault="00BC30AE" w:rsidP="00166A7F">
      <w:pPr>
        <w:pStyle w:val="Paragraphedeliste"/>
        <w:numPr>
          <w:ilvl w:val="0"/>
          <w:numId w:val="33"/>
        </w:numPr>
        <w:ind w:left="426"/>
        <w:jc w:val="both"/>
        <w:rPr>
          <w:rFonts w:ascii="Arial Narrow" w:hAnsi="Arial Narrow" w:cstheme="minorHAnsi"/>
          <w:i/>
          <w:iCs/>
          <w:sz w:val="24"/>
          <w:szCs w:val="24"/>
        </w:rPr>
      </w:pPr>
      <w:r w:rsidRPr="00166A7F">
        <w:rPr>
          <w:rFonts w:ascii="Arial Narrow" w:hAnsi="Arial Narrow" w:cstheme="minorHAnsi"/>
          <w:i/>
          <w:iCs/>
          <w:sz w:val="24"/>
          <w:szCs w:val="24"/>
        </w:rPr>
        <w:t>Insuffisance des subventions pour l'entretien des ambulances.</w:t>
      </w:r>
    </w:p>
    <w:p w14:paraId="153FA814" w14:textId="05EA207A" w:rsidR="00BC30AE" w:rsidRPr="0052623B" w:rsidRDefault="00BC30AE" w:rsidP="00DC5897">
      <w:pPr>
        <w:pStyle w:val="Lgende"/>
      </w:pPr>
      <w:bookmarkStart w:id="157" w:name="_Toc178679342"/>
      <w:bookmarkStart w:id="158" w:name="_Toc183686790"/>
      <w:r w:rsidRPr="0052623B">
        <w:t xml:space="preserve">Figure </w:t>
      </w:r>
      <w:r w:rsidR="008D75CE">
        <w:fldChar w:fldCharType="begin"/>
      </w:r>
      <w:r w:rsidR="008D75CE">
        <w:instrText xml:space="preserve"> SEQ Figure \* ARABIC </w:instrText>
      </w:r>
      <w:r w:rsidR="008D75CE">
        <w:fldChar w:fldCharType="separate"/>
      </w:r>
      <w:r w:rsidR="008D75CE">
        <w:t>9</w:t>
      </w:r>
      <w:r w:rsidR="008D75CE">
        <w:fldChar w:fldCharType="end"/>
      </w:r>
      <w:r w:rsidRPr="0052623B">
        <w:t xml:space="preserve"> : Causes expliquant l'augmentation du nombre de décès maternel et infantile dans les régions sanitaires</w:t>
      </w:r>
      <w:bookmarkEnd w:id="157"/>
      <w:bookmarkEnd w:id="158"/>
    </w:p>
    <w:p w14:paraId="461FB951" w14:textId="77777777" w:rsidR="00BC30AE" w:rsidRPr="0052623B" w:rsidRDefault="00BC30AE" w:rsidP="00545C0D">
      <w:pPr>
        <w:rPr>
          <w:rFonts w:ascii="Arial Narrow" w:hAnsi="Arial Narrow" w:cstheme="minorHAnsi"/>
          <w:sz w:val="24"/>
          <w:szCs w:val="24"/>
        </w:rPr>
      </w:pPr>
      <w:r w:rsidRPr="0052623B">
        <w:rPr>
          <w:rFonts w:ascii="Arial Narrow" w:hAnsi="Arial Narrow" w:cstheme="minorHAnsi"/>
          <w:noProof/>
          <w:sz w:val="24"/>
          <w:szCs w:val="24"/>
        </w:rPr>
        <w:drawing>
          <wp:inline distT="0" distB="0" distL="0" distR="0" wp14:anchorId="28BEC6F3" wp14:editId="663CA6A0">
            <wp:extent cx="5657850" cy="2284095"/>
            <wp:effectExtent l="0" t="0" r="0" b="1905"/>
            <wp:docPr id="136469165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698777" cy="2300617"/>
                    </a:xfrm>
                    <a:prstGeom prst="rect">
                      <a:avLst/>
                    </a:prstGeom>
                    <a:noFill/>
                  </pic:spPr>
                </pic:pic>
              </a:graphicData>
            </a:graphic>
          </wp:inline>
        </w:drawing>
      </w:r>
    </w:p>
    <w:p w14:paraId="4A153F27" w14:textId="77777777" w:rsidR="00BC30AE" w:rsidRPr="0052623B" w:rsidRDefault="00BC30AE" w:rsidP="00545C0D">
      <w:pPr>
        <w:rPr>
          <w:rFonts w:ascii="Arial Narrow" w:hAnsi="Arial Narrow"/>
        </w:rPr>
      </w:pPr>
      <w:r w:rsidRPr="0052623B">
        <w:rPr>
          <w:rFonts w:ascii="Arial Narrow" w:hAnsi="Arial Narrow" w:cstheme="minorHAnsi"/>
          <w:noProof/>
          <w:sz w:val="24"/>
          <w:szCs w:val="24"/>
        </w:rPr>
        <w:lastRenderedPageBreak/>
        <w:drawing>
          <wp:inline distT="0" distB="0" distL="0" distR="0" wp14:anchorId="5AE147C3" wp14:editId="42CA3FB3">
            <wp:extent cx="5638800" cy="1752600"/>
            <wp:effectExtent l="0" t="0" r="0" b="0"/>
            <wp:docPr id="888280522"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09223" cy="1774488"/>
                    </a:xfrm>
                    <a:prstGeom prst="rect">
                      <a:avLst/>
                    </a:prstGeom>
                    <a:noFill/>
                  </pic:spPr>
                </pic:pic>
              </a:graphicData>
            </a:graphic>
          </wp:inline>
        </w:drawing>
      </w:r>
    </w:p>
    <w:p w14:paraId="2C249622" w14:textId="0D2950DC" w:rsidR="00BC30AE" w:rsidRPr="00754AF9" w:rsidRDefault="00BC30AE" w:rsidP="00DC5897">
      <w:pPr>
        <w:pStyle w:val="Lgende"/>
      </w:pPr>
      <w:r w:rsidRPr="0052623B">
        <w:t xml:space="preserve">Sources : Données collectées pour la </w:t>
      </w:r>
      <w:r w:rsidR="00B635D8">
        <w:t>revue</w:t>
      </w:r>
      <w:r w:rsidRPr="0052623B">
        <w:t xml:space="preserve"> du PNDS </w:t>
      </w:r>
      <w:r w:rsidR="00EB1CA0">
        <w:t>2021-2025</w:t>
      </w:r>
    </w:p>
    <w:p w14:paraId="2D2E39CE" w14:textId="77777777" w:rsidR="00BC30AE" w:rsidRPr="00EA5377" w:rsidRDefault="00BC30AE" w:rsidP="00CF59E5">
      <w:pPr>
        <w:shd w:val="clear" w:color="auto" w:fill="DEEAF6" w:themeFill="accent5" w:themeFillTint="33"/>
        <w:rPr>
          <w:rFonts w:ascii="Arial Narrow" w:hAnsi="Arial Narrow" w:cstheme="minorHAnsi"/>
          <w:b/>
          <w:bCs/>
          <w:i/>
          <w:iCs/>
          <w:sz w:val="24"/>
          <w:szCs w:val="24"/>
        </w:rPr>
      </w:pPr>
      <w:bookmarkStart w:id="159" w:name="_Toc178699599"/>
      <w:r w:rsidRPr="00CF59E5">
        <w:rPr>
          <w:rFonts w:ascii="Arial Narrow" w:hAnsi="Arial Narrow" w:cstheme="minorHAnsi"/>
          <w:b/>
          <w:bCs/>
          <w:i/>
          <w:iCs/>
          <w:sz w:val="24"/>
          <w:szCs w:val="24"/>
        </w:rPr>
        <w:t>Comment améliorer l'utilisation des nouvelles méthodes contraceptives d’ici à fin 2025 ?</w:t>
      </w:r>
      <w:bookmarkEnd w:id="159"/>
    </w:p>
    <w:p w14:paraId="1197862B" w14:textId="77777777" w:rsidR="00BC30AE" w:rsidRPr="00EA5377" w:rsidRDefault="00BC30AE" w:rsidP="00EA5377">
      <w:pPr>
        <w:jc w:val="both"/>
        <w:rPr>
          <w:rFonts w:ascii="Arial Narrow" w:hAnsi="Arial Narrow" w:cstheme="minorHAnsi"/>
          <w:sz w:val="24"/>
          <w:szCs w:val="24"/>
        </w:rPr>
      </w:pPr>
      <w:r w:rsidRPr="00EA5377">
        <w:rPr>
          <w:rFonts w:ascii="Arial Narrow" w:hAnsi="Arial Narrow" w:cstheme="minorHAnsi"/>
          <w:sz w:val="24"/>
          <w:szCs w:val="24"/>
        </w:rPr>
        <w:t>La réponse à la problématique de l’insuffisance dans l'utilisation des nouvelles méthodes contraceptives résiderait dans l’apport de solution aux causes suivantes identifiées par les acteurs du niveau déconcentré eux-mêmes :</w:t>
      </w:r>
    </w:p>
    <w:p w14:paraId="7D02E813" w14:textId="77777777" w:rsidR="00BC30AE" w:rsidRPr="00166A7F" w:rsidRDefault="00BC30AE" w:rsidP="00166A7F">
      <w:pPr>
        <w:pStyle w:val="Paragraphedeliste"/>
        <w:numPr>
          <w:ilvl w:val="0"/>
          <w:numId w:val="33"/>
        </w:numPr>
        <w:ind w:left="426"/>
        <w:jc w:val="both"/>
        <w:rPr>
          <w:rFonts w:ascii="Arial Narrow" w:hAnsi="Arial Narrow" w:cstheme="minorHAnsi"/>
          <w:i/>
          <w:iCs/>
          <w:sz w:val="24"/>
          <w:szCs w:val="24"/>
        </w:rPr>
      </w:pPr>
      <w:r w:rsidRPr="00166A7F">
        <w:rPr>
          <w:rFonts w:ascii="Arial Narrow" w:hAnsi="Arial Narrow" w:cstheme="minorHAnsi"/>
          <w:i/>
          <w:iCs/>
          <w:sz w:val="24"/>
          <w:szCs w:val="24"/>
        </w:rPr>
        <w:t>Méconnaissance de l’importance de la planification familiale ;</w:t>
      </w:r>
    </w:p>
    <w:p w14:paraId="738E138A" w14:textId="77777777" w:rsidR="00BC30AE" w:rsidRPr="00166A7F" w:rsidRDefault="00BC30AE" w:rsidP="00166A7F">
      <w:pPr>
        <w:pStyle w:val="Paragraphedeliste"/>
        <w:numPr>
          <w:ilvl w:val="0"/>
          <w:numId w:val="33"/>
        </w:numPr>
        <w:ind w:left="426"/>
        <w:jc w:val="both"/>
        <w:rPr>
          <w:rFonts w:ascii="Arial Narrow" w:hAnsi="Arial Narrow" w:cstheme="minorHAnsi"/>
          <w:i/>
          <w:iCs/>
          <w:sz w:val="24"/>
          <w:szCs w:val="24"/>
        </w:rPr>
      </w:pPr>
      <w:r w:rsidRPr="00166A7F">
        <w:rPr>
          <w:rFonts w:ascii="Arial Narrow" w:hAnsi="Arial Narrow" w:cstheme="minorHAnsi"/>
          <w:i/>
          <w:iCs/>
          <w:sz w:val="24"/>
          <w:szCs w:val="24"/>
        </w:rPr>
        <w:t>Rupture fréquente des intrants de planification familiale ;</w:t>
      </w:r>
    </w:p>
    <w:p w14:paraId="2C90920A" w14:textId="050FC059" w:rsidR="00BC30AE" w:rsidRPr="00166A7F" w:rsidRDefault="00BC30AE" w:rsidP="00166A7F">
      <w:pPr>
        <w:pStyle w:val="Paragraphedeliste"/>
        <w:numPr>
          <w:ilvl w:val="0"/>
          <w:numId w:val="33"/>
        </w:numPr>
        <w:ind w:left="426"/>
        <w:jc w:val="both"/>
        <w:rPr>
          <w:rFonts w:ascii="Arial Narrow" w:hAnsi="Arial Narrow" w:cstheme="minorHAnsi"/>
          <w:i/>
          <w:iCs/>
          <w:sz w:val="24"/>
          <w:szCs w:val="24"/>
        </w:rPr>
      </w:pPr>
      <w:r w:rsidRPr="00166A7F">
        <w:rPr>
          <w:rFonts w:ascii="Arial Narrow" w:hAnsi="Arial Narrow" w:cstheme="minorHAnsi"/>
          <w:i/>
          <w:iCs/>
          <w:sz w:val="24"/>
          <w:szCs w:val="24"/>
        </w:rPr>
        <w:t xml:space="preserve">Coût important des </w:t>
      </w:r>
      <w:proofErr w:type="gramStart"/>
      <w:r w:rsidRPr="00166A7F">
        <w:rPr>
          <w:rFonts w:ascii="Arial Narrow" w:hAnsi="Arial Narrow" w:cstheme="minorHAnsi"/>
          <w:i/>
          <w:iCs/>
          <w:sz w:val="24"/>
          <w:szCs w:val="24"/>
        </w:rPr>
        <w:t>intrants</w:t>
      </w:r>
      <w:r w:rsidR="007C395A">
        <w:rPr>
          <w:rFonts w:ascii="Arial Narrow" w:hAnsi="Arial Narrow" w:cstheme="minorHAnsi"/>
          <w:i/>
          <w:iCs/>
          <w:sz w:val="24"/>
          <w:szCs w:val="24"/>
        </w:rPr>
        <w:t xml:space="preserve"> </w:t>
      </w:r>
      <w:r w:rsidRPr="00166A7F">
        <w:rPr>
          <w:rFonts w:ascii="Arial Narrow" w:hAnsi="Arial Narrow" w:cstheme="minorHAnsi"/>
          <w:i/>
          <w:iCs/>
          <w:sz w:val="24"/>
          <w:szCs w:val="24"/>
        </w:rPr>
        <w:t xml:space="preserve"> de</w:t>
      </w:r>
      <w:proofErr w:type="gramEnd"/>
      <w:r w:rsidRPr="00166A7F">
        <w:rPr>
          <w:rFonts w:ascii="Arial Narrow" w:hAnsi="Arial Narrow" w:cstheme="minorHAnsi"/>
          <w:i/>
          <w:iCs/>
          <w:sz w:val="24"/>
          <w:szCs w:val="24"/>
        </w:rPr>
        <w:t xml:space="preserve"> planification familiale ;</w:t>
      </w:r>
    </w:p>
    <w:p w14:paraId="36ACF814" w14:textId="6F45D10D" w:rsidR="00BC30AE" w:rsidRPr="0052623B" w:rsidRDefault="00BC30AE" w:rsidP="00DC5897">
      <w:pPr>
        <w:pStyle w:val="Lgende"/>
      </w:pPr>
      <w:bookmarkStart w:id="160" w:name="_Toc178679343"/>
      <w:bookmarkStart w:id="161" w:name="_Toc183686791"/>
      <w:r w:rsidRPr="0052623B">
        <w:t xml:space="preserve">Figure </w:t>
      </w:r>
      <w:r w:rsidR="008D75CE">
        <w:fldChar w:fldCharType="begin"/>
      </w:r>
      <w:r w:rsidR="008D75CE">
        <w:instrText xml:space="preserve"> SEQ Figure \* ARABIC </w:instrText>
      </w:r>
      <w:r w:rsidR="008D75CE">
        <w:fldChar w:fldCharType="separate"/>
      </w:r>
      <w:r w:rsidR="008D75CE">
        <w:t>10</w:t>
      </w:r>
      <w:r w:rsidR="008D75CE">
        <w:fldChar w:fldCharType="end"/>
      </w:r>
      <w:r w:rsidRPr="0052623B">
        <w:t xml:space="preserve"> : Causes expliquant l’insuffisance dans l'utilisation des nouvelles méthodes contraceptives</w:t>
      </w:r>
      <w:bookmarkEnd w:id="160"/>
      <w:bookmarkEnd w:id="161"/>
    </w:p>
    <w:p w14:paraId="24B5F740" w14:textId="77777777" w:rsidR="00BC30AE" w:rsidRPr="0052623B" w:rsidRDefault="00BC30AE" w:rsidP="00545C0D">
      <w:pPr>
        <w:rPr>
          <w:rFonts w:ascii="Arial Narrow" w:hAnsi="Arial Narrow"/>
        </w:rPr>
      </w:pPr>
      <w:r w:rsidRPr="0052623B">
        <w:rPr>
          <w:rFonts w:ascii="Arial Narrow" w:hAnsi="Arial Narrow" w:cstheme="minorHAnsi"/>
          <w:noProof/>
          <w:sz w:val="24"/>
          <w:szCs w:val="24"/>
        </w:rPr>
        <w:drawing>
          <wp:inline distT="0" distB="0" distL="0" distR="0" wp14:anchorId="5D16B181" wp14:editId="77377FA5">
            <wp:extent cx="5683250" cy="1903095"/>
            <wp:effectExtent l="0" t="0" r="0" b="1905"/>
            <wp:docPr id="665789946"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754707" cy="1927023"/>
                    </a:xfrm>
                    <a:prstGeom prst="rect">
                      <a:avLst/>
                    </a:prstGeom>
                    <a:noFill/>
                  </pic:spPr>
                </pic:pic>
              </a:graphicData>
            </a:graphic>
          </wp:inline>
        </w:drawing>
      </w:r>
    </w:p>
    <w:p w14:paraId="73DB1FDF" w14:textId="77777777" w:rsidR="00BC30AE" w:rsidRPr="0052623B" w:rsidRDefault="00BC30AE" w:rsidP="00545C0D">
      <w:pPr>
        <w:rPr>
          <w:rFonts w:ascii="Arial Narrow" w:hAnsi="Arial Narrow"/>
        </w:rPr>
      </w:pPr>
      <w:r w:rsidRPr="0052623B">
        <w:rPr>
          <w:rFonts w:ascii="Arial Narrow" w:hAnsi="Arial Narrow"/>
          <w:noProof/>
        </w:rPr>
        <w:drawing>
          <wp:inline distT="0" distB="0" distL="0" distR="0" wp14:anchorId="2324BA53" wp14:editId="3FF6EC2B">
            <wp:extent cx="5664200" cy="1547495"/>
            <wp:effectExtent l="0" t="0" r="0" b="0"/>
            <wp:docPr id="1627013302"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67668" cy="1575763"/>
                    </a:xfrm>
                    <a:prstGeom prst="rect">
                      <a:avLst/>
                    </a:prstGeom>
                    <a:noFill/>
                  </pic:spPr>
                </pic:pic>
              </a:graphicData>
            </a:graphic>
          </wp:inline>
        </w:drawing>
      </w:r>
    </w:p>
    <w:p w14:paraId="3862B51C" w14:textId="4B55B06E" w:rsidR="00BC30AE" w:rsidRPr="00754AF9" w:rsidRDefault="00BC30AE" w:rsidP="00DC5897">
      <w:pPr>
        <w:pStyle w:val="Lgende"/>
      </w:pPr>
      <w:r w:rsidRPr="0052623B">
        <w:t xml:space="preserve">Sources : Données collectées pour la </w:t>
      </w:r>
      <w:r w:rsidR="00B635D8">
        <w:t>revue</w:t>
      </w:r>
      <w:r w:rsidRPr="0052623B">
        <w:t xml:space="preserve"> du PNDS </w:t>
      </w:r>
      <w:r w:rsidR="00EB1CA0">
        <w:t>2021-2025</w:t>
      </w:r>
    </w:p>
    <w:p w14:paraId="2547DEDF" w14:textId="315E3C96" w:rsidR="00BC30AE" w:rsidRPr="005B5439" w:rsidRDefault="00BC30AE" w:rsidP="00CF59E5">
      <w:pPr>
        <w:shd w:val="clear" w:color="auto" w:fill="DEEAF6" w:themeFill="accent5" w:themeFillTint="33"/>
        <w:rPr>
          <w:rFonts w:ascii="Arial Narrow" w:hAnsi="Arial Narrow" w:cstheme="minorHAnsi"/>
          <w:b/>
          <w:bCs/>
          <w:i/>
          <w:iCs/>
          <w:sz w:val="24"/>
          <w:szCs w:val="24"/>
        </w:rPr>
      </w:pPr>
      <w:bookmarkStart w:id="162" w:name="_Toc178699600"/>
      <w:r w:rsidRPr="005B5439">
        <w:rPr>
          <w:rFonts w:ascii="Arial Narrow" w:hAnsi="Arial Narrow" w:cstheme="minorHAnsi"/>
          <w:b/>
          <w:bCs/>
          <w:i/>
          <w:iCs/>
          <w:sz w:val="24"/>
          <w:szCs w:val="24"/>
        </w:rPr>
        <w:t>Comment réduire l’</w:t>
      </w:r>
      <w:r w:rsidR="00F86F0A">
        <w:rPr>
          <w:rFonts w:ascii="Arial Narrow" w:hAnsi="Arial Narrow" w:cstheme="minorHAnsi"/>
          <w:b/>
          <w:bCs/>
          <w:i/>
          <w:iCs/>
          <w:sz w:val="24"/>
          <w:szCs w:val="24"/>
        </w:rPr>
        <w:t>i</w:t>
      </w:r>
      <w:r w:rsidRPr="005B5439">
        <w:rPr>
          <w:rFonts w:ascii="Arial Narrow" w:hAnsi="Arial Narrow" w:cstheme="minorHAnsi"/>
          <w:b/>
          <w:bCs/>
          <w:i/>
          <w:iCs/>
          <w:sz w:val="24"/>
          <w:szCs w:val="24"/>
        </w:rPr>
        <w:t>ncidence de la malnutrition aigüe sévère des enfants de 0 à 59 mois à 4,85‰ d’ici à fin 2025 ?</w:t>
      </w:r>
      <w:bookmarkEnd w:id="162"/>
    </w:p>
    <w:p w14:paraId="584C2B97" w14:textId="25F63BB8" w:rsidR="00BC30AE" w:rsidRPr="0052623B" w:rsidRDefault="00BC30AE" w:rsidP="005B5439">
      <w:pPr>
        <w:jc w:val="both"/>
        <w:rPr>
          <w:rFonts w:ascii="Arial Narrow" w:hAnsi="Arial Narrow" w:cstheme="minorHAnsi"/>
          <w:sz w:val="24"/>
          <w:szCs w:val="24"/>
        </w:rPr>
      </w:pPr>
      <w:r w:rsidRPr="0052623B">
        <w:rPr>
          <w:rFonts w:ascii="Arial Narrow" w:hAnsi="Arial Narrow" w:cstheme="minorHAnsi"/>
          <w:sz w:val="24"/>
          <w:szCs w:val="24"/>
        </w:rPr>
        <w:lastRenderedPageBreak/>
        <w:t>Afin de résoudre la problématique de l’</w:t>
      </w:r>
      <w:r w:rsidR="007C395A">
        <w:rPr>
          <w:rFonts w:ascii="Arial Narrow" w:hAnsi="Arial Narrow" w:cstheme="minorHAnsi"/>
          <w:sz w:val="24"/>
          <w:szCs w:val="24"/>
        </w:rPr>
        <w:t>i</w:t>
      </w:r>
      <w:r w:rsidRPr="0052623B">
        <w:rPr>
          <w:rFonts w:ascii="Arial Narrow" w:hAnsi="Arial Narrow" w:cstheme="minorHAnsi"/>
          <w:sz w:val="24"/>
          <w:szCs w:val="24"/>
        </w:rPr>
        <w:t>ncidence de la malnutrition aigüe sévère des enfants de 0 à 59 mois, il faudrait apporter une solution aux causes suivantes identifiées par les acteurs du niveau déconcentré eux-mêmes :</w:t>
      </w:r>
    </w:p>
    <w:p w14:paraId="7D3134F7" w14:textId="77777777" w:rsidR="00BC30AE" w:rsidRPr="00166A7F" w:rsidRDefault="00BC30AE" w:rsidP="00166A7F">
      <w:pPr>
        <w:pStyle w:val="Paragraphedeliste"/>
        <w:numPr>
          <w:ilvl w:val="0"/>
          <w:numId w:val="33"/>
        </w:numPr>
        <w:ind w:left="426"/>
        <w:jc w:val="both"/>
        <w:rPr>
          <w:rFonts w:ascii="Arial Narrow" w:hAnsi="Arial Narrow" w:cstheme="minorHAnsi"/>
          <w:i/>
          <w:iCs/>
          <w:sz w:val="24"/>
          <w:szCs w:val="24"/>
        </w:rPr>
      </w:pPr>
      <w:r w:rsidRPr="00166A7F">
        <w:rPr>
          <w:rFonts w:ascii="Arial Narrow" w:hAnsi="Arial Narrow" w:cstheme="minorHAnsi"/>
          <w:i/>
          <w:iCs/>
          <w:sz w:val="24"/>
          <w:szCs w:val="24"/>
        </w:rPr>
        <w:t>Insuffisance des UNT et UNTA fonctionnelles ;</w:t>
      </w:r>
    </w:p>
    <w:p w14:paraId="5346B3FB" w14:textId="77777777" w:rsidR="00BC30AE" w:rsidRPr="00166A7F" w:rsidRDefault="00BC30AE" w:rsidP="00166A7F">
      <w:pPr>
        <w:pStyle w:val="Paragraphedeliste"/>
        <w:numPr>
          <w:ilvl w:val="0"/>
          <w:numId w:val="33"/>
        </w:numPr>
        <w:ind w:left="426"/>
        <w:jc w:val="both"/>
        <w:rPr>
          <w:rFonts w:ascii="Arial Narrow" w:hAnsi="Arial Narrow" w:cstheme="minorHAnsi"/>
          <w:i/>
          <w:iCs/>
          <w:sz w:val="24"/>
          <w:szCs w:val="24"/>
        </w:rPr>
      </w:pPr>
      <w:r w:rsidRPr="00166A7F">
        <w:rPr>
          <w:rFonts w:ascii="Arial Narrow" w:hAnsi="Arial Narrow" w:cstheme="minorHAnsi"/>
          <w:i/>
          <w:iCs/>
          <w:sz w:val="24"/>
          <w:szCs w:val="24"/>
        </w:rPr>
        <w:t>Insuffisance de la prévention de la carence en micronutriments ;</w:t>
      </w:r>
    </w:p>
    <w:p w14:paraId="5A7395A0" w14:textId="77777777" w:rsidR="00BC30AE" w:rsidRPr="00166A7F" w:rsidRDefault="00BC30AE" w:rsidP="00166A7F">
      <w:pPr>
        <w:pStyle w:val="Paragraphedeliste"/>
        <w:numPr>
          <w:ilvl w:val="0"/>
          <w:numId w:val="33"/>
        </w:numPr>
        <w:ind w:left="426"/>
        <w:jc w:val="both"/>
        <w:rPr>
          <w:rFonts w:ascii="Arial Narrow" w:hAnsi="Arial Narrow" w:cstheme="minorHAnsi"/>
          <w:i/>
          <w:iCs/>
          <w:sz w:val="24"/>
          <w:szCs w:val="24"/>
        </w:rPr>
      </w:pPr>
      <w:r w:rsidRPr="00166A7F">
        <w:rPr>
          <w:rFonts w:ascii="Arial Narrow" w:hAnsi="Arial Narrow" w:cstheme="minorHAnsi"/>
          <w:i/>
          <w:iCs/>
          <w:sz w:val="24"/>
          <w:szCs w:val="24"/>
        </w:rPr>
        <w:t>Insuffisance dans la PEC des cas de Malnutrition Aigüe Sévère avec complication (</w:t>
      </w:r>
      <w:proofErr w:type="spellStart"/>
      <w:r w:rsidRPr="00166A7F">
        <w:rPr>
          <w:rFonts w:ascii="Arial Narrow" w:hAnsi="Arial Narrow" w:cstheme="minorHAnsi"/>
          <w:i/>
          <w:iCs/>
          <w:sz w:val="24"/>
          <w:szCs w:val="24"/>
        </w:rPr>
        <w:t>MASc</w:t>
      </w:r>
      <w:proofErr w:type="spellEnd"/>
      <w:r w:rsidRPr="00166A7F">
        <w:rPr>
          <w:rFonts w:ascii="Arial Narrow" w:hAnsi="Arial Narrow" w:cstheme="minorHAnsi"/>
          <w:i/>
          <w:iCs/>
          <w:sz w:val="24"/>
          <w:szCs w:val="24"/>
        </w:rPr>
        <w:t>) dans les UNT ;</w:t>
      </w:r>
    </w:p>
    <w:p w14:paraId="1F3FF51E" w14:textId="77777777" w:rsidR="00BC30AE" w:rsidRPr="00166A7F" w:rsidRDefault="00BC30AE" w:rsidP="00166A7F">
      <w:pPr>
        <w:pStyle w:val="Paragraphedeliste"/>
        <w:numPr>
          <w:ilvl w:val="0"/>
          <w:numId w:val="33"/>
        </w:numPr>
        <w:ind w:left="426"/>
        <w:jc w:val="both"/>
        <w:rPr>
          <w:rFonts w:ascii="Arial Narrow" w:hAnsi="Arial Narrow" w:cstheme="minorHAnsi"/>
          <w:i/>
          <w:iCs/>
          <w:sz w:val="24"/>
          <w:szCs w:val="24"/>
        </w:rPr>
      </w:pPr>
      <w:r w:rsidRPr="00166A7F">
        <w:rPr>
          <w:rFonts w:ascii="Arial Narrow" w:hAnsi="Arial Narrow" w:cstheme="minorHAnsi"/>
          <w:i/>
          <w:iCs/>
          <w:sz w:val="24"/>
          <w:szCs w:val="24"/>
        </w:rPr>
        <w:t>Insuffisance d’application de l’allaitement maternel exclusif dans la communauté ;</w:t>
      </w:r>
    </w:p>
    <w:p w14:paraId="73AB3924" w14:textId="77777777" w:rsidR="00BC30AE" w:rsidRPr="00FB59F7" w:rsidRDefault="00BC30AE" w:rsidP="00166A7F">
      <w:pPr>
        <w:pStyle w:val="Paragraphedeliste"/>
        <w:numPr>
          <w:ilvl w:val="0"/>
          <w:numId w:val="33"/>
        </w:numPr>
        <w:ind w:left="426"/>
        <w:jc w:val="both"/>
        <w:rPr>
          <w:rFonts w:ascii="Arial Narrow" w:hAnsi="Arial Narrow" w:cstheme="minorHAnsi"/>
          <w:i/>
          <w:iCs/>
          <w:sz w:val="24"/>
          <w:szCs w:val="24"/>
        </w:rPr>
      </w:pPr>
      <w:r w:rsidRPr="00702D1E">
        <w:rPr>
          <w:rFonts w:ascii="Arial Narrow" w:hAnsi="Arial Narrow" w:cstheme="minorHAnsi"/>
          <w:i/>
          <w:iCs/>
          <w:sz w:val="24"/>
          <w:szCs w:val="24"/>
        </w:rPr>
        <w:t>Insuffisance de ressources financière des ménages</w:t>
      </w:r>
      <w:r w:rsidRPr="00FB59F7">
        <w:rPr>
          <w:rFonts w:ascii="Arial Narrow" w:hAnsi="Arial Narrow" w:cstheme="minorHAnsi"/>
          <w:i/>
          <w:iCs/>
          <w:sz w:val="24"/>
          <w:szCs w:val="24"/>
        </w:rPr>
        <w:t>.</w:t>
      </w:r>
    </w:p>
    <w:p w14:paraId="6BFB9CE7" w14:textId="0DBCDBF9" w:rsidR="00BC30AE" w:rsidRPr="0052623B" w:rsidRDefault="00BC30AE" w:rsidP="00DC5897">
      <w:pPr>
        <w:pStyle w:val="Lgende"/>
      </w:pPr>
      <w:bookmarkStart w:id="163" w:name="_Toc178679344"/>
      <w:bookmarkStart w:id="164" w:name="_Toc183686792"/>
      <w:r w:rsidRPr="0052623B">
        <w:t xml:space="preserve">Figure </w:t>
      </w:r>
      <w:r w:rsidR="008D75CE">
        <w:fldChar w:fldCharType="begin"/>
      </w:r>
      <w:r w:rsidR="008D75CE">
        <w:instrText xml:space="preserve"> SEQ Figure \* ARABIC </w:instrText>
      </w:r>
      <w:r w:rsidR="008D75CE">
        <w:fldChar w:fldCharType="separate"/>
      </w:r>
      <w:r w:rsidR="008D75CE">
        <w:t>11</w:t>
      </w:r>
      <w:r w:rsidR="008D75CE">
        <w:fldChar w:fldCharType="end"/>
      </w:r>
      <w:r w:rsidRPr="0052623B">
        <w:t xml:space="preserve"> :  Causes expliquant l’augmentation de l’incidence de la malnutrition aigüe sévère des enfants de 0 à 59 mois</w:t>
      </w:r>
      <w:bookmarkEnd w:id="163"/>
      <w:bookmarkEnd w:id="164"/>
    </w:p>
    <w:p w14:paraId="2EBF3BF6" w14:textId="77777777" w:rsidR="00BC30AE" w:rsidRPr="0052623B" w:rsidRDefault="00BC30AE" w:rsidP="00545C0D">
      <w:pPr>
        <w:rPr>
          <w:rFonts w:ascii="Arial Narrow" w:hAnsi="Arial Narrow"/>
        </w:rPr>
      </w:pPr>
      <w:r w:rsidRPr="0052623B">
        <w:rPr>
          <w:rFonts w:ascii="Arial Narrow" w:hAnsi="Arial Narrow" w:cstheme="minorHAnsi"/>
          <w:noProof/>
          <w:sz w:val="24"/>
          <w:szCs w:val="24"/>
        </w:rPr>
        <w:drawing>
          <wp:inline distT="0" distB="0" distL="0" distR="0" wp14:anchorId="2ACBA5B6" wp14:editId="17113BDA">
            <wp:extent cx="5695950" cy="2588260"/>
            <wp:effectExtent l="0" t="0" r="0" b="2540"/>
            <wp:docPr id="1939558681"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42790" cy="2609544"/>
                    </a:xfrm>
                    <a:prstGeom prst="rect">
                      <a:avLst/>
                    </a:prstGeom>
                    <a:noFill/>
                  </pic:spPr>
                </pic:pic>
              </a:graphicData>
            </a:graphic>
          </wp:inline>
        </w:drawing>
      </w:r>
    </w:p>
    <w:p w14:paraId="796C1186" w14:textId="725DD430" w:rsidR="00BC30AE" w:rsidRPr="00754AF9" w:rsidRDefault="00BC30AE" w:rsidP="00DC5897">
      <w:pPr>
        <w:pStyle w:val="Lgende"/>
      </w:pPr>
      <w:r w:rsidRPr="0052623B">
        <w:t xml:space="preserve">Sources : Données collectées pour la </w:t>
      </w:r>
      <w:r w:rsidR="00B635D8">
        <w:t>revue</w:t>
      </w:r>
      <w:r w:rsidRPr="0052623B">
        <w:t xml:space="preserve"> du PNDS </w:t>
      </w:r>
      <w:r w:rsidR="00EB1CA0">
        <w:t>2021-2025</w:t>
      </w:r>
    </w:p>
    <w:p w14:paraId="2A9483D1" w14:textId="2BC5DF5C" w:rsidR="00BC30AE" w:rsidRPr="0052623B" w:rsidRDefault="00BC30AE" w:rsidP="005B5439">
      <w:pPr>
        <w:jc w:val="both"/>
        <w:rPr>
          <w:rFonts w:ascii="Arial Narrow" w:hAnsi="Arial Narrow" w:cstheme="minorHAnsi"/>
          <w:sz w:val="24"/>
          <w:szCs w:val="24"/>
        </w:rPr>
      </w:pPr>
      <w:r w:rsidRPr="0052623B">
        <w:rPr>
          <w:rFonts w:ascii="Arial Narrow" w:hAnsi="Arial Narrow" w:cstheme="minorHAnsi"/>
          <w:sz w:val="24"/>
          <w:szCs w:val="24"/>
        </w:rPr>
        <w:t xml:space="preserve">Le tableau ci-après résume les causes profondes des problèmes de </w:t>
      </w:r>
      <w:r w:rsidR="007C395A">
        <w:rPr>
          <w:rFonts w:ascii="Arial Narrow" w:hAnsi="Arial Narrow" w:cstheme="minorHAnsi"/>
          <w:sz w:val="24"/>
          <w:szCs w:val="24"/>
        </w:rPr>
        <w:t>s</w:t>
      </w:r>
      <w:r w:rsidRPr="0052623B">
        <w:rPr>
          <w:rFonts w:ascii="Arial Narrow" w:hAnsi="Arial Narrow" w:cstheme="minorHAnsi"/>
          <w:sz w:val="24"/>
          <w:szCs w:val="24"/>
        </w:rPr>
        <w:t xml:space="preserve">anté relatifs à la </w:t>
      </w:r>
      <w:r w:rsidR="007C395A">
        <w:rPr>
          <w:rFonts w:ascii="Arial Narrow" w:hAnsi="Arial Narrow" w:cstheme="minorHAnsi"/>
          <w:sz w:val="24"/>
          <w:szCs w:val="24"/>
        </w:rPr>
        <w:t>s</w:t>
      </w:r>
      <w:r w:rsidRPr="0052623B">
        <w:rPr>
          <w:rFonts w:ascii="Arial Narrow" w:hAnsi="Arial Narrow" w:cstheme="minorHAnsi"/>
          <w:sz w:val="24"/>
          <w:szCs w:val="24"/>
        </w:rPr>
        <w:t>anté de la mère et de l’enfant, telles qu’identifiées par les acteurs des niveaux déconcentrés de la pyramide sanitaire et hiérarchisés selon les priorités et la facilité de résolution.</w:t>
      </w:r>
    </w:p>
    <w:p w14:paraId="1E91AA6A" w14:textId="5DBFB277" w:rsidR="00BC30AE" w:rsidRDefault="00BC30AE" w:rsidP="00DC5897">
      <w:pPr>
        <w:pStyle w:val="Lgende"/>
      </w:pPr>
      <w:bookmarkStart w:id="165" w:name="_Toc178679246"/>
      <w:bookmarkStart w:id="166" w:name="_Toc183688755"/>
      <w:r w:rsidRPr="0052623B">
        <w:t xml:space="preserve">Tableau </w:t>
      </w:r>
      <w:r w:rsidRPr="0052623B">
        <w:fldChar w:fldCharType="begin"/>
      </w:r>
      <w:r w:rsidRPr="0052623B">
        <w:instrText xml:space="preserve"> SEQ Tableau \* ARABIC </w:instrText>
      </w:r>
      <w:r w:rsidRPr="0052623B">
        <w:fldChar w:fldCharType="separate"/>
      </w:r>
      <w:r w:rsidR="00BD665A">
        <w:rPr>
          <w:noProof/>
        </w:rPr>
        <w:t>7</w:t>
      </w:r>
      <w:r w:rsidRPr="0052623B">
        <w:fldChar w:fldCharType="end"/>
      </w:r>
      <w:r w:rsidRPr="0052623B">
        <w:t xml:space="preserve"> : Recommandations pour la résolution des problèmes de </w:t>
      </w:r>
      <w:r w:rsidR="00377010">
        <w:t>s</w:t>
      </w:r>
      <w:r w:rsidRPr="0052623B">
        <w:t xml:space="preserve">anté relatifs à la </w:t>
      </w:r>
      <w:r w:rsidR="00C504A0">
        <w:t>s</w:t>
      </w:r>
      <w:r w:rsidRPr="0052623B">
        <w:t>anté de la mère et de l'enfant</w:t>
      </w:r>
      <w:bookmarkEnd w:id="165"/>
      <w:bookmarkEnd w:id="166"/>
    </w:p>
    <w:tbl>
      <w:tblPr>
        <w:tblStyle w:val="Grilledutableau"/>
        <w:tblW w:w="0" w:type="auto"/>
        <w:tblLook w:val="04A0" w:firstRow="1" w:lastRow="0" w:firstColumn="1" w:lastColumn="0" w:noHBand="0" w:noVBand="1"/>
      </w:tblPr>
      <w:tblGrid>
        <w:gridCol w:w="2254"/>
        <w:gridCol w:w="2254"/>
        <w:gridCol w:w="2254"/>
        <w:gridCol w:w="2254"/>
      </w:tblGrid>
      <w:tr w:rsidR="001E5318" w:rsidRPr="001E5318" w14:paraId="08999D4B" w14:textId="77777777" w:rsidTr="001E5318">
        <w:trPr>
          <w:cantSplit/>
          <w:tblHeader/>
        </w:trPr>
        <w:tc>
          <w:tcPr>
            <w:tcW w:w="2254" w:type="dxa"/>
            <w:shd w:val="clear" w:color="auto" w:fill="FFE599" w:themeFill="accent4" w:themeFillTint="66"/>
            <w:vAlign w:val="center"/>
          </w:tcPr>
          <w:p w14:paraId="44988F8B" w14:textId="77777777" w:rsidR="005B5439" w:rsidRPr="001E5318" w:rsidRDefault="005B5439">
            <w:pPr>
              <w:rPr>
                <w:rFonts w:ascii="Arial Narrow" w:hAnsi="Arial Narrow" w:cstheme="minorHAnsi"/>
                <w:b/>
                <w:sz w:val="20"/>
                <w:szCs w:val="20"/>
              </w:rPr>
            </w:pPr>
            <w:r w:rsidRPr="001E5318">
              <w:rPr>
                <w:rFonts w:ascii="Arial Narrow" w:hAnsi="Arial Narrow" w:cstheme="minorHAnsi"/>
                <w:b/>
                <w:sz w:val="20"/>
                <w:szCs w:val="20"/>
              </w:rPr>
              <w:t>Problèmes de Santé</w:t>
            </w:r>
          </w:p>
        </w:tc>
        <w:tc>
          <w:tcPr>
            <w:tcW w:w="2254" w:type="dxa"/>
            <w:shd w:val="clear" w:color="auto" w:fill="FFE599" w:themeFill="accent4" w:themeFillTint="66"/>
            <w:vAlign w:val="center"/>
          </w:tcPr>
          <w:p w14:paraId="2BC79B58" w14:textId="77777777" w:rsidR="005B5439" w:rsidRPr="001E5318" w:rsidRDefault="005B5439">
            <w:pPr>
              <w:rPr>
                <w:rFonts w:ascii="Arial Narrow" w:hAnsi="Arial Narrow" w:cstheme="minorHAnsi"/>
                <w:b/>
                <w:sz w:val="20"/>
                <w:szCs w:val="20"/>
              </w:rPr>
            </w:pPr>
            <w:r w:rsidRPr="001E5318">
              <w:rPr>
                <w:rFonts w:ascii="Arial Narrow" w:hAnsi="Arial Narrow" w:cstheme="minorHAnsi"/>
                <w:b/>
                <w:sz w:val="20"/>
                <w:szCs w:val="20"/>
              </w:rPr>
              <w:t>Tiers 1</w:t>
            </w:r>
            <w:r w:rsidRPr="001E5318">
              <w:rPr>
                <w:rStyle w:val="Appelnotedebasdep"/>
                <w:rFonts w:ascii="Arial Narrow" w:hAnsi="Arial Narrow" w:cstheme="minorHAnsi"/>
                <w:b/>
                <w:sz w:val="20"/>
                <w:szCs w:val="20"/>
              </w:rPr>
              <w:footnoteReference w:id="31"/>
            </w:r>
          </w:p>
          <w:p w14:paraId="239F3C43" w14:textId="77777777" w:rsidR="005B5439" w:rsidRPr="001E5318" w:rsidRDefault="005B5439">
            <w:pPr>
              <w:rPr>
                <w:rFonts w:ascii="Arial Narrow" w:hAnsi="Arial Narrow" w:cstheme="minorHAnsi"/>
                <w:i/>
                <w:sz w:val="20"/>
                <w:szCs w:val="20"/>
              </w:rPr>
            </w:pPr>
            <w:r w:rsidRPr="001E5318">
              <w:rPr>
                <w:rFonts w:ascii="Arial Narrow" w:hAnsi="Arial Narrow" w:cstheme="minorHAnsi"/>
                <w:i/>
                <w:sz w:val="20"/>
                <w:szCs w:val="20"/>
              </w:rPr>
              <w:t>Facteurs à résoudre à court terme</w:t>
            </w:r>
          </w:p>
        </w:tc>
        <w:tc>
          <w:tcPr>
            <w:tcW w:w="2254" w:type="dxa"/>
            <w:shd w:val="clear" w:color="auto" w:fill="FFE599" w:themeFill="accent4" w:themeFillTint="66"/>
            <w:vAlign w:val="center"/>
          </w:tcPr>
          <w:p w14:paraId="2ED7A025" w14:textId="77777777" w:rsidR="005B5439" w:rsidRPr="001E5318" w:rsidRDefault="005B5439">
            <w:pPr>
              <w:rPr>
                <w:rFonts w:ascii="Arial Narrow" w:hAnsi="Arial Narrow" w:cstheme="minorHAnsi"/>
                <w:b/>
                <w:sz w:val="20"/>
                <w:szCs w:val="20"/>
              </w:rPr>
            </w:pPr>
            <w:r w:rsidRPr="001E5318">
              <w:rPr>
                <w:rFonts w:ascii="Arial Narrow" w:hAnsi="Arial Narrow" w:cstheme="minorHAnsi"/>
                <w:b/>
                <w:sz w:val="20"/>
                <w:szCs w:val="20"/>
              </w:rPr>
              <w:t>Tiers 2</w:t>
            </w:r>
            <w:r w:rsidRPr="001E5318">
              <w:rPr>
                <w:rStyle w:val="Appelnotedebasdep"/>
                <w:rFonts w:ascii="Arial Narrow" w:hAnsi="Arial Narrow" w:cstheme="minorHAnsi"/>
                <w:b/>
                <w:sz w:val="20"/>
                <w:szCs w:val="20"/>
              </w:rPr>
              <w:footnoteReference w:id="32"/>
            </w:r>
          </w:p>
          <w:p w14:paraId="21278210" w14:textId="77777777" w:rsidR="005B5439" w:rsidRPr="001E5318" w:rsidRDefault="005B5439">
            <w:pPr>
              <w:rPr>
                <w:rFonts w:ascii="Arial Narrow" w:hAnsi="Arial Narrow" w:cstheme="minorHAnsi"/>
                <w:i/>
                <w:sz w:val="20"/>
                <w:szCs w:val="20"/>
              </w:rPr>
            </w:pPr>
            <w:r w:rsidRPr="001E5318">
              <w:rPr>
                <w:rFonts w:ascii="Arial Narrow" w:hAnsi="Arial Narrow" w:cstheme="minorHAnsi"/>
                <w:i/>
                <w:sz w:val="20"/>
                <w:szCs w:val="20"/>
              </w:rPr>
              <w:t>Facteurs à résoudre à moyen terme</w:t>
            </w:r>
          </w:p>
        </w:tc>
        <w:tc>
          <w:tcPr>
            <w:tcW w:w="2254" w:type="dxa"/>
            <w:shd w:val="clear" w:color="auto" w:fill="FFE599" w:themeFill="accent4" w:themeFillTint="66"/>
            <w:vAlign w:val="center"/>
          </w:tcPr>
          <w:p w14:paraId="03B55265" w14:textId="77777777" w:rsidR="005B5439" w:rsidRPr="001E5318" w:rsidRDefault="005B5439">
            <w:pPr>
              <w:rPr>
                <w:rFonts w:ascii="Arial Narrow" w:hAnsi="Arial Narrow" w:cstheme="minorHAnsi"/>
                <w:b/>
                <w:sz w:val="20"/>
                <w:szCs w:val="20"/>
              </w:rPr>
            </w:pPr>
            <w:r w:rsidRPr="001E5318">
              <w:rPr>
                <w:rFonts w:ascii="Arial Narrow" w:hAnsi="Arial Narrow" w:cstheme="minorHAnsi"/>
                <w:b/>
                <w:sz w:val="20"/>
                <w:szCs w:val="20"/>
              </w:rPr>
              <w:t>Tiers 3</w:t>
            </w:r>
            <w:r w:rsidRPr="001E5318">
              <w:rPr>
                <w:rStyle w:val="Appelnotedebasdep"/>
                <w:rFonts w:ascii="Arial Narrow" w:hAnsi="Arial Narrow" w:cstheme="minorHAnsi"/>
                <w:b/>
                <w:sz w:val="20"/>
                <w:szCs w:val="20"/>
              </w:rPr>
              <w:footnoteReference w:id="33"/>
            </w:r>
          </w:p>
          <w:p w14:paraId="5E26911B" w14:textId="77777777" w:rsidR="005B5439" w:rsidRPr="001E5318" w:rsidRDefault="005B5439">
            <w:pPr>
              <w:rPr>
                <w:rFonts w:ascii="Arial Narrow" w:hAnsi="Arial Narrow" w:cstheme="minorHAnsi"/>
                <w:i/>
                <w:sz w:val="20"/>
                <w:szCs w:val="20"/>
              </w:rPr>
            </w:pPr>
            <w:r w:rsidRPr="001E5318">
              <w:rPr>
                <w:rFonts w:ascii="Arial Narrow" w:hAnsi="Arial Narrow" w:cstheme="minorHAnsi"/>
                <w:i/>
                <w:sz w:val="20"/>
                <w:szCs w:val="20"/>
              </w:rPr>
              <w:t>Facteurs à résoudre à long terme</w:t>
            </w:r>
          </w:p>
        </w:tc>
      </w:tr>
      <w:tr w:rsidR="005B5439" w:rsidRPr="0010300F" w14:paraId="77205847" w14:textId="77777777">
        <w:trPr>
          <w:cantSplit/>
        </w:trPr>
        <w:tc>
          <w:tcPr>
            <w:tcW w:w="2254" w:type="dxa"/>
            <w:vAlign w:val="center"/>
          </w:tcPr>
          <w:p w14:paraId="0833E99E" w14:textId="77777777" w:rsidR="005B5439" w:rsidRPr="005B5439" w:rsidRDefault="005B5439">
            <w:pPr>
              <w:rPr>
                <w:rFonts w:ascii="Arial Narrow" w:hAnsi="Arial Narrow" w:cstheme="minorHAnsi"/>
                <w:sz w:val="20"/>
                <w:szCs w:val="20"/>
              </w:rPr>
            </w:pPr>
            <w:r w:rsidRPr="005B5439">
              <w:rPr>
                <w:rFonts w:ascii="Arial Narrow" w:hAnsi="Arial Narrow" w:cstheme="minorHAnsi"/>
                <w:sz w:val="20"/>
                <w:szCs w:val="20"/>
              </w:rPr>
              <w:t>Comment atteindre une couverture en Consultation Prénatale au 1er trimestre (CPN1) de 46% d’ici à fin 2025 ?</w:t>
            </w:r>
          </w:p>
        </w:tc>
        <w:tc>
          <w:tcPr>
            <w:tcW w:w="2254" w:type="dxa"/>
          </w:tcPr>
          <w:p w14:paraId="4A95FBAF" w14:textId="77777777" w:rsidR="005B5439" w:rsidRPr="005B5439" w:rsidRDefault="005B5439" w:rsidP="005B5439">
            <w:pPr>
              <w:pStyle w:val="Paragraphedeliste"/>
              <w:numPr>
                <w:ilvl w:val="0"/>
                <w:numId w:val="31"/>
              </w:numPr>
              <w:ind w:left="189" w:hanging="112"/>
              <w:rPr>
                <w:rFonts w:ascii="Arial Narrow" w:hAnsi="Arial Narrow" w:cstheme="minorHAnsi"/>
                <w:sz w:val="20"/>
                <w:szCs w:val="20"/>
              </w:rPr>
            </w:pPr>
            <w:r w:rsidRPr="005B5439">
              <w:rPr>
                <w:rFonts w:ascii="Arial Narrow" w:hAnsi="Arial Narrow" w:cstheme="minorHAnsi"/>
                <w:sz w:val="20"/>
                <w:szCs w:val="20"/>
              </w:rPr>
              <w:t>Facteurs socio-culturels (dissimulation de la grossesse)</w:t>
            </w:r>
          </w:p>
          <w:p w14:paraId="76E545A2" w14:textId="77777777" w:rsidR="005B5439" w:rsidRPr="005B5439" w:rsidRDefault="005B5439" w:rsidP="005B5439">
            <w:pPr>
              <w:pStyle w:val="Paragraphedeliste"/>
              <w:numPr>
                <w:ilvl w:val="0"/>
                <w:numId w:val="31"/>
              </w:numPr>
              <w:ind w:left="189" w:hanging="112"/>
              <w:rPr>
                <w:rFonts w:ascii="Arial Narrow" w:hAnsi="Arial Narrow" w:cstheme="minorHAnsi"/>
                <w:sz w:val="20"/>
                <w:szCs w:val="20"/>
              </w:rPr>
            </w:pPr>
            <w:r w:rsidRPr="005B5439">
              <w:rPr>
                <w:rFonts w:ascii="Arial Narrow" w:hAnsi="Arial Narrow" w:cstheme="minorHAnsi"/>
                <w:sz w:val="20"/>
                <w:szCs w:val="20"/>
              </w:rPr>
              <w:t>Insuffisance de collaboration entre le personnel de Santé et les matrones</w:t>
            </w:r>
          </w:p>
          <w:p w14:paraId="54AD489E" w14:textId="77777777" w:rsidR="005B5439" w:rsidRPr="005B5439" w:rsidRDefault="005B5439" w:rsidP="005B5439">
            <w:pPr>
              <w:pStyle w:val="Paragraphedeliste"/>
              <w:numPr>
                <w:ilvl w:val="0"/>
                <w:numId w:val="31"/>
              </w:numPr>
              <w:ind w:left="189" w:hanging="112"/>
              <w:rPr>
                <w:rFonts w:ascii="Arial Narrow" w:hAnsi="Arial Narrow" w:cstheme="minorHAnsi"/>
                <w:sz w:val="20"/>
                <w:szCs w:val="20"/>
              </w:rPr>
            </w:pPr>
            <w:r w:rsidRPr="005B5439">
              <w:rPr>
                <w:rFonts w:ascii="Arial Narrow" w:hAnsi="Arial Narrow" w:cstheme="minorHAnsi"/>
                <w:sz w:val="20"/>
                <w:szCs w:val="20"/>
              </w:rPr>
              <w:t>Dépendance financière vis à vis des conjoints</w:t>
            </w:r>
          </w:p>
          <w:p w14:paraId="16C7BD7A" w14:textId="27F9D6A8" w:rsidR="00FB59F7" w:rsidRPr="00702D1E" w:rsidRDefault="00FB59F7" w:rsidP="00FB59F7">
            <w:pPr>
              <w:pStyle w:val="Paragraphedeliste"/>
              <w:numPr>
                <w:ilvl w:val="0"/>
                <w:numId w:val="31"/>
              </w:numPr>
              <w:ind w:left="189" w:hanging="112"/>
              <w:rPr>
                <w:rFonts w:ascii="Arial Narrow" w:hAnsi="Arial Narrow" w:cstheme="minorHAnsi"/>
                <w:sz w:val="20"/>
                <w:szCs w:val="20"/>
              </w:rPr>
            </w:pPr>
          </w:p>
        </w:tc>
        <w:tc>
          <w:tcPr>
            <w:tcW w:w="2254" w:type="dxa"/>
          </w:tcPr>
          <w:p w14:paraId="07BCB044" w14:textId="77777777" w:rsidR="005B5439" w:rsidRPr="005B5439" w:rsidRDefault="005B5439" w:rsidP="005B5439">
            <w:pPr>
              <w:pStyle w:val="Paragraphedeliste"/>
              <w:numPr>
                <w:ilvl w:val="0"/>
                <w:numId w:val="31"/>
              </w:numPr>
              <w:ind w:left="189" w:hanging="112"/>
              <w:rPr>
                <w:rFonts w:ascii="Arial Narrow" w:hAnsi="Arial Narrow" w:cstheme="minorHAnsi"/>
                <w:sz w:val="20"/>
                <w:szCs w:val="20"/>
              </w:rPr>
            </w:pPr>
            <w:r w:rsidRPr="005B5439">
              <w:rPr>
                <w:rFonts w:ascii="Arial Narrow" w:hAnsi="Arial Narrow" w:cstheme="minorHAnsi"/>
                <w:sz w:val="20"/>
                <w:szCs w:val="20"/>
              </w:rPr>
              <w:t>Croyance que les traitements hospitaliers prolongent la grossesse</w:t>
            </w:r>
          </w:p>
          <w:p w14:paraId="3720C30A" w14:textId="77777777" w:rsidR="005B5439" w:rsidRDefault="005B5439" w:rsidP="005B5439">
            <w:pPr>
              <w:pStyle w:val="Paragraphedeliste"/>
              <w:numPr>
                <w:ilvl w:val="0"/>
                <w:numId w:val="31"/>
              </w:numPr>
              <w:ind w:left="189" w:hanging="112"/>
              <w:rPr>
                <w:rFonts w:ascii="Arial Narrow" w:hAnsi="Arial Narrow" w:cstheme="minorHAnsi"/>
                <w:sz w:val="20"/>
                <w:szCs w:val="20"/>
              </w:rPr>
            </w:pPr>
            <w:r w:rsidRPr="005B5439">
              <w:rPr>
                <w:rFonts w:ascii="Arial Narrow" w:hAnsi="Arial Narrow" w:cstheme="minorHAnsi"/>
                <w:sz w:val="20"/>
                <w:szCs w:val="20"/>
              </w:rPr>
              <w:t>Préférence pour les matrones plutôt que les structures de sante formelles</w:t>
            </w:r>
          </w:p>
          <w:p w14:paraId="6CC2C3FE" w14:textId="7A058CCF" w:rsidR="00FB59F7" w:rsidRPr="005B5439" w:rsidRDefault="00FB59F7" w:rsidP="005B5439">
            <w:pPr>
              <w:pStyle w:val="Paragraphedeliste"/>
              <w:numPr>
                <w:ilvl w:val="0"/>
                <w:numId w:val="31"/>
              </w:numPr>
              <w:ind w:left="189" w:hanging="112"/>
              <w:rPr>
                <w:rFonts w:ascii="Arial Narrow" w:hAnsi="Arial Narrow" w:cstheme="minorHAnsi"/>
                <w:sz w:val="20"/>
                <w:szCs w:val="20"/>
              </w:rPr>
            </w:pPr>
            <w:r w:rsidRPr="00083DFF">
              <w:rPr>
                <w:rFonts w:ascii="Arial Narrow" w:hAnsi="Arial Narrow" w:cstheme="minorHAnsi"/>
                <w:sz w:val="20"/>
                <w:szCs w:val="20"/>
              </w:rPr>
              <w:t>Insuffisance des plateaux techniques et du personnel qualifié</w:t>
            </w:r>
          </w:p>
        </w:tc>
        <w:tc>
          <w:tcPr>
            <w:tcW w:w="2254" w:type="dxa"/>
          </w:tcPr>
          <w:p w14:paraId="06E5D652" w14:textId="77777777" w:rsidR="005B5439" w:rsidRPr="005B5439" w:rsidRDefault="005B5439" w:rsidP="005B5439">
            <w:pPr>
              <w:pStyle w:val="Paragraphedeliste"/>
              <w:numPr>
                <w:ilvl w:val="0"/>
                <w:numId w:val="31"/>
              </w:numPr>
              <w:ind w:left="189" w:hanging="112"/>
              <w:rPr>
                <w:rFonts w:ascii="Arial Narrow" w:hAnsi="Arial Narrow" w:cstheme="minorHAnsi"/>
                <w:sz w:val="20"/>
                <w:szCs w:val="20"/>
              </w:rPr>
            </w:pPr>
            <w:r w:rsidRPr="005B5439">
              <w:rPr>
                <w:rFonts w:ascii="Arial Narrow" w:hAnsi="Arial Narrow" w:cstheme="minorHAnsi"/>
                <w:sz w:val="20"/>
                <w:szCs w:val="20"/>
              </w:rPr>
              <w:t>Mauvais accueil</w:t>
            </w:r>
          </w:p>
          <w:p w14:paraId="3A5BC2C2" w14:textId="77777777" w:rsidR="005B5439" w:rsidRPr="005B5439" w:rsidRDefault="005B5439" w:rsidP="005B5439">
            <w:pPr>
              <w:pStyle w:val="Paragraphedeliste"/>
              <w:numPr>
                <w:ilvl w:val="0"/>
                <w:numId w:val="31"/>
              </w:numPr>
              <w:ind w:left="189" w:hanging="112"/>
              <w:rPr>
                <w:rFonts w:ascii="Arial Narrow" w:hAnsi="Arial Narrow" w:cstheme="minorHAnsi"/>
                <w:sz w:val="20"/>
                <w:szCs w:val="20"/>
              </w:rPr>
            </w:pPr>
            <w:r w:rsidRPr="005B5439">
              <w:rPr>
                <w:rFonts w:ascii="Arial Narrow" w:hAnsi="Arial Narrow" w:cstheme="minorHAnsi"/>
                <w:sz w:val="20"/>
                <w:szCs w:val="20"/>
              </w:rPr>
              <w:t>Faible pouvoir d’achat des femmes enceintes rendant difficile la prise en charge des déplacements</w:t>
            </w:r>
          </w:p>
          <w:p w14:paraId="6D4B6471" w14:textId="77777777" w:rsidR="005B5439" w:rsidRPr="005B5439" w:rsidRDefault="005B5439" w:rsidP="005B5439">
            <w:pPr>
              <w:pStyle w:val="Paragraphedeliste"/>
              <w:numPr>
                <w:ilvl w:val="0"/>
                <w:numId w:val="31"/>
              </w:numPr>
              <w:ind w:left="189" w:hanging="112"/>
              <w:rPr>
                <w:rFonts w:ascii="Arial Narrow" w:hAnsi="Arial Narrow"/>
                <w:sz w:val="20"/>
                <w:szCs w:val="20"/>
              </w:rPr>
            </w:pPr>
            <w:r w:rsidRPr="005B5439">
              <w:rPr>
                <w:rFonts w:ascii="Arial Narrow" w:hAnsi="Arial Narrow"/>
                <w:sz w:val="20"/>
                <w:szCs w:val="20"/>
              </w:rPr>
              <w:t>Difficulté d’accès aux centres de Santé en raison de routes impraticables</w:t>
            </w:r>
          </w:p>
          <w:p w14:paraId="00592656" w14:textId="36ACBEBA" w:rsidR="005B5439" w:rsidRPr="005B5439" w:rsidRDefault="005B5439" w:rsidP="00702D1E">
            <w:pPr>
              <w:pStyle w:val="Paragraphedeliste"/>
              <w:ind w:left="189"/>
              <w:rPr>
                <w:rFonts w:ascii="Arial Narrow" w:hAnsi="Arial Narrow" w:cstheme="minorHAnsi"/>
                <w:sz w:val="20"/>
                <w:szCs w:val="20"/>
              </w:rPr>
            </w:pPr>
          </w:p>
        </w:tc>
      </w:tr>
      <w:tr w:rsidR="005B5439" w:rsidRPr="00B82295" w14:paraId="00FCC791" w14:textId="77777777">
        <w:trPr>
          <w:cantSplit/>
        </w:trPr>
        <w:tc>
          <w:tcPr>
            <w:tcW w:w="2254" w:type="dxa"/>
            <w:vAlign w:val="center"/>
          </w:tcPr>
          <w:p w14:paraId="2EE78DFD" w14:textId="77777777" w:rsidR="005B5439" w:rsidRPr="005B5439" w:rsidRDefault="005B5439">
            <w:pPr>
              <w:rPr>
                <w:rFonts w:ascii="Arial Narrow" w:hAnsi="Arial Narrow" w:cstheme="minorHAnsi"/>
                <w:sz w:val="20"/>
                <w:szCs w:val="20"/>
              </w:rPr>
            </w:pPr>
            <w:r w:rsidRPr="00FB59F7">
              <w:rPr>
                <w:rFonts w:ascii="Arial Narrow" w:hAnsi="Arial Narrow" w:cstheme="minorHAnsi"/>
                <w:sz w:val="20"/>
                <w:szCs w:val="20"/>
              </w:rPr>
              <w:lastRenderedPageBreak/>
              <w:t xml:space="preserve">Comment atteindre une </w:t>
            </w:r>
            <w:r w:rsidRPr="00702D1E">
              <w:rPr>
                <w:rFonts w:ascii="Arial Narrow" w:hAnsi="Arial Narrow" w:cstheme="minorHAnsi"/>
                <w:sz w:val="20"/>
                <w:szCs w:val="20"/>
              </w:rPr>
              <w:t xml:space="preserve">couverture en </w:t>
            </w:r>
            <w:proofErr w:type="spellStart"/>
            <w:r w:rsidRPr="00702D1E">
              <w:rPr>
                <w:rFonts w:ascii="Arial Narrow" w:hAnsi="Arial Narrow" w:cstheme="minorHAnsi"/>
                <w:sz w:val="20"/>
                <w:szCs w:val="20"/>
              </w:rPr>
              <w:t>CPoN</w:t>
            </w:r>
            <w:proofErr w:type="spellEnd"/>
            <w:r w:rsidRPr="00702D1E">
              <w:rPr>
                <w:rFonts w:ascii="Arial Narrow" w:hAnsi="Arial Narrow" w:cstheme="minorHAnsi"/>
                <w:sz w:val="20"/>
                <w:szCs w:val="20"/>
              </w:rPr>
              <w:t xml:space="preserve"> de 89,1% d’ici à fin 2025 ?</w:t>
            </w:r>
          </w:p>
        </w:tc>
        <w:tc>
          <w:tcPr>
            <w:tcW w:w="2254" w:type="dxa"/>
          </w:tcPr>
          <w:p w14:paraId="043EDDE2" w14:textId="77777777" w:rsidR="005B5439" w:rsidRPr="005B5439" w:rsidRDefault="005B5439" w:rsidP="005B5439">
            <w:pPr>
              <w:pStyle w:val="Paragraphedeliste"/>
              <w:numPr>
                <w:ilvl w:val="0"/>
                <w:numId w:val="31"/>
              </w:numPr>
              <w:ind w:left="189" w:hanging="112"/>
              <w:rPr>
                <w:rFonts w:ascii="Arial Narrow" w:hAnsi="Arial Narrow" w:cstheme="minorHAnsi"/>
                <w:sz w:val="20"/>
                <w:szCs w:val="20"/>
              </w:rPr>
            </w:pPr>
          </w:p>
        </w:tc>
        <w:tc>
          <w:tcPr>
            <w:tcW w:w="2254" w:type="dxa"/>
          </w:tcPr>
          <w:p w14:paraId="7AD2D8B3" w14:textId="77777777" w:rsidR="005B5439" w:rsidRPr="005B5439" w:rsidRDefault="005B5439" w:rsidP="005B5439">
            <w:pPr>
              <w:pStyle w:val="Paragraphedeliste"/>
              <w:numPr>
                <w:ilvl w:val="0"/>
                <w:numId w:val="31"/>
              </w:numPr>
              <w:ind w:left="189" w:hanging="112"/>
              <w:rPr>
                <w:rFonts w:ascii="Arial Narrow" w:hAnsi="Arial Narrow"/>
                <w:sz w:val="20"/>
                <w:szCs w:val="20"/>
              </w:rPr>
            </w:pPr>
            <w:r w:rsidRPr="005B5439">
              <w:rPr>
                <w:rFonts w:ascii="Arial Narrow" w:hAnsi="Arial Narrow"/>
                <w:sz w:val="20"/>
                <w:szCs w:val="20"/>
              </w:rPr>
              <w:t xml:space="preserve">Méconnaissance de l’importance des </w:t>
            </w:r>
            <w:proofErr w:type="spellStart"/>
            <w:proofErr w:type="gramStart"/>
            <w:r w:rsidRPr="005B5439">
              <w:rPr>
                <w:rFonts w:ascii="Arial Narrow" w:hAnsi="Arial Narrow"/>
                <w:sz w:val="20"/>
                <w:szCs w:val="20"/>
              </w:rPr>
              <w:t>CPoN</w:t>
            </w:r>
            <w:proofErr w:type="spellEnd"/>
            <w:r w:rsidRPr="005B5439">
              <w:rPr>
                <w:rFonts w:ascii="Arial Narrow" w:hAnsi="Arial Narrow"/>
                <w:sz w:val="20"/>
                <w:szCs w:val="20"/>
              </w:rPr>
              <w:t>(</w:t>
            </w:r>
            <w:proofErr w:type="gramEnd"/>
            <w:r w:rsidRPr="005B5439">
              <w:rPr>
                <w:rFonts w:ascii="Arial Narrow" w:hAnsi="Arial Narrow"/>
                <w:sz w:val="20"/>
                <w:szCs w:val="20"/>
              </w:rPr>
              <w:t>6-8 semaines)</w:t>
            </w:r>
          </w:p>
          <w:p w14:paraId="05D054AD" w14:textId="77777777" w:rsidR="005B5439" w:rsidRPr="005B5439" w:rsidRDefault="005B5439" w:rsidP="005B5439">
            <w:pPr>
              <w:pStyle w:val="Paragraphedeliste"/>
              <w:numPr>
                <w:ilvl w:val="0"/>
                <w:numId w:val="31"/>
              </w:numPr>
              <w:ind w:left="189" w:hanging="112"/>
              <w:rPr>
                <w:rFonts w:ascii="Arial Narrow" w:hAnsi="Arial Narrow" w:cstheme="minorHAnsi"/>
                <w:sz w:val="20"/>
                <w:szCs w:val="20"/>
              </w:rPr>
            </w:pPr>
            <w:r w:rsidRPr="005B5439">
              <w:rPr>
                <w:rFonts w:ascii="Arial Narrow" w:hAnsi="Arial Narrow" w:cstheme="minorHAnsi"/>
                <w:sz w:val="20"/>
                <w:szCs w:val="20"/>
              </w:rPr>
              <w:t xml:space="preserve">Insuffisance d’information sur l’importance des </w:t>
            </w:r>
            <w:proofErr w:type="spellStart"/>
            <w:r w:rsidRPr="005B5439">
              <w:rPr>
                <w:rFonts w:ascii="Arial Narrow" w:hAnsi="Arial Narrow" w:cstheme="minorHAnsi"/>
                <w:sz w:val="20"/>
                <w:szCs w:val="20"/>
              </w:rPr>
              <w:t>CPoN</w:t>
            </w:r>
            <w:proofErr w:type="spellEnd"/>
            <w:r w:rsidRPr="005B5439">
              <w:rPr>
                <w:rFonts w:ascii="Arial Narrow" w:hAnsi="Arial Narrow" w:cstheme="minorHAnsi"/>
                <w:sz w:val="20"/>
                <w:szCs w:val="20"/>
              </w:rPr>
              <w:t xml:space="preserve"> des CPN</w:t>
            </w:r>
          </w:p>
          <w:p w14:paraId="244D17E3" w14:textId="77777777" w:rsidR="005B5439" w:rsidRPr="005B5439" w:rsidRDefault="005B5439" w:rsidP="005B5439">
            <w:pPr>
              <w:pStyle w:val="Paragraphedeliste"/>
              <w:numPr>
                <w:ilvl w:val="0"/>
                <w:numId w:val="31"/>
              </w:numPr>
              <w:ind w:left="189" w:hanging="112"/>
              <w:rPr>
                <w:rFonts w:ascii="Arial Narrow" w:hAnsi="Arial Narrow" w:cstheme="minorHAnsi"/>
                <w:sz w:val="20"/>
                <w:szCs w:val="20"/>
              </w:rPr>
            </w:pPr>
            <w:r w:rsidRPr="005B5439">
              <w:rPr>
                <w:rFonts w:ascii="Arial Narrow" w:hAnsi="Arial Narrow" w:cstheme="minorHAnsi"/>
                <w:sz w:val="20"/>
                <w:szCs w:val="20"/>
              </w:rPr>
              <w:t>Longue attente dans les structures liée à l’intégration des services</w:t>
            </w:r>
          </w:p>
          <w:p w14:paraId="3C9A2B4B" w14:textId="77777777" w:rsidR="005B5439" w:rsidRPr="005B5439" w:rsidRDefault="005B5439" w:rsidP="005B5439">
            <w:pPr>
              <w:pStyle w:val="Paragraphedeliste"/>
              <w:numPr>
                <w:ilvl w:val="0"/>
                <w:numId w:val="31"/>
              </w:numPr>
              <w:ind w:left="189" w:hanging="112"/>
              <w:rPr>
                <w:rFonts w:ascii="Arial Narrow" w:hAnsi="Arial Narrow" w:cstheme="minorHAnsi"/>
                <w:sz w:val="20"/>
                <w:szCs w:val="20"/>
              </w:rPr>
            </w:pPr>
            <w:r w:rsidRPr="005B5439">
              <w:rPr>
                <w:rFonts w:ascii="Arial Narrow" w:hAnsi="Arial Narrow" w:cstheme="minorHAnsi"/>
                <w:sz w:val="20"/>
                <w:szCs w:val="20"/>
              </w:rPr>
              <w:t xml:space="preserve">Insuffisance des soins humanisés </w:t>
            </w:r>
          </w:p>
        </w:tc>
        <w:tc>
          <w:tcPr>
            <w:tcW w:w="2254" w:type="dxa"/>
          </w:tcPr>
          <w:p w14:paraId="017BAF32" w14:textId="77777777" w:rsidR="005B5439" w:rsidRPr="005B5439" w:rsidRDefault="005B5439" w:rsidP="005B5439">
            <w:pPr>
              <w:pStyle w:val="Paragraphedeliste"/>
              <w:keepNext/>
              <w:numPr>
                <w:ilvl w:val="0"/>
                <w:numId w:val="31"/>
              </w:numPr>
              <w:ind w:left="189" w:hanging="112"/>
              <w:rPr>
                <w:rFonts w:ascii="Arial Narrow" w:hAnsi="Arial Narrow" w:cstheme="minorHAnsi"/>
                <w:sz w:val="20"/>
                <w:szCs w:val="20"/>
              </w:rPr>
            </w:pPr>
          </w:p>
        </w:tc>
      </w:tr>
      <w:tr w:rsidR="005B5439" w:rsidRPr="0010300F" w14:paraId="2FA108FE" w14:textId="77777777">
        <w:trPr>
          <w:cantSplit/>
        </w:trPr>
        <w:tc>
          <w:tcPr>
            <w:tcW w:w="2254" w:type="dxa"/>
            <w:vAlign w:val="center"/>
          </w:tcPr>
          <w:p w14:paraId="7C80B434" w14:textId="77777777" w:rsidR="005B5439" w:rsidRPr="005B5439" w:rsidRDefault="005B5439">
            <w:pPr>
              <w:rPr>
                <w:rFonts w:ascii="Arial Narrow" w:hAnsi="Arial Narrow" w:cstheme="minorHAnsi"/>
                <w:sz w:val="20"/>
                <w:szCs w:val="20"/>
              </w:rPr>
            </w:pPr>
            <w:r w:rsidRPr="005B5439">
              <w:rPr>
                <w:rFonts w:ascii="Arial Narrow" w:hAnsi="Arial Narrow" w:cstheme="minorHAnsi"/>
                <w:sz w:val="20"/>
                <w:szCs w:val="20"/>
              </w:rPr>
              <w:t>Comment atteindre la couverture vaccinale en (Penta 3, Tétanos et RR) de 95% d’ici fin 2025 ?</w:t>
            </w:r>
          </w:p>
        </w:tc>
        <w:tc>
          <w:tcPr>
            <w:tcW w:w="2254" w:type="dxa"/>
          </w:tcPr>
          <w:p w14:paraId="708E32DF" w14:textId="77777777" w:rsidR="005B5439" w:rsidRPr="005B5439" w:rsidRDefault="005B5439" w:rsidP="005B5439">
            <w:pPr>
              <w:pStyle w:val="Paragraphedeliste"/>
              <w:numPr>
                <w:ilvl w:val="0"/>
                <w:numId w:val="31"/>
              </w:numPr>
              <w:ind w:left="189" w:hanging="112"/>
              <w:rPr>
                <w:rFonts w:ascii="Arial Narrow" w:hAnsi="Arial Narrow" w:cstheme="minorHAnsi"/>
                <w:sz w:val="20"/>
                <w:szCs w:val="20"/>
              </w:rPr>
            </w:pPr>
            <w:r w:rsidRPr="00702D1E">
              <w:rPr>
                <w:rFonts w:ascii="Arial Narrow" w:hAnsi="Arial Narrow" w:cstheme="minorHAnsi"/>
                <w:sz w:val="20"/>
                <w:szCs w:val="20"/>
              </w:rPr>
              <w:t>Longue attente des mamans lors de la vaccination de leurs enfants</w:t>
            </w:r>
          </w:p>
        </w:tc>
        <w:tc>
          <w:tcPr>
            <w:tcW w:w="2254" w:type="dxa"/>
          </w:tcPr>
          <w:p w14:paraId="1A428FF9" w14:textId="77777777" w:rsidR="005B5439" w:rsidRPr="005B5439" w:rsidRDefault="005B5439" w:rsidP="005B5439">
            <w:pPr>
              <w:pStyle w:val="Paragraphedeliste"/>
              <w:numPr>
                <w:ilvl w:val="0"/>
                <w:numId w:val="31"/>
              </w:numPr>
              <w:ind w:left="189" w:hanging="112"/>
              <w:rPr>
                <w:rFonts w:ascii="Arial Narrow" w:hAnsi="Arial Narrow" w:cstheme="minorHAnsi"/>
                <w:sz w:val="20"/>
                <w:szCs w:val="20"/>
              </w:rPr>
            </w:pPr>
            <w:r w:rsidRPr="005B5439">
              <w:rPr>
                <w:rFonts w:ascii="Arial Narrow" w:hAnsi="Arial Narrow" w:cstheme="minorHAnsi"/>
                <w:sz w:val="20"/>
                <w:szCs w:val="20"/>
              </w:rPr>
              <w:t>Rumeurs sur les vaccins (effets indésirables infertilité)</w:t>
            </w:r>
          </w:p>
          <w:p w14:paraId="0699F9C9" w14:textId="77777777" w:rsidR="005B5439" w:rsidRPr="005B5439" w:rsidRDefault="005B5439" w:rsidP="005B5439">
            <w:pPr>
              <w:pStyle w:val="Paragraphedeliste"/>
              <w:numPr>
                <w:ilvl w:val="0"/>
                <w:numId w:val="31"/>
              </w:numPr>
              <w:ind w:left="189" w:hanging="112"/>
              <w:rPr>
                <w:rFonts w:ascii="Arial Narrow" w:hAnsi="Arial Narrow" w:cstheme="minorHAnsi"/>
                <w:sz w:val="20"/>
                <w:szCs w:val="20"/>
              </w:rPr>
            </w:pPr>
            <w:r w:rsidRPr="005B5439">
              <w:rPr>
                <w:rFonts w:ascii="Arial Narrow" w:hAnsi="Arial Narrow" w:cstheme="minorHAnsi"/>
                <w:sz w:val="20"/>
                <w:szCs w:val="20"/>
              </w:rPr>
              <w:t>Méconnaissance de l’importance de la vaccination pour les femmes enceintes et les enfants</w:t>
            </w:r>
          </w:p>
          <w:p w14:paraId="5C103B95" w14:textId="77777777" w:rsidR="005B5439" w:rsidRPr="005B5439" w:rsidRDefault="005B5439" w:rsidP="005B5439">
            <w:pPr>
              <w:pStyle w:val="Paragraphedeliste"/>
              <w:numPr>
                <w:ilvl w:val="0"/>
                <w:numId w:val="31"/>
              </w:numPr>
              <w:ind w:left="189" w:hanging="112"/>
              <w:rPr>
                <w:rFonts w:ascii="Arial Narrow" w:hAnsi="Arial Narrow" w:cstheme="minorHAnsi"/>
                <w:sz w:val="20"/>
                <w:szCs w:val="20"/>
              </w:rPr>
            </w:pPr>
            <w:r w:rsidRPr="005B5439">
              <w:rPr>
                <w:rFonts w:ascii="Arial Narrow" w:hAnsi="Arial Narrow" w:cstheme="minorHAnsi"/>
                <w:sz w:val="20"/>
                <w:szCs w:val="20"/>
              </w:rPr>
              <w:t>Faible implication des communautés aux activités de vaccination de routine</w:t>
            </w:r>
          </w:p>
          <w:p w14:paraId="75CA995E" w14:textId="77777777" w:rsidR="005B5439" w:rsidRPr="005B5439" w:rsidRDefault="005B5439" w:rsidP="005B5439">
            <w:pPr>
              <w:pStyle w:val="Paragraphedeliste"/>
              <w:numPr>
                <w:ilvl w:val="0"/>
                <w:numId w:val="31"/>
              </w:numPr>
              <w:ind w:left="189" w:hanging="112"/>
              <w:rPr>
                <w:rFonts w:ascii="Arial Narrow" w:hAnsi="Arial Narrow" w:cstheme="minorHAnsi"/>
                <w:sz w:val="20"/>
                <w:szCs w:val="20"/>
              </w:rPr>
            </w:pPr>
            <w:r w:rsidRPr="00702D1E">
              <w:rPr>
                <w:rFonts w:ascii="Arial Narrow" w:hAnsi="Arial Narrow" w:cstheme="minorHAnsi"/>
                <w:sz w:val="20"/>
                <w:szCs w:val="20"/>
              </w:rPr>
              <w:t>Insécurité sur les routes empruntes par les vaccinateurs</w:t>
            </w:r>
          </w:p>
        </w:tc>
        <w:tc>
          <w:tcPr>
            <w:tcW w:w="2254" w:type="dxa"/>
          </w:tcPr>
          <w:p w14:paraId="786AADF8" w14:textId="77777777" w:rsidR="005B5439" w:rsidRPr="005B5439" w:rsidRDefault="005B5439" w:rsidP="005B5439">
            <w:pPr>
              <w:pStyle w:val="Paragraphedeliste"/>
              <w:keepNext/>
              <w:numPr>
                <w:ilvl w:val="0"/>
                <w:numId w:val="31"/>
              </w:numPr>
              <w:ind w:left="189" w:hanging="112"/>
              <w:rPr>
                <w:rFonts w:ascii="Arial Narrow" w:hAnsi="Arial Narrow" w:cstheme="minorHAnsi"/>
                <w:sz w:val="20"/>
                <w:szCs w:val="20"/>
              </w:rPr>
            </w:pPr>
            <w:r w:rsidRPr="005B5439">
              <w:rPr>
                <w:rFonts w:ascii="Arial Narrow" w:hAnsi="Arial Narrow" w:cstheme="minorHAnsi"/>
                <w:sz w:val="20"/>
                <w:szCs w:val="20"/>
              </w:rPr>
              <w:t>Mauvais état des routes limitant la mobilité des équipes de vaccination</w:t>
            </w:r>
          </w:p>
        </w:tc>
      </w:tr>
      <w:tr w:rsidR="005B5439" w:rsidRPr="0010300F" w14:paraId="0B6C46AC" w14:textId="77777777">
        <w:trPr>
          <w:cantSplit/>
        </w:trPr>
        <w:tc>
          <w:tcPr>
            <w:tcW w:w="2254" w:type="dxa"/>
            <w:vAlign w:val="center"/>
          </w:tcPr>
          <w:p w14:paraId="4FE2C287" w14:textId="6116A97B" w:rsidR="005B5439" w:rsidRPr="005B5439" w:rsidRDefault="005B5439">
            <w:pPr>
              <w:rPr>
                <w:rFonts w:ascii="Arial Narrow" w:hAnsi="Arial Narrow" w:cstheme="minorHAnsi"/>
                <w:sz w:val="20"/>
                <w:szCs w:val="20"/>
              </w:rPr>
            </w:pPr>
            <w:r w:rsidRPr="005B5439">
              <w:rPr>
                <w:rFonts w:ascii="Arial Narrow" w:hAnsi="Arial Narrow" w:cstheme="minorHAnsi"/>
                <w:sz w:val="20"/>
                <w:szCs w:val="20"/>
              </w:rPr>
              <w:t xml:space="preserve">Comment réduire </w:t>
            </w:r>
            <w:r w:rsidR="007C395A">
              <w:rPr>
                <w:rFonts w:ascii="Arial Narrow" w:hAnsi="Arial Narrow" w:cstheme="minorHAnsi"/>
                <w:sz w:val="20"/>
                <w:szCs w:val="20"/>
              </w:rPr>
              <w:t xml:space="preserve">le </w:t>
            </w:r>
            <w:r w:rsidRPr="005B5439">
              <w:rPr>
                <w:rFonts w:ascii="Arial Narrow" w:hAnsi="Arial Narrow" w:cstheme="minorHAnsi"/>
                <w:sz w:val="20"/>
                <w:szCs w:val="20"/>
              </w:rPr>
              <w:t>nombre de décès maternel et infantile dans les régions sanitaires d’ici à fin 2025 ?</w:t>
            </w:r>
          </w:p>
        </w:tc>
        <w:tc>
          <w:tcPr>
            <w:tcW w:w="2254" w:type="dxa"/>
          </w:tcPr>
          <w:p w14:paraId="643EFA5D" w14:textId="77777777" w:rsidR="007C395A" w:rsidRDefault="007C395A" w:rsidP="007C395A">
            <w:pPr>
              <w:pStyle w:val="Paragraphedeliste"/>
              <w:keepNext/>
              <w:numPr>
                <w:ilvl w:val="0"/>
                <w:numId w:val="31"/>
              </w:numPr>
              <w:ind w:left="189" w:hanging="112"/>
              <w:rPr>
                <w:rFonts w:ascii="Arial Narrow" w:hAnsi="Arial Narrow" w:cstheme="minorHAnsi"/>
                <w:sz w:val="20"/>
                <w:szCs w:val="20"/>
              </w:rPr>
            </w:pPr>
            <w:r w:rsidRPr="005B5439">
              <w:rPr>
                <w:rFonts w:ascii="Arial Narrow" w:hAnsi="Arial Narrow" w:cstheme="minorHAnsi"/>
                <w:sz w:val="20"/>
                <w:szCs w:val="20"/>
              </w:rPr>
              <w:t>Manques de blocs opératoires de services de réanimation et d’ambulances médicalisées dans certains hôpitaux</w:t>
            </w:r>
          </w:p>
          <w:p w14:paraId="3F77E563" w14:textId="3D70C473" w:rsidR="005B5439" w:rsidRPr="005B5439" w:rsidRDefault="005B5439" w:rsidP="005B5439">
            <w:pPr>
              <w:pStyle w:val="Paragraphedeliste"/>
              <w:numPr>
                <w:ilvl w:val="0"/>
                <w:numId w:val="31"/>
              </w:numPr>
              <w:ind w:left="189" w:hanging="112"/>
              <w:rPr>
                <w:rFonts w:ascii="Arial Narrow" w:hAnsi="Arial Narrow" w:cstheme="minorHAnsi"/>
                <w:sz w:val="20"/>
                <w:szCs w:val="20"/>
              </w:rPr>
            </w:pPr>
          </w:p>
        </w:tc>
        <w:tc>
          <w:tcPr>
            <w:tcW w:w="2254" w:type="dxa"/>
          </w:tcPr>
          <w:p w14:paraId="1E28C8BD" w14:textId="77777777" w:rsidR="005B5439" w:rsidRDefault="005B5439" w:rsidP="005B5439">
            <w:pPr>
              <w:pStyle w:val="Paragraphedeliste"/>
              <w:numPr>
                <w:ilvl w:val="0"/>
                <w:numId w:val="31"/>
              </w:numPr>
              <w:ind w:left="189" w:hanging="112"/>
              <w:rPr>
                <w:rFonts w:ascii="Arial Narrow" w:hAnsi="Arial Narrow" w:cstheme="minorHAnsi"/>
                <w:sz w:val="20"/>
                <w:szCs w:val="20"/>
              </w:rPr>
            </w:pPr>
            <w:r w:rsidRPr="005B5439">
              <w:rPr>
                <w:rFonts w:ascii="Arial Narrow" w:hAnsi="Arial Narrow" w:cstheme="minorHAnsi"/>
                <w:sz w:val="20"/>
                <w:szCs w:val="20"/>
              </w:rPr>
              <w:t>Faible dotation en carburant pour les évacuations et supervisions</w:t>
            </w:r>
          </w:p>
          <w:p w14:paraId="5B03E0ED" w14:textId="77777777" w:rsidR="00B05DE6" w:rsidRPr="00702D1E" w:rsidRDefault="00B05DE6" w:rsidP="00B05DE6">
            <w:pPr>
              <w:pStyle w:val="Paragraphedeliste"/>
              <w:keepNext/>
              <w:numPr>
                <w:ilvl w:val="0"/>
                <w:numId w:val="31"/>
              </w:numPr>
              <w:ind w:left="189" w:hanging="112"/>
              <w:rPr>
                <w:rFonts w:ascii="Arial Narrow" w:hAnsi="Arial Narrow" w:cstheme="minorHAnsi"/>
                <w:color w:val="000000" w:themeColor="text1"/>
                <w:sz w:val="20"/>
                <w:szCs w:val="20"/>
              </w:rPr>
            </w:pPr>
            <w:r w:rsidRPr="00702D1E">
              <w:rPr>
                <w:rFonts w:ascii="Arial Narrow" w:hAnsi="Arial Narrow" w:cstheme="minorHAnsi"/>
                <w:color w:val="000000" w:themeColor="text1"/>
                <w:sz w:val="20"/>
                <w:szCs w:val="20"/>
              </w:rPr>
              <w:t>Insuffisance de gynécologues, sage femmes, pédiatres, anesthésistes</w:t>
            </w:r>
          </w:p>
          <w:p w14:paraId="427C869F" w14:textId="77777777" w:rsidR="00B05DE6" w:rsidRPr="005B5439" w:rsidRDefault="00B05DE6" w:rsidP="005B5439">
            <w:pPr>
              <w:pStyle w:val="Paragraphedeliste"/>
              <w:numPr>
                <w:ilvl w:val="0"/>
                <w:numId w:val="31"/>
              </w:numPr>
              <w:ind w:left="189" w:hanging="112"/>
              <w:rPr>
                <w:rFonts w:ascii="Arial Narrow" w:hAnsi="Arial Narrow" w:cstheme="minorHAnsi"/>
                <w:sz w:val="20"/>
                <w:szCs w:val="20"/>
              </w:rPr>
            </w:pPr>
          </w:p>
        </w:tc>
        <w:tc>
          <w:tcPr>
            <w:tcW w:w="2254" w:type="dxa"/>
          </w:tcPr>
          <w:p w14:paraId="07E8DCD3" w14:textId="288D4BA1" w:rsidR="007C395A" w:rsidRPr="005B5439" w:rsidRDefault="007C395A" w:rsidP="005B5439">
            <w:pPr>
              <w:pStyle w:val="Paragraphedeliste"/>
              <w:keepNext/>
              <w:numPr>
                <w:ilvl w:val="0"/>
                <w:numId w:val="31"/>
              </w:numPr>
              <w:ind w:left="189" w:hanging="112"/>
              <w:rPr>
                <w:rFonts w:ascii="Arial Narrow" w:hAnsi="Arial Narrow" w:cstheme="minorHAnsi"/>
                <w:sz w:val="20"/>
                <w:szCs w:val="20"/>
              </w:rPr>
            </w:pPr>
            <w:r w:rsidRPr="00702D1E">
              <w:rPr>
                <w:rFonts w:ascii="Arial Narrow" w:hAnsi="Arial Narrow" w:cstheme="minorHAnsi"/>
                <w:color w:val="000000" w:themeColor="text1"/>
                <w:sz w:val="20"/>
                <w:szCs w:val="20"/>
              </w:rPr>
              <w:t>Mauvais état des routes affectant les évacuations d’urgence</w:t>
            </w:r>
          </w:p>
        </w:tc>
      </w:tr>
      <w:tr w:rsidR="005B5439" w:rsidRPr="0010300F" w14:paraId="1BE85110" w14:textId="77777777">
        <w:trPr>
          <w:cantSplit/>
        </w:trPr>
        <w:tc>
          <w:tcPr>
            <w:tcW w:w="2254" w:type="dxa"/>
            <w:vAlign w:val="center"/>
          </w:tcPr>
          <w:p w14:paraId="53DFFAEB" w14:textId="77777777" w:rsidR="005B5439" w:rsidRPr="005B5439" w:rsidRDefault="005B5439">
            <w:pPr>
              <w:rPr>
                <w:rFonts w:ascii="Arial Narrow" w:hAnsi="Arial Narrow" w:cstheme="minorHAnsi"/>
                <w:sz w:val="20"/>
                <w:szCs w:val="20"/>
              </w:rPr>
            </w:pPr>
            <w:r w:rsidRPr="005B5439">
              <w:rPr>
                <w:rFonts w:ascii="Arial Narrow" w:hAnsi="Arial Narrow" w:cstheme="minorHAnsi"/>
                <w:sz w:val="20"/>
                <w:szCs w:val="20"/>
              </w:rPr>
              <w:t>Comment améliorer l'utilisation des nouvelles méthodes contraceptives d’ici à fin 2025 ?</w:t>
            </w:r>
          </w:p>
        </w:tc>
        <w:tc>
          <w:tcPr>
            <w:tcW w:w="2254" w:type="dxa"/>
          </w:tcPr>
          <w:p w14:paraId="52A9D952" w14:textId="77777777" w:rsidR="005B5439" w:rsidRPr="005B5439" w:rsidRDefault="005B5439" w:rsidP="005B5439">
            <w:pPr>
              <w:pStyle w:val="Paragraphedeliste"/>
              <w:numPr>
                <w:ilvl w:val="0"/>
                <w:numId w:val="31"/>
              </w:numPr>
              <w:ind w:left="189" w:hanging="112"/>
              <w:rPr>
                <w:rFonts w:ascii="Arial Narrow" w:hAnsi="Arial Narrow" w:cstheme="minorHAnsi"/>
                <w:sz w:val="20"/>
                <w:szCs w:val="20"/>
              </w:rPr>
            </w:pPr>
            <w:r w:rsidRPr="005B5439">
              <w:rPr>
                <w:rFonts w:ascii="Arial Narrow" w:hAnsi="Arial Narrow" w:cstheme="minorHAnsi"/>
                <w:sz w:val="20"/>
                <w:szCs w:val="20"/>
              </w:rPr>
              <w:t>Facteurs économique-cout important des intrants en PF</w:t>
            </w:r>
          </w:p>
          <w:p w14:paraId="5902F15C" w14:textId="77777777" w:rsidR="005B5439" w:rsidRPr="005B5439" w:rsidRDefault="005B5439" w:rsidP="005B5439">
            <w:pPr>
              <w:pStyle w:val="Paragraphedeliste"/>
              <w:numPr>
                <w:ilvl w:val="0"/>
                <w:numId w:val="31"/>
              </w:numPr>
              <w:ind w:left="189" w:hanging="112"/>
              <w:rPr>
                <w:rFonts w:ascii="Arial Narrow" w:hAnsi="Arial Narrow" w:cstheme="minorHAnsi"/>
                <w:sz w:val="20"/>
                <w:szCs w:val="20"/>
              </w:rPr>
            </w:pPr>
            <w:r w:rsidRPr="005B5439">
              <w:rPr>
                <w:rFonts w:ascii="Arial Narrow" w:hAnsi="Arial Narrow" w:cstheme="minorHAnsi"/>
                <w:sz w:val="20"/>
                <w:szCs w:val="20"/>
              </w:rPr>
              <w:t>Faible pouvoir de décision des femmes dans le foyer</w:t>
            </w:r>
          </w:p>
        </w:tc>
        <w:tc>
          <w:tcPr>
            <w:tcW w:w="2254" w:type="dxa"/>
          </w:tcPr>
          <w:p w14:paraId="60F236B4" w14:textId="77777777" w:rsidR="005B5439" w:rsidRPr="005B5439" w:rsidRDefault="005B5439" w:rsidP="005B5439">
            <w:pPr>
              <w:pStyle w:val="Paragraphedeliste"/>
              <w:numPr>
                <w:ilvl w:val="0"/>
                <w:numId w:val="31"/>
              </w:numPr>
              <w:ind w:left="189" w:hanging="112"/>
              <w:rPr>
                <w:rFonts w:ascii="Arial Narrow" w:hAnsi="Arial Narrow" w:cstheme="minorHAnsi"/>
                <w:sz w:val="20"/>
                <w:szCs w:val="20"/>
              </w:rPr>
            </w:pPr>
            <w:r w:rsidRPr="005B5439">
              <w:rPr>
                <w:rFonts w:ascii="Arial Narrow" w:hAnsi="Arial Narrow" w:cstheme="minorHAnsi"/>
                <w:sz w:val="20"/>
                <w:szCs w:val="20"/>
              </w:rPr>
              <w:t>Méconnaissance de l’importance de la planification familiale</w:t>
            </w:r>
          </w:p>
          <w:p w14:paraId="472980E4" w14:textId="77777777" w:rsidR="005B5439" w:rsidRPr="005B5439" w:rsidRDefault="005B5439" w:rsidP="005B5439">
            <w:pPr>
              <w:pStyle w:val="Paragraphedeliste"/>
              <w:numPr>
                <w:ilvl w:val="0"/>
                <w:numId w:val="31"/>
              </w:numPr>
              <w:ind w:left="189" w:hanging="112"/>
              <w:rPr>
                <w:rFonts w:ascii="Arial Narrow" w:hAnsi="Arial Narrow" w:cstheme="minorHAnsi"/>
                <w:sz w:val="20"/>
                <w:szCs w:val="20"/>
              </w:rPr>
            </w:pPr>
            <w:r w:rsidRPr="005B5439">
              <w:rPr>
                <w:rFonts w:ascii="Arial Narrow" w:hAnsi="Arial Narrow" w:cstheme="minorHAnsi"/>
                <w:sz w:val="20"/>
                <w:szCs w:val="20"/>
              </w:rPr>
              <w:t>Rupture fréquente des intrants</w:t>
            </w:r>
          </w:p>
          <w:p w14:paraId="1E427B14" w14:textId="77777777" w:rsidR="005B5439" w:rsidRPr="005B5439" w:rsidRDefault="005B5439" w:rsidP="005B5439">
            <w:pPr>
              <w:pStyle w:val="Paragraphedeliste"/>
              <w:numPr>
                <w:ilvl w:val="0"/>
                <w:numId w:val="31"/>
              </w:numPr>
              <w:ind w:left="189" w:hanging="112"/>
              <w:rPr>
                <w:rFonts w:ascii="Arial Narrow" w:hAnsi="Arial Narrow" w:cstheme="minorHAnsi"/>
                <w:sz w:val="20"/>
                <w:szCs w:val="20"/>
              </w:rPr>
            </w:pPr>
            <w:r w:rsidRPr="005B5439">
              <w:rPr>
                <w:rFonts w:ascii="Arial Narrow" w:hAnsi="Arial Narrow" w:cstheme="minorHAnsi"/>
                <w:sz w:val="20"/>
                <w:szCs w:val="20"/>
              </w:rPr>
              <w:t>Activité non réalisée à toutes les portes d’entrées</w:t>
            </w:r>
          </w:p>
          <w:p w14:paraId="77787658" w14:textId="77777777" w:rsidR="005B5439" w:rsidRPr="005B5439" w:rsidRDefault="005B5439" w:rsidP="005B5439">
            <w:pPr>
              <w:pStyle w:val="Paragraphedeliste"/>
              <w:numPr>
                <w:ilvl w:val="0"/>
                <w:numId w:val="31"/>
              </w:numPr>
              <w:ind w:left="189" w:hanging="112"/>
              <w:rPr>
                <w:rFonts w:ascii="Arial Narrow" w:hAnsi="Arial Narrow" w:cstheme="minorHAnsi"/>
                <w:sz w:val="20"/>
                <w:szCs w:val="20"/>
              </w:rPr>
            </w:pPr>
            <w:r w:rsidRPr="005B5439">
              <w:rPr>
                <w:rFonts w:ascii="Arial Narrow" w:hAnsi="Arial Narrow" w:cstheme="minorHAnsi"/>
                <w:sz w:val="20"/>
                <w:szCs w:val="20"/>
              </w:rPr>
              <w:t>Facteurs socio-culturels : opposition des époux/conjoints a l’utilisation des contraceptifs</w:t>
            </w:r>
          </w:p>
        </w:tc>
        <w:tc>
          <w:tcPr>
            <w:tcW w:w="2254" w:type="dxa"/>
          </w:tcPr>
          <w:p w14:paraId="63610421" w14:textId="77777777" w:rsidR="005B5439" w:rsidRPr="005B5439" w:rsidRDefault="005B5439" w:rsidP="005B5439">
            <w:pPr>
              <w:pStyle w:val="Paragraphedeliste"/>
              <w:keepNext/>
              <w:numPr>
                <w:ilvl w:val="0"/>
                <w:numId w:val="31"/>
              </w:numPr>
              <w:ind w:left="189" w:hanging="112"/>
              <w:rPr>
                <w:rFonts w:ascii="Arial Narrow" w:hAnsi="Arial Narrow" w:cstheme="minorHAnsi"/>
                <w:sz w:val="20"/>
                <w:szCs w:val="20"/>
              </w:rPr>
            </w:pPr>
          </w:p>
        </w:tc>
      </w:tr>
      <w:tr w:rsidR="005B5439" w:rsidRPr="0010300F" w14:paraId="3D011489" w14:textId="77777777">
        <w:trPr>
          <w:cantSplit/>
        </w:trPr>
        <w:tc>
          <w:tcPr>
            <w:tcW w:w="2254" w:type="dxa"/>
            <w:vAlign w:val="center"/>
          </w:tcPr>
          <w:p w14:paraId="3A7A9BF1" w14:textId="0F245203" w:rsidR="005B5439" w:rsidRPr="005B5439" w:rsidRDefault="005B5439">
            <w:pPr>
              <w:rPr>
                <w:rFonts w:ascii="Arial Narrow" w:hAnsi="Arial Narrow" w:cstheme="minorHAnsi"/>
                <w:sz w:val="20"/>
                <w:szCs w:val="20"/>
              </w:rPr>
            </w:pPr>
            <w:r w:rsidRPr="005B5439">
              <w:rPr>
                <w:rFonts w:ascii="Arial Narrow" w:hAnsi="Arial Narrow" w:cstheme="minorHAnsi"/>
                <w:sz w:val="20"/>
                <w:szCs w:val="20"/>
              </w:rPr>
              <w:lastRenderedPageBreak/>
              <w:t>Comment réduire l’</w:t>
            </w:r>
            <w:r w:rsidR="00B05DE6">
              <w:rPr>
                <w:rFonts w:ascii="Arial Narrow" w:hAnsi="Arial Narrow" w:cstheme="minorHAnsi"/>
                <w:sz w:val="20"/>
                <w:szCs w:val="20"/>
              </w:rPr>
              <w:t>i</w:t>
            </w:r>
            <w:r w:rsidRPr="005B5439">
              <w:rPr>
                <w:rFonts w:ascii="Arial Narrow" w:hAnsi="Arial Narrow" w:cstheme="minorHAnsi"/>
                <w:sz w:val="20"/>
                <w:szCs w:val="20"/>
              </w:rPr>
              <w:t xml:space="preserve">ncidence de la malnutrition aigüe sévère des enfants de 0 à 59 mois à </w:t>
            </w:r>
            <w:r w:rsidR="00B05DE6">
              <w:rPr>
                <w:rFonts w:ascii="Arial Narrow" w:hAnsi="Arial Narrow" w:cstheme="minorHAnsi"/>
                <w:sz w:val="20"/>
                <w:szCs w:val="20"/>
              </w:rPr>
              <w:t>3,13</w:t>
            </w:r>
            <w:r w:rsidRPr="005B5439">
              <w:rPr>
                <w:rFonts w:ascii="Arial Narrow" w:hAnsi="Arial Narrow" w:cstheme="minorHAnsi"/>
                <w:sz w:val="20"/>
                <w:szCs w:val="20"/>
              </w:rPr>
              <w:t>‰ d’ici à fin 2025 ?</w:t>
            </w:r>
          </w:p>
        </w:tc>
        <w:tc>
          <w:tcPr>
            <w:tcW w:w="2254" w:type="dxa"/>
          </w:tcPr>
          <w:p w14:paraId="0CBD512F" w14:textId="77777777" w:rsidR="005B5439" w:rsidRPr="005B5439" w:rsidRDefault="005B5439" w:rsidP="007A001B">
            <w:pPr>
              <w:pStyle w:val="Paragraphedeliste"/>
              <w:ind w:left="189"/>
              <w:rPr>
                <w:rFonts w:ascii="Arial Narrow" w:hAnsi="Arial Narrow" w:cstheme="minorHAnsi"/>
                <w:sz w:val="20"/>
                <w:szCs w:val="20"/>
              </w:rPr>
            </w:pPr>
          </w:p>
        </w:tc>
        <w:tc>
          <w:tcPr>
            <w:tcW w:w="2254" w:type="dxa"/>
          </w:tcPr>
          <w:p w14:paraId="55E02960" w14:textId="77777777" w:rsidR="005B5439" w:rsidRPr="00702D1E" w:rsidRDefault="005B5439" w:rsidP="005B5439">
            <w:pPr>
              <w:pStyle w:val="Paragraphedeliste"/>
              <w:numPr>
                <w:ilvl w:val="0"/>
                <w:numId w:val="31"/>
              </w:numPr>
              <w:ind w:left="189" w:hanging="112"/>
              <w:rPr>
                <w:rFonts w:ascii="Arial Narrow" w:hAnsi="Arial Narrow" w:cstheme="minorHAnsi"/>
                <w:sz w:val="20"/>
                <w:szCs w:val="20"/>
              </w:rPr>
            </w:pPr>
            <w:r w:rsidRPr="00702D1E">
              <w:rPr>
                <w:rFonts w:ascii="Arial Narrow" w:hAnsi="Arial Narrow" w:cstheme="minorHAnsi"/>
                <w:sz w:val="20"/>
                <w:szCs w:val="20"/>
              </w:rPr>
              <w:t>Insuffisance d’application de l’allaitement maternel exclusif dans la communauté</w:t>
            </w:r>
          </w:p>
          <w:p w14:paraId="13A035A6" w14:textId="77777777" w:rsidR="005B5439" w:rsidRPr="005B5439" w:rsidRDefault="005B5439" w:rsidP="005B5439">
            <w:pPr>
              <w:pStyle w:val="Paragraphedeliste"/>
              <w:numPr>
                <w:ilvl w:val="0"/>
                <w:numId w:val="31"/>
              </w:numPr>
              <w:ind w:left="189" w:hanging="112"/>
              <w:rPr>
                <w:rFonts w:ascii="Arial Narrow" w:hAnsi="Arial Narrow" w:cstheme="minorHAnsi"/>
                <w:sz w:val="20"/>
                <w:szCs w:val="20"/>
              </w:rPr>
            </w:pPr>
            <w:r w:rsidRPr="005B5439">
              <w:rPr>
                <w:rFonts w:ascii="Arial Narrow" w:hAnsi="Arial Narrow" w:cstheme="minorHAnsi"/>
                <w:sz w:val="20"/>
                <w:szCs w:val="20"/>
              </w:rPr>
              <w:t>Insuffisance dans la PEC des cas de Malnutrition Aigüe Sévère avec complication (</w:t>
            </w:r>
            <w:proofErr w:type="spellStart"/>
            <w:r w:rsidRPr="005B5439">
              <w:rPr>
                <w:rFonts w:ascii="Arial Narrow" w:hAnsi="Arial Narrow" w:cstheme="minorHAnsi"/>
                <w:sz w:val="20"/>
                <w:szCs w:val="20"/>
              </w:rPr>
              <w:t>MASc</w:t>
            </w:r>
            <w:proofErr w:type="spellEnd"/>
            <w:r w:rsidRPr="005B5439">
              <w:rPr>
                <w:rFonts w:ascii="Arial Narrow" w:hAnsi="Arial Narrow" w:cstheme="minorHAnsi"/>
                <w:sz w:val="20"/>
                <w:szCs w:val="20"/>
              </w:rPr>
              <w:t>) dans les UNT</w:t>
            </w:r>
          </w:p>
          <w:p w14:paraId="0436D8C1" w14:textId="77777777" w:rsidR="005B5439" w:rsidRPr="005B5439" w:rsidRDefault="005B5439" w:rsidP="005B5439">
            <w:pPr>
              <w:pStyle w:val="Paragraphedeliste"/>
              <w:numPr>
                <w:ilvl w:val="0"/>
                <w:numId w:val="31"/>
              </w:numPr>
              <w:ind w:left="189" w:hanging="112"/>
              <w:rPr>
                <w:rFonts w:ascii="Arial Narrow" w:hAnsi="Arial Narrow" w:cstheme="minorHAnsi"/>
                <w:sz w:val="20"/>
                <w:szCs w:val="20"/>
              </w:rPr>
            </w:pPr>
            <w:r w:rsidRPr="005B5439">
              <w:rPr>
                <w:rFonts w:ascii="Arial Narrow" w:hAnsi="Arial Narrow" w:cstheme="minorHAnsi"/>
                <w:sz w:val="20"/>
                <w:szCs w:val="20"/>
              </w:rPr>
              <w:t>Insuffisance de ressources financières des ménages</w:t>
            </w:r>
          </w:p>
        </w:tc>
        <w:tc>
          <w:tcPr>
            <w:tcW w:w="2254" w:type="dxa"/>
          </w:tcPr>
          <w:p w14:paraId="47262779" w14:textId="77777777" w:rsidR="005B5439" w:rsidRPr="005B5439" w:rsidRDefault="005B5439" w:rsidP="005B5439">
            <w:pPr>
              <w:pStyle w:val="Paragraphedeliste"/>
              <w:keepNext/>
              <w:numPr>
                <w:ilvl w:val="0"/>
                <w:numId w:val="31"/>
              </w:numPr>
              <w:ind w:left="189" w:hanging="112"/>
              <w:rPr>
                <w:rFonts w:ascii="Arial Narrow" w:hAnsi="Arial Narrow" w:cstheme="minorHAnsi"/>
                <w:sz w:val="20"/>
                <w:szCs w:val="20"/>
              </w:rPr>
            </w:pPr>
            <w:r w:rsidRPr="005B5439">
              <w:rPr>
                <w:rFonts w:ascii="Arial Narrow" w:hAnsi="Arial Narrow" w:cstheme="minorHAnsi"/>
                <w:sz w:val="20"/>
                <w:szCs w:val="20"/>
              </w:rPr>
              <w:t>Insuffisance des UNT et UNTA fonctionnelles</w:t>
            </w:r>
          </w:p>
          <w:p w14:paraId="1DC5321D" w14:textId="77777777" w:rsidR="005B5439" w:rsidRPr="005B5439" w:rsidRDefault="005B5439" w:rsidP="005B5439">
            <w:pPr>
              <w:pStyle w:val="Paragraphedeliste"/>
              <w:keepNext/>
              <w:numPr>
                <w:ilvl w:val="0"/>
                <w:numId w:val="31"/>
              </w:numPr>
              <w:ind w:left="189" w:hanging="112"/>
              <w:rPr>
                <w:rFonts w:ascii="Arial Narrow" w:hAnsi="Arial Narrow" w:cstheme="minorHAnsi"/>
                <w:sz w:val="20"/>
                <w:szCs w:val="20"/>
              </w:rPr>
            </w:pPr>
            <w:r w:rsidRPr="005B5439">
              <w:rPr>
                <w:rFonts w:ascii="Arial Narrow" w:hAnsi="Arial Narrow" w:cstheme="minorHAnsi"/>
                <w:sz w:val="20"/>
                <w:szCs w:val="20"/>
              </w:rPr>
              <w:t>Suppression de salaires des Aides-nutritionnels assurant le suivi communautaire des activités de nutrition (sensibilisation, dépistages…)</w:t>
            </w:r>
          </w:p>
          <w:p w14:paraId="31203E41" w14:textId="1A71C580" w:rsidR="005B5439" w:rsidRPr="005B5439" w:rsidRDefault="005B5439" w:rsidP="00702D1E">
            <w:pPr>
              <w:pStyle w:val="Paragraphedeliste"/>
              <w:keepNext/>
              <w:ind w:left="189"/>
              <w:rPr>
                <w:rFonts w:ascii="Arial Narrow" w:hAnsi="Arial Narrow" w:cstheme="minorHAnsi"/>
                <w:sz w:val="20"/>
                <w:szCs w:val="20"/>
              </w:rPr>
            </w:pPr>
          </w:p>
        </w:tc>
      </w:tr>
    </w:tbl>
    <w:p w14:paraId="75ABA9E7" w14:textId="7F6AFB6D" w:rsidR="00BC30AE" w:rsidRPr="0052623B" w:rsidRDefault="00BC30AE" w:rsidP="00DC5897">
      <w:pPr>
        <w:pStyle w:val="Lgende"/>
      </w:pPr>
      <w:r w:rsidRPr="0052623B">
        <w:t xml:space="preserve">Sources : Données collectées pour la </w:t>
      </w:r>
      <w:r w:rsidR="00B635D8">
        <w:t>revue</w:t>
      </w:r>
      <w:r w:rsidRPr="0052623B">
        <w:t xml:space="preserve"> du PNDS </w:t>
      </w:r>
      <w:r w:rsidR="00EB1CA0">
        <w:t>2021-2025</w:t>
      </w:r>
    </w:p>
    <w:p w14:paraId="42B215C5" w14:textId="463C8998" w:rsidR="00BC30AE" w:rsidRPr="003078A3" w:rsidRDefault="00BC30AE" w:rsidP="00CF59E5">
      <w:pPr>
        <w:shd w:val="clear" w:color="auto" w:fill="BDD6EE" w:themeFill="accent5" w:themeFillTint="66"/>
        <w:rPr>
          <w:rFonts w:ascii="Arial Narrow" w:hAnsi="Arial Narrow" w:cstheme="minorHAnsi"/>
          <w:b/>
          <w:bCs/>
          <w:sz w:val="24"/>
          <w:szCs w:val="24"/>
        </w:rPr>
      </w:pPr>
      <w:bookmarkStart w:id="167" w:name="_Toc178699601"/>
      <w:r w:rsidRPr="003078A3">
        <w:rPr>
          <w:rFonts w:ascii="Arial Narrow" w:hAnsi="Arial Narrow" w:cstheme="minorHAnsi"/>
          <w:b/>
          <w:bCs/>
          <w:sz w:val="24"/>
          <w:szCs w:val="24"/>
        </w:rPr>
        <w:t xml:space="preserve">Problèmes de </w:t>
      </w:r>
      <w:r w:rsidR="00F86F0A">
        <w:rPr>
          <w:rFonts w:ascii="Arial Narrow" w:hAnsi="Arial Narrow" w:cstheme="minorHAnsi"/>
          <w:b/>
          <w:bCs/>
          <w:sz w:val="24"/>
          <w:szCs w:val="24"/>
        </w:rPr>
        <w:t>s</w:t>
      </w:r>
      <w:r w:rsidRPr="003078A3">
        <w:rPr>
          <w:rFonts w:ascii="Arial Narrow" w:hAnsi="Arial Narrow" w:cstheme="minorHAnsi"/>
          <w:b/>
          <w:bCs/>
          <w:sz w:val="24"/>
          <w:szCs w:val="24"/>
        </w:rPr>
        <w:t>anté relatifs à l’accessibilité</w:t>
      </w:r>
      <w:bookmarkEnd w:id="167"/>
    </w:p>
    <w:p w14:paraId="44F9F1A5" w14:textId="5BB96825" w:rsidR="00BC30AE" w:rsidRPr="0052623B" w:rsidRDefault="00BC30AE" w:rsidP="00D91371">
      <w:pPr>
        <w:jc w:val="both"/>
        <w:rPr>
          <w:rFonts w:ascii="Arial Narrow" w:hAnsi="Arial Narrow" w:cstheme="minorHAnsi"/>
          <w:sz w:val="24"/>
          <w:szCs w:val="24"/>
        </w:rPr>
      </w:pPr>
      <w:r w:rsidRPr="0052623B">
        <w:rPr>
          <w:rFonts w:ascii="Arial Narrow" w:hAnsi="Arial Narrow" w:cstheme="minorHAnsi"/>
          <w:sz w:val="24"/>
          <w:szCs w:val="24"/>
        </w:rPr>
        <w:t>Sur la thématique de l’accessibilité, les problèmes de Santé ci-après ont été recensés au niveau des régions sanitaires, malgré la mise en œuvre du PNDS </w:t>
      </w:r>
      <w:r w:rsidR="00EB1CA0">
        <w:rPr>
          <w:rFonts w:ascii="Arial Narrow" w:hAnsi="Arial Narrow" w:cstheme="minorHAnsi"/>
          <w:sz w:val="24"/>
          <w:szCs w:val="24"/>
        </w:rPr>
        <w:t>2021-2025</w:t>
      </w:r>
      <w:r w:rsidRPr="0052623B">
        <w:rPr>
          <w:rFonts w:ascii="Arial Narrow" w:hAnsi="Arial Narrow" w:cstheme="minorHAnsi"/>
          <w:sz w:val="24"/>
          <w:szCs w:val="24"/>
        </w:rPr>
        <w:t xml:space="preserve"> :</w:t>
      </w:r>
    </w:p>
    <w:p w14:paraId="43B820EE" w14:textId="0D3714E9" w:rsidR="00BC30AE" w:rsidRPr="00FB59F7" w:rsidRDefault="00BC30AE" w:rsidP="00D91371">
      <w:pPr>
        <w:pStyle w:val="Paragraphedeliste"/>
        <w:numPr>
          <w:ilvl w:val="0"/>
          <w:numId w:val="50"/>
        </w:numPr>
        <w:ind w:left="426"/>
        <w:jc w:val="both"/>
        <w:rPr>
          <w:rFonts w:ascii="Arial Narrow" w:hAnsi="Arial Narrow" w:cstheme="minorHAnsi"/>
          <w:i/>
          <w:iCs/>
          <w:sz w:val="24"/>
          <w:szCs w:val="24"/>
        </w:rPr>
      </w:pPr>
      <w:r w:rsidRPr="00FB59F7">
        <w:rPr>
          <w:rFonts w:ascii="Arial Narrow" w:hAnsi="Arial Narrow" w:cstheme="minorHAnsi"/>
          <w:i/>
          <w:iCs/>
          <w:sz w:val="24"/>
          <w:szCs w:val="24"/>
        </w:rPr>
        <w:t xml:space="preserve">La faible couverture en structures sanitaires (ESPC, </w:t>
      </w:r>
      <w:r w:rsidR="00B05DE6" w:rsidRPr="00FB59F7">
        <w:rPr>
          <w:rFonts w:ascii="Arial Narrow" w:hAnsi="Arial Narrow" w:cstheme="minorHAnsi"/>
          <w:i/>
          <w:iCs/>
          <w:sz w:val="24"/>
          <w:szCs w:val="24"/>
        </w:rPr>
        <w:t>HG, C</w:t>
      </w:r>
      <w:r w:rsidRPr="00FB59F7">
        <w:rPr>
          <w:rFonts w:ascii="Arial Narrow" w:hAnsi="Arial Narrow" w:cstheme="minorHAnsi"/>
          <w:i/>
          <w:iCs/>
          <w:sz w:val="24"/>
          <w:szCs w:val="24"/>
        </w:rPr>
        <w:t>HR) ;</w:t>
      </w:r>
    </w:p>
    <w:p w14:paraId="09D42A13" w14:textId="71DCE55B" w:rsidR="00BC30AE" w:rsidRPr="00FB59F7" w:rsidRDefault="00B05DE6" w:rsidP="00D91371">
      <w:pPr>
        <w:pStyle w:val="Paragraphedeliste"/>
        <w:numPr>
          <w:ilvl w:val="0"/>
          <w:numId w:val="50"/>
        </w:numPr>
        <w:ind w:left="426"/>
        <w:jc w:val="both"/>
        <w:rPr>
          <w:rFonts w:ascii="Arial Narrow" w:hAnsi="Arial Narrow" w:cstheme="minorHAnsi"/>
          <w:i/>
          <w:iCs/>
          <w:sz w:val="24"/>
          <w:szCs w:val="24"/>
        </w:rPr>
      </w:pPr>
      <w:r w:rsidRPr="00702D1E">
        <w:rPr>
          <w:rFonts w:ascii="Arial Narrow" w:hAnsi="Arial Narrow" w:cstheme="minorHAnsi"/>
          <w:i/>
          <w:iCs/>
          <w:color w:val="000000" w:themeColor="text1"/>
          <w:sz w:val="24"/>
          <w:szCs w:val="24"/>
        </w:rPr>
        <w:t xml:space="preserve">La </w:t>
      </w:r>
      <w:proofErr w:type="spellStart"/>
      <w:r w:rsidRPr="00702D1E">
        <w:rPr>
          <w:rFonts w:ascii="Arial Narrow" w:hAnsi="Arial Narrow" w:cstheme="minorHAnsi"/>
          <w:i/>
          <w:iCs/>
          <w:color w:val="000000" w:themeColor="text1"/>
          <w:sz w:val="24"/>
          <w:szCs w:val="24"/>
        </w:rPr>
        <w:t>non conformité</w:t>
      </w:r>
      <w:proofErr w:type="spellEnd"/>
      <w:r w:rsidRPr="00702D1E">
        <w:rPr>
          <w:rFonts w:ascii="Arial Narrow" w:hAnsi="Arial Narrow" w:cstheme="minorHAnsi"/>
          <w:i/>
          <w:iCs/>
          <w:color w:val="000000" w:themeColor="text1"/>
          <w:sz w:val="24"/>
          <w:szCs w:val="24"/>
        </w:rPr>
        <w:t xml:space="preserve"> </w:t>
      </w:r>
      <w:r w:rsidR="00BC30AE" w:rsidRPr="00702D1E">
        <w:rPr>
          <w:rFonts w:ascii="Arial Narrow" w:hAnsi="Arial Narrow" w:cstheme="minorHAnsi"/>
          <w:i/>
          <w:iCs/>
          <w:color w:val="000000" w:themeColor="text1"/>
          <w:sz w:val="24"/>
          <w:szCs w:val="24"/>
        </w:rPr>
        <w:t xml:space="preserve">de </w:t>
      </w:r>
      <w:r w:rsidRPr="00702D1E">
        <w:rPr>
          <w:rFonts w:ascii="Arial Narrow" w:hAnsi="Arial Narrow" w:cstheme="minorHAnsi"/>
          <w:i/>
          <w:iCs/>
          <w:color w:val="000000" w:themeColor="text1"/>
          <w:sz w:val="24"/>
          <w:szCs w:val="24"/>
        </w:rPr>
        <w:t xml:space="preserve">certaines </w:t>
      </w:r>
      <w:r w:rsidR="00BC30AE" w:rsidRPr="00702D1E">
        <w:rPr>
          <w:rFonts w:ascii="Arial Narrow" w:hAnsi="Arial Narrow" w:cstheme="minorHAnsi"/>
          <w:i/>
          <w:iCs/>
          <w:sz w:val="24"/>
          <w:szCs w:val="24"/>
        </w:rPr>
        <w:t xml:space="preserve">structures </w:t>
      </w:r>
      <w:proofErr w:type="gramStart"/>
      <w:r w:rsidR="00BC30AE" w:rsidRPr="00702D1E">
        <w:rPr>
          <w:rFonts w:ascii="Arial Narrow" w:hAnsi="Arial Narrow" w:cstheme="minorHAnsi"/>
          <w:i/>
          <w:iCs/>
          <w:sz w:val="24"/>
          <w:szCs w:val="24"/>
        </w:rPr>
        <w:t>sanitaires</w:t>
      </w:r>
      <w:r w:rsidR="00BC30AE" w:rsidRPr="00FB59F7">
        <w:rPr>
          <w:rFonts w:ascii="Arial Narrow" w:hAnsi="Arial Narrow" w:cstheme="minorHAnsi"/>
          <w:i/>
          <w:iCs/>
          <w:sz w:val="24"/>
          <w:szCs w:val="24"/>
        </w:rPr>
        <w:t>;</w:t>
      </w:r>
      <w:proofErr w:type="gramEnd"/>
    </w:p>
    <w:p w14:paraId="2B5EC5B0" w14:textId="77777777" w:rsidR="00BC30AE" w:rsidRPr="00FB59F7" w:rsidRDefault="00BC30AE" w:rsidP="00D91371">
      <w:pPr>
        <w:pStyle w:val="Paragraphedeliste"/>
        <w:numPr>
          <w:ilvl w:val="0"/>
          <w:numId w:val="50"/>
        </w:numPr>
        <w:ind w:left="426"/>
        <w:jc w:val="both"/>
        <w:rPr>
          <w:rFonts w:ascii="Arial Narrow" w:hAnsi="Arial Narrow" w:cstheme="minorHAnsi"/>
          <w:i/>
          <w:iCs/>
          <w:sz w:val="24"/>
          <w:szCs w:val="24"/>
        </w:rPr>
      </w:pPr>
      <w:r w:rsidRPr="00FB59F7">
        <w:rPr>
          <w:rFonts w:ascii="Arial Narrow" w:hAnsi="Arial Narrow" w:cstheme="minorHAnsi"/>
          <w:i/>
          <w:iCs/>
          <w:sz w:val="24"/>
          <w:szCs w:val="24"/>
        </w:rPr>
        <w:t>La difficulté d'accès aux structures sanitaires ;</w:t>
      </w:r>
    </w:p>
    <w:p w14:paraId="6DD2BFE9" w14:textId="77777777" w:rsidR="00BC30AE" w:rsidRPr="003078A3" w:rsidRDefault="00BC30AE" w:rsidP="00D91371">
      <w:pPr>
        <w:pStyle w:val="Paragraphedeliste"/>
        <w:numPr>
          <w:ilvl w:val="0"/>
          <w:numId w:val="50"/>
        </w:numPr>
        <w:ind w:left="426"/>
        <w:jc w:val="both"/>
        <w:rPr>
          <w:rFonts w:ascii="Arial Narrow" w:hAnsi="Arial Narrow" w:cstheme="minorHAnsi"/>
          <w:i/>
          <w:iCs/>
          <w:sz w:val="24"/>
          <w:szCs w:val="24"/>
        </w:rPr>
      </w:pPr>
      <w:r w:rsidRPr="003078A3">
        <w:rPr>
          <w:rFonts w:ascii="Arial Narrow" w:hAnsi="Arial Narrow" w:cstheme="minorHAnsi"/>
          <w:i/>
          <w:iCs/>
          <w:sz w:val="24"/>
          <w:szCs w:val="24"/>
        </w:rPr>
        <w:t>La faible disponibilité des produits de la gratuité ciblée ;</w:t>
      </w:r>
    </w:p>
    <w:p w14:paraId="491938B8" w14:textId="77777777" w:rsidR="00BC30AE" w:rsidRPr="003078A3" w:rsidRDefault="00BC30AE" w:rsidP="00D91371">
      <w:pPr>
        <w:pStyle w:val="Paragraphedeliste"/>
        <w:numPr>
          <w:ilvl w:val="0"/>
          <w:numId w:val="50"/>
        </w:numPr>
        <w:ind w:left="426"/>
        <w:jc w:val="both"/>
        <w:rPr>
          <w:rFonts w:ascii="Arial Narrow" w:hAnsi="Arial Narrow" w:cstheme="minorHAnsi"/>
          <w:i/>
          <w:iCs/>
          <w:sz w:val="24"/>
          <w:szCs w:val="24"/>
        </w:rPr>
      </w:pPr>
      <w:r w:rsidRPr="003078A3">
        <w:rPr>
          <w:rFonts w:ascii="Arial Narrow" w:hAnsi="Arial Narrow" w:cstheme="minorHAnsi"/>
          <w:i/>
          <w:iCs/>
          <w:sz w:val="24"/>
          <w:szCs w:val="24"/>
        </w:rPr>
        <w:t>Le non-respect des directives de la gratuité ciblée des soins (GTC).</w:t>
      </w:r>
    </w:p>
    <w:p w14:paraId="41851BF5" w14:textId="0FBF2B88" w:rsidR="00BC30AE" w:rsidRPr="00B71117" w:rsidRDefault="00BC30AE" w:rsidP="00CF59E5">
      <w:pPr>
        <w:shd w:val="clear" w:color="auto" w:fill="DEEAF6" w:themeFill="accent5" w:themeFillTint="33"/>
        <w:rPr>
          <w:rFonts w:ascii="Arial Narrow" w:hAnsi="Arial Narrow" w:cstheme="minorHAnsi"/>
          <w:b/>
          <w:bCs/>
          <w:i/>
          <w:iCs/>
          <w:sz w:val="24"/>
          <w:szCs w:val="24"/>
        </w:rPr>
      </w:pPr>
      <w:bookmarkStart w:id="168" w:name="_Toc178699602"/>
      <w:r w:rsidRPr="00B71117">
        <w:rPr>
          <w:rFonts w:ascii="Arial Narrow" w:hAnsi="Arial Narrow" w:cstheme="minorHAnsi"/>
          <w:b/>
          <w:bCs/>
          <w:i/>
          <w:iCs/>
          <w:sz w:val="24"/>
          <w:szCs w:val="24"/>
        </w:rPr>
        <w:t xml:space="preserve">Comment augmenter la couverture en structures sanitaires (ESPC, </w:t>
      </w:r>
      <w:r w:rsidR="00F86F0A">
        <w:rPr>
          <w:rFonts w:ascii="Arial Narrow" w:hAnsi="Arial Narrow" w:cstheme="minorHAnsi"/>
          <w:b/>
          <w:bCs/>
          <w:i/>
          <w:iCs/>
          <w:sz w:val="24"/>
          <w:szCs w:val="24"/>
        </w:rPr>
        <w:t>HG, C</w:t>
      </w:r>
      <w:r w:rsidRPr="00B71117">
        <w:rPr>
          <w:rFonts w:ascii="Arial Narrow" w:hAnsi="Arial Narrow" w:cstheme="minorHAnsi"/>
          <w:b/>
          <w:bCs/>
          <w:i/>
          <w:iCs/>
          <w:sz w:val="24"/>
          <w:szCs w:val="24"/>
        </w:rPr>
        <w:t xml:space="preserve">HR) </w:t>
      </w:r>
      <w:bookmarkEnd w:id="168"/>
    </w:p>
    <w:p w14:paraId="141E0386" w14:textId="7D5B5BE8" w:rsidR="00BC30AE" w:rsidRPr="0052623B" w:rsidRDefault="00BC30AE" w:rsidP="00B71117">
      <w:pPr>
        <w:jc w:val="both"/>
        <w:rPr>
          <w:rFonts w:ascii="Arial Narrow" w:hAnsi="Arial Narrow" w:cstheme="minorHAnsi"/>
          <w:sz w:val="24"/>
          <w:szCs w:val="24"/>
        </w:rPr>
      </w:pPr>
      <w:r w:rsidRPr="0052623B">
        <w:rPr>
          <w:rFonts w:ascii="Arial Narrow" w:hAnsi="Arial Narrow" w:cstheme="minorHAnsi"/>
          <w:sz w:val="24"/>
          <w:szCs w:val="24"/>
        </w:rPr>
        <w:t xml:space="preserve">Résoudre la problématique de la faible couverture en structures sanitaires (ESPC, </w:t>
      </w:r>
      <w:r w:rsidR="00F86F0A">
        <w:rPr>
          <w:rFonts w:ascii="Arial Narrow" w:hAnsi="Arial Narrow" w:cstheme="minorHAnsi"/>
          <w:sz w:val="24"/>
          <w:szCs w:val="24"/>
        </w:rPr>
        <w:t>HG et C</w:t>
      </w:r>
      <w:r w:rsidRPr="0052623B">
        <w:rPr>
          <w:rFonts w:ascii="Arial Narrow" w:hAnsi="Arial Narrow" w:cstheme="minorHAnsi"/>
          <w:sz w:val="24"/>
          <w:szCs w:val="24"/>
        </w:rPr>
        <w:t>HR) reviendrait à apporter une solution aux causes suivantes identifiées par les acteurs du niveau déconcentré eux-mêmes :</w:t>
      </w:r>
    </w:p>
    <w:p w14:paraId="5E79E945" w14:textId="4257C101" w:rsidR="00BC30AE" w:rsidRPr="00702D1E" w:rsidRDefault="00BC30AE" w:rsidP="00166A7F">
      <w:pPr>
        <w:pStyle w:val="Paragraphedeliste"/>
        <w:numPr>
          <w:ilvl w:val="0"/>
          <w:numId w:val="33"/>
        </w:numPr>
        <w:ind w:left="426"/>
        <w:jc w:val="both"/>
        <w:rPr>
          <w:rFonts w:ascii="Arial Narrow" w:hAnsi="Arial Narrow" w:cstheme="minorHAnsi"/>
          <w:i/>
          <w:iCs/>
          <w:sz w:val="24"/>
          <w:szCs w:val="24"/>
        </w:rPr>
      </w:pPr>
      <w:r w:rsidRPr="00702D1E">
        <w:rPr>
          <w:rFonts w:ascii="Arial Narrow" w:hAnsi="Arial Narrow" w:cstheme="minorHAnsi"/>
          <w:i/>
          <w:iCs/>
          <w:sz w:val="24"/>
          <w:szCs w:val="24"/>
        </w:rPr>
        <w:t xml:space="preserve">Inexistence de structures sanitaires dans </w:t>
      </w:r>
      <w:proofErr w:type="gramStart"/>
      <w:r w:rsidRPr="00702D1E">
        <w:rPr>
          <w:rFonts w:ascii="Arial Narrow" w:hAnsi="Arial Narrow" w:cstheme="minorHAnsi"/>
          <w:i/>
          <w:iCs/>
          <w:sz w:val="24"/>
          <w:szCs w:val="24"/>
        </w:rPr>
        <w:t xml:space="preserve">certains </w:t>
      </w:r>
      <w:r w:rsidR="00FB59F7" w:rsidRPr="00702D1E">
        <w:rPr>
          <w:rFonts w:ascii="Arial Narrow" w:hAnsi="Arial Narrow" w:cstheme="minorHAnsi"/>
          <w:i/>
          <w:iCs/>
          <w:sz w:val="24"/>
          <w:szCs w:val="24"/>
        </w:rPr>
        <w:t>zone</w:t>
      </w:r>
      <w:r w:rsidRPr="00702D1E">
        <w:rPr>
          <w:rFonts w:ascii="Arial Narrow" w:hAnsi="Arial Narrow" w:cstheme="minorHAnsi"/>
          <w:i/>
          <w:iCs/>
          <w:sz w:val="24"/>
          <w:szCs w:val="24"/>
        </w:rPr>
        <w:t>s</w:t>
      </w:r>
      <w:proofErr w:type="gramEnd"/>
      <w:r w:rsidRPr="00702D1E">
        <w:rPr>
          <w:rFonts w:ascii="Arial Narrow" w:hAnsi="Arial Narrow" w:cstheme="minorHAnsi"/>
          <w:i/>
          <w:iCs/>
          <w:sz w:val="24"/>
          <w:szCs w:val="24"/>
        </w:rPr>
        <w:t> ;</w:t>
      </w:r>
    </w:p>
    <w:p w14:paraId="05F6E1BF" w14:textId="77777777" w:rsidR="00BC30AE" w:rsidRPr="00FB59F7" w:rsidRDefault="00BC30AE" w:rsidP="00166A7F">
      <w:pPr>
        <w:pStyle w:val="Paragraphedeliste"/>
        <w:numPr>
          <w:ilvl w:val="0"/>
          <w:numId w:val="33"/>
        </w:numPr>
        <w:ind w:left="426"/>
        <w:jc w:val="both"/>
        <w:rPr>
          <w:rFonts w:ascii="Arial Narrow" w:hAnsi="Arial Narrow" w:cstheme="minorHAnsi"/>
          <w:i/>
          <w:iCs/>
          <w:sz w:val="24"/>
          <w:szCs w:val="24"/>
        </w:rPr>
      </w:pPr>
      <w:r w:rsidRPr="00FB59F7">
        <w:rPr>
          <w:rFonts w:ascii="Arial Narrow" w:hAnsi="Arial Narrow" w:cstheme="minorHAnsi"/>
          <w:i/>
          <w:iCs/>
          <w:sz w:val="24"/>
          <w:szCs w:val="24"/>
        </w:rPr>
        <w:t>Répartition inéquitable des structures sanitaires.</w:t>
      </w:r>
    </w:p>
    <w:p w14:paraId="6B3F2284" w14:textId="3641FD46" w:rsidR="00BC30AE" w:rsidRPr="0052623B" w:rsidRDefault="00BC30AE" w:rsidP="00DC5897">
      <w:pPr>
        <w:pStyle w:val="Lgende"/>
      </w:pPr>
      <w:bookmarkStart w:id="169" w:name="_Toc178679345"/>
      <w:bookmarkStart w:id="170" w:name="_Toc183686793"/>
      <w:r w:rsidRPr="0052623B">
        <w:t xml:space="preserve">Figure </w:t>
      </w:r>
      <w:r w:rsidR="008D75CE">
        <w:fldChar w:fldCharType="begin"/>
      </w:r>
      <w:r w:rsidR="008D75CE">
        <w:instrText xml:space="preserve"> SEQ Figure \* ARABIC </w:instrText>
      </w:r>
      <w:r w:rsidR="008D75CE">
        <w:fldChar w:fldCharType="separate"/>
      </w:r>
      <w:r w:rsidR="008D75CE">
        <w:t>12</w:t>
      </w:r>
      <w:r w:rsidR="008D75CE">
        <w:fldChar w:fldCharType="end"/>
      </w:r>
      <w:r w:rsidRPr="0052623B">
        <w:t xml:space="preserve"> :  Causes expliquant la faible couverture en structures sanitaires (ESPC, HR)</w:t>
      </w:r>
      <w:bookmarkEnd w:id="169"/>
      <w:bookmarkEnd w:id="170"/>
    </w:p>
    <w:p w14:paraId="701C22C1" w14:textId="77777777" w:rsidR="00BC30AE" w:rsidRPr="0052623B" w:rsidRDefault="00BC30AE" w:rsidP="00545C0D">
      <w:pPr>
        <w:rPr>
          <w:rFonts w:ascii="Arial Narrow" w:hAnsi="Arial Narrow"/>
        </w:rPr>
      </w:pPr>
      <w:r w:rsidRPr="0052623B">
        <w:rPr>
          <w:rFonts w:ascii="Arial Narrow" w:hAnsi="Arial Narrow" w:cstheme="minorHAnsi"/>
          <w:noProof/>
          <w:sz w:val="24"/>
          <w:szCs w:val="24"/>
        </w:rPr>
        <w:drawing>
          <wp:inline distT="0" distB="0" distL="0" distR="0" wp14:anchorId="7A0624D4" wp14:editId="31BF50C8">
            <wp:extent cx="5689600" cy="1548130"/>
            <wp:effectExtent l="0" t="0" r="6350" b="0"/>
            <wp:docPr id="1711160671"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82623" cy="1573441"/>
                    </a:xfrm>
                    <a:prstGeom prst="rect">
                      <a:avLst/>
                    </a:prstGeom>
                    <a:noFill/>
                  </pic:spPr>
                </pic:pic>
              </a:graphicData>
            </a:graphic>
          </wp:inline>
        </w:drawing>
      </w:r>
    </w:p>
    <w:p w14:paraId="026E293F" w14:textId="5F5495B5" w:rsidR="00BC30AE" w:rsidRPr="00754AF9" w:rsidRDefault="00BC30AE" w:rsidP="00DC5897">
      <w:pPr>
        <w:pStyle w:val="Lgende"/>
      </w:pPr>
      <w:r w:rsidRPr="0052623B">
        <w:t xml:space="preserve">Sources : Données collectées pour la </w:t>
      </w:r>
      <w:r w:rsidR="00B635D8">
        <w:t>revue</w:t>
      </w:r>
      <w:r w:rsidRPr="0052623B">
        <w:t xml:space="preserve"> du PNDS </w:t>
      </w:r>
      <w:r w:rsidR="00EB1CA0">
        <w:t>2021-2025</w:t>
      </w:r>
    </w:p>
    <w:p w14:paraId="110CF1C5" w14:textId="4B001BCB" w:rsidR="00BC30AE" w:rsidRPr="00A57D10" w:rsidRDefault="00BC30AE" w:rsidP="00CF59E5">
      <w:pPr>
        <w:shd w:val="clear" w:color="auto" w:fill="DEEAF6" w:themeFill="accent5" w:themeFillTint="33"/>
        <w:rPr>
          <w:rFonts w:ascii="Arial Narrow" w:hAnsi="Arial Narrow" w:cstheme="minorHAnsi"/>
          <w:b/>
          <w:bCs/>
          <w:i/>
          <w:iCs/>
          <w:sz w:val="24"/>
          <w:szCs w:val="24"/>
        </w:rPr>
      </w:pPr>
      <w:bookmarkStart w:id="171" w:name="_Toc178699603"/>
      <w:r w:rsidRPr="00A57D10">
        <w:rPr>
          <w:rFonts w:ascii="Arial Narrow" w:hAnsi="Arial Narrow" w:cstheme="minorHAnsi"/>
          <w:b/>
          <w:bCs/>
          <w:i/>
          <w:iCs/>
          <w:sz w:val="24"/>
          <w:szCs w:val="24"/>
        </w:rPr>
        <w:t xml:space="preserve">Comment </w:t>
      </w:r>
      <w:r w:rsidR="00F86F0A">
        <w:rPr>
          <w:rFonts w:ascii="Arial Narrow" w:hAnsi="Arial Narrow" w:cstheme="minorHAnsi"/>
          <w:b/>
          <w:bCs/>
          <w:i/>
          <w:iCs/>
          <w:sz w:val="24"/>
          <w:szCs w:val="24"/>
        </w:rPr>
        <w:t>améliorer</w:t>
      </w:r>
      <w:r w:rsidRPr="00A57D10">
        <w:rPr>
          <w:rFonts w:ascii="Arial Narrow" w:hAnsi="Arial Narrow" w:cstheme="minorHAnsi"/>
          <w:b/>
          <w:bCs/>
          <w:i/>
          <w:iCs/>
          <w:sz w:val="24"/>
          <w:szCs w:val="24"/>
        </w:rPr>
        <w:t xml:space="preserve"> le pourcentage de structures sanitaires aux normes d’ici à fin 2025 ?</w:t>
      </w:r>
      <w:bookmarkEnd w:id="171"/>
    </w:p>
    <w:p w14:paraId="60DDE2E0" w14:textId="77777777" w:rsidR="00BC30AE" w:rsidRPr="0052623B" w:rsidRDefault="00BC30AE" w:rsidP="00FB6E98">
      <w:pPr>
        <w:jc w:val="both"/>
        <w:rPr>
          <w:rFonts w:ascii="Arial Narrow" w:hAnsi="Arial Narrow" w:cstheme="minorHAnsi"/>
          <w:sz w:val="24"/>
          <w:szCs w:val="24"/>
        </w:rPr>
      </w:pPr>
      <w:r w:rsidRPr="0052623B">
        <w:rPr>
          <w:rFonts w:ascii="Arial Narrow" w:hAnsi="Arial Narrow" w:cstheme="minorHAnsi"/>
          <w:sz w:val="24"/>
          <w:szCs w:val="24"/>
        </w:rPr>
        <w:t>Résoudre la problématique de l’</w:t>
      </w:r>
      <w:r w:rsidRPr="0052623B">
        <w:rPr>
          <w:rFonts w:ascii="Arial Narrow" w:hAnsi="Arial Narrow"/>
        </w:rPr>
        <w:t>i</w:t>
      </w:r>
      <w:r w:rsidRPr="0052623B">
        <w:rPr>
          <w:rFonts w:ascii="Arial Narrow" w:hAnsi="Arial Narrow" w:cstheme="minorHAnsi"/>
          <w:sz w:val="24"/>
          <w:szCs w:val="24"/>
        </w:rPr>
        <w:t>nsuffisance de structures sanitaires aux normes reviendrait à apporter une solution aux causes suivantes identifiées par les acteurs du niveau déconcentré eux-mêmes :</w:t>
      </w:r>
    </w:p>
    <w:p w14:paraId="3B5594E0" w14:textId="77777777" w:rsidR="00BC30AE" w:rsidRPr="00702D1E" w:rsidRDefault="00BC30AE" w:rsidP="00166A7F">
      <w:pPr>
        <w:pStyle w:val="Paragraphedeliste"/>
        <w:numPr>
          <w:ilvl w:val="0"/>
          <w:numId w:val="33"/>
        </w:numPr>
        <w:ind w:left="426"/>
        <w:jc w:val="both"/>
        <w:rPr>
          <w:rFonts w:ascii="Arial Narrow" w:hAnsi="Arial Narrow" w:cstheme="minorHAnsi"/>
          <w:i/>
          <w:iCs/>
          <w:sz w:val="24"/>
          <w:szCs w:val="24"/>
        </w:rPr>
      </w:pPr>
      <w:r w:rsidRPr="00166A7F">
        <w:rPr>
          <w:rFonts w:ascii="Arial Narrow" w:hAnsi="Arial Narrow" w:cstheme="minorHAnsi"/>
          <w:i/>
          <w:iCs/>
          <w:sz w:val="24"/>
          <w:szCs w:val="24"/>
        </w:rPr>
        <w:lastRenderedPageBreak/>
        <w:t xml:space="preserve">Inadéquation aux normes de construction : certaines structures sanitaires construites par les </w:t>
      </w:r>
      <w:r w:rsidRPr="00702D1E">
        <w:rPr>
          <w:rFonts w:ascii="Arial Narrow" w:hAnsi="Arial Narrow" w:cstheme="minorHAnsi"/>
          <w:i/>
          <w:iCs/>
          <w:sz w:val="24"/>
          <w:szCs w:val="24"/>
        </w:rPr>
        <w:t>collectivités décentralisées ne répondent pas aux normes ;</w:t>
      </w:r>
    </w:p>
    <w:p w14:paraId="5D3D259F" w14:textId="3CD21E52" w:rsidR="00BC30AE" w:rsidRPr="00702D1E" w:rsidRDefault="00702D1E" w:rsidP="00702D1E">
      <w:pPr>
        <w:pStyle w:val="Paragraphedeliste"/>
        <w:numPr>
          <w:ilvl w:val="0"/>
          <w:numId w:val="33"/>
        </w:numPr>
        <w:ind w:left="426"/>
        <w:jc w:val="both"/>
        <w:rPr>
          <w:rFonts w:ascii="Arial Narrow" w:hAnsi="Arial Narrow" w:cstheme="minorHAnsi"/>
          <w:i/>
          <w:iCs/>
          <w:sz w:val="24"/>
          <w:szCs w:val="24"/>
        </w:rPr>
      </w:pPr>
      <w:r w:rsidRPr="00702D1E">
        <w:rPr>
          <w:rFonts w:ascii="Arial Narrow" w:hAnsi="Arial Narrow" w:cstheme="minorHAnsi"/>
          <w:i/>
          <w:iCs/>
          <w:sz w:val="24"/>
          <w:szCs w:val="24"/>
        </w:rPr>
        <w:t xml:space="preserve">Insuffisance dans la mise à niveau de certaines structures sanitaires, conformément à leur niveau dans la pyramide </w:t>
      </w:r>
      <w:proofErr w:type="gramStart"/>
      <w:r w:rsidRPr="00702D1E">
        <w:rPr>
          <w:rFonts w:ascii="Arial Narrow" w:hAnsi="Arial Narrow" w:cstheme="minorHAnsi"/>
          <w:i/>
          <w:iCs/>
          <w:sz w:val="24"/>
          <w:szCs w:val="24"/>
        </w:rPr>
        <w:t>sanitaire</w:t>
      </w:r>
      <w:r w:rsidRPr="00702D1E" w:rsidDel="00702D1E">
        <w:rPr>
          <w:rFonts w:ascii="Arial Narrow" w:hAnsi="Arial Narrow" w:cstheme="minorHAnsi"/>
          <w:i/>
          <w:iCs/>
          <w:sz w:val="24"/>
          <w:szCs w:val="24"/>
        </w:rPr>
        <w:t xml:space="preserve"> </w:t>
      </w:r>
      <w:r w:rsidR="00BC30AE" w:rsidRPr="00702D1E">
        <w:rPr>
          <w:rFonts w:ascii="Arial Narrow" w:hAnsi="Arial Narrow" w:cstheme="minorHAnsi"/>
          <w:i/>
          <w:iCs/>
          <w:sz w:val="24"/>
          <w:szCs w:val="24"/>
        </w:rPr>
        <w:t>.</w:t>
      </w:r>
      <w:proofErr w:type="gramEnd"/>
    </w:p>
    <w:p w14:paraId="608E480D" w14:textId="35208CA3" w:rsidR="00BC30AE" w:rsidRPr="0052623B" w:rsidRDefault="00BC30AE" w:rsidP="00DC5897">
      <w:pPr>
        <w:pStyle w:val="Lgende"/>
      </w:pPr>
      <w:bookmarkStart w:id="172" w:name="_Toc178679346"/>
      <w:bookmarkStart w:id="173" w:name="_Toc183686794"/>
      <w:r w:rsidRPr="0052623B">
        <w:t xml:space="preserve">Figure </w:t>
      </w:r>
      <w:r w:rsidR="008D75CE">
        <w:fldChar w:fldCharType="begin"/>
      </w:r>
      <w:r w:rsidR="008D75CE">
        <w:instrText xml:space="preserve"> SEQ Figure \* ARABIC </w:instrText>
      </w:r>
      <w:r w:rsidR="008D75CE">
        <w:fldChar w:fldCharType="separate"/>
      </w:r>
      <w:r w:rsidR="008D75CE">
        <w:t>13</w:t>
      </w:r>
      <w:r w:rsidR="008D75CE">
        <w:fldChar w:fldCharType="end"/>
      </w:r>
      <w:r w:rsidRPr="0052623B">
        <w:t xml:space="preserve"> : Causes expliquant l’insuffisance de structures sanitaires aux normes</w:t>
      </w:r>
      <w:bookmarkEnd w:id="172"/>
      <w:bookmarkEnd w:id="173"/>
    </w:p>
    <w:p w14:paraId="4D6F05B8" w14:textId="77777777" w:rsidR="00BC30AE" w:rsidRPr="0052623B" w:rsidRDefault="00BC30AE" w:rsidP="00545C0D">
      <w:pPr>
        <w:rPr>
          <w:rFonts w:ascii="Arial Narrow" w:hAnsi="Arial Narrow"/>
        </w:rPr>
      </w:pPr>
      <w:r w:rsidRPr="0052623B">
        <w:rPr>
          <w:rFonts w:ascii="Arial Narrow" w:hAnsi="Arial Narrow" w:cstheme="minorHAnsi"/>
          <w:noProof/>
          <w:sz w:val="24"/>
          <w:szCs w:val="24"/>
        </w:rPr>
        <w:drawing>
          <wp:inline distT="0" distB="0" distL="0" distR="0" wp14:anchorId="537B8566" wp14:editId="31A7FFA7">
            <wp:extent cx="5746750" cy="1791335"/>
            <wp:effectExtent l="0" t="0" r="6350" b="0"/>
            <wp:docPr id="97548358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792157" cy="1805489"/>
                    </a:xfrm>
                    <a:prstGeom prst="rect">
                      <a:avLst/>
                    </a:prstGeom>
                    <a:noFill/>
                  </pic:spPr>
                </pic:pic>
              </a:graphicData>
            </a:graphic>
          </wp:inline>
        </w:drawing>
      </w:r>
    </w:p>
    <w:p w14:paraId="373B4C5F" w14:textId="541B144B" w:rsidR="00BC30AE" w:rsidRPr="00754AF9" w:rsidRDefault="00BC30AE" w:rsidP="00DC5897">
      <w:pPr>
        <w:pStyle w:val="Lgende"/>
      </w:pPr>
      <w:r w:rsidRPr="0052623B">
        <w:t xml:space="preserve">Sources : Données collectées pour la </w:t>
      </w:r>
      <w:r w:rsidR="00B635D8">
        <w:t>revue</w:t>
      </w:r>
      <w:r w:rsidRPr="0052623B">
        <w:t xml:space="preserve"> du PNDS </w:t>
      </w:r>
      <w:r w:rsidR="00EB1CA0">
        <w:t>2021-2025</w:t>
      </w:r>
    </w:p>
    <w:p w14:paraId="53CA62C9" w14:textId="726474DC" w:rsidR="00B05DE6" w:rsidRPr="00702D1E" w:rsidRDefault="00B05DE6" w:rsidP="00CF59E5">
      <w:pPr>
        <w:shd w:val="clear" w:color="auto" w:fill="DEEAF6" w:themeFill="accent5" w:themeFillTint="33"/>
        <w:rPr>
          <w:rFonts w:ascii="Arial Narrow" w:hAnsi="Arial Narrow" w:cstheme="minorHAnsi"/>
          <w:b/>
          <w:bCs/>
          <w:i/>
          <w:iCs/>
          <w:color w:val="000000" w:themeColor="text1"/>
          <w:sz w:val="24"/>
          <w:szCs w:val="24"/>
        </w:rPr>
      </w:pPr>
      <w:r w:rsidRPr="00702D1E">
        <w:rPr>
          <w:rFonts w:ascii="Arial Narrow" w:hAnsi="Arial Narrow" w:cstheme="minorHAnsi"/>
          <w:b/>
          <w:bCs/>
          <w:i/>
          <w:iCs/>
          <w:color w:val="000000" w:themeColor="text1"/>
          <w:sz w:val="24"/>
          <w:szCs w:val="24"/>
        </w:rPr>
        <w:t>Comment améliorer l’accessibilité géographique aux soins des populations ?</w:t>
      </w:r>
    </w:p>
    <w:p w14:paraId="7BA0596E" w14:textId="77777777" w:rsidR="00BC30AE" w:rsidRPr="0052623B" w:rsidRDefault="00BC30AE" w:rsidP="0014595D">
      <w:pPr>
        <w:jc w:val="both"/>
        <w:rPr>
          <w:rFonts w:ascii="Arial Narrow" w:hAnsi="Arial Narrow" w:cstheme="minorHAnsi"/>
          <w:sz w:val="24"/>
          <w:szCs w:val="24"/>
        </w:rPr>
      </w:pPr>
      <w:r w:rsidRPr="0052623B">
        <w:rPr>
          <w:rFonts w:ascii="Arial Narrow" w:hAnsi="Arial Narrow" w:cstheme="minorHAnsi"/>
          <w:sz w:val="24"/>
          <w:szCs w:val="24"/>
        </w:rPr>
        <w:t>Résoudre la problématique de la difficulté d'accès aux structures sanitaires par les populations reviendrait à apporter une solution aux causes suivantes identifiées par les acteurs du niveau déconcentré eux-mêmes :</w:t>
      </w:r>
    </w:p>
    <w:p w14:paraId="5193DE33" w14:textId="77777777" w:rsidR="00BC30AE" w:rsidRPr="00166A7F" w:rsidRDefault="00BC30AE" w:rsidP="00166A7F">
      <w:pPr>
        <w:pStyle w:val="Paragraphedeliste"/>
        <w:numPr>
          <w:ilvl w:val="0"/>
          <w:numId w:val="33"/>
        </w:numPr>
        <w:ind w:left="426"/>
        <w:jc w:val="both"/>
        <w:rPr>
          <w:rFonts w:ascii="Arial Narrow" w:hAnsi="Arial Narrow" w:cstheme="minorHAnsi"/>
          <w:i/>
          <w:iCs/>
          <w:sz w:val="24"/>
          <w:szCs w:val="24"/>
        </w:rPr>
      </w:pPr>
      <w:r w:rsidRPr="00166A7F">
        <w:rPr>
          <w:rFonts w:ascii="Arial Narrow" w:hAnsi="Arial Narrow" w:cstheme="minorHAnsi"/>
          <w:i/>
          <w:iCs/>
          <w:sz w:val="24"/>
          <w:szCs w:val="24"/>
        </w:rPr>
        <w:t>Eloignement de certaines populations des structures sanitaires (à plus de 5km) ;</w:t>
      </w:r>
    </w:p>
    <w:p w14:paraId="30C03381" w14:textId="77777777" w:rsidR="00BC30AE" w:rsidRPr="00166A7F" w:rsidRDefault="00BC30AE" w:rsidP="00166A7F">
      <w:pPr>
        <w:pStyle w:val="Paragraphedeliste"/>
        <w:numPr>
          <w:ilvl w:val="0"/>
          <w:numId w:val="33"/>
        </w:numPr>
        <w:ind w:left="426"/>
        <w:jc w:val="both"/>
        <w:rPr>
          <w:rFonts w:ascii="Arial Narrow" w:hAnsi="Arial Narrow" w:cstheme="minorHAnsi"/>
          <w:i/>
          <w:iCs/>
          <w:sz w:val="24"/>
          <w:szCs w:val="24"/>
        </w:rPr>
      </w:pPr>
      <w:r w:rsidRPr="00166A7F">
        <w:rPr>
          <w:rFonts w:ascii="Arial Narrow" w:hAnsi="Arial Narrow" w:cstheme="minorHAnsi"/>
          <w:i/>
          <w:iCs/>
          <w:sz w:val="24"/>
          <w:szCs w:val="24"/>
        </w:rPr>
        <w:t>Mauvais état des routes (surtout lors de la saison des pluies) compliquant les évacuations ;</w:t>
      </w:r>
    </w:p>
    <w:p w14:paraId="733C0E97" w14:textId="32BE0C38" w:rsidR="00BC30AE" w:rsidRPr="0052623B" w:rsidRDefault="00BC30AE" w:rsidP="00DC5897">
      <w:pPr>
        <w:pStyle w:val="Lgende"/>
      </w:pPr>
      <w:bookmarkStart w:id="174" w:name="_Toc178679347"/>
      <w:bookmarkStart w:id="175" w:name="_Toc183686795"/>
      <w:r w:rsidRPr="0052623B">
        <w:t xml:space="preserve">Figure </w:t>
      </w:r>
      <w:r w:rsidR="008D75CE">
        <w:fldChar w:fldCharType="begin"/>
      </w:r>
      <w:r w:rsidR="008D75CE">
        <w:instrText xml:space="preserve"> SEQ Figure \* ARABIC </w:instrText>
      </w:r>
      <w:r w:rsidR="008D75CE">
        <w:fldChar w:fldCharType="separate"/>
      </w:r>
      <w:r w:rsidR="008D75CE">
        <w:t>14</w:t>
      </w:r>
      <w:r w:rsidR="008D75CE">
        <w:fldChar w:fldCharType="end"/>
      </w:r>
      <w:r w:rsidRPr="0052623B">
        <w:t xml:space="preserve"> : Causes expliquant la difficulté d'accès aux structures sanitaires par les populations</w:t>
      </w:r>
      <w:bookmarkEnd w:id="174"/>
      <w:bookmarkEnd w:id="175"/>
    </w:p>
    <w:p w14:paraId="6208AA65" w14:textId="77777777" w:rsidR="00BC30AE" w:rsidRPr="0052623B" w:rsidRDefault="00BC30AE" w:rsidP="00545C0D">
      <w:pPr>
        <w:rPr>
          <w:rFonts w:ascii="Arial Narrow" w:hAnsi="Arial Narrow"/>
        </w:rPr>
      </w:pPr>
      <w:r w:rsidRPr="0052623B">
        <w:rPr>
          <w:rFonts w:ascii="Arial Narrow" w:hAnsi="Arial Narrow" w:cstheme="minorHAnsi"/>
          <w:noProof/>
          <w:sz w:val="24"/>
          <w:szCs w:val="24"/>
        </w:rPr>
        <w:drawing>
          <wp:inline distT="0" distB="0" distL="0" distR="0" wp14:anchorId="1C2C6C82" wp14:editId="23FA7E1D">
            <wp:extent cx="5721350" cy="2058670"/>
            <wp:effectExtent l="0" t="0" r="0" b="0"/>
            <wp:docPr id="553600738"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754447" cy="2070579"/>
                    </a:xfrm>
                    <a:prstGeom prst="rect">
                      <a:avLst/>
                    </a:prstGeom>
                    <a:noFill/>
                  </pic:spPr>
                </pic:pic>
              </a:graphicData>
            </a:graphic>
          </wp:inline>
        </w:drawing>
      </w:r>
    </w:p>
    <w:p w14:paraId="017DC222" w14:textId="533547B7" w:rsidR="00BC30AE" w:rsidRPr="00754AF9" w:rsidRDefault="00BC30AE" w:rsidP="00DC5897">
      <w:pPr>
        <w:pStyle w:val="Lgende"/>
      </w:pPr>
      <w:r w:rsidRPr="0052623B">
        <w:t xml:space="preserve">Sources : Données collectées pour la </w:t>
      </w:r>
      <w:r w:rsidR="00B635D8">
        <w:t>revue</w:t>
      </w:r>
      <w:r w:rsidRPr="0052623B">
        <w:t xml:space="preserve"> du PNDS </w:t>
      </w:r>
      <w:r w:rsidR="00EB1CA0">
        <w:t>2021-2025</w:t>
      </w:r>
    </w:p>
    <w:p w14:paraId="53E56868" w14:textId="2AD0D915" w:rsidR="00BC30AE" w:rsidRPr="0003233B" w:rsidRDefault="00BC30AE" w:rsidP="00CF59E5">
      <w:pPr>
        <w:shd w:val="clear" w:color="auto" w:fill="DEEAF6" w:themeFill="accent5" w:themeFillTint="33"/>
        <w:jc w:val="both"/>
        <w:rPr>
          <w:rFonts w:ascii="Arial Narrow" w:hAnsi="Arial Narrow" w:cstheme="minorHAnsi"/>
          <w:b/>
          <w:bCs/>
          <w:i/>
          <w:iCs/>
          <w:sz w:val="24"/>
          <w:szCs w:val="24"/>
        </w:rPr>
      </w:pPr>
      <w:bookmarkStart w:id="176" w:name="_Toc178699605"/>
      <w:r w:rsidRPr="0003233B">
        <w:rPr>
          <w:rFonts w:ascii="Arial Narrow" w:hAnsi="Arial Narrow" w:cstheme="minorHAnsi"/>
          <w:b/>
          <w:bCs/>
          <w:i/>
          <w:iCs/>
          <w:sz w:val="24"/>
          <w:szCs w:val="24"/>
        </w:rPr>
        <w:t xml:space="preserve">Comment </w:t>
      </w:r>
      <w:r w:rsidR="00B05DE6" w:rsidRPr="00702D1E">
        <w:rPr>
          <w:rFonts w:ascii="Arial Narrow" w:hAnsi="Arial Narrow" w:cstheme="minorHAnsi"/>
          <w:b/>
          <w:bCs/>
          <w:i/>
          <w:iCs/>
          <w:color w:val="000000" w:themeColor="text1"/>
          <w:sz w:val="24"/>
          <w:szCs w:val="24"/>
        </w:rPr>
        <w:t>améliorer la disponibilité des</w:t>
      </w:r>
      <w:r w:rsidRPr="00702D1E">
        <w:rPr>
          <w:rFonts w:ascii="Arial Narrow" w:hAnsi="Arial Narrow" w:cstheme="minorHAnsi"/>
          <w:b/>
          <w:bCs/>
          <w:i/>
          <w:iCs/>
          <w:color w:val="000000" w:themeColor="text1"/>
          <w:sz w:val="24"/>
          <w:szCs w:val="24"/>
        </w:rPr>
        <w:t xml:space="preserve"> </w:t>
      </w:r>
      <w:r w:rsidR="00EB7794" w:rsidRPr="00702D1E">
        <w:rPr>
          <w:rFonts w:ascii="Arial Narrow" w:hAnsi="Arial Narrow" w:cstheme="minorHAnsi"/>
          <w:b/>
          <w:bCs/>
          <w:i/>
          <w:iCs/>
          <w:color w:val="000000" w:themeColor="text1"/>
          <w:sz w:val="24"/>
          <w:szCs w:val="24"/>
        </w:rPr>
        <w:t xml:space="preserve">médicaments </w:t>
      </w:r>
      <w:r w:rsidRPr="00702D1E">
        <w:rPr>
          <w:rFonts w:ascii="Arial Narrow" w:hAnsi="Arial Narrow" w:cstheme="minorHAnsi"/>
          <w:b/>
          <w:bCs/>
          <w:i/>
          <w:iCs/>
          <w:color w:val="000000" w:themeColor="text1"/>
          <w:sz w:val="24"/>
          <w:szCs w:val="24"/>
        </w:rPr>
        <w:t xml:space="preserve">de </w:t>
      </w:r>
      <w:r w:rsidRPr="0003233B">
        <w:rPr>
          <w:rFonts w:ascii="Arial Narrow" w:hAnsi="Arial Narrow" w:cstheme="minorHAnsi"/>
          <w:b/>
          <w:bCs/>
          <w:i/>
          <w:iCs/>
          <w:sz w:val="24"/>
          <w:szCs w:val="24"/>
        </w:rPr>
        <w:t>la gratuité ciblée ?</w:t>
      </w:r>
      <w:bookmarkEnd w:id="176"/>
    </w:p>
    <w:p w14:paraId="29D42CF1" w14:textId="77777777" w:rsidR="00BC30AE" w:rsidRPr="0052623B" w:rsidRDefault="00BC30AE" w:rsidP="0003233B">
      <w:pPr>
        <w:jc w:val="both"/>
        <w:rPr>
          <w:rFonts w:ascii="Arial Narrow" w:hAnsi="Arial Narrow" w:cstheme="minorHAnsi"/>
          <w:sz w:val="24"/>
          <w:szCs w:val="24"/>
        </w:rPr>
      </w:pPr>
      <w:r w:rsidRPr="0052623B">
        <w:rPr>
          <w:rFonts w:ascii="Arial Narrow" w:hAnsi="Arial Narrow" w:cstheme="minorHAnsi"/>
          <w:sz w:val="24"/>
          <w:szCs w:val="24"/>
        </w:rPr>
        <w:t>Résoudre la problématique de la faible disponibilité des produits de la gratuité ciblée reviendrait à apporter une solution aux causes suivantes identifiées par les acteurs du niveau déconcentré eux-mêmes :</w:t>
      </w:r>
    </w:p>
    <w:p w14:paraId="4BCCE108" w14:textId="77777777" w:rsidR="00BC30AE" w:rsidRPr="00166A7F" w:rsidRDefault="00BC30AE" w:rsidP="00166A7F">
      <w:pPr>
        <w:pStyle w:val="Paragraphedeliste"/>
        <w:numPr>
          <w:ilvl w:val="0"/>
          <w:numId w:val="33"/>
        </w:numPr>
        <w:ind w:left="426"/>
        <w:jc w:val="both"/>
        <w:rPr>
          <w:rFonts w:ascii="Arial Narrow" w:hAnsi="Arial Narrow" w:cstheme="minorHAnsi"/>
          <w:i/>
          <w:iCs/>
          <w:sz w:val="24"/>
          <w:szCs w:val="24"/>
        </w:rPr>
      </w:pPr>
      <w:r w:rsidRPr="00166A7F">
        <w:rPr>
          <w:rFonts w:ascii="Arial Narrow" w:hAnsi="Arial Narrow" w:cstheme="minorHAnsi"/>
          <w:i/>
          <w:iCs/>
          <w:sz w:val="24"/>
          <w:szCs w:val="24"/>
        </w:rPr>
        <w:t>Faible satisfaction des commandes en produits de la gratuité ciblée ;</w:t>
      </w:r>
    </w:p>
    <w:p w14:paraId="0DE1E031" w14:textId="77777777" w:rsidR="00BC30AE" w:rsidRDefault="00BC30AE" w:rsidP="00166A7F">
      <w:pPr>
        <w:pStyle w:val="Paragraphedeliste"/>
        <w:numPr>
          <w:ilvl w:val="0"/>
          <w:numId w:val="33"/>
        </w:numPr>
        <w:ind w:left="426"/>
        <w:jc w:val="both"/>
        <w:rPr>
          <w:rFonts w:ascii="Arial Narrow" w:hAnsi="Arial Narrow" w:cstheme="minorHAnsi"/>
          <w:i/>
          <w:iCs/>
          <w:sz w:val="24"/>
          <w:szCs w:val="24"/>
        </w:rPr>
      </w:pPr>
      <w:r w:rsidRPr="00166A7F">
        <w:rPr>
          <w:rFonts w:ascii="Arial Narrow" w:hAnsi="Arial Narrow" w:cstheme="minorHAnsi"/>
          <w:i/>
          <w:iCs/>
          <w:sz w:val="24"/>
          <w:szCs w:val="24"/>
        </w:rPr>
        <w:t>Ruptures fréquentes des produits de la gratuité ciblée ;</w:t>
      </w:r>
    </w:p>
    <w:p w14:paraId="7D79F62D" w14:textId="7B498896" w:rsidR="00EB7794" w:rsidRPr="00702D1E" w:rsidRDefault="00FB59F7" w:rsidP="00EB7794">
      <w:pPr>
        <w:pStyle w:val="Paragraphedeliste"/>
        <w:numPr>
          <w:ilvl w:val="0"/>
          <w:numId w:val="33"/>
        </w:numPr>
        <w:ind w:left="426"/>
        <w:jc w:val="both"/>
        <w:rPr>
          <w:rFonts w:ascii="Arial Narrow" w:hAnsi="Arial Narrow" w:cstheme="minorHAnsi"/>
          <w:i/>
          <w:iCs/>
          <w:color w:val="000000" w:themeColor="text1"/>
          <w:sz w:val="24"/>
          <w:szCs w:val="24"/>
        </w:rPr>
      </w:pPr>
      <w:r>
        <w:rPr>
          <w:rFonts w:ascii="Arial Narrow" w:hAnsi="Arial Narrow" w:cstheme="minorHAnsi"/>
          <w:i/>
          <w:iCs/>
          <w:color w:val="000000" w:themeColor="text1"/>
          <w:sz w:val="24"/>
          <w:szCs w:val="24"/>
        </w:rPr>
        <w:lastRenderedPageBreak/>
        <w:t>Insuffisance</w:t>
      </w:r>
      <w:r w:rsidR="00EB7794" w:rsidRPr="00702D1E">
        <w:rPr>
          <w:rFonts w:ascii="Arial Narrow" w:hAnsi="Arial Narrow" w:cstheme="minorHAnsi"/>
          <w:i/>
          <w:iCs/>
          <w:color w:val="000000" w:themeColor="text1"/>
          <w:sz w:val="24"/>
          <w:szCs w:val="24"/>
        </w:rPr>
        <w:t xml:space="preserve"> de contrôle de l’application des directives de la gratuité des soins ;</w:t>
      </w:r>
    </w:p>
    <w:p w14:paraId="2D625F5D" w14:textId="77777777" w:rsidR="00BC30AE" w:rsidRPr="00FB59F7" w:rsidRDefault="00BC30AE" w:rsidP="00166A7F">
      <w:pPr>
        <w:pStyle w:val="Paragraphedeliste"/>
        <w:numPr>
          <w:ilvl w:val="0"/>
          <w:numId w:val="33"/>
        </w:numPr>
        <w:ind w:left="426"/>
        <w:jc w:val="both"/>
        <w:rPr>
          <w:rFonts w:ascii="Arial Narrow" w:hAnsi="Arial Narrow" w:cstheme="minorHAnsi"/>
          <w:i/>
          <w:iCs/>
          <w:sz w:val="24"/>
          <w:szCs w:val="24"/>
        </w:rPr>
      </w:pPr>
      <w:r w:rsidRPr="00702D1E">
        <w:rPr>
          <w:rFonts w:ascii="Arial Narrow" w:hAnsi="Arial Narrow" w:cstheme="minorHAnsi"/>
          <w:i/>
          <w:iCs/>
          <w:sz w:val="24"/>
          <w:szCs w:val="24"/>
        </w:rPr>
        <w:t xml:space="preserve">Faible couverture du logiciel </w:t>
      </w:r>
      <w:proofErr w:type="spellStart"/>
      <w:r w:rsidRPr="00702D1E">
        <w:rPr>
          <w:rFonts w:ascii="Arial Narrow" w:hAnsi="Arial Narrow" w:cstheme="minorHAnsi"/>
          <w:i/>
          <w:iCs/>
          <w:sz w:val="24"/>
          <w:szCs w:val="24"/>
        </w:rPr>
        <w:t>mSupply</w:t>
      </w:r>
      <w:proofErr w:type="spellEnd"/>
      <w:r w:rsidRPr="00702D1E">
        <w:rPr>
          <w:rFonts w:ascii="Arial Narrow" w:hAnsi="Arial Narrow" w:cstheme="minorHAnsi"/>
          <w:i/>
          <w:iCs/>
          <w:sz w:val="24"/>
          <w:szCs w:val="24"/>
        </w:rPr>
        <w:t xml:space="preserve"> au niveau national.</w:t>
      </w:r>
    </w:p>
    <w:p w14:paraId="31F14907" w14:textId="4B98A651" w:rsidR="00BC30AE" w:rsidRPr="0052623B" w:rsidRDefault="00BC30AE" w:rsidP="00DC5897">
      <w:pPr>
        <w:pStyle w:val="Lgende"/>
      </w:pPr>
      <w:bookmarkStart w:id="177" w:name="_Toc178679348"/>
      <w:bookmarkStart w:id="178" w:name="_Toc183686796"/>
      <w:r w:rsidRPr="0052623B">
        <w:t xml:space="preserve">Figure </w:t>
      </w:r>
      <w:r w:rsidR="008D75CE">
        <w:fldChar w:fldCharType="begin"/>
      </w:r>
      <w:r w:rsidR="008D75CE">
        <w:instrText xml:space="preserve"> SEQ Figure \* ARABIC </w:instrText>
      </w:r>
      <w:r w:rsidR="008D75CE">
        <w:fldChar w:fldCharType="separate"/>
      </w:r>
      <w:r w:rsidR="008D75CE">
        <w:t>15</w:t>
      </w:r>
      <w:r w:rsidR="008D75CE">
        <w:fldChar w:fldCharType="end"/>
      </w:r>
      <w:r w:rsidRPr="0052623B">
        <w:t xml:space="preserve"> : Causes expliquant la faible disponibilité des produits de la gratuité ciblée</w:t>
      </w:r>
      <w:bookmarkEnd w:id="177"/>
      <w:bookmarkEnd w:id="178"/>
    </w:p>
    <w:p w14:paraId="108B6E02" w14:textId="77777777" w:rsidR="00BC30AE" w:rsidRPr="0052623B" w:rsidRDefault="00BC30AE" w:rsidP="00545C0D">
      <w:pPr>
        <w:rPr>
          <w:rFonts w:ascii="Arial Narrow" w:hAnsi="Arial Narrow"/>
        </w:rPr>
      </w:pPr>
      <w:r w:rsidRPr="0052623B">
        <w:rPr>
          <w:rFonts w:ascii="Arial Narrow" w:hAnsi="Arial Narrow"/>
          <w:noProof/>
        </w:rPr>
        <w:drawing>
          <wp:inline distT="0" distB="0" distL="0" distR="0" wp14:anchorId="3EC1851A" wp14:editId="17E01487">
            <wp:extent cx="5632450" cy="2061210"/>
            <wp:effectExtent l="0" t="0" r="6350" b="0"/>
            <wp:docPr id="1195707195"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676200" cy="2077220"/>
                    </a:xfrm>
                    <a:prstGeom prst="rect">
                      <a:avLst/>
                    </a:prstGeom>
                    <a:noFill/>
                  </pic:spPr>
                </pic:pic>
              </a:graphicData>
            </a:graphic>
          </wp:inline>
        </w:drawing>
      </w:r>
    </w:p>
    <w:p w14:paraId="5007FBBF" w14:textId="362703B7" w:rsidR="00BC30AE" w:rsidRPr="00754AF9" w:rsidRDefault="00BC30AE" w:rsidP="00DC5897">
      <w:pPr>
        <w:pStyle w:val="Lgende"/>
      </w:pPr>
      <w:r w:rsidRPr="0052623B">
        <w:t xml:space="preserve">Sources : Données collectées pour la </w:t>
      </w:r>
      <w:r w:rsidR="00B635D8">
        <w:t>revue</w:t>
      </w:r>
      <w:r w:rsidRPr="0052623B">
        <w:t xml:space="preserve"> du PNDS </w:t>
      </w:r>
      <w:r w:rsidR="00EB1CA0">
        <w:t>2021-2025</w:t>
      </w:r>
    </w:p>
    <w:p w14:paraId="5AD4BA4E" w14:textId="77777777" w:rsidR="00FB59F7" w:rsidRPr="0052623B" w:rsidRDefault="00FB59F7" w:rsidP="00545C0D">
      <w:pPr>
        <w:rPr>
          <w:rFonts w:ascii="Arial Narrow" w:hAnsi="Arial Narrow"/>
        </w:rPr>
      </w:pPr>
    </w:p>
    <w:p w14:paraId="087ABDFA" w14:textId="70A47BA2" w:rsidR="00BC30AE" w:rsidRPr="0052623B" w:rsidRDefault="00BC30AE" w:rsidP="00702D1E">
      <w:pPr>
        <w:rPr>
          <w:rFonts w:ascii="Arial Narrow" w:hAnsi="Arial Narrow" w:cstheme="minorHAnsi"/>
          <w:sz w:val="24"/>
          <w:szCs w:val="24"/>
        </w:rPr>
      </w:pPr>
      <w:r w:rsidRPr="0052623B">
        <w:rPr>
          <w:rFonts w:ascii="Arial Narrow" w:hAnsi="Arial Narrow" w:cstheme="minorHAnsi"/>
          <w:sz w:val="24"/>
          <w:szCs w:val="24"/>
        </w:rPr>
        <w:t xml:space="preserve">Le tableau ci-après résume les causes profondes des problèmes de </w:t>
      </w:r>
      <w:r w:rsidR="00EB7794">
        <w:rPr>
          <w:rFonts w:ascii="Arial Narrow" w:hAnsi="Arial Narrow" w:cstheme="minorHAnsi"/>
          <w:sz w:val="24"/>
          <w:szCs w:val="24"/>
        </w:rPr>
        <w:t>s</w:t>
      </w:r>
      <w:r w:rsidRPr="0052623B">
        <w:rPr>
          <w:rFonts w:ascii="Arial Narrow" w:hAnsi="Arial Narrow" w:cstheme="minorHAnsi"/>
          <w:sz w:val="24"/>
          <w:szCs w:val="24"/>
        </w:rPr>
        <w:t>anté relatifs à l’accessibilité, telles qu’identifiées par les acteurs des niveaux déconcentrés de la pyramide sanitaire et hiérarchisés selon les priorités et la facilité de résolution.</w:t>
      </w:r>
    </w:p>
    <w:p w14:paraId="67D6C74E" w14:textId="0D0BE3E0" w:rsidR="00BC30AE" w:rsidRDefault="00BC30AE" w:rsidP="00E73B1B">
      <w:pPr>
        <w:pStyle w:val="Lgende"/>
      </w:pPr>
      <w:bookmarkStart w:id="179" w:name="_Toc178679247"/>
      <w:bookmarkStart w:id="180" w:name="_Toc183688756"/>
      <w:r w:rsidRPr="0052623B">
        <w:t xml:space="preserve">Tableau </w:t>
      </w:r>
      <w:r w:rsidRPr="0052623B">
        <w:fldChar w:fldCharType="begin"/>
      </w:r>
      <w:r w:rsidRPr="0052623B">
        <w:instrText xml:space="preserve"> SEQ Tableau \* ARABIC </w:instrText>
      </w:r>
      <w:r w:rsidRPr="0052623B">
        <w:fldChar w:fldCharType="separate"/>
      </w:r>
      <w:r w:rsidR="00BD665A">
        <w:rPr>
          <w:noProof/>
        </w:rPr>
        <w:t>8</w:t>
      </w:r>
      <w:r w:rsidRPr="0052623B">
        <w:fldChar w:fldCharType="end"/>
      </w:r>
      <w:r w:rsidRPr="0052623B">
        <w:t xml:space="preserve"> : Recommandations pour la résolution des problèmes de </w:t>
      </w:r>
      <w:r w:rsidR="00377010">
        <w:t>s</w:t>
      </w:r>
      <w:r w:rsidRPr="0052623B">
        <w:t>anté relatifs à l’accessibilité</w:t>
      </w:r>
      <w:bookmarkEnd w:id="179"/>
      <w:bookmarkEnd w:id="180"/>
    </w:p>
    <w:tbl>
      <w:tblPr>
        <w:tblStyle w:val="Grilledutableau"/>
        <w:tblW w:w="0" w:type="auto"/>
        <w:tblLook w:val="04A0" w:firstRow="1" w:lastRow="0" w:firstColumn="1" w:lastColumn="0" w:noHBand="0" w:noVBand="1"/>
      </w:tblPr>
      <w:tblGrid>
        <w:gridCol w:w="2254"/>
        <w:gridCol w:w="2254"/>
        <w:gridCol w:w="2254"/>
        <w:gridCol w:w="2254"/>
      </w:tblGrid>
      <w:tr w:rsidR="00187D01" w:rsidRPr="00187D01" w14:paraId="5DA03424" w14:textId="77777777" w:rsidTr="001E5318">
        <w:trPr>
          <w:cantSplit/>
          <w:tblHeader/>
        </w:trPr>
        <w:tc>
          <w:tcPr>
            <w:tcW w:w="2254" w:type="dxa"/>
            <w:shd w:val="clear" w:color="auto" w:fill="FFE599" w:themeFill="accent4" w:themeFillTint="66"/>
            <w:vAlign w:val="center"/>
          </w:tcPr>
          <w:p w14:paraId="7DB667DE" w14:textId="77777777" w:rsidR="00187D01" w:rsidRPr="00187D01" w:rsidRDefault="00187D01">
            <w:pPr>
              <w:rPr>
                <w:rFonts w:ascii="Arial Narrow" w:hAnsi="Arial Narrow" w:cstheme="minorHAnsi"/>
                <w:b/>
                <w:sz w:val="20"/>
                <w:szCs w:val="20"/>
              </w:rPr>
            </w:pPr>
            <w:r w:rsidRPr="00187D01">
              <w:rPr>
                <w:rFonts w:ascii="Arial Narrow" w:hAnsi="Arial Narrow" w:cstheme="minorHAnsi"/>
                <w:b/>
                <w:sz w:val="20"/>
                <w:szCs w:val="20"/>
              </w:rPr>
              <w:t>Problèmes de Santé</w:t>
            </w:r>
          </w:p>
        </w:tc>
        <w:tc>
          <w:tcPr>
            <w:tcW w:w="2254" w:type="dxa"/>
            <w:shd w:val="clear" w:color="auto" w:fill="FFE599" w:themeFill="accent4" w:themeFillTint="66"/>
            <w:vAlign w:val="center"/>
          </w:tcPr>
          <w:p w14:paraId="59BBBC5D" w14:textId="77777777" w:rsidR="00187D01" w:rsidRPr="00187D01" w:rsidRDefault="00187D01">
            <w:pPr>
              <w:rPr>
                <w:rFonts w:ascii="Arial Narrow" w:hAnsi="Arial Narrow" w:cstheme="minorHAnsi"/>
                <w:b/>
                <w:sz w:val="20"/>
                <w:szCs w:val="20"/>
              </w:rPr>
            </w:pPr>
            <w:r w:rsidRPr="00187D01">
              <w:rPr>
                <w:rFonts w:ascii="Arial Narrow" w:hAnsi="Arial Narrow" w:cstheme="minorHAnsi"/>
                <w:b/>
                <w:sz w:val="20"/>
                <w:szCs w:val="20"/>
              </w:rPr>
              <w:t>Tiers 1</w:t>
            </w:r>
            <w:r w:rsidRPr="00187D01">
              <w:rPr>
                <w:rStyle w:val="Appelnotedebasdep"/>
                <w:rFonts w:ascii="Arial Narrow" w:hAnsi="Arial Narrow" w:cstheme="minorHAnsi"/>
                <w:b/>
                <w:sz w:val="20"/>
                <w:szCs w:val="20"/>
              </w:rPr>
              <w:footnoteReference w:id="34"/>
            </w:r>
          </w:p>
          <w:p w14:paraId="12361A6C" w14:textId="77777777" w:rsidR="00187D01" w:rsidRPr="00187D01" w:rsidRDefault="00187D01">
            <w:pPr>
              <w:rPr>
                <w:rFonts w:ascii="Arial Narrow" w:hAnsi="Arial Narrow" w:cstheme="minorHAnsi"/>
                <w:i/>
                <w:sz w:val="20"/>
                <w:szCs w:val="20"/>
              </w:rPr>
            </w:pPr>
            <w:r w:rsidRPr="00187D01">
              <w:rPr>
                <w:rFonts w:ascii="Arial Narrow" w:hAnsi="Arial Narrow" w:cstheme="minorHAnsi"/>
                <w:i/>
                <w:sz w:val="20"/>
                <w:szCs w:val="20"/>
              </w:rPr>
              <w:t>Facteurs à résoudre à court terme</w:t>
            </w:r>
          </w:p>
        </w:tc>
        <w:tc>
          <w:tcPr>
            <w:tcW w:w="2254" w:type="dxa"/>
            <w:shd w:val="clear" w:color="auto" w:fill="FFE599" w:themeFill="accent4" w:themeFillTint="66"/>
            <w:vAlign w:val="center"/>
          </w:tcPr>
          <w:p w14:paraId="40A06485" w14:textId="77777777" w:rsidR="00187D01" w:rsidRPr="00187D01" w:rsidRDefault="00187D01">
            <w:pPr>
              <w:rPr>
                <w:rFonts w:ascii="Arial Narrow" w:hAnsi="Arial Narrow" w:cstheme="minorHAnsi"/>
                <w:b/>
                <w:sz w:val="20"/>
                <w:szCs w:val="20"/>
              </w:rPr>
            </w:pPr>
            <w:r w:rsidRPr="00187D01">
              <w:rPr>
                <w:rFonts w:ascii="Arial Narrow" w:hAnsi="Arial Narrow" w:cstheme="minorHAnsi"/>
                <w:b/>
                <w:sz w:val="20"/>
                <w:szCs w:val="20"/>
              </w:rPr>
              <w:t>Tiers 2</w:t>
            </w:r>
            <w:r w:rsidRPr="00187D01">
              <w:rPr>
                <w:rStyle w:val="Appelnotedebasdep"/>
                <w:rFonts w:ascii="Arial Narrow" w:hAnsi="Arial Narrow" w:cstheme="minorHAnsi"/>
                <w:b/>
                <w:sz w:val="20"/>
                <w:szCs w:val="20"/>
              </w:rPr>
              <w:footnoteReference w:id="35"/>
            </w:r>
          </w:p>
          <w:p w14:paraId="643D2080" w14:textId="77777777" w:rsidR="00187D01" w:rsidRPr="00187D01" w:rsidRDefault="00187D01">
            <w:pPr>
              <w:rPr>
                <w:rFonts w:ascii="Arial Narrow" w:hAnsi="Arial Narrow" w:cstheme="minorHAnsi"/>
                <w:i/>
                <w:sz w:val="20"/>
                <w:szCs w:val="20"/>
              </w:rPr>
            </w:pPr>
            <w:r w:rsidRPr="00187D01">
              <w:rPr>
                <w:rFonts w:ascii="Arial Narrow" w:hAnsi="Arial Narrow" w:cstheme="minorHAnsi"/>
                <w:i/>
                <w:sz w:val="20"/>
                <w:szCs w:val="20"/>
              </w:rPr>
              <w:t>Facteurs à résoudre à moyen terme</w:t>
            </w:r>
          </w:p>
        </w:tc>
        <w:tc>
          <w:tcPr>
            <w:tcW w:w="2254" w:type="dxa"/>
            <w:shd w:val="clear" w:color="auto" w:fill="FFE599" w:themeFill="accent4" w:themeFillTint="66"/>
            <w:vAlign w:val="center"/>
          </w:tcPr>
          <w:p w14:paraId="1814B4B4" w14:textId="77777777" w:rsidR="00187D01" w:rsidRPr="00187D01" w:rsidRDefault="00187D01">
            <w:pPr>
              <w:rPr>
                <w:rFonts w:ascii="Arial Narrow" w:hAnsi="Arial Narrow" w:cstheme="minorHAnsi"/>
                <w:b/>
                <w:sz w:val="20"/>
                <w:szCs w:val="20"/>
              </w:rPr>
            </w:pPr>
            <w:r w:rsidRPr="00187D01">
              <w:rPr>
                <w:rFonts w:ascii="Arial Narrow" w:hAnsi="Arial Narrow" w:cstheme="minorHAnsi"/>
                <w:b/>
                <w:sz w:val="20"/>
                <w:szCs w:val="20"/>
              </w:rPr>
              <w:t>Tiers 3</w:t>
            </w:r>
            <w:r w:rsidRPr="00187D01">
              <w:rPr>
                <w:rStyle w:val="Appelnotedebasdep"/>
                <w:rFonts w:ascii="Arial Narrow" w:hAnsi="Arial Narrow" w:cstheme="minorHAnsi"/>
                <w:b/>
                <w:sz w:val="20"/>
                <w:szCs w:val="20"/>
              </w:rPr>
              <w:footnoteReference w:id="36"/>
            </w:r>
          </w:p>
          <w:p w14:paraId="6D652DF0" w14:textId="77777777" w:rsidR="00187D01" w:rsidRPr="00187D01" w:rsidRDefault="00187D01">
            <w:pPr>
              <w:rPr>
                <w:rFonts w:ascii="Arial Narrow" w:hAnsi="Arial Narrow" w:cstheme="minorHAnsi"/>
                <w:i/>
                <w:sz w:val="20"/>
                <w:szCs w:val="20"/>
              </w:rPr>
            </w:pPr>
            <w:r w:rsidRPr="00187D01">
              <w:rPr>
                <w:rFonts w:ascii="Arial Narrow" w:hAnsi="Arial Narrow" w:cstheme="minorHAnsi"/>
                <w:i/>
                <w:sz w:val="20"/>
                <w:szCs w:val="20"/>
              </w:rPr>
              <w:t>Facteurs à résoudre à long terme</w:t>
            </w:r>
          </w:p>
        </w:tc>
      </w:tr>
      <w:tr w:rsidR="00187D01" w:rsidRPr="00187D01" w14:paraId="54FDADAB" w14:textId="77777777">
        <w:trPr>
          <w:cantSplit/>
        </w:trPr>
        <w:tc>
          <w:tcPr>
            <w:tcW w:w="2254" w:type="dxa"/>
            <w:vAlign w:val="center"/>
          </w:tcPr>
          <w:p w14:paraId="65FD2EE7" w14:textId="37FEF8BC" w:rsidR="00187D01" w:rsidRPr="00187D01" w:rsidRDefault="00187D01">
            <w:pPr>
              <w:rPr>
                <w:rFonts w:ascii="Arial Narrow" w:hAnsi="Arial Narrow" w:cstheme="minorHAnsi"/>
                <w:sz w:val="20"/>
                <w:szCs w:val="20"/>
              </w:rPr>
            </w:pPr>
            <w:r w:rsidRPr="00702D1E">
              <w:rPr>
                <w:rFonts w:ascii="Arial Narrow" w:hAnsi="Arial Narrow" w:cstheme="minorHAnsi"/>
                <w:sz w:val="20"/>
                <w:szCs w:val="20"/>
              </w:rPr>
              <w:t xml:space="preserve">Comment augmenter la couverture en structures sanitaires (ESPC, </w:t>
            </w:r>
            <w:r w:rsidR="007F1F72" w:rsidRPr="00702D1E">
              <w:rPr>
                <w:rFonts w:ascii="Arial Narrow" w:hAnsi="Arial Narrow" w:cstheme="minorHAnsi"/>
                <w:sz w:val="20"/>
                <w:szCs w:val="20"/>
              </w:rPr>
              <w:t>HG, C</w:t>
            </w:r>
            <w:r w:rsidRPr="00702D1E">
              <w:rPr>
                <w:rFonts w:ascii="Arial Narrow" w:hAnsi="Arial Narrow" w:cstheme="minorHAnsi"/>
                <w:sz w:val="20"/>
                <w:szCs w:val="20"/>
              </w:rPr>
              <w:t>HR) à 76% d’ici à fin 2025 ?</w:t>
            </w:r>
          </w:p>
        </w:tc>
        <w:tc>
          <w:tcPr>
            <w:tcW w:w="2254" w:type="dxa"/>
          </w:tcPr>
          <w:p w14:paraId="3CFD4E5A" w14:textId="77777777" w:rsidR="00187D01" w:rsidRPr="00187D01" w:rsidRDefault="00187D01" w:rsidP="00187D01">
            <w:pPr>
              <w:pStyle w:val="Paragraphedeliste"/>
              <w:numPr>
                <w:ilvl w:val="0"/>
                <w:numId w:val="31"/>
              </w:numPr>
              <w:ind w:left="189" w:hanging="112"/>
              <w:rPr>
                <w:rFonts w:ascii="Arial Narrow" w:hAnsi="Arial Narrow" w:cstheme="minorHAnsi"/>
                <w:sz w:val="20"/>
                <w:szCs w:val="20"/>
              </w:rPr>
            </w:pPr>
          </w:p>
        </w:tc>
        <w:tc>
          <w:tcPr>
            <w:tcW w:w="2254" w:type="dxa"/>
          </w:tcPr>
          <w:p w14:paraId="5CB3A4E4" w14:textId="77777777" w:rsidR="00187D01" w:rsidRPr="00187D01" w:rsidRDefault="00187D01" w:rsidP="00187D01">
            <w:pPr>
              <w:pStyle w:val="Paragraphedeliste"/>
              <w:numPr>
                <w:ilvl w:val="0"/>
                <w:numId w:val="31"/>
              </w:numPr>
              <w:ind w:left="189" w:hanging="112"/>
              <w:rPr>
                <w:rFonts w:ascii="Arial Narrow" w:hAnsi="Arial Narrow" w:cstheme="minorHAnsi"/>
                <w:sz w:val="20"/>
                <w:szCs w:val="20"/>
              </w:rPr>
            </w:pPr>
          </w:p>
        </w:tc>
        <w:tc>
          <w:tcPr>
            <w:tcW w:w="2254" w:type="dxa"/>
          </w:tcPr>
          <w:p w14:paraId="72C9A2A1" w14:textId="04A07077" w:rsidR="00187D01" w:rsidRPr="00702D1E" w:rsidRDefault="00187D01" w:rsidP="00187D01">
            <w:pPr>
              <w:pStyle w:val="Paragraphedeliste"/>
              <w:numPr>
                <w:ilvl w:val="0"/>
                <w:numId w:val="31"/>
              </w:numPr>
              <w:ind w:left="189" w:hanging="112"/>
              <w:rPr>
                <w:rFonts w:ascii="Arial Narrow" w:hAnsi="Arial Narrow" w:cstheme="minorHAnsi"/>
                <w:sz w:val="20"/>
                <w:szCs w:val="20"/>
              </w:rPr>
            </w:pPr>
            <w:r w:rsidRPr="00702D1E">
              <w:rPr>
                <w:rFonts w:ascii="Arial Narrow" w:hAnsi="Arial Narrow" w:cstheme="minorHAnsi"/>
                <w:sz w:val="20"/>
                <w:szCs w:val="20"/>
              </w:rPr>
              <w:t xml:space="preserve">Inexistence de structures sanitaires dans </w:t>
            </w:r>
            <w:proofErr w:type="gramStart"/>
            <w:r w:rsidRPr="00702D1E">
              <w:rPr>
                <w:rFonts w:ascii="Arial Narrow" w:hAnsi="Arial Narrow" w:cstheme="minorHAnsi"/>
                <w:sz w:val="20"/>
                <w:szCs w:val="20"/>
              </w:rPr>
              <w:t xml:space="preserve">certains </w:t>
            </w:r>
            <w:r w:rsidR="00FB59F7" w:rsidRPr="00702D1E">
              <w:rPr>
                <w:rFonts w:ascii="Arial Narrow" w:hAnsi="Arial Narrow" w:cstheme="minorHAnsi"/>
                <w:sz w:val="20"/>
                <w:szCs w:val="20"/>
              </w:rPr>
              <w:t>zones</w:t>
            </w:r>
            <w:proofErr w:type="gramEnd"/>
          </w:p>
          <w:p w14:paraId="3C70F898" w14:textId="77777777" w:rsidR="00187D01" w:rsidRPr="00187D01" w:rsidRDefault="00187D01" w:rsidP="00187D01">
            <w:pPr>
              <w:pStyle w:val="Paragraphedeliste"/>
              <w:numPr>
                <w:ilvl w:val="0"/>
                <w:numId w:val="31"/>
              </w:numPr>
              <w:ind w:left="189" w:hanging="112"/>
              <w:rPr>
                <w:rFonts w:ascii="Arial Narrow" w:hAnsi="Arial Narrow" w:cstheme="minorHAnsi"/>
                <w:sz w:val="20"/>
                <w:szCs w:val="20"/>
              </w:rPr>
            </w:pPr>
            <w:r w:rsidRPr="00187D01">
              <w:rPr>
                <w:rFonts w:ascii="Arial Narrow" w:hAnsi="Arial Narrow" w:cstheme="minorHAnsi"/>
                <w:sz w:val="20"/>
                <w:szCs w:val="20"/>
              </w:rPr>
              <w:t>Répartition inéquitable des structures sanitaires</w:t>
            </w:r>
          </w:p>
        </w:tc>
      </w:tr>
      <w:tr w:rsidR="00187D01" w:rsidRPr="00187D01" w14:paraId="7AA1922F" w14:textId="77777777">
        <w:trPr>
          <w:cantSplit/>
        </w:trPr>
        <w:tc>
          <w:tcPr>
            <w:tcW w:w="2254" w:type="dxa"/>
            <w:vAlign w:val="center"/>
          </w:tcPr>
          <w:p w14:paraId="22FC59C8" w14:textId="20487E40" w:rsidR="00187D01" w:rsidRPr="00187D01" w:rsidRDefault="00187D01">
            <w:pPr>
              <w:rPr>
                <w:rFonts w:ascii="Arial Narrow" w:hAnsi="Arial Narrow" w:cstheme="minorHAnsi"/>
                <w:sz w:val="20"/>
                <w:szCs w:val="20"/>
              </w:rPr>
            </w:pPr>
            <w:r w:rsidRPr="00187D01">
              <w:rPr>
                <w:rFonts w:ascii="Arial Narrow" w:hAnsi="Arial Narrow" w:cstheme="minorHAnsi"/>
                <w:sz w:val="20"/>
                <w:szCs w:val="20"/>
              </w:rPr>
              <w:t xml:space="preserve">Comment </w:t>
            </w:r>
            <w:r w:rsidR="00EB7794">
              <w:rPr>
                <w:rFonts w:ascii="Arial Narrow" w:hAnsi="Arial Narrow" w:cstheme="minorHAnsi"/>
                <w:sz w:val="20"/>
                <w:szCs w:val="20"/>
              </w:rPr>
              <w:t>améliorer</w:t>
            </w:r>
            <w:r w:rsidRPr="00187D01">
              <w:rPr>
                <w:rFonts w:ascii="Arial Narrow" w:hAnsi="Arial Narrow" w:cstheme="minorHAnsi"/>
                <w:sz w:val="20"/>
                <w:szCs w:val="20"/>
              </w:rPr>
              <w:t xml:space="preserve"> le pourcentage de structures sanitaires aux normes d’ici à fin 2025 ?</w:t>
            </w:r>
          </w:p>
        </w:tc>
        <w:tc>
          <w:tcPr>
            <w:tcW w:w="2254" w:type="dxa"/>
          </w:tcPr>
          <w:p w14:paraId="460D0D45" w14:textId="77777777" w:rsidR="00187D01" w:rsidRPr="00187D01" w:rsidRDefault="00187D01" w:rsidP="00187D01">
            <w:pPr>
              <w:pStyle w:val="Paragraphedeliste"/>
              <w:numPr>
                <w:ilvl w:val="0"/>
                <w:numId w:val="31"/>
              </w:numPr>
              <w:ind w:left="189" w:hanging="112"/>
              <w:rPr>
                <w:rFonts w:ascii="Arial Narrow" w:hAnsi="Arial Narrow" w:cstheme="minorHAnsi"/>
                <w:sz w:val="20"/>
                <w:szCs w:val="20"/>
              </w:rPr>
            </w:pPr>
          </w:p>
        </w:tc>
        <w:tc>
          <w:tcPr>
            <w:tcW w:w="2254" w:type="dxa"/>
          </w:tcPr>
          <w:p w14:paraId="7DC2F212" w14:textId="77777777" w:rsidR="00187D01" w:rsidRPr="00187D01" w:rsidRDefault="00187D01" w:rsidP="00187D01">
            <w:pPr>
              <w:pStyle w:val="Paragraphedeliste"/>
              <w:numPr>
                <w:ilvl w:val="0"/>
                <w:numId w:val="31"/>
              </w:numPr>
              <w:ind w:left="189" w:hanging="112"/>
              <w:rPr>
                <w:rFonts w:ascii="Arial Narrow" w:hAnsi="Arial Narrow" w:cstheme="minorHAnsi"/>
                <w:sz w:val="20"/>
                <w:szCs w:val="20"/>
              </w:rPr>
            </w:pPr>
            <w:r w:rsidRPr="00187D01">
              <w:rPr>
                <w:rFonts w:ascii="Arial Narrow" w:hAnsi="Arial Narrow" w:cstheme="minorHAnsi"/>
                <w:sz w:val="20"/>
                <w:szCs w:val="20"/>
              </w:rPr>
              <w:t>Inadéquation aux normes de construction : certaines structures sanitaires construites par les collectivités décentralisées ne répondent pas aux normes</w:t>
            </w:r>
          </w:p>
        </w:tc>
        <w:tc>
          <w:tcPr>
            <w:tcW w:w="2254" w:type="dxa"/>
          </w:tcPr>
          <w:p w14:paraId="3ACD8CDB" w14:textId="22CF4E7E" w:rsidR="00187D01" w:rsidRPr="00187D01" w:rsidRDefault="00702D1E" w:rsidP="00187D01">
            <w:pPr>
              <w:pStyle w:val="Paragraphedeliste"/>
              <w:keepNext/>
              <w:numPr>
                <w:ilvl w:val="0"/>
                <w:numId w:val="31"/>
              </w:numPr>
              <w:ind w:left="189" w:hanging="112"/>
              <w:rPr>
                <w:rFonts w:ascii="Arial Narrow" w:hAnsi="Arial Narrow" w:cstheme="minorHAnsi"/>
                <w:sz w:val="20"/>
                <w:szCs w:val="20"/>
              </w:rPr>
            </w:pPr>
            <w:r w:rsidRPr="00702D1E">
              <w:rPr>
                <w:rFonts w:ascii="Arial Narrow" w:hAnsi="Arial Narrow" w:cstheme="minorHAnsi"/>
                <w:sz w:val="20"/>
                <w:szCs w:val="20"/>
              </w:rPr>
              <w:t>Insuffisance dans la mise à niveau de certaines structures sanitaires, conformément à leur niveau dans la pyramide sanitaire</w:t>
            </w:r>
          </w:p>
        </w:tc>
      </w:tr>
      <w:tr w:rsidR="00187D01" w:rsidRPr="00187D01" w14:paraId="4C87E630" w14:textId="77777777">
        <w:trPr>
          <w:cantSplit/>
        </w:trPr>
        <w:tc>
          <w:tcPr>
            <w:tcW w:w="2254" w:type="dxa"/>
            <w:vAlign w:val="center"/>
          </w:tcPr>
          <w:p w14:paraId="2372131B" w14:textId="20A7DBD8" w:rsidR="00187D01" w:rsidRPr="00187D01" w:rsidRDefault="00EB7794">
            <w:pPr>
              <w:rPr>
                <w:rFonts w:ascii="Arial Narrow" w:hAnsi="Arial Narrow" w:cstheme="minorHAnsi"/>
                <w:sz w:val="20"/>
                <w:szCs w:val="20"/>
              </w:rPr>
            </w:pPr>
            <w:r w:rsidRPr="00702D1E">
              <w:rPr>
                <w:rFonts w:ascii="Arial Narrow" w:hAnsi="Arial Narrow" w:cstheme="minorHAnsi"/>
                <w:color w:val="000000" w:themeColor="text1"/>
                <w:sz w:val="20"/>
                <w:szCs w:val="20"/>
              </w:rPr>
              <w:t>Comment améliorer l’accessibilité géographique aux soins des populations ?</w:t>
            </w:r>
          </w:p>
        </w:tc>
        <w:tc>
          <w:tcPr>
            <w:tcW w:w="2254" w:type="dxa"/>
          </w:tcPr>
          <w:p w14:paraId="6A53BA5D" w14:textId="77777777" w:rsidR="00187D01" w:rsidRPr="00187D01" w:rsidRDefault="00187D01" w:rsidP="00187D01">
            <w:pPr>
              <w:pStyle w:val="Paragraphedeliste"/>
              <w:numPr>
                <w:ilvl w:val="0"/>
                <w:numId w:val="31"/>
              </w:numPr>
              <w:ind w:left="189" w:hanging="112"/>
              <w:rPr>
                <w:rFonts w:ascii="Arial Narrow" w:hAnsi="Arial Narrow" w:cstheme="minorHAnsi"/>
                <w:sz w:val="20"/>
                <w:szCs w:val="20"/>
              </w:rPr>
            </w:pPr>
            <w:r w:rsidRPr="00187D01">
              <w:rPr>
                <w:rFonts w:ascii="Arial Narrow" w:hAnsi="Arial Narrow" w:cstheme="minorHAnsi"/>
                <w:sz w:val="20"/>
                <w:szCs w:val="20"/>
              </w:rPr>
              <w:t>Eloignement de certaines populations des structures sanitaires (a plus de 5km)</w:t>
            </w:r>
          </w:p>
          <w:p w14:paraId="29216D89" w14:textId="0602FB10" w:rsidR="00187D01" w:rsidRPr="00187D01" w:rsidRDefault="00187D01" w:rsidP="00702D1E">
            <w:pPr>
              <w:pStyle w:val="Paragraphedeliste"/>
              <w:ind w:left="189"/>
              <w:rPr>
                <w:rFonts w:ascii="Arial Narrow" w:hAnsi="Arial Narrow" w:cstheme="minorHAnsi"/>
                <w:sz w:val="20"/>
                <w:szCs w:val="20"/>
              </w:rPr>
            </w:pPr>
          </w:p>
        </w:tc>
        <w:tc>
          <w:tcPr>
            <w:tcW w:w="2254" w:type="dxa"/>
          </w:tcPr>
          <w:p w14:paraId="0273DBE4" w14:textId="77777777" w:rsidR="00187D01" w:rsidRPr="00187D01" w:rsidRDefault="00187D01" w:rsidP="00187D01">
            <w:pPr>
              <w:pStyle w:val="Paragraphedeliste"/>
              <w:numPr>
                <w:ilvl w:val="0"/>
                <w:numId w:val="31"/>
              </w:numPr>
              <w:ind w:left="189" w:hanging="112"/>
              <w:rPr>
                <w:rFonts w:ascii="Arial Narrow" w:hAnsi="Arial Narrow" w:cstheme="minorHAnsi"/>
                <w:sz w:val="20"/>
                <w:szCs w:val="20"/>
              </w:rPr>
            </w:pPr>
          </w:p>
        </w:tc>
        <w:tc>
          <w:tcPr>
            <w:tcW w:w="2254" w:type="dxa"/>
          </w:tcPr>
          <w:p w14:paraId="31C7795E" w14:textId="77777777" w:rsidR="00187D01" w:rsidRPr="00187D01" w:rsidRDefault="00187D01" w:rsidP="00187D01">
            <w:pPr>
              <w:pStyle w:val="Paragraphedeliste"/>
              <w:keepNext/>
              <w:numPr>
                <w:ilvl w:val="0"/>
                <w:numId w:val="31"/>
              </w:numPr>
              <w:ind w:left="189" w:hanging="112"/>
              <w:rPr>
                <w:rFonts w:ascii="Arial Narrow" w:hAnsi="Arial Narrow" w:cstheme="minorHAnsi"/>
                <w:sz w:val="20"/>
                <w:szCs w:val="20"/>
              </w:rPr>
            </w:pPr>
            <w:r w:rsidRPr="00187D01">
              <w:rPr>
                <w:rFonts w:ascii="Arial Narrow" w:hAnsi="Arial Narrow" w:cstheme="minorHAnsi"/>
                <w:sz w:val="20"/>
                <w:szCs w:val="20"/>
              </w:rPr>
              <w:t>Mauvais état des routes (surtout lors de la saison des pluies) compliquant les évacuations</w:t>
            </w:r>
          </w:p>
        </w:tc>
      </w:tr>
      <w:tr w:rsidR="00187D01" w:rsidRPr="00187D01" w14:paraId="626F574A" w14:textId="77777777">
        <w:trPr>
          <w:cantSplit/>
        </w:trPr>
        <w:tc>
          <w:tcPr>
            <w:tcW w:w="2254" w:type="dxa"/>
            <w:vAlign w:val="center"/>
          </w:tcPr>
          <w:p w14:paraId="1496A485" w14:textId="62A9B121" w:rsidR="00187D01" w:rsidRPr="00FB59F7" w:rsidRDefault="00187D01">
            <w:pPr>
              <w:rPr>
                <w:rFonts w:ascii="Arial Narrow" w:hAnsi="Arial Narrow" w:cstheme="minorHAnsi"/>
                <w:sz w:val="20"/>
                <w:szCs w:val="20"/>
              </w:rPr>
            </w:pPr>
            <w:r w:rsidRPr="00702D1E">
              <w:rPr>
                <w:rFonts w:ascii="Arial Narrow" w:hAnsi="Arial Narrow" w:cstheme="minorHAnsi"/>
                <w:color w:val="000000" w:themeColor="text1"/>
                <w:sz w:val="20"/>
                <w:szCs w:val="20"/>
              </w:rPr>
              <w:lastRenderedPageBreak/>
              <w:t xml:space="preserve">Comment </w:t>
            </w:r>
            <w:r w:rsidR="00EB7794" w:rsidRPr="00702D1E">
              <w:rPr>
                <w:rFonts w:ascii="Arial Narrow" w:hAnsi="Arial Narrow" w:cstheme="minorHAnsi"/>
                <w:i/>
                <w:iCs/>
                <w:color w:val="000000" w:themeColor="text1"/>
                <w:sz w:val="24"/>
                <w:szCs w:val="24"/>
              </w:rPr>
              <w:t xml:space="preserve">améliorer la disponibilité des médicaments </w:t>
            </w:r>
            <w:r w:rsidRPr="00702D1E">
              <w:rPr>
                <w:rFonts w:ascii="Arial Narrow" w:hAnsi="Arial Narrow" w:cstheme="minorHAnsi"/>
                <w:color w:val="000000" w:themeColor="text1"/>
                <w:sz w:val="20"/>
                <w:szCs w:val="20"/>
              </w:rPr>
              <w:t xml:space="preserve">de </w:t>
            </w:r>
            <w:r w:rsidRPr="00FB59F7">
              <w:rPr>
                <w:rFonts w:ascii="Arial Narrow" w:hAnsi="Arial Narrow" w:cstheme="minorHAnsi"/>
                <w:sz w:val="20"/>
                <w:szCs w:val="20"/>
              </w:rPr>
              <w:t>la gratuité ciblée ?</w:t>
            </w:r>
          </w:p>
        </w:tc>
        <w:tc>
          <w:tcPr>
            <w:tcW w:w="2254" w:type="dxa"/>
          </w:tcPr>
          <w:p w14:paraId="72323710" w14:textId="77777777" w:rsidR="00187D01" w:rsidRPr="00187D01" w:rsidRDefault="00187D01" w:rsidP="00187D01">
            <w:pPr>
              <w:pStyle w:val="Paragraphedeliste"/>
              <w:numPr>
                <w:ilvl w:val="0"/>
                <w:numId w:val="31"/>
              </w:numPr>
              <w:ind w:left="189" w:hanging="112"/>
              <w:rPr>
                <w:rFonts w:ascii="Arial Narrow" w:hAnsi="Arial Narrow" w:cstheme="minorHAnsi"/>
                <w:sz w:val="20"/>
                <w:szCs w:val="20"/>
              </w:rPr>
            </w:pPr>
          </w:p>
        </w:tc>
        <w:tc>
          <w:tcPr>
            <w:tcW w:w="2254" w:type="dxa"/>
          </w:tcPr>
          <w:p w14:paraId="70E524FE" w14:textId="77777777" w:rsidR="00187D01" w:rsidRPr="00FB59F7" w:rsidRDefault="00187D01" w:rsidP="00187D01">
            <w:pPr>
              <w:pStyle w:val="Paragraphedeliste"/>
              <w:numPr>
                <w:ilvl w:val="0"/>
                <w:numId w:val="31"/>
              </w:numPr>
              <w:ind w:left="189" w:hanging="112"/>
              <w:rPr>
                <w:rFonts w:ascii="Arial Narrow" w:hAnsi="Arial Narrow" w:cstheme="minorHAnsi"/>
                <w:sz w:val="20"/>
                <w:szCs w:val="20"/>
              </w:rPr>
            </w:pPr>
            <w:r w:rsidRPr="00702D1E">
              <w:rPr>
                <w:rFonts w:ascii="Arial Narrow" w:hAnsi="Arial Narrow" w:cstheme="minorHAnsi"/>
                <w:sz w:val="20"/>
                <w:szCs w:val="20"/>
              </w:rPr>
              <w:t xml:space="preserve">Faible couverture du logiciel </w:t>
            </w:r>
            <w:proofErr w:type="spellStart"/>
            <w:r w:rsidRPr="00702D1E">
              <w:rPr>
                <w:rFonts w:ascii="Arial Narrow" w:hAnsi="Arial Narrow" w:cstheme="minorHAnsi"/>
                <w:sz w:val="20"/>
                <w:szCs w:val="20"/>
              </w:rPr>
              <w:t>mSupply</w:t>
            </w:r>
            <w:proofErr w:type="spellEnd"/>
            <w:r w:rsidRPr="00702D1E">
              <w:rPr>
                <w:rFonts w:ascii="Arial Narrow" w:hAnsi="Arial Narrow" w:cstheme="minorHAnsi"/>
                <w:sz w:val="20"/>
                <w:szCs w:val="20"/>
              </w:rPr>
              <w:t xml:space="preserve"> au niveau national</w:t>
            </w:r>
          </w:p>
          <w:p w14:paraId="55AE60AF" w14:textId="77777777" w:rsidR="00EB7794" w:rsidRPr="00702D1E" w:rsidRDefault="00EB7794" w:rsidP="00EB7794">
            <w:pPr>
              <w:pStyle w:val="Paragraphedeliste"/>
              <w:keepNext/>
              <w:numPr>
                <w:ilvl w:val="0"/>
                <w:numId w:val="31"/>
              </w:numPr>
              <w:ind w:left="189" w:hanging="112"/>
              <w:rPr>
                <w:rFonts w:ascii="Arial Narrow" w:hAnsi="Arial Narrow" w:cstheme="minorHAnsi"/>
                <w:color w:val="000000" w:themeColor="text1"/>
                <w:sz w:val="20"/>
                <w:szCs w:val="20"/>
              </w:rPr>
            </w:pPr>
            <w:r w:rsidRPr="00702D1E">
              <w:rPr>
                <w:rFonts w:ascii="Arial Narrow" w:hAnsi="Arial Narrow" w:cstheme="minorHAnsi"/>
                <w:color w:val="000000" w:themeColor="text1"/>
                <w:sz w:val="20"/>
                <w:szCs w:val="20"/>
              </w:rPr>
              <w:t>Faible satisfaction des commandes</w:t>
            </w:r>
          </w:p>
          <w:p w14:paraId="1DBFFE6E" w14:textId="77777777" w:rsidR="00EB7794" w:rsidRPr="00702D1E" w:rsidRDefault="00EB7794" w:rsidP="00EB7794">
            <w:pPr>
              <w:pStyle w:val="Paragraphedeliste"/>
              <w:keepNext/>
              <w:numPr>
                <w:ilvl w:val="0"/>
                <w:numId w:val="31"/>
              </w:numPr>
              <w:ind w:left="189" w:hanging="112"/>
              <w:rPr>
                <w:rFonts w:ascii="Arial Narrow" w:hAnsi="Arial Narrow" w:cstheme="minorHAnsi"/>
                <w:color w:val="000000" w:themeColor="text1"/>
                <w:sz w:val="20"/>
                <w:szCs w:val="20"/>
              </w:rPr>
            </w:pPr>
            <w:r w:rsidRPr="00702D1E">
              <w:rPr>
                <w:rFonts w:ascii="Arial Narrow" w:hAnsi="Arial Narrow" w:cstheme="minorHAnsi"/>
                <w:color w:val="000000" w:themeColor="text1"/>
                <w:sz w:val="20"/>
                <w:szCs w:val="20"/>
              </w:rPr>
              <w:t>Ruptures fréquentes des produits de la gratuite ciblée</w:t>
            </w:r>
          </w:p>
          <w:p w14:paraId="4C07E3BD" w14:textId="3B664CA2" w:rsidR="00EB7794" w:rsidRPr="00702D1E" w:rsidRDefault="00FB59F7" w:rsidP="00EB7794">
            <w:pPr>
              <w:pStyle w:val="Paragraphedeliste"/>
              <w:keepNext/>
              <w:numPr>
                <w:ilvl w:val="0"/>
                <w:numId w:val="31"/>
              </w:numPr>
              <w:ind w:left="189" w:hanging="112"/>
              <w:rPr>
                <w:rFonts w:ascii="Arial Narrow" w:hAnsi="Arial Narrow" w:cstheme="minorHAnsi"/>
                <w:color w:val="000000" w:themeColor="text1"/>
                <w:sz w:val="20"/>
                <w:szCs w:val="20"/>
              </w:rPr>
            </w:pPr>
            <w:r w:rsidRPr="00702D1E">
              <w:rPr>
                <w:rFonts w:ascii="Arial Narrow" w:hAnsi="Arial Narrow" w:cstheme="minorHAnsi"/>
                <w:color w:val="000000" w:themeColor="text1"/>
                <w:sz w:val="20"/>
                <w:szCs w:val="20"/>
              </w:rPr>
              <w:t>Insuffisance</w:t>
            </w:r>
            <w:r w:rsidR="00EB7794" w:rsidRPr="00702D1E">
              <w:rPr>
                <w:rFonts w:ascii="Arial Narrow" w:hAnsi="Arial Narrow" w:cstheme="minorHAnsi"/>
                <w:color w:val="000000" w:themeColor="text1"/>
                <w:sz w:val="20"/>
                <w:szCs w:val="20"/>
              </w:rPr>
              <w:t xml:space="preserve"> de contrôle de l’application des directives de la gratuité des soins</w:t>
            </w:r>
          </w:p>
          <w:p w14:paraId="0B775C39" w14:textId="77777777" w:rsidR="00EB7794" w:rsidRPr="00187D01" w:rsidRDefault="00EB7794" w:rsidP="007A001B">
            <w:pPr>
              <w:pStyle w:val="Paragraphedeliste"/>
              <w:ind w:left="189"/>
              <w:rPr>
                <w:rFonts w:ascii="Arial Narrow" w:hAnsi="Arial Narrow" w:cstheme="minorHAnsi"/>
                <w:sz w:val="20"/>
                <w:szCs w:val="20"/>
              </w:rPr>
            </w:pPr>
          </w:p>
        </w:tc>
        <w:tc>
          <w:tcPr>
            <w:tcW w:w="2254" w:type="dxa"/>
          </w:tcPr>
          <w:p w14:paraId="7D19B079" w14:textId="77777777" w:rsidR="00187D01" w:rsidRPr="00187D01" w:rsidRDefault="00187D01" w:rsidP="00187D01">
            <w:pPr>
              <w:pStyle w:val="Paragraphedeliste"/>
              <w:keepNext/>
              <w:numPr>
                <w:ilvl w:val="0"/>
                <w:numId w:val="31"/>
              </w:numPr>
              <w:ind w:left="189" w:hanging="112"/>
              <w:rPr>
                <w:rFonts w:ascii="Arial Narrow" w:hAnsi="Arial Narrow" w:cstheme="minorHAnsi"/>
                <w:sz w:val="20"/>
                <w:szCs w:val="20"/>
              </w:rPr>
            </w:pPr>
            <w:r w:rsidRPr="00187D01">
              <w:rPr>
                <w:rFonts w:ascii="Arial Narrow" w:hAnsi="Arial Narrow" w:cstheme="minorHAnsi"/>
                <w:sz w:val="20"/>
                <w:szCs w:val="20"/>
              </w:rPr>
              <w:t>Faible satisfaction des commandes</w:t>
            </w:r>
          </w:p>
          <w:p w14:paraId="5D9413E2" w14:textId="77777777" w:rsidR="00187D01" w:rsidRPr="00187D01" w:rsidRDefault="00187D01" w:rsidP="00187D01">
            <w:pPr>
              <w:pStyle w:val="Paragraphedeliste"/>
              <w:keepNext/>
              <w:numPr>
                <w:ilvl w:val="0"/>
                <w:numId w:val="31"/>
              </w:numPr>
              <w:ind w:left="189" w:hanging="112"/>
              <w:rPr>
                <w:rFonts w:ascii="Arial Narrow" w:hAnsi="Arial Narrow" w:cstheme="minorHAnsi"/>
                <w:sz w:val="20"/>
                <w:szCs w:val="20"/>
              </w:rPr>
            </w:pPr>
            <w:r w:rsidRPr="00187D01">
              <w:rPr>
                <w:rFonts w:ascii="Arial Narrow" w:hAnsi="Arial Narrow" w:cstheme="minorHAnsi"/>
                <w:sz w:val="20"/>
                <w:szCs w:val="20"/>
              </w:rPr>
              <w:t>Ruptures fréquentes des produits de la gratuite ciblée</w:t>
            </w:r>
          </w:p>
          <w:p w14:paraId="14CB9DBF" w14:textId="77777777" w:rsidR="00187D01" w:rsidRPr="00187D01" w:rsidRDefault="00187D01" w:rsidP="007A001B">
            <w:pPr>
              <w:pStyle w:val="Paragraphedeliste"/>
              <w:keepNext/>
              <w:ind w:left="189"/>
              <w:rPr>
                <w:rFonts w:ascii="Arial Narrow" w:hAnsi="Arial Narrow" w:cstheme="minorHAnsi"/>
                <w:sz w:val="20"/>
                <w:szCs w:val="20"/>
              </w:rPr>
            </w:pPr>
          </w:p>
        </w:tc>
      </w:tr>
    </w:tbl>
    <w:p w14:paraId="59D0ADD7" w14:textId="22FD19A7" w:rsidR="00BC30AE" w:rsidRPr="00754AF9" w:rsidRDefault="00BC30AE" w:rsidP="00DC5897">
      <w:pPr>
        <w:pStyle w:val="Lgende"/>
      </w:pPr>
      <w:r w:rsidRPr="0052623B">
        <w:t xml:space="preserve">Sources : Données collectées pour la </w:t>
      </w:r>
      <w:r w:rsidR="00B635D8">
        <w:t>revue</w:t>
      </w:r>
      <w:r w:rsidRPr="0052623B">
        <w:t xml:space="preserve"> du PNDS </w:t>
      </w:r>
      <w:r w:rsidR="00EB1CA0">
        <w:t>2021-2025</w:t>
      </w:r>
    </w:p>
    <w:p w14:paraId="537EADE3" w14:textId="62CDED43" w:rsidR="00BC30AE" w:rsidRPr="00971DE9" w:rsidRDefault="00BC30AE" w:rsidP="00CF59E5">
      <w:pPr>
        <w:shd w:val="clear" w:color="auto" w:fill="BDD6EE" w:themeFill="accent5" w:themeFillTint="66"/>
        <w:rPr>
          <w:rFonts w:ascii="Arial Narrow" w:hAnsi="Arial Narrow" w:cstheme="minorHAnsi"/>
          <w:b/>
          <w:bCs/>
          <w:sz w:val="24"/>
          <w:szCs w:val="24"/>
        </w:rPr>
      </w:pPr>
      <w:bookmarkStart w:id="181" w:name="_Toc178699607"/>
      <w:r w:rsidRPr="00971DE9">
        <w:rPr>
          <w:rFonts w:ascii="Arial Narrow" w:hAnsi="Arial Narrow" w:cstheme="minorHAnsi"/>
          <w:b/>
          <w:bCs/>
          <w:sz w:val="24"/>
          <w:szCs w:val="24"/>
        </w:rPr>
        <w:t xml:space="preserve">Problèmes de </w:t>
      </w:r>
      <w:r w:rsidR="00EA4209">
        <w:rPr>
          <w:rFonts w:ascii="Arial Narrow" w:hAnsi="Arial Narrow" w:cstheme="minorHAnsi"/>
          <w:b/>
          <w:bCs/>
          <w:sz w:val="24"/>
          <w:szCs w:val="24"/>
        </w:rPr>
        <w:t>s</w:t>
      </w:r>
      <w:r w:rsidRPr="00971DE9">
        <w:rPr>
          <w:rFonts w:ascii="Arial Narrow" w:hAnsi="Arial Narrow" w:cstheme="minorHAnsi"/>
          <w:b/>
          <w:bCs/>
          <w:sz w:val="24"/>
          <w:szCs w:val="24"/>
        </w:rPr>
        <w:t>anté relatifs aux maladies tropicales négligées et aux maladies transmissibles</w:t>
      </w:r>
      <w:bookmarkEnd w:id="181"/>
    </w:p>
    <w:p w14:paraId="3DE1B4AF" w14:textId="09B5A9D2" w:rsidR="00BC30AE" w:rsidRPr="0052623B" w:rsidRDefault="00BC30AE" w:rsidP="00302010">
      <w:pPr>
        <w:jc w:val="both"/>
        <w:rPr>
          <w:rFonts w:ascii="Arial Narrow" w:hAnsi="Arial Narrow" w:cstheme="minorHAnsi"/>
          <w:sz w:val="24"/>
          <w:szCs w:val="24"/>
        </w:rPr>
      </w:pPr>
      <w:r w:rsidRPr="0052623B">
        <w:rPr>
          <w:rFonts w:ascii="Arial Narrow" w:hAnsi="Arial Narrow" w:cstheme="minorHAnsi"/>
          <w:sz w:val="24"/>
          <w:szCs w:val="24"/>
        </w:rPr>
        <w:t xml:space="preserve">S’agissant de la thématique </w:t>
      </w:r>
      <w:r w:rsidRPr="00702D1E">
        <w:rPr>
          <w:rFonts w:ascii="Arial Narrow" w:hAnsi="Arial Narrow" w:cstheme="minorHAnsi"/>
          <w:sz w:val="24"/>
          <w:szCs w:val="24"/>
        </w:rPr>
        <w:t>maladies tropicales négligées</w:t>
      </w:r>
      <w:r w:rsidRPr="007A001B">
        <w:rPr>
          <w:rFonts w:ascii="Arial Narrow" w:hAnsi="Arial Narrow" w:cstheme="minorHAnsi"/>
          <w:strike/>
          <w:sz w:val="24"/>
          <w:szCs w:val="24"/>
        </w:rPr>
        <w:t xml:space="preserve"> et</w:t>
      </w:r>
      <w:r w:rsidRPr="0052623B">
        <w:rPr>
          <w:rFonts w:ascii="Arial Narrow" w:hAnsi="Arial Narrow" w:cstheme="minorHAnsi"/>
          <w:sz w:val="24"/>
          <w:szCs w:val="24"/>
        </w:rPr>
        <w:t xml:space="preserve"> </w:t>
      </w:r>
      <w:r w:rsidR="00EB7794">
        <w:rPr>
          <w:rFonts w:ascii="Arial Narrow" w:hAnsi="Arial Narrow" w:cstheme="minorHAnsi"/>
          <w:sz w:val="24"/>
          <w:szCs w:val="24"/>
        </w:rPr>
        <w:t xml:space="preserve">des </w:t>
      </w:r>
      <w:r w:rsidRPr="0052623B">
        <w:rPr>
          <w:rFonts w:ascii="Arial Narrow" w:hAnsi="Arial Narrow" w:cstheme="minorHAnsi"/>
          <w:sz w:val="24"/>
          <w:szCs w:val="24"/>
        </w:rPr>
        <w:t xml:space="preserve">maladies transmissibles, les problèmes de </w:t>
      </w:r>
      <w:r w:rsidR="00EA4209">
        <w:rPr>
          <w:rFonts w:ascii="Arial Narrow" w:hAnsi="Arial Narrow" w:cstheme="minorHAnsi"/>
          <w:sz w:val="24"/>
          <w:szCs w:val="24"/>
        </w:rPr>
        <w:t>s</w:t>
      </w:r>
      <w:r w:rsidRPr="0052623B">
        <w:rPr>
          <w:rFonts w:ascii="Arial Narrow" w:hAnsi="Arial Narrow" w:cstheme="minorHAnsi"/>
          <w:sz w:val="24"/>
          <w:szCs w:val="24"/>
        </w:rPr>
        <w:t>anté ci-après ont été recensés au niveau des régions sanitaires, malgré la mise en œuvre du PNDS </w:t>
      </w:r>
      <w:r w:rsidR="00EB1CA0">
        <w:rPr>
          <w:rFonts w:ascii="Arial Narrow" w:hAnsi="Arial Narrow" w:cstheme="minorHAnsi"/>
          <w:sz w:val="24"/>
          <w:szCs w:val="24"/>
        </w:rPr>
        <w:t>2021-2025</w:t>
      </w:r>
      <w:r w:rsidRPr="0052623B">
        <w:rPr>
          <w:rFonts w:ascii="Arial Narrow" w:hAnsi="Arial Narrow" w:cstheme="minorHAnsi"/>
          <w:sz w:val="24"/>
          <w:szCs w:val="24"/>
        </w:rPr>
        <w:t xml:space="preserve"> :</w:t>
      </w:r>
    </w:p>
    <w:p w14:paraId="16DD6189" w14:textId="77777777" w:rsidR="00BC30AE" w:rsidRPr="00971DE9" w:rsidRDefault="00BC30AE" w:rsidP="00B5792A">
      <w:pPr>
        <w:pStyle w:val="Paragraphedeliste"/>
        <w:numPr>
          <w:ilvl w:val="0"/>
          <w:numId w:val="44"/>
        </w:numPr>
        <w:ind w:left="426"/>
        <w:jc w:val="both"/>
        <w:rPr>
          <w:rFonts w:ascii="Arial Narrow" w:hAnsi="Arial Narrow" w:cstheme="minorHAnsi"/>
          <w:i/>
          <w:iCs/>
          <w:sz w:val="24"/>
          <w:szCs w:val="24"/>
        </w:rPr>
      </w:pPr>
      <w:r w:rsidRPr="00971DE9">
        <w:rPr>
          <w:rFonts w:ascii="Arial Narrow" w:hAnsi="Arial Narrow" w:cstheme="minorHAnsi"/>
          <w:i/>
          <w:iCs/>
          <w:sz w:val="24"/>
          <w:szCs w:val="24"/>
        </w:rPr>
        <w:t>Performance insuffisante dans l’atteinte des trois 95 ;</w:t>
      </w:r>
    </w:p>
    <w:p w14:paraId="45F394F1" w14:textId="77777777" w:rsidR="00BC30AE" w:rsidRPr="00971DE9" w:rsidRDefault="00BC30AE" w:rsidP="00B5792A">
      <w:pPr>
        <w:pStyle w:val="Paragraphedeliste"/>
        <w:numPr>
          <w:ilvl w:val="0"/>
          <w:numId w:val="44"/>
        </w:numPr>
        <w:ind w:left="426"/>
        <w:jc w:val="both"/>
        <w:rPr>
          <w:rFonts w:ascii="Arial Narrow" w:hAnsi="Arial Narrow" w:cstheme="minorHAnsi"/>
          <w:i/>
          <w:iCs/>
          <w:sz w:val="24"/>
          <w:szCs w:val="24"/>
        </w:rPr>
      </w:pPr>
      <w:r w:rsidRPr="00971DE9">
        <w:rPr>
          <w:rFonts w:ascii="Arial Narrow" w:hAnsi="Arial Narrow" w:cstheme="minorHAnsi"/>
          <w:i/>
          <w:iCs/>
          <w:sz w:val="24"/>
          <w:szCs w:val="24"/>
        </w:rPr>
        <w:t>Incidence relativement forte du paludisme ;</w:t>
      </w:r>
    </w:p>
    <w:p w14:paraId="2CA5C907" w14:textId="77777777" w:rsidR="00BC30AE" w:rsidRPr="00971DE9" w:rsidRDefault="00BC30AE" w:rsidP="00B5792A">
      <w:pPr>
        <w:pStyle w:val="Paragraphedeliste"/>
        <w:numPr>
          <w:ilvl w:val="0"/>
          <w:numId w:val="44"/>
        </w:numPr>
        <w:ind w:left="426"/>
        <w:jc w:val="both"/>
        <w:rPr>
          <w:rFonts w:ascii="Arial Narrow" w:hAnsi="Arial Narrow" w:cstheme="minorHAnsi"/>
          <w:i/>
          <w:iCs/>
          <w:sz w:val="24"/>
          <w:szCs w:val="24"/>
        </w:rPr>
      </w:pPr>
      <w:r w:rsidRPr="00971DE9">
        <w:rPr>
          <w:rFonts w:ascii="Arial Narrow" w:hAnsi="Arial Narrow" w:cstheme="minorHAnsi"/>
          <w:i/>
          <w:iCs/>
          <w:sz w:val="24"/>
          <w:szCs w:val="24"/>
        </w:rPr>
        <w:t>Faible dépistage des cas de tuberculose ;</w:t>
      </w:r>
    </w:p>
    <w:p w14:paraId="6F1DE576" w14:textId="77777777" w:rsidR="00BC30AE" w:rsidRPr="00971DE9" w:rsidRDefault="00BC30AE" w:rsidP="00B5792A">
      <w:pPr>
        <w:pStyle w:val="Paragraphedeliste"/>
        <w:numPr>
          <w:ilvl w:val="0"/>
          <w:numId w:val="44"/>
        </w:numPr>
        <w:ind w:left="426"/>
        <w:jc w:val="both"/>
        <w:rPr>
          <w:rFonts w:ascii="Arial Narrow" w:hAnsi="Arial Narrow" w:cstheme="minorHAnsi"/>
          <w:i/>
          <w:iCs/>
          <w:sz w:val="24"/>
          <w:szCs w:val="24"/>
        </w:rPr>
      </w:pPr>
      <w:r w:rsidRPr="00971DE9">
        <w:rPr>
          <w:rFonts w:ascii="Arial Narrow" w:hAnsi="Arial Narrow" w:cstheme="minorHAnsi"/>
          <w:i/>
          <w:iCs/>
          <w:sz w:val="24"/>
          <w:szCs w:val="24"/>
        </w:rPr>
        <w:t>Insuffisance dans la prise en charge des malades multi résistants.</w:t>
      </w:r>
    </w:p>
    <w:p w14:paraId="2B7D0989" w14:textId="194096B0" w:rsidR="00BC30AE" w:rsidRPr="00AD0434" w:rsidRDefault="00BC30AE" w:rsidP="00CF59E5">
      <w:pPr>
        <w:shd w:val="clear" w:color="auto" w:fill="DEEAF6" w:themeFill="accent5" w:themeFillTint="33"/>
        <w:rPr>
          <w:rFonts w:ascii="Arial Narrow" w:hAnsi="Arial Narrow" w:cstheme="minorHAnsi"/>
          <w:b/>
          <w:bCs/>
          <w:i/>
          <w:iCs/>
          <w:sz w:val="24"/>
          <w:szCs w:val="24"/>
        </w:rPr>
      </w:pPr>
      <w:bookmarkStart w:id="182" w:name="_Toc178699608"/>
      <w:r w:rsidRPr="00AD0434">
        <w:rPr>
          <w:rFonts w:ascii="Arial Narrow" w:hAnsi="Arial Narrow" w:cstheme="minorHAnsi"/>
          <w:b/>
          <w:bCs/>
          <w:i/>
          <w:iCs/>
          <w:sz w:val="24"/>
          <w:szCs w:val="24"/>
        </w:rPr>
        <w:t>Comment améliorer les performances dans la lutte contre le VIH afin d’atteindre l</w:t>
      </w:r>
      <w:r w:rsidR="00EA4209">
        <w:rPr>
          <w:rFonts w:ascii="Arial Narrow" w:hAnsi="Arial Narrow" w:cstheme="minorHAnsi"/>
          <w:b/>
          <w:bCs/>
          <w:i/>
          <w:iCs/>
          <w:sz w:val="24"/>
          <w:szCs w:val="24"/>
        </w:rPr>
        <w:t>es</w:t>
      </w:r>
      <w:r w:rsidRPr="00AD0434">
        <w:rPr>
          <w:rFonts w:ascii="Arial Narrow" w:hAnsi="Arial Narrow" w:cstheme="minorHAnsi"/>
          <w:b/>
          <w:bCs/>
          <w:i/>
          <w:iCs/>
          <w:sz w:val="24"/>
          <w:szCs w:val="24"/>
        </w:rPr>
        <w:t xml:space="preserve"> cible</w:t>
      </w:r>
      <w:r w:rsidR="00EA4209">
        <w:rPr>
          <w:rFonts w:ascii="Arial Narrow" w:hAnsi="Arial Narrow" w:cstheme="minorHAnsi"/>
          <w:b/>
          <w:bCs/>
          <w:i/>
          <w:iCs/>
          <w:sz w:val="24"/>
          <w:szCs w:val="24"/>
        </w:rPr>
        <w:t>s</w:t>
      </w:r>
      <w:r w:rsidRPr="00AD0434">
        <w:rPr>
          <w:rFonts w:ascii="Arial Narrow" w:hAnsi="Arial Narrow" w:cstheme="minorHAnsi"/>
          <w:b/>
          <w:bCs/>
          <w:i/>
          <w:iCs/>
          <w:sz w:val="24"/>
          <w:szCs w:val="24"/>
        </w:rPr>
        <w:t xml:space="preserve"> des trois 95 du niveau national dans toutes les régions d’ici à fin 2025 ?</w:t>
      </w:r>
      <w:bookmarkEnd w:id="182"/>
    </w:p>
    <w:p w14:paraId="38C85EA0" w14:textId="77777777" w:rsidR="00BC30AE" w:rsidRPr="0052623B" w:rsidRDefault="00BC30AE" w:rsidP="00AD0434">
      <w:pPr>
        <w:jc w:val="both"/>
        <w:rPr>
          <w:rFonts w:ascii="Arial Narrow" w:hAnsi="Arial Narrow" w:cstheme="minorHAnsi"/>
          <w:sz w:val="24"/>
          <w:szCs w:val="24"/>
        </w:rPr>
      </w:pPr>
      <w:r w:rsidRPr="0052623B">
        <w:rPr>
          <w:rFonts w:ascii="Arial Narrow" w:hAnsi="Arial Narrow" w:cstheme="minorHAnsi"/>
          <w:sz w:val="24"/>
          <w:szCs w:val="24"/>
        </w:rPr>
        <w:t>Résoudre la problématique de l’insuffisance de la performance dans l’atteinte des trois 95 reviendrait à apporter une solution aux causes suivantes identifiées par les acteurs du niveau déconcentré eux-mêmes :</w:t>
      </w:r>
    </w:p>
    <w:p w14:paraId="79E302A7" w14:textId="77777777" w:rsidR="00BC30AE" w:rsidRPr="00166A7F" w:rsidRDefault="00BC30AE" w:rsidP="00166A7F">
      <w:pPr>
        <w:pStyle w:val="Paragraphedeliste"/>
        <w:numPr>
          <w:ilvl w:val="0"/>
          <w:numId w:val="33"/>
        </w:numPr>
        <w:ind w:left="426"/>
        <w:jc w:val="both"/>
        <w:rPr>
          <w:rFonts w:ascii="Arial Narrow" w:hAnsi="Arial Narrow" w:cstheme="minorHAnsi"/>
          <w:i/>
          <w:iCs/>
          <w:sz w:val="24"/>
          <w:szCs w:val="24"/>
        </w:rPr>
      </w:pPr>
      <w:r w:rsidRPr="00166A7F">
        <w:rPr>
          <w:rFonts w:ascii="Arial Narrow" w:hAnsi="Arial Narrow" w:cstheme="minorHAnsi"/>
          <w:i/>
          <w:iCs/>
          <w:sz w:val="24"/>
          <w:szCs w:val="24"/>
        </w:rPr>
        <w:t>Faible taux d’identification des enfants et des hommes vivants avec le VIH ;</w:t>
      </w:r>
    </w:p>
    <w:p w14:paraId="14E9BB67" w14:textId="77777777" w:rsidR="00BC30AE" w:rsidRPr="00166A7F" w:rsidRDefault="00BC30AE" w:rsidP="00166A7F">
      <w:pPr>
        <w:pStyle w:val="Paragraphedeliste"/>
        <w:numPr>
          <w:ilvl w:val="0"/>
          <w:numId w:val="33"/>
        </w:numPr>
        <w:ind w:left="426"/>
        <w:jc w:val="both"/>
        <w:rPr>
          <w:rFonts w:ascii="Arial Narrow" w:hAnsi="Arial Narrow" w:cstheme="minorHAnsi"/>
          <w:i/>
          <w:iCs/>
          <w:sz w:val="24"/>
          <w:szCs w:val="24"/>
        </w:rPr>
      </w:pPr>
      <w:r w:rsidRPr="00166A7F">
        <w:rPr>
          <w:rFonts w:ascii="Arial Narrow" w:hAnsi="Arial Narrow" w:cstheme="minorHAnsi"/>
          <w:i/>
          <w:iCs/>
          <w:sz w:val="24"/>
          <w:szCs w:val="24"/>
        </w:rPr>
        <w:t>Faible implication des agents de Santé dans le CDIP ;</w:t>
      </w:r>
    </w:p>
    <w:p w14:paraId="65C72646" w14:textId="77777777" w:rsidR="00BC30AE" w:rsidRPr="00166A7F" w:rsidRDefault="00BC30AE" w:rsidP="00166A7F">
      <w:pPr>
        <w:pStyle w:val="Paragraphedeliste"/>
        <w:numPr>
          <w:ilvl w:val="0"/>
          <w:numId w:val="33"/>
        </w:numPr>
        <w:ind w:left="426"/>
        <w:jc w:val="both"/>
        <w:rPr>
          <w:rFonts w:ascii="Arial Narrow" w:hAnsi="Arial Narrow" w:cstheme="minorHAnsi"/>
          <w:i/>
          <w:iCs/>
          <w:sz w:val="24"/>
          <w:szCs w:val="24"/>
        </w:rPr>
      </w:pPr>
      <w:r w:rsidRPr="00166A7F">
        <w:rPr>
          <w:rFonts w:ascii="Arial Narrow" w:hAnsi="Arial Narrow" w:cstheme="minorHAnsi"/>
          <w:i/>
          <w:iCs/>
          <w:sz w:val="24"/>
          <w:szCs w:val="24"/>
        </w:rPr>
        <w:t>Retard du dépistage précoce des enfants nés de mère séropositive ;</w:t>
      </w:r>
    </w:p>
    <w:p w14:paraId="24142CB0" w14:textId="77777777" w:rsidR="00BC30AE" w:rsidRPr="00702D1E" w:rsidRDefault="00BC30AE" w:rsidP="00166A7F">
      <w:pPr>
        <w:pStyle w:val="Paragraphedeliste"/>
        <w:numPr>
          <w:ilvl w:val="0"/>
          <w:numId w:val="33"/>
        </w:numPr>
        <w:ind w:left="426"/>
        <w:jc w:val="both"/>
        <w:rPr>
          <w:rFonts w:ascii="Arial Narrow" w:hAnsi="Arial Narrow" w:cstheme="minorHAnsi"/>
          <w:i/>
          <w:iCs/>
          <w:sz w:val="24"/>
          <w:szCs w:val="24"/>
        </w:rPr>
      </w:pPr>
      <w:r w:rsidRPr="00702D1E">
        <w:rPr>
          <w:rFonts w:ascii="Arial Narrow" w:hAnsi="Arial Narrow" w:cstheme="minorHAnsi"/>
          <w:i/>
          <w:iCs/>
          <w:sz w:val="24"/>
          <w:szCs w:val="24"/>
        </w:rPr>
        <w:t>Faible taux d'identification des femmes enceintes au premier trimestre ;</w:t>
      </w:r>
    </w:p>
    <w:p w14:paraId="35032CF0" w14:textId="77777777" w:rsidR="00BC30AE" w:rsidRPr="00166A7F" w:rsidRDefault="00BC30AE" w:rsidP="00166A7F">
      <w:pPr>
        <w:pStyle w:val="Paragraphedeliste"/>
        <w:numPr>
          <w:ilvl w:val="0"/>
          <w:numId w:val="33"/>
        </w:numPr>
        <w:ind w:left="426"/>
        <w:jc w:val="both"/>
        <w:rPr>
          <w:rFonts w:ascii="Arial Narrow" w:hAnsi="Arial Narrow" w:cstheme="minorHAnsi"/>
          <w:i/>
          <w:iCs/>
          <w:sz w:val="24"/>
          <w:szCs w:val="24"/>
        </w:rPr>
      </w:pPr>
      <w:r w:rsidRPr="00166A7F">
        <w:rPr>
          <w:rFonts w:ascii="Arial Narrow" w:hAnsi="Arial Narrow" w:cstheme="minorHAnsi"/>
          <w:i/>
          <w:iCs/>
          <w:sz w:val="24"/>
          <w:szCs w:val="24"/>
        </w:rPr>
        <w:t>Rupture des intrants de dépistage ;</w:t>
      </w:r>
    </w:p>
    <w:p w14:paraId="55DFB439" w14:textId="77777777" w:rsidR="00BC30AE" w:rsidRPr="00166A7F" w:rsidRDefault="00BC30AE" w:rsidP="00166A7F">
      <w:pPr>
        <w:pStyle w:val="Paragraphedeliste"/>
        <w:numPr>
          <w:ilvl w:val="0"/>
          <w:numId w:val="33"/>
        </w:numPr>
        <w:ind w:left="426"/>
        <w:jc w:val="both"/>
        <w:rPr>
          <w:rFonts w:ascii="Arial Narrow" w:hAnsi="Arial Narrow" w:cstheme="minorHAnsi"/>
          <w:i/>
          <w:iCs/>
          <w:sz w:val="24"/>
          <w:szCs w:val="24"/>
        </w:rPr>
      </w:pPr>
      <w:r w:rsidRPr="00166A7F">
        <w:rPr>
          <w:rFonts w:ascii="Arial Narrow" w:hAnsi="Arial Narrow" w:cstheme="minorHAnsi"/>
          <w:i/>
          <w:iCs/>
          <w:sz w:val="24"/>
          <w:szCs w:val="24"/>
        </w:rPr>
        <w:t>Insuffisance d’information (communication) sur l’infection ;</w:t>
      </w:r>
    </w:p>
    <w:p w14:paraId="0211E207" w14:textId="77777777" w:rsidR="00BC30AE" w:rsidRPr="00166A7F" w:rsidRDefault="00BC30AE" w:rsidP="00166A7F">
      <w:pPr>
        <w:pStyle w:val="Paragraphedeliste"/>
        <w:numPr>
          <w:ilvl w:val="0"/>
          <w:numId w:val="33"/>
        </w:numPr>
        <w:ind w:left="426"/>
        <w:jc w:val="both"/>
        <w:rPr>
          <w:rFonts w:ascii="Arial Narrow" w:hAnsi="Arial Narrow" w:cstheme="minorHAnsi"/>
          <w:i/>
          <w:iCs/>
          <w:sz w:val="24"/>
          <w:szCs w:val="24"/>
        </w:rPr>
      </w:pPr>
      <w:r w:rsidRPr="00166A7F">
        <w:rPr>
          <w:rFonts w:ascii="Arial Narrow" w:hAnsi="Arial Narrow" w:cstheme="minorHAnsi"/>
          <w:i/>
          <w:iCs/>
          <w:sz w:val="24"/>
          <w:szCs w:val="24"/>
        </w:rPr>
        <w:t>Persistance de la stigmatisation des personnes vivant avec le VIH ;</w:t>
      </w:r>
    </w:p>
    <w:p w14:paraId="68D3019F" w14:textId="77777777" w:rsidR="00BC30AE" w:rsidRPr="00166A7F" w:rsidRDefault="00BC30AE" w:rsidP="00166A7F">
      <w:pPr>
        <w:pStyle w:val="Paragraphedeliste"/>
        <w:numPr>
          <w:ilvl w:val="0"/>
          <w:numId w:val="33"/>
        </w:numPr>
        <w:ind w:left="426"/>
        <w:jc w:val="both"/>
        <w:rPr>
          <w:rFonts w:ascii="Arial Narrow" w:hAnsi="Arial Narrow" w:cstheme="minorHAnsi"/>
          <w:i/>
          <w:iCs/>
          <w:sz w:val="24"/>
          <w:szCs w:val="24"/>
        </w:rPr>
      </w:pPr>
      <w:r w:rsidRPr="00166A7F">
        <w:rPr>
          <w:rFonts w:ascii="Arial Narrow" w:hAnsi="Arial Narrow" w:cstheme="minorHAnsi"/>
          <w:i/>
          <w:iCs/>
          <w:sz w:val="24"/>
          <w:szCs w:val="24"/>
        </w:rPr>
        <w:t>Faible prise en charge des activités VIH dans les cliniques privées ;</w:t>
      </w:r>
    </w:p>
    <w:p w14:paraId="01F22247" w14:textId="77777777" w:rsidR="00BC30AE" w:rsidRPr="00166A7F" w:rsidRDefault="00BC30AE" w:rsidP="00166A7F">
      <w:pPr>
        <w:pStyle w:val="Paragraphedeliste"/>
        <w:numPr>
          <w:ilvl w:val="0"/>
          <w:numId w:val="33"/>
        </w:numPr>
        <w:ind w:left="426"/>
        <w:jc w:val="both"/>
        <w:rPr>
          <w:rFonts w:ascii="Arial Narrow" w:hAnsi="Arial Narrow" w:cstheme="minorHAnsi"/>
          <w:i/>
          <w:iCs/>
          <w:sz w:val="24"/>
          <w:szCs w:val="24"/>
        </w:rPr>
      </w:pPr>
      <w:r w:rsidRPr="00166A7F">
        <w:rPr>
          <w:rFonts w:ascii="Arial Narrow" w:hAnsi="Arial Narrow" w:cstheme="minorHAnsi"/>
          <w:i/>
          <w:iCs/>
          <w:sz w:val="24"/>
          <w:szCs w:val="24"/>
        </w:rPr>
        <w:t>Rupture des ARV pédiatriques.</w:t>
      </w:r>
    </w:p>
    <w:p w14:paraId="4119B0BF" w14:textId="7B253DA9" w:rsidR="00BC30AE" w:rsidRPr="0052623B" w:rsidRDefault="00BC30AE" w:rsidP="00DC5897">
      <w:pPr>
        <w:pStyle w:val="Lgende"/>
      </w:pPr>
      <w:bookmarkStart w:id="183" w:name="_Toc178679350"/>
      <w:bookmarkStart w:id="184" w:name="_Toc183686798"/>
      <w:r w:rsidRPr="0052623B">
        <w:t xml:space="preserve">Figure </w:t>
      </w:r>
      <w:r w:rsidR="008D75CE">
        <w:fldChar w:fldCharType="begin"/>
      </w:r>
      <w:r w:rsidR="008D75CE">
        <w:instrText xml:space="preserve"> SEQ Figure \* ARABIC </w:instrText>
      </w:r>
      <w:r w:rsidR="008D75CE">
        <w:fldChar w:fldCharType="separate"/>
      </w:r>
      <w:r w:rsidR="008D75CE">
        <w:t>17</w:t>
      </w:r>
      <w:r w:rsidR="008D75CE">
        <w:fldChar w:fldCharType="end"/>
      </w:r>
      <w:r w:rsidRPr="0052623B">
        <w:t xml:space="preserve"> : Causes expliquant l’insuffisance de la performance dans l’atteinte des trois 95</w:t>
      </w:r>
      <w:bookmarkEnd w:id="183"/>
      <w:bookmarkEnd w:id="184"/>
    </w:p>
    <w:p w14:paraId="119E56A6" w14:textId="77777777" w:rsidR="00BC30AE" w:rsidRPr="0052623B" w:rsidRDefault="00BC30AE" w:rsidP="00545C0D">
      <w:pPr>
        <w:rPr>
          <w:rFonts w:ascii="Arial Narrow" w:hAnsi="Arial Narrow"/>
        </w:rPr>
      </w:pPr>
      <w:r w:rsidRPr="0052623B">
        <w:rPr>
          <w:rFonts w:ascii="Arial Narrow" w:hAnsi="Arial Narrow" w:cstheme="minorHAnsi"/>
          <w:noProof/>
          <w:sz w:val="24"/>
          <w:szCs w:val="24"/>
        </w:rPr>
        <w:lastRenderedPageBreak/>
        <w:drawing>
          <wp:inline distT="0" distB="0" distL="0" distR="0" wp14:anchorId="699CFFF0" wp14:editId="1B422898">
            <wp:extent cx="5670550" cy="2277745"/>
            <wp:effectExtent l="0" t="0" r="6350" b="8255"/>
            <wp:docPr id="1138911609"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724225" cy="2299305"/>
                    </a:xfrm>
                    <a:prstGeom prst="rect">
                      <a:avLst/>
                    </a:prstGeom>
                    <a:noFill/>
                  </pic:spPr>
                </pic:pic>
              </a:graphicData>
            </a:graphic>
          </wp:inline>
        </w:drawing>
      </w:r>
    </w:p>
    <w:p w14:paraId="026EDED2" w14:textId="77777777" w:rsidR="00BC30AE" w:rsidRPr="0052623B" w:rsidRDefault="00BC30AE" w:rsidP="00545C0D">
      <w:pPr>
        <w:rPr>
          <w:rFonts w:ascii="Arial Narrow" w:hAnsi="Arial Narrow"/>
        </w:rPr>
      </w:pPr>
      <w:r w:rsidRPr="0052623B">
        <w:rPr>
          <w:rFonts w:ascii="Arial Narrow" w:hAnsi="Arial Narrow"/>
          <w:noProof/>
        </w:rPr>
        <w:drawing>
          <wp:inline distT="0" distB="0" distL="0" distR="0" wp14:anchorId="515F7651" wp14:editId="4EBD6454">
            <wp:extent cx="5664200" cy="2280173"/>
            <wp:effectExtent l="0" t="0" r="0" b="6350"/>
            <wp:docPr id="2057831136"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781385" cy="2327347"/>
                    </a:xfrm>
                    <a:prstGeom prst="rect">
                      <a:avLst/>
                    </a:prstGeom>
                    <a:noFill/>
                  </pic:spPr>
                </pic:pic>
              </a:graphicData>
            </a:graphic>
          </wp:inline>
        </w:drawing>
      </w:r>
    </w:p>
    <w:p w14:paraId="7266E0D3" w14:textId="77777777" w:rsidR="00BC30AE" w:rsidRPr="0052623B" w:rsidRDefault="00BC30AE" w:rsidP="00545C0D">
      <w:pPr>
        <w:rPr>
          <w:rFonts w:ascii="Arial Narrow" w:hAnsi="Arial Narrow"/>
        </w:rPr>
      </w:pPr>
      <w:r w:rsidRPr="0052623B">
        <w:rPr>
          <w:rFonts w:ascii="Arial Narrow" w:hAnsi="Arial Narrow"/>
          <w:noProof/>
        </w:rPr>
        <w:drawing>
          <wp:inline distT="0" distB="0" distL="0" distR="0" wp14:anchorId="1165CA65" wp14:editId="29DD91C6">
            <wp:extent cx="5695950" cy="2728573"/>
            <wp:effectExtent l="0" t="0" r="0" b="0"/>
            <wp:docPr id="307946722"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787406" cy="2772384"/>
                    </a:xfrm>
                    <a:prstGeom prst="rect">
                      <a:avLst/>
                    </a:prstGeom>
                    <a:noFill/>
                  </pic:spPr>
                </pic:pic>
              </a:graphicData>
            </a:graphic>
          </wp:inline>
        </w:drawing>
      </w:r>
    </w:p>
    <w:p w14:paraId="6FCBE3E1" w14:textId="61620FD7" w:rsidR="00BC30AE" w:rsidRPr="00754AF9" w:rsidRDefault="00BC30AE" w:rsidP="00DC5897">
      <w:pPr>
        <w:pStyle w:val="Lgende"/>
      </w:pPr>
      <w:r w:rsidRPr="0052623B">
        <w:t xml:space="preserve">Sources : Données collectées pour la </w:t>
      </w:r>
      <w:r w:rsidR="00B635D8">
        <w:t>revue</w:t>
      </w:r>
      <w:r w:rsidRPr="0052623B">
        <w:t xml:space="preserve"> du PNDS </w:t>
      </w:r>
      <w:r w:rsidR="00EB1CA0">
        <w:t>2021-2025</w:t>
      </w:r>
    </w:p>
    <w:p w14:paraId="14F9E58F" w14:textId="7CB1C06D" w:rsidR="00BC30AE" w:rsidRPr="00AD0434" w:rsidRDefault="00BC30AE" w:rsidP="00CF59E5">
      <w:pPr>
        <w:shd w:val="clear" w:color="auto" w:fill="DEEAF6" w:themeFill="accent5" w:themeFillTint="33"/>
        <w:rPr>
          <w:rFonts w:ascii="Arial Narrow" w:hAnsi="Arial Narrow" w:cstheme="minorHAnsi"/>
          <w:b/>
          <w:bCs/>
          <w:i/>
          <w:iCs/>
          <w:sz w:val="24"/>
          <w:szCs w:val="24"/>
        </w:rPr>
      </w:pPr>
      <w:bookmarkStart w:id="185" w:name="_Toc178699609"/>
      <w:r w:rsidRPr="00AD0434">
        <w:rPr>
          <w:rFonts w:ascii="Arial Narrow" w:hAnsi="Arial Narrow" w:cstheme="minorHAnsi"/>
          <w:b/>
          <w:bCs/>
          <w:i/>
          <w:iCs/>
          <w:sz w:val="24"/>
          <w:szCs w:val="24"/>
        </w:rPr>
        <w:t xml:space="preserve">Comment </w:t>
      </w:r>
      <w:r w:rsidR="00EA4209">
        <w:rPr>
          <w:rFonts w:ascii="Arial Narrow" w:hAnsi="Arial Narrow" w:cstheme="minorHAnsi"/>
          <w:b/>
          <w:bCs/>
          <w:i/>
          <w:iCs/>
          <w:sz w:val="24"/>
          <w:szCs w:val="24"/>
        </w:rPr>
        <w:t>r</w:t>
      </w:r>
      <w:r w:rsidR="00FB59F7">
        <w:rPr>
          <w:rFonts w:ascii="Arial Narrow" w:hAnsi="Arial Narrow" w:cstheme="minorHAnsi"/>
          <w:b/>
          <w:bCs/>
          <w:i/>
          <w:iCs/>
          <w:sz w:val="24"/>
          <w:szCs w:val="24"/>
        </w:rPr>
        <w:t>é</w:t>
      </w:r>
      <w:r w:rsidR="00EA4209">
        <w:rPr>
          <w:rFonts w:ascii="Arial Narrow" w:hAnsi="Arial Narrow" w:cstheme="minorHAnsi"/>
          <w:b/>
          <w:bCs/>
          <w:i/>
          <w:iCs/>
          <w:sz w:val="24"/>
          <w:szCs w:val="24"/>
        </w:rPr>
        <w:t>duire l’</w:t>
      </w:r>
      <w:r w:rsidRPr="00AD0434">
        <w:rPr>
          <w:rFonts w:ascii="Arial Narrow" w:hAnsi="Arial Narrow" w:cstheme="minorHAnsi"/>
          <w:b/>
          <w:bCs/>
          <w:i/>
          <w:iCs/>
          <w:sz w:val="24"/>
          <w:szCs w:val="24"/>
        </w:rPr>
        <w:t>incidence</w:t>
      </w:r>
      <w:r w:rsidR="00EA4209">
        <w:rPr>
          <w:rFonts w:ascii="Arial Narrow" w:hAnsi="Arial Narrow" w:cstheme="minorHAnsi"/>
          <w:b/>
          <w:bCs/>
          <w:i/>
          <w:iCs/>
          <w:sz w:val="24"/>
          <w:szCs w:val="24"/>
        </w:rPr>
        <w:t xml:space="preserve"> du paludisme dans la population générale</w:t>
      </w:r>
      <w:r w:rsidRPr="00AD0434">
        <w:rPr>
          <w:rFonts w:ascii="Arial Narrow" w:hAnsi="Arial Narrow" w:cstheme="minorHAnsi"/>
          <w:b/>
          <w:bCs/>
          <w:i/>
          <w:iCs/>
          <w:sz w:val="24"/>
          <w:szCs w:val="24"/>
        </w:rPr>
        <w:t xml:space="preserve"> </w:t>
      </w:r>
      <w:r w:rsidR="00EA4209">
        <w:rPr>
          <w:rFonts w:ascii="Arial Narrow" w:hAnsi="Arial Narrow" w:cstheme="minorHAnsi"/>
          <w:b/>
          <w:bCs/>
          <w:i/>
          <w:iCs/>
          <w:sz w:val="24"/>
          <w:szCs w:val="24"/>
        </w:rPr>
        <w:t>à</w:t>
      </w:r>
      <w:r w:rsidRPr="00AD0434">
        <w:rPr>
          <w:rFonts w:ascii="Arial Narrow" w:hAnsi="Arial Narrow" w:cstheme="minorHAnsi"/>
          <w:b/>
          <w:bCs/>
          <w:i/>
          <w:iCs/>
          <w:sz w:val="24"/>
          <w:szCs w:val="24"/>
        </w:rPr>
        <w:t xml:space="preserve"> </w:t>
      </w:r>
      <w:r w:rsidR="00EA4209">
        <w:rPr>
          <w:rFonts w:ascii="Arial Narrow" w:hAnsi="Arial Narrow" w:cstheme="minorHAnsi"/>
          <w:b/>
          <w:bCs/>
          <w:i/>
          <w:iCs/>
          <w:sz w:val="24"/>
          <w:szCs w:val="24"/>
        </w:rPr>
        <w:t>141</w:t>
      </w:r>
      <w:r w:rsidRPr="00AD0434">
        <w:rPr>
          <w:rFonts w:ascii="Arial Narrow" w:hAnsi="Arial Narrow" w:cstheme="minorHAnsi"/>
          <w:b/>
          <w:bCs/>
          <w:i/>
          <w:iCs/>
          <w:sz w:val="24"/>
          <w:szCs w:val="24"/>
        </w:rPr>
        <w:t>‰ d’ici à fin 2025 ?</w:t>
      </w:r>
      <w:bookmarkStart w:id="186" w:name="_Hlk175662044"/>
      <w:bookmarkEnd w:id="185"/>
    </w:p>
    <w:bookmarkEnd w:id="186"/>
    <w:p w14:paraId="0866D174" w14:textId="77777777" w:rsidR="00BC30AE" w:rsidRPr="0052623B" w:rsidRDefault="00BC30AE" w:rsidP="00AD0434">
      <w:pPr>
        <w:jc w:val="both"/>
        <w:rPr>
          <w:rFonts w:ascii="Arial Narrow" w:hAnsi="Arial Narrow" w:cstheme="minorHAnsi"/>
          <w:sz w:val="24"/>
          <w:szCs w:val="24"/>
        </w:rPr>
      </w:pPr>
      <w:r w:rsidRPr="0052623B">
        <w:rPr>
          <w:rFonts w:ascii="Arial Narrow" w:hAnsi="Arial Narrow" w:cstheme="minorHAnsi"/>
          <w:sz w:val="24"/>
          <w:szCs w:val="24"/>
        </w:rPr>
        <w:t>Résoudre la problématique de l’</w:t>
      </w:r>
      <w:r w:rsidRPr="0052623B">
        <w:rPr>
          <w:rFonts w:ascii="Arial Narrow" w:hAnsi="Arial Narrow"/>
        </w:rPr>
        <w:t>i</w:t>
      </w:r>
      <w:r w:rsidRPr="0052623B">
        <w:rPr>
          <w:rFonts w:ascii="Arial Narrow" w:hAnsi="Arial Narrow" w:cstheme="minorHAnsi"/>
          <w:sz w:val="24"/>
          <w:szCs w:val="24"/>
        </w:rPr>
        <w:t>ncidence relativement forte du paludisme reviendrait à apporter une solution aux causes suivantes identifiées par les acteurs du niveau déconcentré eux-mêmes :</w:t>
      </w:r>
    </w:p>
    <w:p w14:paraId="59B92148" w14:textId="57D52680" w:rsidR="00BC30AE" w:rsidRPr="00702D1E" w:rsidRDefault="00BC30AE" w:rsidP="00FB59F7">
      <w:pPr>
        <w:pStyle w:val="Paragraphedeliste"/>
        <w:numPr>
          <w:ilvl w:val="0"/>
          <w:numId w:val="42"/>
        </w:numPr>
        <w:jc w:val="both"/>
        <w:rPr>
          <w:rFonts w:ascii="Arial Narrow" w:hAnsi="Arial Narrow" w:cstheme="minorHAnsi"/>
          <w:bCs/>
          <w:sz w:val="24"/>
          <w:szCs w:val="24"/>
        </w:rPr>
      </w:pPr>
      <w:r w:rsidRPr="00AD0434">
        <w:rPr>
          <w:rFonts w:ascii="Arial Narrow" w:hAnsi="Arial Narrow" w:cstheme="minorHAnsi"/>
          <w:bCs/>
          <w:sz w:val="24"/>
          <w:szCs w:val="24"/>
        </w:rPr>
        <w:t>Faible distribution des MILDA en routine ;</w:t>
      </w:r>
    </w:p>
    <w:p w14:paraId="2E3EA963" w14:textId="77777777" w:rsidR="00BC30AE" w:rsidRPr="00AD0434" w:rsidRDefault="00BC30AE" w:rsidP="00AD0434">
      <w:pPr>
        <w:pStyle w:val="Paragraphedeliste"/>
        <w:numPr>
          <w:ilvl w:val="0"/>
          <w:numId w:val="42"/>
        </w:numPr>
        <w:jc w:val="both"/>
        <w:rPr>
          <w:rFonts w:ascii="Arial Narrow" w:hAnsi="Arial Narrow" w:cstheme="minorHAnsi"/>
          <w:bCs/>
          <w:sz w:val="24"/>
          <w:szCs w:val="24"/>
        </w:rPr>
      </w:pPr>
      <w:r w:rsidRPr="00AD0434">
        <w:rPr>
          <w:rFonts w:ascii="Arial Narrow" w:hAnsi="Arial Narrow" w:cstheme="minorHAnsi"/>
          <w:bCs/>
          <w:sz w:val="24"/>
          <w:szCs w:val="24"/>
        </w:rPr>
        <w:lastRenderedPageBreak/>
        <w:t>Faible utilisation des MILDA ;</w:t>
      </w:r>
    </w:p>
    <w:p w14:paraId="34F519D3" w14:textId="77777777" w:rsidR="00BC30AE" w:rsidRPr="00AD0434" w:rsidRDefault="00BC30AE" w:rsidP="00AD0434">
      <w:pPr>
        <w:pStyle w:val="Paragraphedeliste"/>
        <w:numPr>
          <w:ilvl w:val="0"/>
          <w:numId w:val="42"/>
        </w:numPr>
        <w:jc w:val="both"/>
        <w:rPr>
          <w:rFonts w:ascii="Arial Narrow" w:hAnsi="Arial Narrow" w:cstheme="minorHAnsi"/>
          <w:bCs/>
          <w:sz w:val="24"/>
          <w:szCs w:val="24"/>
        </w:rPr>
      </w:pPr>
      <w:r w:rsidRPr="00AD0434">
        <w:rPr>
          <w:rFonts w:ascii="Arial Narrow" w:hAnsi="Arial Narrow" w:cstheme="minorHAnsi"/>
          <w:bCs/>
          <w:sz w:val="24"/>
          <w:szCs w:val="24"/>
        </w:rPr>
        <w:t>Persistance de poches d’insalubrité dans les régions.</w:t>
      </w:r>
    </w:p>
    <w:p w14:paraId="39EC8BD8" w14:textId="43BB7672" w:rsidR="00BC30AE" w:rsidRPr="0052623B" w:rsidRDefault="00BC30AE" w:rsidP="00DC5897">
      <w:pPr>
        <w:pStyle w:val="Lgende"/>
      </w:pPr>
      <w:bookmarkStart w:id="187" w:name="_Toc178679351"/>
      <w:bookmarkStart w:id="188" w:name="_Toc183686799"/>
      <w:r w:rsidRPr="0052623B">
        <w:t xml:space="preserve">Figure </w:t>
      </w:r>
      <w:r w:rsidR="008D75CE">
        <w:fldChar w:fldCharType="begin"/>
      </w:r>
      <w:r w:rsidR="008D75CE">
        <w:instrText xml:space="preserve"> SEQ Figure \* ARABIC </w:instrText>
      </w:r>
      <w:r w:rsidR="008D75CE">
        <w:fldChar w:fldCharType="separate"/>
      </w:r>
      <w:r w:rsidR="008D75CE">
        <w:t>18</w:t>
      </w:r>
      <w:r w:rsidR="008D75CE">
        <w:fldChar w:fldCharType="end"/>
      </w:r>
      <w:r w:rsidRPr="0052623B">
        <w:t xml:space="preserve"> :  Causes expliquant l’incidence relativement forte du paludisme</w:t>
      </w:r>
      <w:bookmarkEnd w:id="187"/>
      <w:bookmarkEnd w:id="188"/>
    </w:p>
    <w:p w14:paraId="42BDAF4A" w14:textId="77777777" w:rsidR="00BC30AE" w:rsidRPr="0052623B" w:rsidRDefault="00BC30AE" w:rsidP="00545C0D">
      <w:pPr>
        <w:rPr>
          <w:rFonts w:ascii="Arial Narrow" w:hAnsi="Arial Narrow"/>
        </w:rPr>
      </w:pPr>
      <w:r w:rsidRPr="0052623B">
        <w:rPr>
          <w:rFonts w:ascii="Arial Narrow" w:hAnsi="Arial Narrow" w:cstheme="minorHAnsi"/>
          <w:noProof/>
          <w:sz w:val="24"/>
          <w:szCs w:val="24"/>
        </w:rPr>
        <w:drawing>
          <wp:inline distT="0" distB="0" distL="0" distR="0" wp14:anchorId="1C158EE1" wp14:editId="2F60900C">
            <wp:extent cx="5740400" cy="2160905"/>
            <wp:effectExtent l="0" t="0" r="0" b="0"/>
            <wp:docPr id="880342418" name="Picture 101"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342418" name="Picture 101" descr="A black screen with white text&#10;&#10;Description automatically generated"/>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93726" cy="2180979"/>
                    </a:xfrm>
                    <a:prstGeom prst="rect">
                      <a:avLst/>
                    </a:prstGeom>
                    <a:noFill/>
                  </pic:spPr>
                </pic:pic>
              </a:graphicData>
            </a:graphic>
          </wp:inline>
        </w:drawing>
      </w:r>
    </w:p>
    <w:p w14:paraId="01FA9137" w14:textId="344BA865" w:rsidR="00BC30AE" w:rsidRPr="0052623B" w:rsidRDefault="00BC30AE" w:rsidP="00DC5897">
      <w:pPr>
        <w:pStyle w:val="Lgende"/>
        <w:rPr>
          <w:rFonts w:cstheme="minorHAnsi"/>
          <w:sz w:val="24"/>
          <w:szCs w:val="24"/>
        </w:rPr>
      </w:pPr>
      <w:r w:rsidRPr="0052623B">
        <w:t xml:space="preserve">Sources : Données collectées pour la </w:t>
      </w:r>
      <w:r w:rsidR="00B635D8">
        <w:t>revue</w:t>
      </w:r>
      <w:r w:rsidRPr="0052623B">
        <w:t xml:space="preserve"> du PNDS </w:t>
      </w:r>
      <w:r w:rsidR="00EB1CA0">
        <w:t>2021-2025</w:t>
      </w:r>
    </w:p>
    <w:p w14:paraId="444F0273" w14:textId="77777777" w:rsidR="00BC30AE" w:rsidRPr="00716D33" w:rsidRDefault="00BC30AE" w:rsidP="00CF59E5">
      <w:pPr>
        <w:shd w:val="clear" w:color="auto" w:fill="DEEAF6" w:themeFill="accent5" w:themeFillTint="33"/>
        <w:rPr>
          <w:rFonts w:ascii="Arial Narrow" w:hAnsi="Arial Narrow" w:cstheme="minorHAnsi"/>
          <w:b/>
          <w:bCs/>
          <w:i/>
          <w:iCs/>
          <w:sz w:val="24"/>
          <w:szCs w:val="24"/>
        </w:rPr>
      </w:pPr>
      <w:bookmarkStart w:id="189" w:name="_Toc178699610"/>
      <w:r w:rsidRPr="00716D33">
        <w:rPr>
          <w:rFonts w:ascii="Arial Narrow" w:hAnsi="Arial Narrow" w:cstheme="minorHAnsi"/>
          <w:b/>
          <w:bCs/>
          <w:i/>
          <w:iCs/>
          <w:sz w:val="24"/>
          <w:szCs w:val="24"/>
        </w:rPr>
        <w:t>Comment renforcer le dépistage des cas de tuberculose ?</w:t>
      </w:r>
      <w:bookmarkEnd w:id="189"/>
    </w:p>
    <w:p w14:paraId="11948AA1" w14:textId="77777777" w:rsidR="00BC30AE" w:rsidRPr="0052623B" w:rsidRDefault="00BC30AE" w:rsidP="00716D33">
      <w:pPr>
        <w:jc w:val="both"/>
        <w:rPr>
          <w:rFonts w:ascii="Arial Narrow" w:hAnsi="Arial Narrow" w:cstheme="minorHAnsi"/>
          <w:sz w:val="24"/>
          <w:szCs w:val="24"/>
        </w:rPr>
      </w:pPr>
      <w:r w:rsidRPr="0052623B">
        <w:rPr>
          <w:rFonts w:ascii="Arial Narrow" w:hAnsi="Arial Narrow" w:cstheme="minorHAnsi"/>
          <w:sz w:val="24"/>
          <w:szCs w:val="24"/>
        </w:rPr>
        <w:t>Résoudre la problématique du faible dépistage des cas de tuberculose reviendrait à apporter une solution aux causes suivantes identifiées par les acteurs du niveau déconcentré eux-mêmes :</w:t>
      </w:r>
    </w:p>
    <w:p w14:paraId="0A970D45" w14:textId="77777777" w:rsidR="00BC30AE" w:rsidRPr="00166A7F" w:rsidRDefault="00BC30AE" w:rsidP="00166A7F">
      <w:pPr>
        <w:pStyle w:val="Paragraphedeliste"/>
        <w:numPr>
          <w:ilvl w:val="0"/>
          <w:numId w:val="33"/>
        </w:numPr>
        <w:ind w:left="426"/>
        <w:jc w:val="both"/>
        <w:rPr>
          <w:rFonts w:ascii="Arial Narrow" w:hAnsi="Arial Narrow" w:cstheme="minorHAnsi"/>
          <w:i/>
          <w:iCs/>
          <w:sz w:val="24"/>
          <w:szCs w:val="24"/>
        </w:rPr>
      </w:pPr>
      <w:r w:rsidRPr="00166A7F">
        <w:rPr>
          <w:rFonts w:ascii="Arial Narrow" w:hAnsi="Arial Narrow" w:cstheme="minorHAnsi"/>
          <w:i/>
          <w:iCs/>
          <w:sz w:val="24"/>
          <w:szCs w:val="24"/>
        </w:rPr>
        <w:t>Insuffisance dans la recherche active des cas présumés de TB dans la communauté ;</w:t>
      </w:r>
    </w:p>
    <w:p w14:paraId="5FE4CE2E" w14:textId="77777777" w:rsidR="00BC30AE" w:rsidRPr="00166A7F" w:rsidRDefault="00BC30AE" w:rsidP="00166A7F">
      <w:pPr>
        <w:pStyle w:val="Paragraphedeliste"/>
        <w:numPr>
          <w:ilvl w:val="0"/>
          <w:numId w:val="33"/>
        </w:numPr>
        <w:ind w:left="426"/>
        <w:jc w:val="both"/>
        <w:rPr>
          <w:rFonts w:ascii="Arial Narrow" w:hAnsi="Arial Narrow" w:cstheme="minorHAnsi"/>
          <w:i/>
          <w:iCs/>
          <w:sz w:val="24"/>
          <w:szCs w:val="24"/>
        </w:rPr>
      </w:pPr>
      <w:r w:rsidRPr="00166A7F">
        <w:rPr>
          <w:rFonts w:ascii="Arial Narrow" w:hAnsi="Arial Narrow" w:cstheme="minorHAnsi"/>
          <w:i/>
          <w:iCs/>
          <w:sz w:val="24"/>
          <w:szCs w:val="24"/>
        </w:rPr>
        <w:t>Méconnaissance des signes d’imprégnation de la tuberculose (Ignorance des populations, retard dans le référencement des prestataires cliniques vers les CDT, non-référencement par les tradipraticiens / camps de prières vers les CDT).</w:t>
      </w:r>
    </w:p>
    <w:p w14:paraId="4B93707C" w14:textId="300291FC" w:rsidR="00BC30AE" w:rsidRPr="0052623B" w:rsidRDefault="00BC30AE" w:rsidP="00DC5897">
      <w:pPr>
        <w:pStyle w:val="Lgende"/>
      </w:pPr>
      <w:bookmarkStart w:id="190" w:name="_Toc178679352"/>
      <w:bookmarkStart w:id="191" w:name="_Toc183686800"/>
      <w:r w:rsidRPr="0052623B">
        <w:t xml:space="preserve">Figure </w:t>
      </w:r>
      <w:r w:rsidR="008D75CE">
        <w:fldChar w:fldCharType="begin"/>
      </w:r>
      <w:r w:rsidR="008D75CE">
        <w:instrText xml:space="preserve"> SEQ Figure \* ARABIC </w:instrText>
      </w:r>
      <w:r w:rsidR="008D75CE">
        <w:fldChar w:fldCharType="separate"/>
      </w:r>
      <w:r w:rsidR="008D75CE">
        <w:t>19</w:t>
      </w:r>
      <w:r w:rsidR="008D75CE">
        <w:fldChar w:fldCharType="end"/>
      </w:r>
      <w:r w:rsidRPr="0052623B">
        <w:t xml:space="preserve"> : Causes expliquant le faible dépistage des cas de tuberculose</w:t>
      </w:r>
      <w:bookmarkEnd w:id="190"/>
      <w:bookmarkEnd w:id="191"/>
    </w:p>
    <w:p w14:paraId="724F221B" w14:textId="77777777" w:rsidR="00BC30AE" w:rsidRPr="0052623B" w:rsidRDefault="00BC30AE" w:rsidP="00545C0D">
      <w:pPr>
        <w:rPr>
          <w:rFonts w:ascii="Arial Narrow" w:hAnsi="Arial Narrow"/>
        </w:rPr>
      </w:pPr>
      <w:r w:rsidRPr="0052623B">
        <w:rPr>
          <w:rFonts w:ascii="Arial Narrow" w:hAnsi="Arial Narrow"/>
          <w:noProof/>
        </w:rPr>
        <w:drawing>
          <wp:inline distT="0" distB="0" distL="0" distR="0" wp14:anchorId="4B78FFE8" wp14:editId="03F433FB">
            <wp:extent cx="5778500" cy="1781155"/>
            <wp:effectExtent l="0" t="0" r="0" b="0"/>
            <wp:docPr id="92134457"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883721" cy="1813588"/>
                    </a:xfrm>
                    <a:prstGeom prst="rect">
                      <a:avLst/>
                    </a:prstGeom>
                    <a:noFill/>
                  </pic:spPr>
                </pic:pic>
              </a:graphicData>
            </a:graphic>
          </wp:inline>
        </w:drawing>
      </w:r>
    </w:p>
    <w:p w14:paraId="60DC5693" w14:textId="5587E98E" w:rsidR="00BC30AE" w:rsidRPr="00754AF9" w:rsidRDefault="00BC30AE" w:rsidP="00DC5897">
      <w:pPr>
        <w:pStyle w:val="Lgende"/>
      </w:pPr>
      <w:r w:rsidRPr="0052623B">
        <w:t xml:space="preserve">Sources : Données collectées pour la </w:t>
      </w:r>
      <w:r w:rsidR="00B635D8">
        <w:t>revue</w:t>
      </w:r>
      <w:r w:rsidRPr="0052623B">
        <w:t xml:space="preserve"> du PNDS </w:t>
      </w:r>
      <w:r w:rsidR="00EB1CA0">
        <w:t>2021-2025</w:t>
      </w:r>
    </w:p>
    <w:p w14:paraId="08C786A1" w14:textId="5F6B9B04" w:rsidR="00BC30AE" w:rsidRPr="009062EB" w:rsidRDefault="00BC30AE" w:rsidP="00CF59E5">
      <w:pPr>
        <w:shd w:val="clear" w:color="auto" w:fill="DEEAF6" w:themeFill="accent5" w:themeFillTint="33"/>
        <w:rPr>
          <w:rFonts w:ascii="Arial Narrow" w:hAnsi="Arial Narrow" w:cstheme="minorHAnsi"/>
          <w:b/>
          <w:bCs/>
          <w:i/>
          <w:iCs/>
          <w:sz w:val="24"/>
          <w:szCs w:val="24"/>
        </w:rPr>
      </w:pPr>
      <w:bookmarkStart w:id="192" w:name="_Toc178699611"/>
      <w:r w:rsidRPr="009062EB">
        <w:rPr>
          <w:rFonts w:ascii="Arial Narrow" w:hAnsi="Arial Narrow" w:cstheme="minorHAnsi"/>
          <w:b/>
          <w:bCs/>
          <w:i/>
          <w:iCs/>
          <w:sz w:val="24"/>
          <w:szCs w:val="24"/>
        </w:rPr>
        <w:t xml:space="preserve">Comment renforcer la prise en charge des malades </w:t>
      </w:r>
      <w:r w:rsidR="00EB7794">
        <w:rPr>
          <w:rFonts w:ascii="Arial Narrow" w:hAnsi="Arial Narrow" w:cstheme="minorHAnsi"/>
          <w:b/>
          <w:bCs/>
          <w:i/>
          <w:iCs/>
          <w:sz w:val="24"/>
          <w:szCs w:val="24"/>
        </w:rPr>
        <w:t xml:space="preserve">de tuberculose </w:t>
      </w:r>
      <w:r w:rsidRPr="009062EB">
        <w:rPr>
          <w:rFonts w:ascii="Arial Narrow" w:hAnsi="Arial Narrow" w:cstheme="minorHAnsi"/>
          <w:b/>
          <w:bCs/>
          <w:i/>
          <w:iCs/>
          <w:sz w:val="24"/>
          <w:szCs w:val="24"/>
        </w:rPr>
        <w:t>multi-résistante</w:t>
      </w:r>
      <w:r w:rsidR="00EB7794">
        <w:rPr>
          <w:rFonts w:ascii="Arial Narrow" w:hAnsi="Arial Narrow" w:cstheme="minorHAnsi"/>
          <w:b/>
          <w:bCs/>
          <w:i/>
          <w:iCs/>
          <w:sz w:val="24"/>
          <w:szCs w:val="24"/>
        </w:rPr>
        <w:t xml:space="preserve"> (TBMR</w:t>
      </w:r>
      <w:proofErr w:type="gramStart"/>
      <w:r w:rsidR="00EB7794">
        <w:rPr>
          <w:rFonts w:ascii="Arial Narrow" w:hAnsi="Arial Narrow" w:cstheme="minorHAnsi"/>
          <w:b/>
          <w:bCs/>
          <w:i/>
          <w:iCs/>
          <w:sz w:val="24"/>
          <w:szCs w:val="24"/>
        </w:rPr>
        <w:t>)</w:t>
      </w:r>
      <w:r w:rsidRPr="009062EB">
        <w:rPr>
          <w:rFonts w:ascii="Arial Narrow" w:hAnsi="Arial Narrow" w:cstheme="minorHAnsi"/>
          <w:b/>
          <w:bCs/>
          <w:i/>
          <w:iCs/>
          <w:sz w:val="24"/>
          <w:szCs w:val="24"/>
        </w:rPr>
        <w:t>?</w:t>
      </w:r>
      <w:bookmarkEnd w:id="192"/>
      <w:proofErr w:type="gramEnd"/>
    </w:p>
    <w:p w14:paraId="10EEFCD4" w14:textId="246404A8" w:rsidR="00BC30AE" w:rsidRPr="0052623B" w:rsidRDefault="00BC30AE" w:rsidP="00F4160D">
      <w:pPr>
        <w:jc w:val="both"/>
        <w:rPr>
          <w:rFonts w:ascii="Arial Narrow" w:hAnsi="Arial Narrow" w:cstheme="minorHAnsi"/>
          <w:sz w:val="24"/>
          <w:szCs w:val="24"/>
        </w:rPr>
      </w:pPr>
      <w:r w:rsidRPr="0052623B">
        <w:rPr>
          <w:rFonts w:ascii="Arial Narrow" w:hAnsi="Arial Narrow" w:cstheme="minorHAnsi"/>
          <w:sz w:val="24"/>
          <w:szCs w:val="24"/>
        </w:rPr>
        <w:t>Résoudre la problématique de l’insuffisance dans la prise en charge des malades</w:t>
      </w:r>
      <w:r w:rsidR="00EB7794">
        <w:rPr>
          <w:rFonts w:ascii="Arial Narrow" w:hAnsi="Arial Narrow" w:cstheme="minorHAnsi"/>
          <w:sz w:val="24"/>
          <w:szCs w:val="24"/>
        </w:rPr>
        <w:t xml:space="preserve"> de tuberculose</w:t>
      </w:r>
      <w:r w:rsidRPr="0052623B">
        <w:rPr>
          <w:rFonts w:ascii="Arial Narrow" w:hAnsi="Arial Narrow" w:cstheme="minorHAnsi"/>
          <w:sz w:val="24"/>
          <w:szCs w:val="24"/>
        </w:rPr>
        <w:t xml:space="preserve"> multi-résistante reviendrait à apporter une solution aux causes suivantes identifiées par les acteurs du niveau déconcentré eux-mêmes :</w:t>
      </w:r>
    </w:p>
    <w:p w14:paraId="3B661D71" w14:textId="2C1374A7" w:rsidR="00BC30AE" w:rsidRPr="00166A7F" w:rsidRDefault="00BC30AE" w:rsidP="00166A7F">
      <w:pPr>
        <w:pStyle w:val="Paragraphedeliste"/>
        <w:numPr>
          <w:ilvl w:val="0"/>
          <w:numId w:val="33"/>
        </w:numPr>
        <w:ind w:left="426"/>
        <w:jc w:val="both"/>
        <w:rPr>
          <w:rFonts w:ascii="Arial Narrow" w:hAnsi="Arial Narrow" w:cstheme="minorHAnsi"/>
          <w:i/>
          <w:iCs/>
          <w:sz w:val="24"/>
          <w:szCs w:val="24"/>
        </w:rPr>
      </w:pPr>
      <w:r w:rsidRPr="00166A7F">
        <w:rPr>
          <w:rFonts w:ascii="Arial Narrow" w:hAnsi="Arial Narrow" w:cstheme="minorHAnsi"/>
          <w:i/>
          <w:iCs/>
          <w:sz w:val="24"/>
          <w:szCs w:val="24"/>
        </w:rPr>
        <w:t>Insuffisance de suivi communautaire des malades TBMR ;</w:t>
      </w:r>
    </w:p>
    <w:p w14:paraId="57845C61" w14:textId="77777777" w:rsidR="00BC30AE" w:rsidRPr="00166A7F" w:rsidRDefault="00BC30AE" w:rsidP="00166A7F">
      <w:pPr>
        <w:pStyle w:val="Paragraphedeliste"/>
        <w:numPr>
          <w:ilvl w:val="0"/>
          <w:numId w:val="33"/>
        </w:numPr>
        <w:ind w:left="426"/>
        <w:jc w:val="both"/>
        <w:rPr>
          <w:rFonts w:ascii="Arial Narrow" w:hAnsi="Arial Narrow" w:cstheme="minorHAnsi"/>
          <w:i/>
          <w:iCs/>
          <w:sz w:val="24"/>
          <w:szCs w:val="24"/>
        </w:rPr>
      </w:pPr>
      <w:r w:rsidRPr="00166A7F">
        <w:rPr>
          <w:rFonts w:ascii="Arial Narrow" w:hAnsi="Arial Narrow" w:cstheme="minorHAnsi"/>
          <w:i/>
          <w:iCs/>
          <w:sz w:val="24"/>
          <w:szCs w:val="24"/>
        </w:rPr>
        <w:t>Insuffisance dans l’application du traitement directement observé sur certains sites.</w:t>
      </w:r>
    </w:p>
    <w:p w14:paraId="0BD8D766" w14:textId="32DCB199" w:rsidR="00BC30AE" w:rsidRPr="0052623B" w:rsidRDefault="00BC30AE" w:rsidP="00DC5897">
      <w:pPr>
        <w:pStyle w:val="Lgende"/>
      </w:pPr>
      <w:bookmarkStart w:id="193" w:name="_Toc178679353"/>
      <w:bookmarkStart w:id="194" w:name="_Toc183686801"/>
      <w:r w:rsidRPr="0052623B">
        <w:lastRenderedPageBreak/>
        <w:t xml:space="preserve">Figure </w:t>
      </w:r>
      <w:r w:rsidR="008D75CE">
        <w:fldChar w:fldCharType="begin"/>
      </w:r>
      <w:r w:rsidR="008D75CE">
        <w:instrText xml:space="preserve"> SEQ Figure \* ARABIC </w:instrText>
      </w:r>
      <w:r w:rsidR="008D75CE">
        <w:fldChar w:fldCharType="separate"/>
      </w:r>
      <w:r w:rsidR="008D75CE">
        <w:t>20</w:t>
      </w:r>
      <w:r w:rsidR="008D75CE">
        <w:fldChar w:fldCharType="end"/>
      </w:r>
      <w:r w:rsidRPr="0052623B">
        <w:t xml:space="preserve"> : Causes expliquant l’insuffisance dans la prise en charge des malades multi-résistantes</w:t>
      </w:r>
      <w:bookmarkEnd w:id="193"/>
      <w:bookmarkEnd w:id="194"/>
    </w:p>
    <w:p w14:paraId="18CC1596" w14:textId="77777777" w:rsidR="00BC30AE" w:rsidRPr="0052623B" w:rsidRDefault="00BC30AE" w:rsidP="00545C0D">
      <w:pPr>
        <w:rPr>
          <w:rFonts w:ascii="Arial Narrow" w:hAnsi="Arial Narrow"/>
        </w:rPr>
      </w:pPr>
      <w:r w:rsidRPr="0052623B">
        <w:rPr>
          <w:rFonts w:ascii="Arial Narrow" w:hAnsi="Arial Narrow" w:cstheme="minorHAnsi"/>
          <w:noProof/>
          <w:sz w:val="24"/>
          <w:szCs w:val="24"/>
        </w:rPr>
        <w:drawing>
          <wp:inline distT="0" distB="0" distL="0" distR="0" wp14:anchorId="630CB6D5" wp14:editId="071A617D">
            <wp:extent cx="5740400" cy="1805305"/>
            <wp:effectExtent l="0" t="0" r="0" b="4445"/>
            <wp:docPr id="214249718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95112" cy="1822511"/>
                    </a:xfrm>
                    <a:prstGeom prst="rect">
                      <a:avLst/>
                    </a:prstGeom>
                    <a:noFill/>
                  </pic:spPr>
                </pic:pic>
              </a:graphicData>
            </a:graphic>
          </wp:inline>
        </w:drawing>
      </w:r>
    </w:p>
    <w:p w14:paraId="6864D170" w14:textId="016EF96C" w:rsidR="00BC30AE" w:rsidRPr="00754AF9" w:rsidRDefault="00BC30AE" w:rsidP="00DC5897">
      <w:pPr>
        <w:pStyle w:val="Lgende"/>
      </w:pPr>
      <w:r w:rsidRPr="0052623B">
        <w:t xml:space="preserve">Sources : Données collectées pour la </w:t>
      </w:r>
      <w:r w:rsidR="00B635D8">
        <w:t>revue</w:t>
      </w:r>
      <w:r w:rsidRPr="0052623B">
        <w:t xml:space="preserve"> du PNDS </w:t>
      </w:r>
      <w:r w:rsidR="00EB1CA0">
        <w:t>2021-2025</w:t>
      </w:r>
    </w:p>
    <w:p w14:paraId="33E3CBFC" w14:textId="1963540B" w:rsidR="00BC30AE" w:rsidRDefault="00BC30AE" w:rsidP="00BF1AD6">
      <w:pPr>
        <w:jc w:val="both"/>
        <w:rPr>
          <w:rFonts w:ascii="Arial Narrow" w:hAnsi="Arial Narrow" w:cstheme="minorHAnsi"/>
          <w:sz w:val="24"/>
          <w:szCs w:val="24"/>
        </w:rPr>
      </w:pPr>
      <w:r w:rsidRPr="0052623B">
        <w:rPr>
          <w:rFonts w:ascii="Arial Narrow" w:hAnsi="Arial Narrow" w:cstheme="minorHAnsi"/>
          <w:sz w:val="24"/>
          <w:szCs w:val="24"/>
        </w:rPr>
        <w:t xml:space="preserve">Le tableau ci-après résume les causes profondes des problèmes de </w:t>
      </w:r>
      <w:r w:rsidR="000D7CD7">
        <w:rPr>
          <w:rFonts w:ascii="Arial Narrow" w:hAnsi="Arial Narrow" w:cstheme="minorHAnsi"/>
          <w:sz w:val="24"/>
          <w:szCs w:val="24"/>
        </w:rPr>
        <w:t>s</w:t>
      </w:r>
      <w:r w:rsidRPr="0052623B">
        <w:rPr>
          <w:rFonts w:ascii="Arial Narrow" w:hAnsi="Arial Narrow" w:cstheme="minorHAnsi"/>
          <w:sz w:val="24"/>
          <w:szCs w:val="24"/>
        </w:rPr>
        <w:t xml:space="preserve">anté relatifs </w:t>
      </w:r>
      <w:r w:rsidRPr="00702D1E">
        <w:rPr>
          <w:rFonts w:ascii="Arial Narrow" w:hAnsi="Arial Narrow" w:cstheme="minorHAnsi"/>
          <w:sz w:val="24"/>
          <w:szCs w:val="24"/>
        </w:rPr>
        <w:t>aux maladies tropicales négligées et aux maladies transmissibles, telles qu’identifiées par les acteurs des</w:t>
      </w:r>
      <w:r w:rsidRPr="0052623B">
        <w:rPr>
          <w:rFonts w:ascii="Arial Narrow" w:hAnsi="Arial Narrow" w:cstheme="minorHAnsi"/>
          <w:sz w:val="24"/>
          <w:szCs w:val="24"/>
        </w:rPr>
        <w:t xml:space="preserve"> niveaux déconcentrés de la pyramide sanitaire et hiérarchisés selon les priorités et la facilité de résolution.</w:t>
      </w:r>
    </w:p>
    <w:p w14:paraId="45155D49" w14:textId="26C3C3E0" w:rsidR="00BC30AE" w:rsidRDefault="00BC30AE" w:rsidP="00DC5897">
      <w:pPr>
        <w:pStyle w:val="Lgende"/>
      </w:pPr>
      <w:bookmarkStart w:id="195" w:name="_Toc178679248"/>
      <w:bookmarkStart w:id="196" w:name="_Toc183688757"/>
      <w:r w:rsidRPr="0052623B">
        <w:t xml:space="preserve">Tableau </w:t>
      </w:r>
      <w:r w:rsidRPr="0052623B">
        <w:fldChar w:fldCharType="begin"/>
      </w:r>
      <w:r w:rsidRPr="0052623B">
        <w:instrText xml:space="preserve"> SEQ Tableau \* ARABIC </w:instrText>
      </w:r>
      <w:r w:rsidRPr="0052623B">
        <w:fldChar w:fldCharType="separate"/>
      </w:r>
      <w:r w:rsidR="00BD665A">
        <w:rPr>
          <w:noProof/>
        </w:rPr>
        <w:t>9</w:t>
      </w:r>
      <w:r w:rsidRPr="0052623B">
        <w:fldChar w:fldCharType="end"/>
      </w:r>
      <w:r w:rsidRPr="0052623B">
        <w:t xml:space="preserve"> : Recommandations pour la résolution des problèmes de </w:t>
      </w:r>
      <w:r w:rsidR="00377010">
        <w:t>s</w:t>
      </w:r>
      <w:r w:rsidRPr="0052623B">
        <w:t>anté relatifs aux maladies tropicales négligées et aux maladies transmissibles</w:t>
      </w:r>
      <w:bookmarkEnd w:id="195"/>
      <w:bookmarkEnd w:id="196"/>
    </w:p>
    <w:tbl>
      <w:tblPr>
        <w:tblStyle w:val="Grilledutableau"/>
        <w:tblW w:w="0" w:type="auto"/>
        <w:tblLook w:val="04A0" w:firstRow="1" w:lastRow="0" w:firstColumn="1" w:lastColumn="0" w:noHBand="0" w:noVBand="1"/>
      </w:tblPr>
      <w:tblGrid>
        <w:gridCol w:w="2254"/>
        <w:gridCol w:w="2254"/>
        <w:gridCol w:w="2254"/>
        <w:gridCol w:w="2254"/>
      </w:tblGrid>
      <w:tr w:rsidR="001E5318" w:rsidRPr="001E5318" w14:paraId="17B338C2" w14:textId="77777777" w:rsidTr="001E5318">
        <w:trPr>
          <w:cantSplit/>
          <w:tblHeader/>
        </w:trPr>
        <w:tc>
          <w:tcPr>
            <w:tcW w:w="2254" w:type="dxa"/>
            <w:shd w:val="clear" w:color="auto" w:fill="FFE599" w:themeFill="accent4" w:themeFillTint="66"/>
            <w:vAlign w:val="center"/>
          </w:tcPr>
          <w:p w14:paraId="1489CA8E" w14:textId="129BD921" w:rsidR="00A34A3E" w:rsidRPr="001E5318" w:rsidRDefault="00A34A3E">
            <w:pPr>
              <w:rPr>
                <w:rFonts w:ascii="Arial Narrow" w:hAnsi="Arial Narrow" w:cstheme="minorHAnsi"/>
                <w:b/>
                <w:sz w:val="20"/>
                <w:szCs w:val="20"/>
              </w:rPr>
            </w:pPr>
            <w:r w:rsidRPr="001E5318">
              <w:rPr>
                <w:rFonts w:ascii="Arial Narrow" w:hAnsi="Arial Narrow" w:cstheme="minorHAnsi"/>
                <w:b/>
                <w:sz w:val="20"/>
                <w:szCs w:val="20"/>
              </w:rPr>
              <w:t xml:space="preserve">Problèmes de </w:t>
            </w:r>
            <w:r w:rsidR="00A57DA7">
              <w:rPr>
                <w:rFonts w:ascii="Arial Narrow" w:hAnsi="Arial Narrow" w:cstheme="minorHAnsi"/>
                <w:b/>
                <w:sz w:val="20"/>
                <w:szCs w:val="20"/>
              </w:rPr>
              <w:t>s</w:t>
            </w:r>
            <w:r w:rsidRPr="001E5318">
              <w:rPr>
                <w:rFonts w:ascii="Arial Narrow" w:hAnsi="Arial Narrow" w:cstheme="minorHAnsi"/>
                <w:b/>
                <w:sz w:val="20"/>
                <w:szCs w:val="20"/>
              </w:rPr>
              <w:t>anté</w:t>
            </w:r>
          </w:p>
        </w:tc>
        <w:tc>
          <w:tcPr>
            <w:tcW w:w="2254" w:type="dxa"/>
            <w:shd w:val="clear" w:color="auto" w:fill="FFE599" w:themeFill="accent4" w:themeFillTint="66"/>
            <w:vAlign w:val="center"/>
          </w:tcPr>
          <w:p w14:paraId="052C69A7" w14:textId="77777777" w:rsidR="00A34A3E" w:rsidRPr="001E5318" w:rsidRDefault="00A34A3E">
            <w:pPr>
              <w:rPr>
                <w:rFonts w:ascii="Arial Narrow" w:hAnsi="Arial Narrow" w:cstheme="minorHAnsi"/>
                <w:b/>
                <w:sz w:val="20"/>
                <w:szCs w:val="20"/>
              </w:rPr>
            </w:pPr>
            <w:r w:rsidRPr="001E5318">
              <w:rPr>
                <w:rFonts w:ascii="Arial Narrow" w:hAnsi="Arial Narrow" w:cstheme="minorHAnsi"/>
                <w:b/>
                <w:sz w:val="20"/>
                <w:szCs w:val="20"/>
              </w:rPr>
              <w:t>Tiers 1</w:t>
            </w:r>
            <w:r w:rsidRPr="001E5318">
              <w:rPr>
                <w:rStyle w:val="Appelnotedebasdep"/>
                <w:rFonts w:ascii="Arial Narrow" w:hAnsi="Arial Narrow" w:cstheme="minorHAnsi"/>
                <w:b/>
                <w:sz w:val="20"/>
                <w:szCs w:val="20"/>
              </w:rPr>
              <w:footnoteReference w:id="37"/>
            </w:r>
          </w:p>
          <w:p w14:paraId="13DDEAC3" w14:textId="77777777" w:rsidR="00A34A3E" w:rsidRPr="001E5318" w:rsidRDefault="00A34A3E">
            <w:pPr>
              <w:rPr>
                <w:rFonts w:ascii="Arial Narrow" w:hAnsi="Arial Narrow" w:cstheme="minorHAnsi"/>
                <w:i/>
                <w:sz w:val="20"/>
                <w:szCs w:val="20"/>
              </w:rPr>
            </w:pPr>
            <w:r w:rsidRPr="001E5318">
              <w:rPr>
                <w:rFonts w:ascii="Arial Narrow" w:hAnsi="Arial Narrow" w:cstheme="minorHAnsi"/>
                <w:i/>
                <w:sz w:val="20"/>
                <w:szCs w:val="20"/>
              </w:rPr>
              <w:t>Facteurs à résoudre à court terme</w:t>
            </w:r>
          </w:p>
        </w:tc>
        <w:tc>
          <w:tcPr>
            <w:tcW w:w="2254" w:type="dxa"/>
            <w:shd w:val="clear" w:color="auto" w:fill="FFE599" w:themeFill="accent4" w:themeFillTint="66"/>
            <w:vAlign w:val="center"/>
          </w:tcPr>
          <w:p w14:paraId="4383EC11" w14:textId="77777777" w:rsidR="00A34A3E" w:rsidRPr="001E5318" w:rsidRDefault="00A34A3E">
            <w:pPr>
              <w:rPr>
                <w:rFonts w:ascii="Arial Narrow" w:hAnsi="Arial Narrow" w:cstheme="minorHAnsi"/>
                <w:b/>
                <w:sz w:val="20"/>
                <w:szCs w:val="20"/>
              </w:rPr>
            </w:pPr>
            <w:r w:rsidRPr="001E5318">
              <w:rPr>
                <w:rFonts w:ascii="Arial Narrow" w:hAnsi="Arial Narrow" w:cstheme="minorHAnsi"/>
                <w:b/>
                <w:sz w:val="20"/>
                <w:szCs w:val="20"/>
              </w:rPr>
              <w:t>Tiers 2</w:t>
            </w:r>
            <w:r w:rsidRPr="001E5318">
              <w:rPr>
                <w:rStyle w:val="Appelnotedebasdep"/>
                <w:rFonts w:ascii="Arial Narrow" w:hAnsi="Arial Narrow" w:cstheme="minorHAnsi"/>
                <w:b/>
                <w:sz w:val="20"/>
                <w:szCs w:val="20"/>
              </w:rPr>
              <w:footnoteReference w:id="38"/>
            </w:r>
          </w:p>
          <w:p w14:paraId="37042EFA" w14:textId="77777777" w:rsidR="00A34A3E" w:rsidRPr="001E5318" w:rsidRDefault="00A34A3E">
            <w:pPr>
              <w:rPr>
                <w:rFonts w:ascii="Arial Narrow" w:hAnsi="Arial Narrow" w:cstheme="minorHAnsi"/>
                <w:i/>
                <w:sz w:val="20"/>
                <w:szCs w:val="20"/>
              </w:rPr>
            </w:pPr>
            <w:r w:rsidRPr="001E5318">
              <w:rPr>
                <w:rFonts w:ascii="Arial Narrow" w:hAnsi="Arial Narrow" w:cstheme="minorHAnsi"/>
                <w:i/>
                <w:sz w:val="20"/>
                <w:szCs w:val="20"/>
              </w:rPr>
              <w:t>Facteurs à résoudre à moyen terme</w:t>
            </w:r>
          </w:p>
        </w:tc>
        <w:tc>
          <w:tcPr>
            <w:tcW w:w="2254" w:type="dxa"/>
            <w:shd w:val="clear" w:color="auto" w:fill="FFE599" w:themeFill="accent4" w:themeFillTint="66"/>
            <w:vAlign w:val="center"/>
          </w:tcPr>
          <w:p w14:paraId="368B0EC1" w14:textId="77777777" w:rsidR="00A34A3E" w:rsidRPr="001E5318" w:rsidRDefault="00A34A3E">
            <w:pPr>
              <w:rPr>
                <w:rFonts w:ascii="Arial Narrow" w:hAnsi="Arial Narrow" w:cstheme="minorHAnsi"/>
                <w:b/>
                <w:sz w:val="20"/>
                <w:szCs w:val="20"/>
              </w:rPr>
            </w:pPr>
            <w:r w:rsidRPr="001E5318">
              <w:rPr>
                <w:rFonts w:ascii="Arial Narrow" w:hAnsi="Arial Narrow" w:cstheme="minorHAnsi"/>
                <w:b/>
                <w:sz w:val="20"/>
                <w:szCs w:val="20"/>
              </w:rPr>
              <w:t>Tiers 3</w:t>
            </w:r>
            <w:r w:rsidRPr="001E5318">
              <w:rPr>
                <w:rStyle w:val="Appelnotedebasdep"/>
                <w:rFonts w:ascii="Arial Narrow" w:hAnsi="Arial Narrow" w:cstheme="minorHAnsi"/>
                <w:b/>
                <w:sz w:val="20"/>
                <w:szCs w:val="20"/>
              </w:rPr>
              <w:footnoteReference w:id="39"/>
            </w:r>
          </w:p>
          <w:p w14:paraId="0FC1C51A" w14:textId="77777777" w:rsidR="00A34A3E" w:rsidRPr="001E5318" w:rsidRDefault="00A34A3E">
            <w:pPr>
              <w:rPr>
                <w:rFonts w:ascii="Arial Narrow" w:hAnsi="Arial Narrow" w:cstheme="minorHAnsi"/>
                <w:i/>
                <w:sz w:val="20"/>
                <w:szCs w:val="20"/>
              </w:rPr>
            </w:pPr>
            <w:r w:rsidRPr="001E5318">
              <w:rPr>
                <w:rFonts w:ascii="Arial Narrow" w:hAnsi="Arial Narrow" w:cstheme="minorHAnsi"/>
                <w:i/>
                <w:sz w:val="20"/>
                <w:szCs w:val="20"/>
              </w:rPr>
              <w:t>Facteurs à résoudre à long terme</w:t>
            </w:r>
          </w:p>
        </w:tc>
      </w:tr>
      <w:tr w:rsidR="00A34A3E" w:rsidRPr="00B82295" w14:paraId="2E42EA69" w14:textId="77777777">
        <w:trPr>
          <w:cantSplit/>
        </w:trPr>
        <w:tc>
          <w:tcPr>
            <w:tcW w:w="2254" w:type="dxa"/>
            <w:vAlign w:val="center"/>
          </w:tcPr>
          <w:p w14:paraId="51953ACD" w14:textId="77777777" w:rsidR="00A34A3E" w:rsidRPr="00EF39CB" w:rsidRDefault="00A34A3E">
            <w:pPr>
              <w:rPr>
                <w:rFonts w:ascii="Arial Narrow" w:hAnsi="Arial Narrow" w:cstheme="minorHAnsi"/>
                <w:sz w:val="20"/>
                <w:szCs w:val="20"/>
              </w:rPr>
            </w:pPr>
            <w:r w:rsidRPr="00EF39CB">
              <w:rPr>
                <w:rFonts w:ascii="Arial Narrow" w:hAnsi="Arial Narrow" w:cstheme="minorHAnsi"/>
                <w:sz w:val="20"/>
                <w:szCs w:val="20"/>
              </w:rPr>
              <w:t>Comment améliorer les performances dans la lutte contre le VIH afin d’atteindre la cible des trois 95 du niveau national dans toutes les régions d’ici à fin 2025 ?</w:t>
            </w:r>
          </w:p>
        </w:tc>
        <w:tc>
          <w:tcPr>
            <w:tcW w:w="2254" w:type="dxa"/>
          </w:tcPr>
          <w:p w14:paraId="64FD9985" w14:textId="77777777" w:rsidR="00A34A3E" w:rsidRPr="00EF39CB" w:rsidRDefault="00A34A3E" w:rsidP="009062EB">
            <w:pPr>
              <w:pStyle w:val="Paragraphedeliste"/>
              <w:numPr>
                <w:ilvl w:val="0"/>
                <w:numId w:val="31"/>
              </w:numPr>
              <w:ind w:left="189" w:hanging="112"/>
              <w:rPr>
                <w:rFonts w:ascii="Arial Narrow" w:hAnsi="Arial Narrow" w:cstheme="minorHAnsi"/>
                <w:sz w:val="20"/>
                <w:szCs w:val="20"/>
              </w:rPr>
            </w:pPr>
            <w:r w:rsidRPr="00EF39CB">
              <w:rPr>
                <w:rFonts w:ascii="Arial Narrow" w:hAnsi="Arial Narrow" w:cstheme="minorHAnsi"/>
                <w:sz w:val="20"/>
                <w:szCs w:val="20"/>
              </w:rPr>
              <w:t>Faible taux d’identification des enfants et des hommes vivants avec le VIH</w:t>
            </w:r>
          </w:p>
          <w:p w14:paraId="6FF7755B" w14:textId="77777777" w:rsidR="00A34A3E" w:rsidRPr="00EF39CB" w:rsidRDefault="00A34A3E" w:rsidP="009062EB">
            <w:pPr>
              <w:pStyle w:val="Paragraphedeliste"/>
              <w:numPr>
                <w:ilvl w:val="0"/>
                <w:numId w:val="31"/>
              </w:numPr>
              <w:ind w:left="189" w:hanging="112"/>
              <w:rPr>
                <w:rFonts w:ascii="Arial Narrow" w:hAnsi="Arial Narrow" w:cstheme="minorHAnsi"/>
                <w:sz w:val="20"/>
                <w:szCs w:val="20"/>
              </w:rPr>
            </w:pPr>
            <w:r w:rsidRPr="00EF39CB">
              <w:rPr>
                <w:rFonts w:ascii="Arial Narrow" w:hAnsi="Arial Narrow" w:cstheme="minorHAnsi"/>
                <w:sz w:val="20"/>
                <w:szCs w:val="20"/>
              </w:rPr>
              <w:t>Retard du dépistage précoce des enfants nés de mères séropositives</w:t>
            </w:r>
          </w:p>
        </w:tc>
        <w:tc>
          <w:tcPr>
            <w:tcW w:w="2254" w:type="dxa"/>
          </w:tcPr>
          <w:p w14:paraId="2E61FC58" w14:textId="77777777" w:rsidR="00A34A3E" w:rsidRDefault="00A34A3E" w:rsidP="009062EB">
            <w:pPr>
              <w:pStyle w:val="Paragraphedeliste"/>
              <w:numPr>
                <w:ilvl w:val="0"/>
                <w:numId w:val="31"/>
              </w:numPr>
              <w:ind w:left="189" w:hanging="112"/>
              <w:rPr>
                <w:rFonts w:ascii="Arial Narrow" w:hAnsi="Arial Narrow" w:cstheme="minorHAnsi"/>
                <w:sz w:val="20"/>
                <w:szCs w:val="20"/>
              </w:rPr>
            </w:pPr>
            <w:r w:rsidRPr="00EF39CB">
              <w:rPr>
                <w:rFonts w:ascii="Arial Narrow" w:hAnsi="Arial Narrow" w:cstheme="minorHAnsi"/>
                <w:sz w:val="20"/>
                <w:szCs w:val="20"/>
              </w:rPr>
              <w:t>Non-disponibilité des intrants pour certains bilans de contrôle</w:t>
            </w:r>
          </w:p>
          <w:p w14:paraId="203CABF9" w14:textId="77777777" w:rsidR="00A57DA7" w:rsidRPr="00702D1E" w:rsidRDefault="00A57DA7" w:rsidP="00A57DA7">
            <w:pPr>
              <w:pStyle w:val="Paragraphedeliste"/>
              <w:numPr>
                <w:ilvl w:val="0"/>
                <w:numId w:val="31"/>
              </w:numPr>
              <w:ind w:left="189" w:hanging="112"/>
              <w:rPr>
                <w:rFonts w:ascii="Arial Narrow" w:hAnsi="Arial Narrow" w:cstheme="minorHAnsi"/>
                <w:color w:val="000000" w:themeColor="text1"/>
                <w:sz w:val="20"/>
                <w:szCs w:val="20"/>
              </w:rPr>
            </w:pPr>
            <w:r w:rsidRPr="00702D1E">
              <w:rPr>
                <w:rFonts w:ascii="Arial Narrow" w:hAnsi="Arial Narrow" w:cstheme="minorHAnsi"/>
                <w:color w:val="000000" w:themeColor="text1"/>
                <w:sz w:val="20"/>
                <w:szCs w:val="20"/>
              </w:rPr>
              <w:t>Rupture des intrants de dépistage</w:t>
            </w:r>
          </w:p>
          <w:p w14:paraId="035E0F6F" w14:textId="77777777" w:rsidR="00A57DA7" w:rsidRPr="00EF39CB" w:rsidRDefault="00A57DA7" w:rsidP="00702D1E">
            <w:pPr>
              <w:pStyle w:val="Paragraphedeliste"/>
              <w:ind w:left="189"/>
              <w:rPr>
                <w:rFonts w:ascii="Arial Narrow" w:hAnsi="Arial Narrow" w:cstheme="minorHAnsi"/>
                <w:sz w:val="20"/>
                <w:szCs w:val="20"/>
              </w:rPr>
            </w:pPr>
          </w:p>
        </w:tc>
        <w:tc>
          <w:tcPr>
            <w:tcW w:w="2254" w:type="dxa"/>
          </w:tcPr>
          <w:p w14:paraId="4A82D40A" w14:textId="77777777" w:rsidR="00A34A3E" w:rsidRPr="00EF39CB" w:rsidRDefault="00A34A3E" w:rsidP="009062EB">
            <w:pPr>
              <w:pStyle w:val="Paragraphedeliste"/>
              <w:numPr>
                <w:ilvl w:val="0"/>
                <w:numId w:val="31"/>
              </w:numPr>
              <w:ind w:left="189" w:hanging="112"/>
              <w:rPr>
                <w:rFonts w:ascii="Arial Narrow" w:hAnsi="Arial Narrow" w:cstheme="minorHAnsi"/>
                <w:sz w:val="20"/>
                <w:szCs w:val="20"/>
              </w:rPr>
            </w:pPr>
            <w:r w:rsidRPr="00EF39CB">
              <w:rPr>
                <w:rFonts w:ascii="Arial Narrow" w:hAnsi="Arial Narrow" w:cstheme="minorHAnsi"/>
                <w:sz w:val="20"/>
                <w:szCs w:val="20"/>
              </w:rPr>
              <w:t>Faible taux d’identification des femmes enceintes au premier</w:t>
            </w:r>
          </w:p>
          <w:p w14:paraId="53F89A6E" w14:textId="77777777" w:rsidR="00A34A3E" w:rsidRPr="00EF39CB" w:rsidRDefault="00A34A3E" w:rsidP="009062EB">
            <w:pPr>
              <w:pStyle w:val="Paragraphedeliste"/>
              <w:numPr>
                <w:ilvl w:val="0"/>
                <w:numId w:val="31"/>
              </w:numPr>
              <w:ind w:left="189" w:hanging="112"/>
              <w:rPr>
                <w:rFonts w:ascii="Arial Narrow" w:hAnsi="Arial Narrow" w:cstheme="minorHAnsi"/>
                <w:sz w:val="20"/>
                <w:szCs w:val="20"/>
              </w:rPr>
            </w:pPr>
            <w:r w:rsidRPr="00EF39CB">
              <w:rPr>
                <w:rFonts w:ascii="Arial Narrow" w:hAnsi="Arial Narrow" w:cstheme="minorHAnsi"/>
                <w:sz w:val="20"/>
                <w:szCs w:val="20"/>
              </w:rPr>
              <w:t>Faible prise en charge des activités VIH dans les cliniques</w:t>
            </w:r>
          </w:p>
          <w:p w14:paraId="03494E06" w14:textId="77777777" w:rsidR="00A34A3E" w:rsidRPr="00EF39CB" w:rsidRDefault="00A34A3E" w:rsidP="009062EB">
            <w:pPr>
              <w:pStyle w:val="Paragraphedeliste"/>
              <w:numPr>
                <w:ilvl w:val="0"/>
                <w:numId w:val="31"/>
              </w:numPr>
              <w:ind w:left="189" w:hanging="112"/>
              <w:rPr>
                <w:rFonts w:ascii="Arial Narrow" w:hAnsi="Arial Narrow" w:cstheme="minorHAnsi"/>
                <w:sz w:val="20"/>
                <w:szCs w:val="20"/>
              </w:rPr>
            </w:pPr>
            <w:r w:rsidRPr="00702D1E">
              <w:rPr>
                <w:rFonts w:ascii="Arial Narrow" w:hAnsi="Arial Narrow" w:cstheme="minorHAnsi"/>
                <w:color w:val="000000" w:themeColor="text1"/>
                <w:sz w:val="20"/>
                <w:szCs w:val="20"/>
              </w:rPr>
              <w:t>Rupture des ARV pédiatriques</w:t>
            </w:r>
          </w:p>
        </w:tc>
      </w:tr>
      <w:tr w:rsidR="00A34A3E" w:rsidRPr="0010300F" w14:paraId="4404C768" w14:textId="77777777">
        <w:trPr>
          <w:cantSplit/>
        </w:trPr>
        <w:tc>
          <w:tcPr>
            <w:tcW w:w="2254" w:type="dxa"/>
            <w:vAlign w:val="center"/>
          </w:tcPr>
          <w:p w14:paraId="58279AC2" w14:textId="686B068B" w:rsidR="00A34A3E" w:rsidRPr="00EF39CB" w:rsidRDefault="00A34A3E">
            <w:pPr>
              <w:rPr>
                <w:rFonts w:ascii="Arial Narrow" w:hAnsi="Arial Narrow" w:cstheme="minorHAnsi"/>
                <w:sz w:val="20"/>
                <w:szCs w:val="20"/>
              </w:rPr>
            </w:pPr>
            <w:r w:rsidRPr="00EF39CB">
              <w:rPr>
                <w:rFonts w:ascii="Arial Narrow" w:hAnsi="Arial Narrow" w:cstheme="minorHAnsi"/>
                <w:sz w:val="20"/>
                <w:szCs w:val="20"/>
              </w:rPr>
              <w:t>Comment améliorer les performances dans la lutte contre le paludisme a</w:t>
            </w:r>
            <w:r w:rsidR="00A57DA7">
              <w:rPr>
                <w:rFonts w:ascii="Arial Narrow" w:hAnsi="Arial Narrow" w:cstheme="minorHAnsi"/>
                <w:sz w:val="20"/>
                <w:szCs w:val="20"/>
              </w:rPr>
              <w:t>fin de réduire l’</w:t>
            </w:r>
            <w:r w:rsidRPr="00EF39CB">
              <w:rPr>
                <w:rFonts w:ascii="Arial Narrow" w:hAnsi="Arial Narrow" w:cstheme="minorHAnsi"/>
                <w:sz w:val="20"/>
                <w:szCs w:val="20"/>
              </w:rPr>
              <w:t xml:space="preserve">incidence </w:t>
            </w:r>
            <w:r w:rsidR="00A57DA7">
              <w:rPr>
                <w:rFonts w:ascii="Arial Narrow" w:hAnsi="Arial Narrow" w:cstheme="minorHAnsi"/>
                <w:sz w:val="20"/>
                <w:szCs w:val="20"/>
              </w:rPr>
              <w:t>à</w:t>
            </w:r>
            <w:r w:rsidRPr="00EF39CB">
              <w:rPr>
                <w:rFonts w:ascii="Arial Narrow" w:hAnsi="Arial Narrow" w:cstheme="minorHAnsi"/>
                <w:sz w:val="20"/>
                <w:szCs w:val="20"/>
              </w:rPr>
              <w:t xml:space="preserve"> </w:t>
            </w:r>
            <w:r w:rsidR="00A57DA7">
              <w:rPr>
                <w:rFonts w:ascii="Arial Narrow" w:hAnsi="Arial Narrow" w:cstheme="minorHAnsi"/>
                <w:sz w:val="20"/>
                <w:szCs w:val="20"/>
              </w:rPr>
              <w:t>141</w:t>
            </w:r>
            <w:r w:rsidRPr="00EF39CB">
              <w:rPr>
                <w:rFonts w:ascii="Arial Narrow" w:hAnsi="Arial Narrow" w:cstheme="minorHAnsi"/>
                <w:sz w:val="20"/>
                <w:szCs w:val="20"/>
              </w:rPr>
              <w:t>‰ d’ici à fin 2025 ?</w:t>
            </w:r>
          </w:p>
        </w:tc>
        <w:tc>
          <w:tcPr>
            <w:tcW w:w="2254" w:type="dxa"/>
          </w:tcPr>
          <w:p w14:paraId="0268E271" w14:textId="77777777" w:rsidR="00A34A3E" w:rsidRPr="00EF39CB" w:rsidRDefault="00A34A3E" w:rsidP="009062EB">
            <w:pPr>
              <w:pStyle w:val="Paragraphedeliste"/>
              <w:numPr>
                <w:ilvl w:val="0"/>
                <w:numId w:val="31"/>
              </w:numPr>
              <w:ind w:left="189" w:hanging="112"/>
              <w:rPr>
                <w:rFonts w:ascii="Arial Narrow" w:hAnsi="Arial Narrow" w:cstheme="minorHAnsi"/>
                <w:sz w:val="20"/>
                <w:szCs w:val="20"/>
              </w:rPr>
            </w:pPr>
            <w:r w:rsidRPr="00EF39CB">
              <w:rPr>
                <w:rFonts w:ascii="Arial Narrow" w:hAnsi="Arial Narrow" w:cstheme="minorHAnsi"/>
                <w:sz w:val="20"/>
                <w:szCs w:val="20"/>
              </w:rPr>
              <w:t>Faible utilisation des MILDA</w:t>
            </w:r>
          </w:p>
        </w:tc>
        <w:tc>
          <w:tcPr>
            <w:tcW w:w="2254" w:type="dxa"/>
          </w:tcPr>
          <w:p w14:paraId="0CC3B3FD" w14:textId="77777777" w:rsidR="00A34A3E" w:rsidRPr="00EF39CB" w:rsidRDefault="00A34A3E" w:rsidP="00702D1E">
            <w:pPr>
              <w:pStyle w:val="Paragraphedeliste"/>
              <w:ind w:left="189"/>
              <w:rPr>
                <w:rFonts w:ascii="Arial Narrow" w:hAnsi="Arial Narrow" w:cstheme="minorHAnsi"/>
                <w:sz w:val="20"/>
                <w:szCs w:val="20"/>
              </w:rPr>
            </w:pPr>
          </w:p>
        </w:tc>
        <w:tc>
          <w:tcPr>
            <w:tcW w:w="2254" w:type="dxa"/>
          </w:tcPr>
          <w:p w14:paraId="4ADCA776" w14:textId="77777777" w:rsidR="00A34A3E" w:rsidRPr="00EF39CB" w:rsidRDefault="00A34A3E" w:rsidP="009062EB">
            <w:pPr>
              <w:pStyle w:val="Paragraphedeliste"/>
              <w:keepNext/>
              <w:numPr>
                <w:ilvl w:val="0"/>
                <w:numId w:val="31"/>
              </w:numPr>
              <w:ind w:left="189" w:hanging="112"/>
              <w:rPr>
                <w:rFonts w:ascii="Arial Narrow" w:hAnsi="Arial Narrow" w:cstheme="minorHAnsi"/>
                <w:sz w:val="20"/>
                <w:szCs w:val="20"/>
              </w:rPr>
            </w:pPr>
            <w:r w:rsidRPr="00EF39CB">
              <w:rPr>
                <w:rFonts w:ascii="Arial Narrow" w:hAnsi="Arial Narrow" w:cstheme="minorHAnsi"/>
                <w:sz w:val="20"/>
                <w:szCs w:val="20"/>
              </w:rPr>
              <w:t>Insuffisance de dotation en MILDA</w:t>
            </w:r>
          </w:p>
          <w:p w14:paraId="0E112D55" w14:textId="77777777" w:rsidR="00A34A3E" w:rsidRPr="00EF39CB" w:rsidRDefault="00A34A3E" w:rsidP="009062EB">
            <w:pPr>
              <w:pStyle w:val="Paragraphedeliste"/>
              <w:keepNext/>
              <w:numPr>
                <w:ilvl w:val="0"/>
                <w:numId w:val="31"/>
              </w:numPr>
              <w:ind w:left="189" w:hanging="112"/>
              <w:rPr>
                <w:rFonts w:ascii="Arial Narrow" w:hAnsi="Arial Narrow" w:cstheme="minorHAnsi"/>
                <w:sz w:val="20"/>
                <w:szCs w:val="20"/>
              </w:rPr>
            </w:pPr>
            <w:r w:rsidRPr="00EF39CB">
              <w:rPr>
                <w:rFonts w:ascii="Arial Narrow" w:hAnsi="Arial Narrow" w:cstheme="minorHAnsi"/>
                <w:sz w:val="20"/>
                <w:szCs w:val="20"/>
              </w:rPr>
              <w:t>Persistance de poches d’insalubrité dans les régions</w:t>
            </w:r>
          </w:p>
        </w:tc>
      </w:tr>
      <w:tr w:rsidR="00A34A3E" w:rsidRPr="0010300F" w14:paraId="54101E1E" w14:textId="77777777">
        <w:trPr>
          <w:cantSplit/>
        </w:trPr>
        <w:tc>
          <w:tcPr>
            <w:tcW w:w="2254" w:type="dxa"/>
            <w:vAlign w:val="center"/>
          </w:tcPr>
          <w:p w14:paraId="0662BD19" w14:textId="77777777" w:rsidR="00A34A3E" w:rsidRPr="00EF39CB" w:rsidRDefault="00A34A3E">
            <w:pPr>
              <w:rPr>
                <w:rFonts w:ascii="Arial Narrow" w:hAnsi="Arial Narrow" w:cstheme="minorHAnsi"/>
                <w:sz w:val="20"/>
                <w:szCs w:val="20"/>
              </w:rPr>
            </w:pPr>
            <w:r w:rsidRPr="00EF39CB">
              <w:rPr>
                <w:rFonts w:ascii="Arial Narrow" w:hAnsi="Arial Narrow" w:cstheme="minorHAnsi"/>
                <w:sz w:val="20"/>
                <w:szCs w:val="20"/>
              </w:rPr>
              <w:t>Comment renforcer le dépistage des cas de tuberculose ?</w:t>
            </w:r>
          </w:p>
        </w:tc>
        <w:tc>
          <w:tcPr>
            <w:tcW w:w="2254" w:type="dxa"/>
          </w:tcPr>
          <w:p w14:paraId="14FD132B" w14:textId="77777777" w:rsidR="00A34A3E" w:rsidRPr="00EF39CB" w:rsidRDefault="00A34A3E" w:rsidP="009062EB">
            <w:pPr>
              <w:pStyle w:val="Paragraphedeliste"/>
              <w:numPr>
                <w:ilvl w:val="0"/>
                <w:numId w:val="31"/>
              </w:numPr>
              <w:ind w:left="189" w:hanging="112"/>
              <w:rPr>
                <w:rFonts w:ascii="Arial Narrow" w:hAnsi="Arial Narrow" w:cstheme="minorHAnsi"/>
                <w:sz w:val="20"/>
                <w:szCs w:val="20"/>
              </w:rPr>
            </w:pPr>
            <w:r w:rsidRPr="00EF39CB">
              <w:rPr>
                <w:rFonts w:ascii="Arial Narrow" w:hAnsi="Arial Narrow" w:cstheme="minorHAnsi"/>
                <w:sz w:val="20"/>
                <w:szCs w:val="20"/>
              </w:rPr>
              <w:t>Insuffisance dans la recherche active des cas présumés de TB dans la communauté</w:t>
            </w:r>
          </w:p>
          <w:p w14:paraId="4BD51D1B" w14:textId="77777777" w:rsidR="00A34A3E" w:rsidRPr="00EF39CB" w:rsidRDefault="00A34A3E" w:rsidP="009062EB">
            <w:pPr>
              <w:pStyle w:val="Paragraphedeliste"/>
              <w:numPr>
                <w:ilvl w:val="0"/>
                <w:numId w:val="31"/>
              </w:numPr>
              <w:ind w:left="189" w:hanging="112"/>
              <w:rPr>
                <w:rFonts w:ascii="Arial Narrow" w:hAnsi="Arial Narrow" w:cstheme="minorHAnsi"/>
                <w:sz w:val="20"/>
                <w:szCs w:val="20"/>
              </w:rPr>
            </w:pPr>
            <w:r w:rsidRPr="00EF39CB">
              <w:rPr>
                <w:rFonts w:ascii="Arial Narrow" w:hAnsi="Arial Narrow" w:cstheme="minorHAnsi"/>
                <w:sz w:val="20"/>
                <w:szCs w:val="20"/>
              </w:rPr>
              <w:t>Méconnaissance des signes d’imprégnation de la tuberculose (ignorance des populations, retard dans le référencement des prestataires cliniques vers les CDT, non-référencement par les tradipraticiens/ camps de prières vers les CDT)</w:t>
            </w:r>
          </w:p>
        </w:tc>
        <w:tc>
          <w:tcPr>
            <w:tcW w:w="2254" w:type="dxa"/>
          </w:tcPr>
          <w:p w14:paraId="49CA6F66" w14:textId="77777777" w:rsidR="00A34A3E" w:rsidRPr="00EF39CB" w:rsidRDefault="00A34A3E" w:rsidP="00702D1E">
            <w:pPr>
              <w:pStyle w:val="Paragraphedeliste"/>
              <w:ind w:left="189"/>
              <w:rPr>
                <w:rFonts w:ascii="Arial Narrow" w:hAnsi="Arial Narrow" w:cstheme="minorHAnsi"/>
                <w:sz w:val="20"/>
                <w:szCs w:val="20"/>
              </w:rPr>
            </w:pPr>
          </w:p>
        </w:tc>
        <w:tc>
          <w:tcPr>
            <w:tcW w:w="2254" w:type="dxa"/>
          </w:tcPr>
          <w:p w14:paraId="762066AE" w14:textId="77777777" w:rsidR="00A34A3E" w:rsidRPr="00EF39CB" w:rsidRDefault="00A34A3E" w:rsidP="00702D1E">
            <w:pPr>
              <w:pStyle w:val="Paragraphedeliste"/>
              <w:keepNext/>
              <w:ind w:left="189"/>
              <w:rPr>
                <w:rFonts w:ascii="Arial Narrow" w:hAnsi="Arial Narrow" w:cstheme="minorHAnsi"/>
                <w:sz w:val="20"/>
                <w:szCs w:val="20"/>
              </w:rPr>
            </w:pPr>
          </w:p>
        </w:tc>
      </w:tr>
      <w:tr w:rsidR="00A34A3E" w:rsidRPr="0010300F" w14:paraId="7173A7C8" w14:textId="77777777">
        <w:trPr>
          <w:cantSplit/>
        </w:trPr>
        <w:tc>
          <w:tcPr>
            <w:tcW w:w="2254" w:type="dxa"/>
            <w:vAlign w:val="center"/>
          </w:tcPr>
          <w:p w14:paraId="096036F3" w14:textId="6CE6FC8D" w:rsidR="00A34A3E" w:rsidRPr="00EF39CB" w:rsidRDefault="00A34A3E">
            <w:pPr>
              <w:rPr>
                <w:rFonts w:ascii="Arial Narrow" w:hAnsi="Arial Narrow" w:cstheme="minorHAnsi"/>
                <w:sz w:val="20"/>
                <w:szCs w:val="20"/>
              </w:rPr>
            </w:pPr>
            <w:r w:rsidRPr="00EF39CB">
              <w:rPr>
                <w:rFonts w:ascii="Arial Narrow" w:hAnsi="Arial Narrow" w:cstheme="minorHAnsi"/>
                <w:sz w:val="20"/>
                <w:szCs w:val="20"/>
              </w:rPr>
              <w:lastRenderedPageBreak/>
              <w:t xml:space="preserve">Comment renforcer la prise en charge des malades </w:t>
            </w:r>
            <w:r w:rsidR="00A57DA7">
              <w:rPr>
                <w:rFonts w:ascii="Arial Narrow" w:hAnsi="Arial Narrow" w:cstheme="minorHAnsi"/>
                <w:sz w:val="20"/>
                <w:szCs w:val="20"/>
              </w:rPr>
              <w:t xml:space="preserve">de tuberculose </w:t>
            </w:r>
            <w:r w:rsidRPr="00EF39CB">
              <w:rPr>
                <w:rFonts w:ascii="Arial Narrow" w:hAnsi="Arial Narrow" w:cstheme="minorHAnsi"/>
                <w:sz w:val="20"/>
                <w:szCs w:val="20"/>
              </w:rPr>
              <w:t>multi-résistante ?</w:t>
            </w:r>
          </w:p>
        </w:tc>
        <w:tc>
          <w:tcPr>
            <w:tcW w:w="2254" w:type="dxa"/>
          </w:tcPr>
          <w:p w14:paraId="4B28B7C8" w14:textId="77777777" w:rsidR="00A34A3E" w:rsidRPr="00EF39CB" w:rsidRDefault="00A34A3E" w:rsidP="009062EB">
            <w:pPr>
              <w:pStyle w:val="Paragraphedeliste"/>
              <w:numPr>
                <w:ilvl w:val="0"/>
                <w:numId w:val="31"/>
              </w:numPr>
              <w:ind w:left="189" w:hanging="112"/>
              <w:rPr>
                <w:rFonts w:ascii="Arial Narrow" w:hAnsi="Arial Narrow" w:cstheme="minorHAnsi"/>
                <w:sz w:val="20"/>
                <w:szCs w:val="20"/>
              </w:rPr>
            </w:pPr>
            <w:r w:rsidRPr="00EF39CB">
              <w:rPr>
                <w:rFonts w:ascii="Arial Narrow" w:hAnsi="Arial Narrow" w:cstheme="minorHAnsi"/>
                <w:sz w:val="20"/>
                <w:szCs w:val="20"/>
              </w:rPr>
              <w:t>Insuffisance de suivi communautaires des maladies</w:t>
            </w:r>
          </w:p>
          <w:p w14:paraId="741F53A3" w14:textId="77777777" w:rsidR="00A34A3E" w:rsidRPr="00EF39CB" w:rsidRDefault="00A34A3E" w:rsidP="009062EB">
            <w:pPr>
              <w:pStyle w:val="Paragraphedeliste"/>
              <w:numPr>
                <w:ilvl w:val="0"/>
                <w:numId w:val="31"/>
              </w:numPr>
              <w:ind w:left="189" w:hanging="112"/>
              <w:rPr>
                <w:rFonts w:ascii="Arial Narrow" w:hAnsi="Arial Narrow" w:cstheme="minorHAnsi"/>
                <w:sz w:val="20"/>
                <w:szCs w:val="20"/>
              </w:rPr>
            </w:pPr>
            <w:r w:rsidRPr="00EF39CB">
              <w:rPr>
                <w:rFonts w:ascii="Arial Narrow" w:hAnsi="Arial Narrow" w:cstheme="minorHAnsi"/>
                <w:sz w:val="20"/>
                <w:szCs w:val="20"/>
              </w:rPr>
              <w:t>Insuffisance dans l’application du traitement directement observé sur certains sites</w:t>
            </w:r>
          </w:p>
        </w:tc>
        <w:tc>
          <w:tcPr>
            <w:tcW w:w="2254" w:type="dxa"/>
          </w:tcPr>
          <w:p w14:paraId="70D88834" w14:textId="77777777" w:rsidR="00A34A3E" w:rsidRPr="00EF39CB" w:rsidRDefault="00A34A3E" w:rsidP="009062EB">
            <w:pPr>
              <w:pStyle w:val="Paragraphedeliste"/>
              <w:numPr>
                <w:ilvl w:val="0"/>
                <w:numId w:val="31"/>
              </w:numPr>
              <w:ind w:left="189" w:hanging="112"/>
              <w:rPr>
                <w:rFonts w:ascii="Arial Narrow" w:hAnsi="Arial Narrow" w:cstheme="minorHAnsi"/>
                <w:sz w:val="20"/>
                <w:szCs w:val="20"/>
              </w:rPr>
            </w:pPr>
          </w:p>
        </w:tc>
        <w:tc>
          <w:tcPr>
            <w:tcW w:w="2254" w:type="dxa"/>
          </w:tcPr>
          <w:p w14:paraId="3DEE13A0" w14:textId="77777777" w:rsidR="00A34A3E" w:rsidRPr="00EF39CB" w:rsidRDefault="00A34A3E" w:rsidP="009062EB">
            <w:pPr>
              <w:pStyle w:val="Paragraphedeliste"/>
              <w:keepNext/>
              <w:numPr>
                <w:ilvl w:val="0"/>
                <w:numId w:val="31"/>
              </w:numPr>
              <w:ind w:left="189" w:hanging="112"/>
              <w:rPr>
                <w:rFonts w:ascii="Arial Narrow" w:hAnsi="Arial Narrow" w:cstheme="minorHAnsi"/>
                <w:sz w:val="20"/>
                <w:szCs w:val="20"/>
              </w:rPr>
            </w:pPr>
          </w:p>
        </w:tc>
      </w:tr>
    </w:tbl>
    <w:p w14:paraId="491C6478" w14:textId="7473A94D" w:rsidR="00BC30AE" w:rsidRPr="00754AF9" w:rsidRDefault="00BC30AE" w:rsidP="00DC5897">
      <w:pPr>
        <w:pStyle w:val="Lgende"/>
      </w:pPr>
      <w:r w:rsidRPr="0052623B">
        <w:t xml:space="preserve">Sources : Données collectées pour la </w:t>
      </w:r>
      <w:r w:rsidR="00B635D8">
        <w:t>revue</w:t>
      </w:r>
      <w:r w:rsidRPr="0052623B">
        <w:t xml:space="preserve"> du PNDS </w:t>
      </w:r>
      <w:r w:rsidR="00EB1CA0">
        <w:t>2021-2025</w:t>
      </w:r>
    </w:p>
    <w:p w14:paraId="03FEA2A0" w14:textId="1432E763" w:rsidR="00BC30AE" w:rsidRPr="007C780D" w:rsidRDefault="00BC30AE" w:rsidP="00CF59E5">
      <w:pPr>
        <w:shd w:val="clear" w:color="auto" w:fill="BDD6EE" w:themeFill="accent5" w:themeFillTint="66"/>
        <w:rPr>
          <w:rFonts w:ascii="Arial Narrow" w:hAnsi="Arial Narrow" w:cstheme="minorHAnsi"/>
          <w:b/>
          <w:bCs/>
          <w:sz w:val="24"/>
          <w:szCs w:val="24"/>
        </w:rPr>
      </w:pPr>
      <w:bookmarkStart w:id="197" w:name="_Toc178699612"/>
      <w:r w:rsidRPr="007C780D">
        <w:rPr>
          <w:rFonts w:ascii="Arial Narrow" w:hAnsi="Arial Narrow" w:cstheme="minorHAnsi"/>
          <w:b/>
          <w:bCs/>
          <w:sz w:val="24"/>
          <w:szCs w:val="24"/>
        </w:rPr>
        <w:t xml:space="preserve">Problèmes de </w:t>
      </w:r>
      <w:r w:rsidR="00EA4209">
        <w:rPr>
          <w:rFonts w:ascii="Arial Narrow" w:hAnsi="Arial Narrow" w:cstheme="minorHAnsi"/>
          <w:b/>
          <w:bCs/>
          <w:sz w:val="24"/>
          <w:szCs w:val="24"/>
        </w:rPr>
        <w:t>s</w:t>
      </w:r>
      <w:r w:rsidRPr="007C780D">
        <w:rPr>
          <w:rFonts w:ascii="Arial Narrow" w:hAnsi="Arial Narrow" w:cstheme="minorHAnsi"/>
          <w:b/>
          <w:bCs/>
          <w:sz w:val="24"/>
          <w:szCs w:val="24"/>
        </w:rPr>
        <w:t>anté relatifs aux maladies non-transmissibles</w:t>
      </w:r>
      <w:bookmarkEnd w:id="197"/>
    </w:p>
    <w:p w14:paraId="5AB1971C" w14:textId="62C4E870" w:rsidR="00BC30AE" w:rsidRPr="0052623B" w:rsidRDefault="00BC30AE" w:rsidP="007C780D">
      <w:pPr>
        <w:jc w:val="both"/>
        <w:rPr>
          <w:rFonts w:ascii="Arial Narrow" w:hAnsi="Arial Narrow"/>
          <w:sz w:val="24"/>
          <w:szCs w:val="24"/>
        </w:rPr>
      </w:pPr>
      <w:r w:rsidRPr="0052623B">
        <w:rPr>
          <w:rFonts w:ascii="Arial Narrow" w:hAnsi="Arial Narrow" w:cstheme="minorHAnsi"/>
          <w:sz w:val="24"/>
          <w:szCs w:val="24"/>
        </w:rPr>
        <w:t xml:space="preserve">En ce qui concerne la thématique maladies non-transmissibles, les problèmes de </w:t>
      </w:r>
      <w:r w:rsidR="00EA4209">
        <w:rPr>
          <w:rFonts w:ascii="Arial Narrow" w:hAnsi="Arial Narrow" w:cstheme="minorHAnsi"/>
          <w:sz w:val="24"/>
          <w:szCs w:val="24"/>
        </w:rPr>
        <w:t>s</w:t>
      </w:r>
      <w:r w:rsidRPr="0052623B">
        <w:rPr>
          <w:rFonts w:ascii="Arial Narrow" w:hAnsi="Arial Narrow" w:cstheme="minorHAnsi"/>
          <w:sz w:val="24"/>
          <w:szCs w:val="24"/>
        </w:rPr>
        <w:t>anté ci-après ont été recensés au niveau des régions sanitaires, malgré la mise en œuvre du PNDS </w:t>
      </w:r>
      <w:r w:rsidR="00EB1CA0">
        <w:rPr>
          <w:rFonts w:ascii="Arial Narrow" w:hAnsi="Arial Narrow" w:cstheme="minorHAnsi"/>
          <w:sz w:val="24"/>
          <w:szCs w:val="24"/>
        </w:rPr>
        <w:t>2021-2025</w:t>
      </w:r>
      <w:r w:rsidRPr="0052623B">
        <w:rPr>
          <w:rFonts w:ascii="Arial Narrow" w:hAnsi="Arial Narrow" w:cstheme="minorHAnsi"/>
          <w:sz w:val="24"/>
          <w:szCs w:val="24"/>
        </w:rPr>
        <w:t xml:space="preserve"> :</w:t>
      </w:r>
    </w:p>
    <w:p w14:paraId="69FEF5D8" w14:textId="77777777" w:rsidR="00BC30AE" w:rsidRPr="00C9105F" w:rsidRDefault="00BC30AE" w:rsidP="009062EB">
      <w:pPr>
        <w:pStyle w:val="Paragraphedeliste"/>
        <w:numPr>
          <w:ilvl w:val="0"/>
          <w:numId w:val="39"/>
        </w:numPr>
        <w:ind w:left="426"/>
        <w:jc w:val="both"/>
        <w:rPr>
          <w:rFonts w:ascii="Arial Narrow" w:hAnsi="Arial Narrow"/>
          <w:i/>
          <w:iCs/>
          <w:sz w:val="24"/>
          <w:szCs w:val="24"/>
        </w:rPr>
      </w:pPr>
      <w:r w:rsidRPr="00C9105F">
        <w:rPr>
          <w:rFonts w:ascii="Arial Narrow" w:hAnsi="Arial Narrow"/>
          <w:i/>
          <w:iCs/>
          <w:sz w:val="24"/>
          <w:szCs w:val="24"/>
        </w:rPr>
        <w:t>Faible couverture en Unités de Prise En Charge des maladies métaboliques dans les hôpitaux de référence (19,2%) ;</w:t>
      </w:r>
    </w:p>
    <w:p w14:paraId="752A5627" w14:textId="77777777" w:rsidR="00BC30AE" w:rsidRPr="00C9105F" w:rsidRDefault="00BC30AE" w:rsidP="009062EB">
      <w:pPr>
        <w:pStyle w:val="Paragraphedeliste"/>
        <w:numPr>
          <w:ilvl w:val="0"/>
          <w:numId w:val="39"/>
        </w:numPr>
        <w:ind w:left="426"/>
        <w:jc w:val="both"/>
        <w:rPr>
          <w:rFonts w:ascii="Arial Narrow" w:hAnsi="Arial Narrow"/>
          <w:i/>
          <w:iCs/>
          <w:sz w:val="24"/>
          <w:szCs w:val="24"/>
        </w:rPr>
      </w:pPr>
      <w:r w:rsidRPr="00C9105F">
        <w:rPr>
          <w:rFonts w:ascii="Arial Narrow" w:hAnsi="Arial Narrow"/>
          <w:i/>
          <w:iCs/>
          <w:sz w:val="24"/>
          <w:szCs w:val="24"/>
        </w:rPr>
        <w:t>Sous notification des données ;</w:t>
      </w:r>
    </w:p>
    <w:p w14:paraId="74380B94" w14:textId="50556BBC" w:rsidR="00BC30AE" w:rsidRPr="00C9105F" w:rsidRDefault="00BC30AE" w:rsidP="009062EB">
      <w:pPr>
        <w:pStyle w:val="Paragraphedeliste"/>
        <w:numPr>
          <w:ilvl w:val="0"/>
          <w:numId w:val="39"/>
        </w:numPr>
        <w:ind w:left="426"/>
        <w:jc w:val="both"/>
        <w:rPr>
          <w:rFonts w:ascii="Arial Narrow" w:hAnsi="Arial Narrow"/>
          <w:i/>
          <w:iCs/>
          <w:sz w:val="24"/>
          <w:szCs w:val="24"/>
        </w:rPr>
      </w:pPr>
      <w:r w:rsidRPr="00C9105F">
        <w:rPr>
          <w:rFonts w:ascii="Arial Narrow" w:hAnsi="Arial Narrow"/>
          <w:i/>
          <w:iCs/>
          <w:sz w:val="24"/>
          <w:szCs w:val="24"/>
        </w:rPr>
        <w:t>Faible dépistage du cancer du col de l’utérus.</w:t>
      </w:r>
    </w:p>
    <w:p w14:paraId="02AA9028" w14:textId="3715F95D" w:rsidR="00BC30AE" w:rsidRPr="007C780D" w:rsidRDefault="00BC30AE" w:rsidP="00CF59E5">
      <w:pPr>
        <w:shd w:val="clear" w:color="auto" w:fill="DEEAF6" w:themeFill="accent5" w:themeFillTint="33"/>
        <w:rPr>
          <w:rFonts w:ascii="Arial Narrow" w:hAnsi="Arial Narrow" w:cstheme="minorHAnsi"/>
          <w:b/>
          <w:bCs/>
          <w:i/>
          <w:iCs/>
          <w:sz w:val="24"/>
          <w:szCs w:val="24"/>
        </w:rPr>
      </w:pPr>
      <w:bookmarkStart w:id="198" w:name="_Toc178699613"/>
      <w:r w:rsidRPr="007C780D">
        <w:rPr>
          <w:rFonts w:ascii="Arial Narrow" w:hAnsi="Arial Narrow" w:cstheme="minorHAnsi"/>
          <w:b/>
          <w:bCs/>
          <w:i/>
          <w:iCs/>
          <w:sz w:val="24"/>
          <w:szCs w:val="24"/>
        </w:rPr>
        <w:t xml:space="preserve">Comment augmenter la couverture en Unités de Prise En Charge des maladies métaboliques dans les hôpitaux de référence à </w:t>
      </w:r>
      <w:r w:rsidR="00EA4209">
        <w:rPr>
          <w:rFonts w:ascii="Arial Narrow" w:hAnsi="Arial Narrow" w:cstheme="minorHAnsi"/>
          <w:b/>
          <w:bCs/>
          <w:i/>
          <w:iCs/>
          <w:sz w:val="24"/>
          <w:szCs w:val="24"/>
        </w:rPr>
        <w:t>80</w:t>
      </w:r>
      <w:r w:rsidRPr="007C780D">
        <w:rPr>
          <w:rFonts w:ascii="Arial Narrow" w:hAnsi="Arial Narrow" w:cstheme="minorHAnsi"/>
          <w:b/>
          <w:bCs/>
          <w:i/>
          <w:iCs/>
          <w:sz w:val="24"/>
          <w:szCs w:val="24"/>
        </w:rPr>
        <w:t>% d’ici à fin 2025 ?</w:t>
      </w:r>
      <w:bookmarkEnd w:id="198"/>
    </w:p>
    <w:p w14:paraId="40D018AF" w14:textId="77777777" w:rsidR="00BC30AE" w:rsidRPr="0052623B" w:rsidRDefault="00BC30AE" w:rsidP="00D91371">
      <w:pPr>
        <w:jc w:val="both"/>
        <w:rPr>
          <w:rFonts w:ascii="Arial Narrow" w:hAnsi="Arial Narrow" w:cstheme="minorHAnsi"/>
          <w:sz w:val="24"/>
          <w:szCs w:val="24"/>
        </w:rPr>
      </w:pPr>
      <w:r w:rsidRPr="0052623B">
        <w:rPr>
          <w:rFonts w:ascii="Arial Narrow" w:hAnsi="Arial Narrow" w:cstheme="minorHAnsi"/>
          <w:sz w:val="24"/>
          <w:szCs w:val="24"/>
        </w:rPr>
        <w:t>Résoudre la problématique de la faible couverture en Unités de Prise En Charge (UPEC) des maladies métaboliques dans les hôpitaux de référence reviendrait à apporter une solution aux causes suivantes identifiées par les acteurs du niveau déconcentré eux-mêmes :</w:t>
      </w:r>
    </w:p>
    <w:p w14:paraId="0A4FD635" w14:textId="32477570" w:rsidR="00BC30AE" w:rsidRPr="00166A7F" w:rsidRDefault="00BC30AE" w:rsidP="00166A7F">
      <w:pPr>
        <w:pStyle w:val="Paragraphedeliste"/>
        <w:numPr>
          <w:ilvl w:val="0"/>
          <w:numId w:val="33"/>
        </w:numPr>
        <w:ind w:left="426"/>
        <w:jc w:val="both"/>
        <w:rPr>
          <w:rFonts w:ascii="Arial Narrow" w:hAnsi="Arial Narrow" w:cstheme="minorHAnsi"/>
          <w:i/>
          <w:iCs/>
          <w:sz w:val="24"/>
          <w:szCs w:val="24"/>
        </w:rPr>
      </w:pPr>
      <w:r w:rsidRPr="00166A7F">
        <w:rPr>
          <w:rFonts w:ascii="Arial Narrow" w:hAnsi="Arial Narrow" w:cstheme="minorHAnsi"/>
          <w:i/>
          <w:iCs/>
          <w:sz w:val="24"/>
          <w:szCs w:val="24"/>
        </w:rPr>
        <w:t xml:space="preserve">Insuffisance de ressources </w:t>
      </w:r>
      <w:r w:rsidRPr="00702D1E">
        <w:rPr>
          <w:rFonts w:ascii="Arial Narrow" w:hAnsi="Arial Narrow" w:cstheme="minorHAnsi"/>
          <w:i/>
          <w:iCs/>
          <w:color w:val="000000" w:themeColor="text1"/>
          <w:sz w:val="24"/>
          <w:szCs w:val="24"/>
        </w:rPr>
        <w:t>humaines</w:t>
      </w:r>
      <w:r w:rsidR="00EA4209" w:rsidRPr="00702D1E">
        <w:rPr>
          <w:rFonts w:ascii="Arial Narrow" w:hAnsi="Arial Narrow" w:cstheme="minorHAnsi"/>
          <w:i/>
          <w:iCs/>
          <w:color w:val="000000" w:themeColor="text1"/>
          <w:sz w:val="24"/>
          <w:szCs w:val="24"/>
        </w:rPr>
        <w:t xml:space="preserve"> spécialisées</w:t>
      </w:r>
      <w:r w:rsidRPr="00702D1E">
        <w:rPr>
          <w:rFonts w:ascii="Arial Narrow" w:hAnsi="Arial Narrow" w:cstheme="minorHAnsi"/>
          <w:i/>
          <w:iCs/>
          <w:color w:val="000000" w:themeColor="text1"/>
          <w:sz w:val="24"/>
          <w:szCs w:val="24"/>
        </w:rPr>
        <w:t> </w:t>
      </w:r>
      <w:r w:rsidRPr="00166A7F">
        <w:rPr>
          <w:rFonts w:ascii="Arial Narrow" w:hAnsi="Arial Narrow" w:cstheme="minorHAnsi"/>
          <w:i/>
          <w:iCs/>
          <w:sz w:val="24"/>
          <w:szCs w:val="24"/>
        </w:rPr>
        <w:t>;</w:t>
      </w:r>
    </w:p>
    <w:p w14:paraId="33D9608F" w14:textId="77777777" w:rsidR="00BC30AE" w:rsidRPr="00166A7F" w:rsidRDefault="00BC30AE" w:rsidP="00166A7F">
      <w:pPr>
        <w:pStyle w:val="Paragraphedeliste"/>
        <w:numPr>
          <w:ilvl w:val="0"/>
          <w:numId w:val="33"/>
        </w:numPr>
        <w:ind w:left="426"/>
        <w:jc w:val="both"/>
        <w:rPr>
          <w:rFonts w:ascii="Arial Narrow" w:hAnsi="Arial Narrow" w:cstheme="minorHAnsi"/>
          <w:i/>
          <w:iCs/>
          <w:sz w:val="24"/>
          <w:szCs w:val="24"/>
        </w:rPr>
      </w:pPr>
      <w:r w:rsidRPr="00166A7F">
        <w:rPr>
          <w:rFonts w:ascii="Arial Narrow" w:hAnsi="Arial Narrow" w:cstheme="minorHAnsi"/>
          <w:i/>
          <w:iCs/>
          <w:sz w:val="24"/>
          <w:szCs w:val="24"/>
        </w:rPr>
        <w:t>Insuffisance des infrastructures ;</w:t>
      </w:r>
    </w:p>
    <w:p w14:paraId="355A155B" w14:textId="77777777" w:rsidR="00BC30AE" w:rsidRPr="00166A7F" w:rsidRDefault="00BC30AE" w:rsidP="00166A7F">
      <w:pPr>
        <w:pStyle w:val="Paragraphedeliste"/>
        <w:numPr>
          <w:ilvl w:val="0"/>
          <w:numId w:val="33"/>
        </w:numPr>
        <w:ind w:left="426"/>
        <w:jc w:val="both"/>
        <w:rPr>
          <w:rFonts w:ascii="Arial Narrow" w:hAnsi="Arial Narrow" w:cstheme="minorHAnsi"/>
          <w:i/>
          <w:iCs/>
          <w:sz w:val="24"/>
          <w:szCs w:val="24"/>
        </w:rPr>
      </w:pPr>
      <w:r w:rsidRPr="00166A7F">
        <w:rPr>
          <w:rFonts w:ascii="Arial Narrow" w:hAnsi="Arial Narrow" w:cstheme="minorHAnsi"/>
          <w:i/>
          <w:iCs/>
          <w:sz w:val="24"/>
          <w:szCs w:val="24"/>
        </w:rPr>
        <w:t>Insuffisance des équipements ;</w:t>
      </w:r>
    </w:p>
    <w:p w14:paraId="5BF221DE" w14:textId="77777777" w:rsidR="00BC30AE" w:rsidRPr="00166A7F" w:rsidRDefault="00BC30AE" w:rsidP="00166A7F">
      <w:pPr>
        <w:pStyle w:val="Paragraphedeliste"/>
        <w:numPr>
          <w:ilvl w:val="0"/>
          <w:numId w:val="33"/>
        </w:numPr>
        <w:ind w:left="426"/>
        <w:jc w:val="both"/>
        <w:rPr>
          <w:rFonts w:ascii="Arial Narrow" w:hAnsi="Arial Narrow" w:cstheme="minorHAnsi"/>
          <w:i/>
          <w:iCs/>
          <w:sz w:val="24"/>
          <w:szCs w:val="24"/>
        </w:rPr>
      </w:pPr>
      <w:r w:rsidRPr="00166A7F">
        <w:rPr>
          <w:rFonts w:ascii="Arial Narrow" w:hAnsi="Arial Narrow" w:cstheme="minorHAnsi"/>
          <w:i/>
          <w:iCs/>
          <w:sz w:val="24"/>
          <w:szCs w:val="24"/>
        </w:rPr>
        <w:t>Insuffisance des intrants stratégiques.</w:t>
      </w:r>
    </w:p>
    <w:p w14:paraId="730A2B5F" w14:textId="01CD2D31" w:rsidR="00BC30AE" w:rsidRPr="0052623B" w:rsidRDefault="00BC30AE" w:rsidP="00DC5897">
      <w:pPr>
        <w:pStyle w:val="Lgende"/>
      </w:pPr>
      <w:bookmarkStart w:id="199" w:name="_Toc178679354"/>
      <w:bookmarkStart w:id="200" w:name="_Toc183686802"/>
      <w:r w:rsidRPr="0052623B">
        <w:t xml:space="preserve">Figure </w:t>
      </w:r>
      <w:r w:rsidR="008D75CE">
        <w:fldChar w:fldCharType="begin"/>
      </w:r>
      <w:r w:rsidR="008D75CE">
        <w:instrText xml:space="preserve"> SEQ Figure \* ARABIC </w:instrText>
      </w:r>
      <w:r w:rsidR="008D75CE">
        <w:fldChar w:fldCharType="separate"/>
      </w:r>
      <w:r w:rsidR="00DC5897">
        <w:rPr>
          <w:noProof/>
        </w:rPr>
        <w:t>21</w:t>
      </w:r>
      <w:r w:rsidR="008D75CE">
        <w:fldChar w:fldCharType="end"/>
      </w:r>
      <w:r w:rsidRPr="0052623B">
        <w:t xml:space="preserve"> : Causes expliquant la faible couverture en Unités de Prise En Charge (UPEC) des maladies métaboliques dans les hôpitaux de référence</w:t>
      </w:r>
      <w:bookmarkEnd w:id="199"/>
      <w:bookmarkEnd w:id="200"/>
    </w:p>
    <w:p w14:paraId="682EC0AA" w14:textId="77777777" w:rsidR="00BC30AE" w:rsidRPr="0052623B" w:rsidRDefault="00BC30AE" w:rsidP="00545C0D">
      <w:pPr>
        <w:rPr>
          <w:rFonts w:ascii="Arial Narrow" w:hAnsi="Arial Narrow"/>
        </w:rPr>
      </w:pPr>
      <w:r w:rsidRPr="0052623B">
        <w:rPr>
          <w:rFonts w:ascii="Arial Narrow" w:hAnsi="Arial Narrow" w:cstheme="minorHAnsi"/>
          <w:noProof/>
          <w:sz w:val="24"/>
          <w:szCs w:val="24"/>
        </w:rPr>
        <w:drawing>
          <wp:inline distT="0" distB="0" distL="0" distR="0" wp14:anchorId="1498C2DC" wp14:editId="60241E3D">
            <wp:extent cx="5753100" cy="2105660"/>
            <wp:effectExtent l="0" t="0" r="0" b="8890"/>
            <wp:docPr id="308418777"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805996" cy="2125020"/>
                    </a:xfrm>
                    <a:prstGeom prst="rect">
                      <a:avLst/>
                    </a:prstGeom>
                    <a:noFill/>
                  </pic:spPr>
                </pic:pic>
              </a:graphicData>
            </a:graphic>
          </wp:inline>
        </w:drawing>
      </w:r>
    </w:p>
    <w:p w14:paraId="64A21BFD" w14:textId="07112F96" w:rsidR="00BC30AE" w:rsidRPr="00754AF9" w:rsidRDefault="00BC30AE" w:rsidP="00DC5897">
      <w:pPr>
        <w:pStyle w:val="Lgende"/>
      </w:pPr>
      <w:r w:rsidRPr="0052623B">
        <w:t xml:space="preserve">Sources : Données collectées pour la </w:t>
      </w:r>
      <w:r w:rsidR="00B635D8">
        <w:t>revue</w:t>
      </w:r>
      <w:r w:rsidRPr="0052623B">
        <w:t xml:space="preserve"> du PNDS </w:t>
      </w:r>
      <w:r w:rsidR="00EB1CA0">
        <w:t>2021-2025</w:t>
      </w:r>
    </w:p>
    <w:p w14:paraId="5C8338C1" w14:textId="7ED504DF" w:rsidR="00BC30AE" w:rsidRPr="00E171AA" w:rsidRDefault="00BC30AE" w:rsidP="00CF59E5">
      <w:pPr>
        <w:shd w:val="clear" w:color="auto" w:fill="DEEAF6" w:themeFill="accent5" w:themeFillTint="33"/>
        <w:jc w:val="both"/>
        <w:rPr>
          <w:rFonts w:ascii="Arial Narrow" w:hAnsi="Arial Narrow" w:cstheme="minorHAnsi"/>
          <w:b/>
          <w:bCs/>
          <w:i/>
          <w:iCs/>
          <w:sz w:val="24"/>
          <w:szCs w:val="24"/>
        </w:rPr>
      </w:pPr>
      <w:bookmarkStart w:id="201" w:name="_Toc178699614"/>
      <w:r w:rsidRPr="00E171AA">
        <w:rPr>
          <w:rFonts w:ascii="Arial Narrow" w:hAnsi="Arial Narrow" w:cstheme="minorHAnsi"/>
          <w:b/>
          <w:bCs/>
          <w:i/>
          <w:iCs/>
          <w:sz w:val="24"/>
          <w:szCs w:val="24"/>
        </w:rPr>
        <w:t xml:space="preserve">Comment accroitre la </w:t>
      </w:r>
      <w:r w:rsidR="00EA4209">
        <w:rPr>
          <w:rFonts w:ascii="Arial Narrow" w:hAnsi="Arial Narrow" w:cstheme="minorHAnsi"/>
          <w:b/>
          <w:bCs/>
          <w:i/>
          <w:iCs/>
          <w:sz w:val="24"/>
          <w:szCs w:val="24"/>
        </w:rPr>
        <w:t>disponibilité</w:t>
      </w:r>
      <w:r w:rsidR="00EA4209" w:rsidRPr="00E171AA">
        <w:rPr>
          <w:rFonts w:ascii="Arial Narrow" w:hAnsi="Arial Narrow" w:cstheme="minorHAnsi"/>
          <w:b/>
          <w:bCs/>
          <w:i/>
          <w:iCs/>
          <w:sz w:val="24"/>
          <w:szCs w:val="24"/>
        </w:rPr>
        <w:t xml:space="preserve"> </w:t>
      </w:r>
      <w:r w:rsidRPr="00E171AA">
        <w:rPr>
          <w:rFonts w:ascii="Arial Narrow" w:hAnsi="Arial Narrow" w:cstheme="minorHAnsi"/>
          <w:b/>
          <w:bCs/>
          <w:i/>
          <w:iCs/>
          <w:sz w:val="24"/>
          <w:szCs w:val="24"/>
        </w:rPr>
        <w:t>des données</w:t>
      </w:r>
      <w:r w:rsidR="00EA4209">
        <w:rPr>
          <w:rFonts w:ascii="Arial Narrow" w:hAnsi="Arial Narrow" w:cstheme="minorHAnsi"/>
          <w:b/>
          <w:bCs/>
          <w:i/>
          <w:iCs/>
          <w:sz w:val="24"/>
          <w:szCs w:val="24"/>
        </w:rPr>
        <w:t xml:space="preserve"> des</w:t>
      </w:r>
      <w:r w:rsidRPr="00E171AA">
        <w:rPr>
          <w:rFonts w:ascii="Arial Narrow" w:hAnsi="Arial Narrow" w:cstheme="minorHAnsi"/>
          <w:b/>
          <w:bCs/>
          <w:i/>
          <w:iCs/>
          <w:sz w:val="24"/>
          <w:szCs w:val="24"/>
        </w:rPr>
        <w:t xml:space="preserve"> MNT à 2025 ?</w:t>
      </w:r>
      <w:bookmarkEnd w:id="201"/>
    </w:p>
    <w:p w14:paraId="4A2F3703" w14:textId="77777777" w:rsidR="00BC30AE" w:rsidRPr="0052623B" w:rsidRDefault="00BC30AE" w:rsidP="00E171AA">
      <w:pPr>
        <w:jc w:val="both"/>
        <w:rPr>
          <w:rFonts w:ascii="Arial Narrow" w:hAnsi="Arial Narrow" w:cstheme="minorHAnsi"/>
          <w:sz w:val="24"/>
          <w:szCs w:val="24"/>
        </w:rPr>
      </w:pPr>
      <w:r w:rsidRPr="0052623B">
        <w:rPr>
          <w:rFonts w:ascii="Arial Narrow" w:hAnsi="Arial Narrow" w:cstheme="minorHAnsi"/>
          <w:sz w:val="24"/>
          <w:szCs w:val="24"/>
        </w:rPr>
        <w:lastRenderedPageBreak/>
        <w:t>Résoudre la problématique de la sous-notification des données concernant les maladies métaboliques reviendrait à apporter une solution aux causes suivantes identifiées par les acteurs du niveau déconcentré eux-mêmes :</w:t>
      </w:r>
    </w:p>
    <w:p w14:paraId="105E42B0" w14:textId="59E8537B" w:rsidR="00BC30AE" w:rsidRPr="00702D1E" w:rsidRDefault="00702D1E" w:rsidP="00702D1E">
      <w:pPr>
        <w:pStyle w:val="Paragraphedeliste"/>
        <w:numPr>
          <w:ilvl w:val="0"/>
          <w:numId w:val="82"/>
        </w:numPr>
        <w:jc w:val="both"/>
        <w:rPr>
          <w:rFonts w:ascii="Arial Narrow" w:hAnsi="Arial Narrow" w:cstheme="minorHAnsi"/>
          <w:i/>
          <w:iCs/>
          <w:sz w:val="24"/>
          <w:szCs w:val="24"/>
        </w:rPr>
      </w:pPr>
      <w:r w:rsidRPr="00702D1E">
        <w:rPr>
          <w:rFonts w:ascii="Arial Narrow" w:hAnsi="Arial Narrow" w:cstheme="minorHAnsi"/>
          <w:i/>
          <w:iCs/>
          <w:sz w:val="24"/>
          <w:szCs w:val="24"/>
        </w:rPr>
        <w:t>Insuffisance d’intégration des items relatifs aux MNT</w:t>
      </w:r>
      <w:r>
        <w:rPr>
          <w:rFonts w:ascii="Arial Narrow" w:hAnsi="Arial Narrow" w:cstheme="minorHAnsi"/>
          <w:i/>
          <w:iCs/>
          <w:sz w:val="24"/>
          <w:szCs w:val="24"/>
        </w:rPr>
        <w:t xml:space="preserve"> </w:t>
      </w:r>
      <w:r w:rsidRPr="00702D1E">
        <w:rPr>
          <w:rFonts w:ascii="Arial Narrow" w:hAnsi="Arial Narrow" w:cstheme="minorHAnsi"/>
          <w:i/>
          <w:iCs/>
          <w:sz w:val="24"/>
          <w:szCs w:val="24"/>
        </w:rPr>
        <w:t>dans les outils primaires de collecte de données (registre, rapport)</w:t>
      </w:r>
      <w:r>
        <w:rPr>
          <w:rFonts w:ascii="Arial Narrow" w:hAnsi="Arial Narrow" w:cstheme="minorHAnsi"/>
          <w:i/>
          <w:iCs/>
          <w:sz w:val="24"/>
          <w:szCs w:val="24"/>
          <w:highlight w:val="yellow"/>
        </w:rPr>
        <w:t> </w:t>
      </w:r>
      <w:r>
        <w:rPr>
          <w:rFonts w:ascii="Arial Narrow" w:hAnsi="Arial Narrow" w:cstheme="minorHAnsi"/>
          <w:i/>
          <w:iCs/>
          <w:sz w:val="24"/>
          <w:szCs w:val="24"/>
        </w:rPr>
        <w:t>;</w:t>
      </w:r>
    </w:p>
    <w:p w14:paraId="0B311030" w14:textId="77777777" w:rsidR="00BC30AE" w:rsidRPr="00166A7F" w:rsidRDefault="00BC30AE" w:rsidP="00702D1E">
      <w:pPr>
        <w:pStyle w:val="Paragraphedeliste"/>
        <w:numPr>
          <w:ilvl w:val="0"/>
          <w:numId w:val="82"/>
        </w:numPr>
        <w:jc w:val="both"/>
        <w:rPr>
          <w:rFonts w:ascii="Arial Narrow" w:hAnsi="Arial Narrow" w:cstheme="minorHAnsi"/>
          <w:i/>
          <w:iCs/>
          <w:sz w:val="24"/>
          <w:szCs w:val="24"/>
        </w:rPr>
      </w:pPr>
      <w:r w:rsidRPr="00166A7F">
        <w:rPr>
          <w:rFonts w:ascii="Arial Narrow" w:hAnsi="Arial Narrow" w:cstheme="minorHAnsi"/>
          <w:i/>
          <w:iCs/>
          <w:sz w:val="24"/>
          <w:szCs w:val="24"/>
        </w:rPr>
        <w:t>Non-intégration des données UPEC dans le DHIS2 ;</w:t>
      </w:r>
    </w:p>
    <w:p w14:paraId="7446C864" w14:textId="77777777" w:rsidR="00BC30AE" w:rsidRPr="00166A7F" w:rsidRDefault="00BC30AE" w:rsidP="00702D1E">
      <w:pPr>
        <w:pStyle w:val="Paragraphedeliste"/>
        <w:numPr>
          <w:ilvl w:val="0"/>
          <w:numId w:val="82"/>
        </w:numPr>
        <w:jc w:val="both"/>
        <w:rPr>
          <w:rFonts w:ascii="Arial Narrow" w:hAnsi="Arial Narrow" w:cstheme="minorHAnsi"/>
          <w:i/>
          <w:iCs/>
          <w:sz w:val="24"/>
          <w:szCs w:val="24"/>
        </w:rPr>
      </w:pPr>
      <w:r w:rsidRPr="00166A7F">
        <w:rPr>
          <w:rFonts w:ascii="Arial Narrow" w:hAnsi="Arial Narrow" w:cstheme="minorHAnsi"/>
          <w:i/>
          <w:iCs/>
          <w:sz w:val="24"/>
          <w:szCs w:val="24"/>
        </w:rPr>
        <w:t>Absence de données du secteur privé.</w:t>
      </w:r>
    </w:p>
    <w:p w14:paraId="5A82A50E" w14:textId="01BD5EAD" w:rsidR="00BC30AE" w:rsidRPr="0052623B" w:rsidRDefault="00BC30AE" w:rsidP="00DC5897">
      <w:pPr>
        <w:pStyle w:val="Lgende"/>
      </w:pPr>
      <w:bookmarkStart w:id="202" w:name="_Toc178679355"/>
      <w:bookmarkStart w:id="203" w:name="_Toc183686803"/>
      <w:r w:rsidRPr="0052623B">
        <w:t xml:space="preserve">Figure </w:t>
      </w:r>
      <w:r w:rsidR="008D75CE">
        <w:fldChar w:fldCharType="begin"/>
      </w:r>
      <w:r w:rsidR="008D75CE">
        <w:instrText xml:space="preserve"> SEQ Figure \* ARABIC </w:instrText>
      </w:r>
      <w:r w:rsidR="008D75CE">
        <w:fldChar w:fldCharType="separate"/>
      </w:r>
      <w:r w:rsidR="008D75CE">
        <w:t>22</w:t>
      </w:r>
      <w:r w:rsidR="008D75CE">
        <w:fldChar w:fldCharType="end"/>
      </w:r>
      <w:r w:rsidRPr="0052623B">
        <w:t xml:space="preserve"> : Causes expliquant la sous-notification des données concernant les maladies métaboliques</w:t>
      </w:r>
      <w:bookmarkEnd w:id="202"/>
      <w:bookmarkEnd w:id="203"/>
    </w:p>
    <w:p w14:paraId="6102E652" w14:textId="77777777" w:rsidR="00BC30AE" w:rsidRPr="0052623B" w:rsidRDefault="00BC30AE" w:rsidP="00545C0D">
      <w:pPr>
        <w:rPr>
          <w:rFonts w:ascii="Arial Narrow" w:hAnsi="Arial Narrow"/>
        </w:rPr>
      </w:pPr>
      <w:r w:rsidRPr="0052623B">
        <w:rPr>
          <w:rFonts w:ascii="Arial Narrow" w:hAnsi="Arial Narrow"/>
          <w:noProof/>
          <w:sz w:val="24"/>
          <w:szCs w:val="24"/>
        </w:rPr>
        <w:drawing>
          <wp:inline distT="0" distB="0" distL="0" distR="0" wp14:anchorId="73118DCB" wp14:editId="57655D0A">
            <wp:extent cx="5778500" cy="2045970"/>
            <wp:effectExtent l="0" t="0" r="0" b="0"/>
            <wp:docPr id="749557587" name="Picture 10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557587" name="Picture 109" descr="A screenshot of a computer&#10;&#10;Description automatically generated"/>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837924" cy="2067010"/>
                    </a:xfrm>
                    <a:prstGeom prst="rect">
                      <a:avLst/>
                    </a:prstGeom>
                    <a:noFill/>
                  </pic:spPr>
                </pic:pic>
              </a:graphicData>
            </a:graphic>
          </wp:inline>
        </w:drawing>
      </w:r>
    </w:p>
    <w:p w14:paraId="474AC8A2" w14:textId="5B4135EF" w:rsidR="00BC30AE" w:rsidRPr="00754AF9" w:rsidRDefault="00BC30AE" w:rsidP="00DC5897">
      <w:pPr>
        <w:pStyle w:val="Lgende"/>
      </w:pPr>
      <w:r w:rsidRPr="0052623B">
        <w:t xml:space="preserve">Sources : Données collectées pour la </w:t>
      </w:r>
      <w:r w:rsidR="00B635D8">
        <w:t>revue</w:t>
      </w:r>
      <w:r w:rsidRPr="0052623B">
        <w:t xml:space="preserve"> du PNDS </w:t>
      </w:r>
      <w:r w:rsidR="00EB1CA0">
        <w:t>2021-2025</w:t>
      </w:r>
    </w:p>
    <w:p w14:paraId="5F2DDDB7" w14:textId="0B99D40E" w:rsidR="00BC30AE" w:rsidRPr="001F72D8" w:rsidRDefault="00BC30AE" w:rsidP="006775DD">
      <w:pPr>
        <w:shd w:val="clear" w:color="auto" w:fill="DEEAF6" w:themeFill="accent5" w:themeFillTint="33"/>
        <w:rPr>
          <w:rFonts w:ascii="Arial Narrow" w:hAnsi="Arial Narrow" w:cstheme="minorHAnsi"/>
          <w:b/>
          <w:bCs/>
          <w:i/>
          <w:iCs/>
          <w:sz w:val="24"/>
          <w:szCs w:val="24"/>
        </w:rPr>
      </w:pPr>
      <w:bookmarkStart w:id="204" w:name="_Toc178699615"/>
      <w:r w:rsidRPr="001F72D8">
        <w:rPr>
          <w:rFonts w:ascii="Arial Narrow" w:hAnsi="Arial Narrow" w:cstheme="minorHAnsi"/>
          <w:b/>
          <w:bCs/>
          <w:i/>
          <w:iCs/>
          <w:sz w:val="24"/>
          <w:szCs w:val="24"/>
        </w:rPr>
        <w:t>Comment accroitre</w:t>
      </w:r>
      <w:r w:rsidR="006775DD" w:rsidRPr="006775DD">
        <w:rPr>
          <w:rFonts w:ascii="Arial Narrow" w:hAnsi="Arial Narrow" w:cstheme="minorHAnsi"/>
          <w:b/>
          <w:bCs/>
          <w:i/>
          <w:iCs/>
          <w:sz w:val="24"/>
          <w:szCs w:val="24"/>
        </w:rPr>
        <w:t xml:space="preserve"> </w:t>
      </w:r>
      <w:r w:rsidR="006775DD">
        <w:rPr>
          <w:rFonts w:ascii="Arial Narrow" w:hAnsi="Arial Narrow" w:cstheme="minorHAnsi"/>
          <w:b/>
          <w:bCs/>
          <w:i/>
          <w:iCs/>
          <w:sz w:val="24"/>
          <w:szCs w:val="24"/>
        </w:rPr>
        <w:t xml:space="preserve">la proportion de </w:t>
      </w:r>
      <w:r w:rsidR="006775DD" w:rsidRPr="006775DD">
        <w:rPr>
          <w:rFonts w:ascii="Arial Narrow" w:hAnsi="Arial Narrow" w:cstheme="minorHAnsi"/>
          <w:b/>
          <w:bCs/>
          <w:i/>
          <w:iCs/>
          <w:sz w:val="24"/>
          <w:szCs w:val="24"/>
        </w:rPr>
        <w:t>structures sanitaires offrant</w:t>
      </w:r>
      <w:r w:rsidR="006775DD">
        <w:rPr>
          <w:rFonts w:ascii="Arial Narrow" w:hAnsi="Arial Narrow" w:cstheme="minorHAnsi"/>
          <w:b/>
          <w:bCs/>
          <w:i/>
          <w:iCs/>
          <w:sz w:val="24"/>
          <w:szCs w:val="24"/>
        </w:rPr>
        <w:t xml:space="preserve"> </w:t>
      </w:r>
      <w:r w:rsidR="006775DD" w:rsidRPr="006775DD">
        <w:rPr>
          <w:rFonts w:ascii="Arial Narrow" w:hAnsi="Arial Narrow" w:cstheme="minorHAnsi"/>
          <w:b/>
          <w:bCs/>
          <w:i/>
          <w:iCs/>
          <w:sz w:val="24"/>
          <w:szCs w:val="24"/>
        </w:rPr>
        <w:t>le service de dépistage du cancer du col</w:t>
      </w:r>
      <w:r w:rsidR="006775DD">
        <w:rPr>
          <w:rFonts w:ascii="Arial Narrow" w:hAnsi="Arial Narrow" w:cstheme="minorHAnsi"/>
          <w:b/>
          <w:bCs/>
          <w:i/>
          <w:iCs/>
          <w:sz w:val="24"/>
          <w:szCs w:val="24"/>
        </w:rPr>
        <w:t xml:space="preserve"> </w:t>
      </w:r>
      <w:r w:rsidR="006775DD" w:rsidRPr="006775DD">
        <w:rPr>
          <w:rFonts w:ascii="Arial Narrow" w:hAnsi="Arial Narrow" w:cstheme="minorHAnsi"/>
          <w:b/>
          <w:bCs/>
          <w:i/>
          <w:iCs/>
          <w:sz w:val="24"/>
          <w:szCs w:val="24"/>
        </w:rPr>
        <w:t>de l'utérus</w:t>
      </w:r>
      <w:r w:rsidRPr="001F72D8">
        <w:rPr>
          <w:rFonts w:ascii="Arial Narrow" w:hAnsi="Arial Narrow" w:cstheme="minorHAnsi"/>
          <w:b/>
          <w:bCs/>
          <w:i/>
          <w:iCs/>
          <w:sz w:val="24"/>
          <w:szCs w:val="24"/>
        </w:rPr>
        <w:t xml:space="preserve"> à </w:t>
      </w:r>
      <w:r w:rsidR="006775DD" w:rsidRPr="007A001B">
        <w:rPr>
          <w:rFonts w:ascii="Arial Narrow" w:hAnsi="Arial Narrow" w:cstheme="minorHAnsi"/>
          <w:b/>
          <w:bCs/>
          <w:i/>
          <w:iCs/>
          <w:sz w:val="24"/>
          <w:szCs w:val="24"/>
        </w:rPr>
        <w:t>32</w:t>
      </w:r>
      <w:r w:rsidRPr="001F72D8">
        <w:rPr>
          <w:rFonts w:ascii="Arial Narrow" w:hAnsi="Arial Narrow" w:cstheme="minorHAnsi"/>
          <w:b/>
          <w:bCs/>
          <w:i/>
          <w:iCs/>
          <w:sz w:val="24"/>
          <w:szCs w:val="24"/>
        </w:rPr>
        <w:t>% d’ici à fin 2025 ?</w:t>
      </w:r>
      <w:bookmarkEnd w:id="204"/>
    </w:p>
    <w:p w14:paraId="70762711" w14:textId="77777777" w:rsidR="00BC30AE" w:rsidRPr="0052623B" w:rsidRDefault="00BC30AE" w:rsidP="00793825">
      <w:pPr>
        <w:jc w:val="both"/>
        <w:rPr>
          <w:rFonts w:ascii="Arial Narrow" w:hAnsi="Arial Narrow" w:cstheme="minorHAnsi"/>
          <w:sz w:val="24"/>
          <w:szCs w:val="24"/>
        </w:rPr>
      </w:pPr>
      <w:r w:rsidRPr="0052623B">
        <w:rPr>
          <w:rFonts w:ascii="Arial Narrow" w:hAnsi="Arial Narrow" w:cstheme="minorHAnsi"/>
          <w:sz w:val="24"/>
          <w:szCs w:val="24"/>
        </w:rPr>
        <w:t>Résoudre la problématique du faible dépistage du cancer du col de l’utérus et du sein reviendrait à apporter une solution aux causes suivantes identifiées par les acteurs du niveau déconcentré eux-mêmes :</w:t>
      </w:r>
    </w:p>
    <w:p w14:paraId="7FC59D73" w14:textId="77777777" w:rsidR="00BC30AE" w:rsidRPr="00166A7F" w:rsidRDefault="00BC30AE" w:rsidP="00166A7F">
      <w:pPr>
        <w:pStyle w:val="Paragraphedeliste"/>
        <w:numPr>
          <w:ilvl w:val="0"/>
          <w:numId w:val="33"/>
        </w:numPr>
        <w:ind w:left="426"/>
        <w:jc w:val="both"/>
        <w:rPr>
          <w:rFonts w:ascii="Arial Narrow" w:hAnsi="Arial Narrow" w:cstheme="minorHAnsi"/>
          <w:i/>
          <w:iCs/>
          <w:sz w:val="24"/>
          <w:szCs w:val="24"/>
        </w:rPr>
      </w:pPr>
      <w:r w:rsidRPr="00166A7F">
        <w:rPr>
          <w:rFonts w:ascii="Arial Narrow" w:hAnsi="Arial Narrow" w:cstheme="minorHAnsi"/>
          <w:i/>
          <w:iCs/>
          <w:sz w:val="24"/>
          <w:szCs w:val="24"/>
        </w:rPr>
        <w:t>Insuffisance d’intrants pour le dépistage (Lugol, écouvillon, spéculum) ;</w:t>
      </w:r>
    </w:p>
    <w:p w14:paraId="5B3642BB" w14:textId="05D3EC29" w:rsidR="00BC30AE" w:rsidRPr="00166A7F" w:rsidRDefault="00BC30AE" w:rsidP="00166A7F">
      <w:pPr>
        <w:pStyle w:val="Paragraphedeliste"/>
        <w:numPr>
          <w:ilvl w:val="0"/>
          <w:numId w:val="33"/>
        </w:numPr>
        <w:ind w:left="426"/>
        <w:jc w:val="both"/>
        <w:rPr>
          <w:rFonts w:ascii="Arial Narrow" w:hAnsi="Arial Narrow" w:cstheme="minorHAnsi"/>
          <w:i/>
          <w:iCs/>
          <w:sz w:val="24"/>
          <w:szCs w:val="24"/>
        </w:rPr>
      </w:pPr>
      <w:r w:rsidRPr="00166A7F">
        <w:rPr>
          <w:rFonts w:ascii="Arial Narrow" w:hAnsi="Arial Narrow" w:cstheme="minorHAnsi"/>
          <w:i/>
          <w:iCs/>
          <w:sz w:val="24"/>
          <w:szCs w:val="24"/>
        </w:rPr>
        <w:t>Insuffisance de formation des SFDE au dépistage du cancer du col de l’utérus ;</w:t>
      </w:r>
    </w:p>
    <w:p w14:paraId="4BAAE6CF" w14:textId="77777777" w:rsidR="00BC30AE" w:rsidRPr="00166A7F" w:rsidRDefault="00BC30AE" w:rsidP="00166A7F">
      <w:pPr>
        <w:pStyle w:val="Paragraphedeliste"/>
        <w:numPr>
          <w:ilvl w:val="0"/>
          <w:numId w:val="33"/>
        </w:numPr>
        <w:ind w:left="426"/>
        <w:jc w:val="both"/>
        <w:rPr>
          <w:rFonts w:ascii="Arial Narrow" w:hAnsi="Arial Narrow" w:cstheme="minorHAnsi"/>
          <w:i/>
          <w:iCs/>
          <w:sz w:val="24"/>
          <w:szCs w:val="24"/>
        </w:rPr>
      </w:pPr>
      <w:r w:rsidRPr="00166A7F">
        <w:rPr>
          <w:rFonts w:ascii="Arial Narrow" w:hAnsi="Arial Narrow" w:cstheme="minorHAnsi"/>
          <w:i/>
          <w:iCs/>
          <w:sz w:val="24"/>
          <w:szCs w:val="24"/>
        </w:rPr>
        <w:t>Faible pouvoir d’achat des populations.</w:t>
      </w:r>
    </w:p>
    <w:p w14:paraId="76657C19" w14:textId="2D939F5B" w:rsidR="00BC30AE" w:rsidRPr="0052623B" w:rsidRDefault="00BC30AE" w:rsidP="00DC5897">
      <w:pPr>
        <w:pStyle w:val="Lgende"/>
      </w:pPr>
      <w:bookmarkStart w:id="205" w:name="_Toc178679356"/>
      <w:bookmarkStart w:id="206" w:name="_Toc183686804"/>
      <w:r w:rsidRPr="0052623B">
        <w:t xml:space="preserve">Figure </w:t>
      </w:r>
      <w:r w:rsidR="008D75CE">
        <w:fldChar w:fldCharType="begin"/>
      </w:r>
      <w:r w:rsidR="008D75CE">
        <w:instrText xml:space="preserve"> SEQ Figure \* ARABIC </w:instrText>
      </w:r>
      <w:r w:rsidR="008D75CE">
        <w:fldChar w:fldCharType="separate"/>
      </w:r>
      <w:r w:rsidR="008D75CE">
        <w:t>23</w:t>
      </w:r>
      <w:r w:rsidR="008D75CE">
        <w:fldChar w:fldCharType="end"/>
      </w:r>
      <w:r w:rsidRPr="0052623B">
        <w:t xml:space="preserve"> : Causes expliquant le faible dépistage du cancer du col de l’utérus et du sein</w:t>
      </w:r>
      <w:bookmarkEnd w:id="205"/>
      <w:bookmarkEnd w:id="206"/>
    </w:p>
    <w:p w14:paraId="2E56B050" w14:textId="77777777" w:rsidR="00BC30AE" w:rsidRPr="0052623B" w:rsidRDefault="00BC30AE" w:rsidP="00545C0D">
      <w:pPr>
        <w:rPr>
          <w:rFonts w:ascii="Arial Narrow" w:hAnsi="Arial Narrow"/>
        </w:rPr>
      </w:pPr>
      <w:r w:rsidRPr="0052623B">
        <w:rPr>
          <w:rFonts w:ascii="Arial Narrow" w:hAnsi="Arial Narrow"/>
          <w:noProof/>
        </w:rPr>
        <w:drawing>
          <wp:inline distT="0" distB="0" distL="0" distR="0" wp14:anchorId="6B0AA36C" wp14:editId="37A027E6">
            <wp:extent cx="5791200" cy="2002790"/>
            <wp:effectExtent l="0" t="0" r="0" b="0"/>
            <wp:docPr id="380203417"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830002" cy="2016209"/>
                    </a:xfrm>
                    <a:prstGeom prst="rect">
                      <a:avLst/>
                    </a:prstGeom>
                    <a:noFill/>
                  </pic:spPr>
                </pic:pic>
              </a:graphicData>
            </a:graphic>
          </wp:inline>
        </w:drawing>
      </w:r>
    </w:p>
    <w:p w14:paraId="4EB6AFD3" w14:textId="1ADE3D84" w:rsidR="00BC30AE" w:rsidRPr="00754AF9" w:rsidRDefault="00BC30AE" w:rsidP="00DC5897">
      <w:pPr>
        <w:pStyle w:val="Lgende"/>
      </w:pPr>
      <w:r w:rsidRPr="0052623B">
        <w:t xml:space="preserve">Sources : Données collectées pour la </w:t>
      </w:r>
      <w:r w:rsidR="00B635D8">
        <w:t>revue</w:t>
      </w:r>
      <w:r w:rsidRPr="0052623B">
        <w:t xml:space="preserve"> du PNDS </w:t>
      </w:r>
      <w:r w:rsidR="00EB1CA0">
        <w:t>2021-2025</w:t>
      </w:r>
    </w:p>
    <w:p w14:paraId="50D0DCEC" w14:textId="5AEABBCE" w:rsidR="00BC30AE" w:rsidRPr="0052623B" w:rsidRDefault="00BC30AE" w:rsidP="00D91371">
      <w:pPr>
        <w:jc w:val="both"/>
        <w:rPr>
          <w:rFonts w:ascii="Arial Narrow" w:hAnsi="Arial Narrow" w:cstheme="minorHAnsi"/>
          <w:sz w:val="24"/>
          <w:szCs w:val="24"/>
        </w:rPr>
      </w:pPr>
      <w:r w:rsidRPr="0052623B">
        <w:rPr>
          <w:rFonts w:ascii="Arial Narrow" w:hAnsi="Arial Narrow" w:cstheme="minorHAnsi"/>
          <w:sz w:val="24"/>
          <w:szCs w:val="24"/>
        </w:rPr>
        <w:lastRenderedPageBreak/>
        <w:t xml:space="preserve">Le tableau ci-après résume les causes profondes des problèmes de </w:t>
      </w:r>
      <w:r w:rsidR="00A57DA7">
        <w:rPr>
          <w:rFonts w:ascii="Arial Narrow" w:hAnsi="Arial Narrow" w:cstheme="minorHAnsi"/>
          <w:sz w:val="24"/>
          <w:szCs w:val="24"/>
        </w:rPr>
        <w:t>s</w:t>
      </w:r>
      <w:r w:rsidRPr="0052623B">
        <w:rPr>
          <w:rFonts w:ascii="Arial Narrow" w:hAnsi="Arial Narrow" w:cstheme="minorHAnsi"/>
          <w:sz w:val="24"/>
          <w:szCs w:val="24"/>
        </w:rPr>
        <w:t>anté relatifs aux maladies non-transmissibles, telles qu’identifiées par les acteurs des niveaux déconcentrés de la pyramide sanitaire et hiérarchisés selon les priorités et la facilité de résolution.</w:t>
      </w:r>
    </w:p>
    <w:p w14:paraId="6C7084A2" w14:textId="4E34FB0E" w:rsidR="00BC30AE" w:rsidRDefault="00BC30AE" w:rsidP="00DC5897">
      <w:pPr>
        <w:pStyle w:val="Lgende"/>
      </w:pPr>
      <w:bookmarkStart w:id="207" w:name="_Toc178679249"/>
      <w:bookmarkStart w:id="208" w:name="_Toc183688758"/>
      <w:r w:rsidRPr="0052623B">
        <w:t xml:space="preserve">Tableau </w:t>
      </w:r>
      <w:r w:rsidRPr="0052623B">
        <w:fldChar w:fldCharType="begin"/>
      </w:r>
      <w:r w:rsidRPr="0052623B">
        <w:instrText xml:space="preserve"> SEQ Tableau \* ARABIC </w:instrText>
      </w:r>
      <w:r w:rsidRPr="0052623B">
        <w:fldChar w:fldCharType="separate"/>
      </w:r>
      <w:r w:rsidR="00BD665A">
        <w:rPr>
          <w:noProof/>
        </w:rPr>
        <w:t>10</w:t>
      </w:r>
      <w:r w:rsidRPr="0052623B">
        <w:fldChar w:fldCharType="end"/>
      </w:r>
      <w:r w:rsidRPr="0052623B">
        <w:t xml:space="preserve"> : Recommandations pour la résolution des problèmes de </w:t>
      </w:r>
      <w:r w:rsidR="00377010">
        <w:t>s</w:t>
      </w:r>
      <w:r w:rsidRPr="0052623B">
        <w:t>anté relatifs aux maladies non-transmissibles</w:t>
      </w:r>
      <w:bookmarkEnd w:id="207"/>
      <w:bookmarkEnd w:id="208"/>
    </w:p>
    <w:tbl>
      <w:tblPr>
        <w:tblStyle w:val="Grilledutableau"/>
        <w:tblW w:w="0" w:type="auto"/>
        <w:tblLook w:val="04A0" w:firstRow="1" w:lastRow="0" w:firstColumn="1" w:lastColumn="0" w:noHBand="0" w:noVBand="1"/>
      </w:tblPr>
      <w:tblGrid>
        <w:gridCol w:w="2254"/>
        <w:gridCol w:w="2254"/>
        <w:gridCol w:w="2254"/>
        <w:gridCol w:w="2254"/>
      </w:tblGrid>
      <w:tr w:rsidR="001E5318" w:rsidRPr="001E5318" w14:paraId="10B6D3DD" w14:textId="77777777" w:rsidTr="001E5318">
        <w:trPr>
          <w:cantSplit/>
          <w:tblHeader/>
        </w:trPr>
        <w:tc>
          <w:tcPr>
            <w:tcW w:w="2254" w:type="dxa"/>
            <w:shd w:val="clear" w:color="auto" w:fill="FFE599" w:themeFill="accent4" w:themeFillTint="66"/>
            <w:vAlign w:val="center"/>
          </w:tcPr>
          <w:p w14:paraId="24F5EE7C" w14:textId="77777777" w:rsidR="00413560" w:rsidRPr="001E5318" w:rsidRDefault="00413560">
            <w:pPr>
              <w:rPr>
                <w:rFonts w:ascii="Arial Narrow" w:hAnsi="Arial Narrow" w:cstheme="minorHAnsi"/>
                <w:b/>
                <w:sz w:val="20"/>
                <w:szCs w:val="20"/>
              </w:rPr>
            </w:pPr>
            <w:r w:rsidRPr="001E5318">
              <w:rPr>
                <w:rFonts w:ascii="Arial Narrow" w:hAnsi="Arial Narrow" w:cstheme="minorHAnsi"/>
                <w:b/>
                <w:sz w:val="20"/>
                <w:szCs w:val="20"/>
              </w:rPr>
              <w:t>Problèmes de Santé</w:t>
            </w:r>
          </w:p>
        </w:tc>
        <w:tc>
          <w:tcPr>
            <w:tcW w:w="2254" w:type="dxa"/>
            <w:shd w:val="clear" w:color="auto" w:fill="FFE599" w:themeFill="accent4" w:themeFillTint="66"/>
            <w:vAlign w:val="center"/>
          </w:tcPr>
          <w:p w14:paraId="09CAC68B" w14:textId="77777777" w:rsidR="00413560" w:rsidRPr="001E5318" w:rsidRDefault="00413560">
            <w:pPr>
              <w:rPr>
                <w:rFonts w:ascii="Arial Narrow" w:hAnsi="Arial Narrow" w:cstheme="minorHAnsi"/>
                <w:b/>
                <w:sz w:val="20"/>
                <w:szCs w:val="20"/>
              </w:rPr>
            </w:pPr>
            <w:r w:rsidRPr="001E5318">
              <w:rPr>
                <w:rFonts w:ascii="Arial Narrow" w:hAnsi="Arial Narrow" w:cstheme="minorHAnsi"/>
                <w:b/>
                <w:sz w:val="20"/>
                <w:szCs w:val="20"/>
              </w:rPr>
              <w:t>Tiers 1</w:t>
            </w:r>
            <w:r w:rsidRPr="001E5318">
              <w:rPr>
                <w:rStyle w:val="Appelnotedebasdep"/>
                <w:rFonts w:ascii="Arial Narrow" w:hAnsi="Arial Narrow" w:cstheme="minorHAnsi"/>
                <w:b/>
                <w:sz w:val="20"/>
                <w:szCs w:val="20"/>
              </w:rPr>
              <w:footnoteReference w:id="40"/>
            </w:r>
          </w:p>
          <w:p w14:paraId="432F7E84" w14:textId="77777777" w:rsidR="00413560" w:rsidRPr="001E5318" w:rsidRDefault="00413560">
            <w:pPr>
              <w:rPr>
                <w:rFonts w:ascii="Arial Narrow" w:hAnsi="Arial Narrow" w:cstheme="minorHAnsi"/>
                <w:i/>
                <w:sz w:val="20"/>
                <w:szCs w:val="20"/>
              </w:rPr>
            </w:pPr>
            <w:r w:rsidRPr="001E5318">
              <w:rPr>
                <w:rFonts w:ascii="Arial Narrow" w:hAnsi="Arial Narrow" w:cstheme="minorHAnsi"/>
                <w:i/>
                <w:sz w:val="20"/>
                <w:szCs w:val="20"/>
              </w:rPr>
              <w:t>Facteurs à résoudre à court terme</w:t>
            </w:r>
          </w:p>
        </w:tc>
        <w:tc>
          <w:tcPr>
            <w:tcW w:w="2254" w:type="dxa"/>
            <w:shd w:val="clear" w:color="auto" w:fill="FFE599" w:themeFill="accent4" w:themeFillTint="66"/>
            <w:vAlign w:val="center"/>
          </w:tcPr>
          <w:p w14:paraId="10155464" w14:textId="77777777" w:rsidR="00413560" w:rsidRPr="001E5318" w:rsidRDefault="00413560">
            <w:pPr>
              <w:rPr>
                <w:rFonts w:ascii="Arial Narrow" w:hAnsi="Arial Narrow" w:cstheme="minorHAnsi"/>
                <w:b/>
                <w:sz w:val="20"/>
                <w:szCs w:val="20"/>
              </w:rPr>
            </w:pPr>
            <w:r w:rsidRPr="001E5318">
              <w:rPr>
                <w:rFonts w:ascii="Arial Narrow" w:hAnsi="Arial Narrow" w:cstheme="minorHAnsi"/>
                <w:b/>
                <w:sz w:val="20"/>
                <w:szCs w:val="20"/>
              </w:rPr>
              <w:t>Tiers 2</w:t>
            </w:r>
            <w:r w:rsidRPr="001E5318">
              <w:rPr>
                <w:rStyle w:val="Appelnotedebasdep"/>
                <w:rFonts w:ascii="Arial Narrow" w:hAnsi="Arial Narrow" w:cstheme="minorHAnsi"/>
                <w:b/>
                <w:sz w:val="20"/>
                <w:szCs w:val="20"/>
              </w:rPr>
              <w:footnoteReference w:id="41"/>
            </w:r>
          </w:p>
          <w:p w14:paraId="1D5329EA" w14:textId="77777777" w:rsidR="00413560" w:rsidRPr="001E5318" w:rsidRDefault="00413560">
            <w:pPr>
              <w:rPr>
                <w:rFonts w:ascii="Arial Narrow" w:hAnsi="Arial Narrow" w:cstheme="minorHAnsi"/>
                <w:i/>
                <w:sz w:val="20"/>
                <w:szCs w:val="20"/>
              </w:rPr>
            </w:pPr>
            <w:r w:rsidRPr="001E5318">
              <w:rPr>
                <w:rFonts w:ascii="Arial Narrow" w:hAnsi="Arial Narrow" w:cstheme="minorHAnsi"/>
                <w:i/>
                <w:sz w:val="20"/>
                <w:szCs w:val="20"/>
              </w:rPr>
              <w:t>Facteurs à résoudre à moyen terme</w:t>
            </w:r>
          </w:p>
        </w:tc>
        <w:tc>
          <w:tcPr>
            <w:tcW w:w="2254" w:type="dxa"/>
            <w:shd w:val="clear" w:color="auto" w:fill="FFE599" w:themeFill="accent4" w:themeFillTint="66"/>
            <w:vAlign w:val="center"/>
          </w:tcPr>
          <w:p w14:paraId="1A7BC895" w14:textId="77777777" w:rsidR="00413560" w:rsidRPr="001E5318" w:rsidRDefault="00413560">
            <w:pPr>
              <w:rPr>
                <w:rFonts w:ascii="Arial Narrow" w:hAnsi="Arial Narrow" w:cstheme="minorHAnsi"/>
                <w:b/>
                <w:sz w:val="20"/>
                <w:szCs w:val="20"/>
              </w:rPr>
            </w:pPr>
            <w:r w:rsidRPr="001E5318">
              <w:rPr>
                <w:rFonts w:ascii="Arial Narrow" w:hAnsi="Arial Narrow" w:cstheme="minorHAnsi"/>
                <w:b/>
                <w:sz w:val="20"/>
                <w:szCs w:val="20"/>
              </w:rPr>
              <w:t>Tiers 3</w:t>
            </w:r>
            <w:r w:rsidRPr="001E5318">
              <w:rPr>
                <w:rStyle w:val="Appelnotedebasdep"/>
                <w:rFonts w:ascii="Arial Narrow" w:hAnsi="Arial Narrow" w:cstheme="minorHAnsi"/>
                <w:b/>
                <w:sz w:val="20"/>
                <w:szCs w:val="20"/>
              </w:rPr>
              <w:footnoteReference w:id="42"/>
            </w:r>
          </w:p>
          <w:p w14:paraId="19CAB60D" w14:textId="77777777" w:rsidR="00413560" w:rsidRPr="001E5318" w:rsidRDefault="00413560">
            <w:pPr>
              <w:rPr>
                <w:rFonts w:ascii="Arial Narrow" w:hAnsi="Arial Narrow" w:cstheme="minorHAnsi"/>
                <w:i/>
                <w:sz w:val="20"/>
                <w:szCs w:val="20"/>
              </w:rPr>
            </w:pPr>
            <w:r w:rsidRPr="001E5318">
              <w:rPr>
                <w:rFonts w:ascii="Arial Narrow" w:hAnsi="Arial Narrow" w:cstheme="minorHAnsi"/>
                <w:i/>
                <w:sz w:val="20"/>
                <w:szCs w:val="20"/>
              </w:rPr>
              <w:t>Facteurs à résoudre à long terme</w:t>
            </w:r>
          </w:p>
        </w:tc>
      </w:tr>
      <w:tr w:rsidR="00413560" w:rsidRPr="00265C6F" w14:paraId="6D1F8BFC" w14:textId="77777777">
        <w:trPr>
          <w:cantSplit/>
        </w:trPr>
        <w:tc>
          <w:tcPr>
            <w:tcW w:w="2254" w:type="dxa"/>
            <w:vAlign w:val="center"/>
          </w:tcPr>
          <w:p w14:paraId="50EA6F2B" w14:textId="7A33B948" w:rsidR="00413560" w:rsidRPr="00265C6F" w:rsidRDefault="00413560">
            <w:pPr>
              <w:rPr>
                <w:rFonts w:ascii="Arial Narrow" w:hAnsi="Arial Narrow" w:cstheme="minorHAnsi"/>
                <w:sz w:val="20"/>
                <w:szCs w:val="20"/>
              </w:rPr>
            </w:pPr>
            <w:r w:rsidRPr="00265C6F">
              <w:rPr>
                <w:rFonts w:ascii="Arial Narrow" w:hAnsi="Arial Narrow" w:cstheme="minorHAnsi"/>
                <w:sz w:val="20"/>
                <w:szCs w:val="20"/>
              </w:rPr>
              <w:t xml:space="preserve">Comment augmenter la couverture en Unités de Prise En Charge des maladies métaboliques dans les hôpitaux de référence à </w:t>
            </w:r>
            <w:r w:rsidR="00870152">
              <w:rPr>
                <w:rFonts w:ascii="Arial Narrow" w:hAnsi="Arial Narrow" w:cstheme="minorHAnsi"/>
                <w:sz w:val="20"/>
                <w:szCs w:val="20"/>
              </w:rPr>
              <w:t>80</w:t>
            </w:r>
            <w:r w:rsidRPr="00265C6F">
              <w:rPr>
                <w:rFonts w:ascii="Arial Narrow" w:hAnsi="Arial Narrow" w:cstheme="minorHAnsi"/>
                <w:sz w:val="20"/>
                <w:szCs w:val="20"/>
              </w:rPr>
              <w:t>% d’ici à fin 2025 ?</w:t>
            </w:r>
          </w:p>
        </w:tc>
        <w:tc>
          <w:tcPr>
            <w:tcW w:w="2254" w:type="dxa"/>
          </w:tcPr>
          <w:p w14:paraId="4CB7B311" w14:textId="77777777" w:rsidR="00413560" w:rsidRPr="00265C6F" w:rsidRDefault="00413560" w:rsidP="009062EB">
            <w:pPr>
              <w:pStyle w:val="Paragraphedeliste"/>
              <w:numPr>
                <w:ilvl w:val="0"/>
                <w:numId w:val="31"/>
              </w:numPr>
              <w:ind w:left="189" w:hanging="112"/>
              <w:rPr>
                <w:rFonts w:ascii="Arial Narrow" w:hAnsi="Arial Narrow" w:cstheme="minorHAnsi"/>
                <w:sz w:val="20"/>
                <w:szCs w:val="20"/>
              </w:rPr>
            </w:pPr>
            <w:r w:rsidRPr="00265C6F">
              <w:rPr>
                <w:rFonts w:ascii="Arial Narrow" w:hAnsi="Arial Narrow" w:cstheme="minorHAnsi"/>
                <w:sz w:val="20"/>
                <w:szCs w:val="20"/>
              </w:rPr>
              <w:t>Insuffisance de ressources humaines</w:t>
            </w:r>
          </w:p>
          <w:p w14:paraId="3E5D62FA" w14:textId="77777777" w:rsidR="00413560" w:rsidRPr="00265C6F" w:rsidRDefault="00413560" w:rsidP="009062EB">
            <w:pPr>
              <w:pStyle w:val="Paragraphedeliste"/>
              <w:numPr>
                <w:ilvl w:val="0"/>
                <w:numId w:val="31"/>
              </w:numPr>
              <w:ind w:left="189" w:hanging="112"/>
              <w:rPr>
                <w:rFonts w:ascii="Arial Narrow" w:hAnsi="Arial Narrow" w:cstheme="minorHAnsi"/>
                <w:sz w:val="20"/>
                <w:szCs w:val="20"/>
              </w:rPr>
            </w:pPr>
            <w:r w:rsidRPr="00265C6F">
              <w:rPr>
                <w:rFonts w:ascii="Arial Narrow" w:hAnsi="Arial Narrow" w:cstheme="minorHAnsi"/>
                <w:sz w:val="20"/>
                <w:szCs w:val="20"/>
              </w:rPr>
              <w:t>Insuffisance des infrastructures</w:t>
            </w:r>
          </w:p>
          <w:p w14:paraId="1FAAD575" w14:textId="77777777" w:rsidR="00413560" w:rsidRPr="00265C6F" w:rsidRDefault="00413560" w:rsidP="009062EB">
            <w:pPr>
              <w:pStyle w:val="Paragraphedeliste"/>
              <w:numPr>
                <w:ilvl w:val="0"/>
                <w:numId w:val="31"/>
              </w:numPr>
              <w:ind w:left="189" w:hanging="112"/>
              <w:rPr>
                <w:rFonts w:ascii="Arial Narrow" w:hAnsi="Arial Narrow" w:cstheme="minorHAnsi"/>
                <w:sz w:val="20"/>
                <w:szCs w:val="20"/>
              </w:rPr>
            </w:pPr>
            <w:r w:rsidRPr="00265C6F">
              <w:rPr>
                <w:rFonts w:ascii="Arial Narrow" w:hAnsi="Arial Narrow" w:cstheme="minorHAnsi"/>
                <w:sz w:val="20"/>
                <w:szCs w:val="20"/>
              </w:rPr>
              <w:t>Insuffisance des équipements</w:t>
            </w:r>
          </w:p>
          <w:p w14:paraId="77CBABAA" w14:textId="77777777" w:rsidR="00413560" w:rsidRPr="00265C6F" w:rsidRDefault="00413560" w:rsidP="009062EB">
            <w:pPr>
              <w:pStyle w:val="Paragraphedeliste"/>
              <w:numPr>
                <w:ilvl w:val="0"/>
                <w:numId w:val="31"/>
              </w:numPr>
              <w:ind w:left="189" w:hanging="112"/>
              <w:rPr>
                <w:rFonts w:ascii="Arial Narrow" w:hAnsi="Arial Narrow" w:cstheme="minorHAnsi"/>
                <w:sz w:val="20"/>
                <w:szCs w:val="20"/>
              </w:rPr>
            </w:pPr>
            <w:r w:rsidRPr="00265C6F">
              <w:rPr>
                <w:rFonts w:ascii="Arial Narrow" w:hAnsi="Arial Narrow" w:cstheme="minorHAnsi"/>
                <w:sz w:val="20"/>
                <w:szCs w:val="20"/>
              </w:rPr>
              <w:t>Insuffisance des intrants stratégiques</w:t>
            </w:r>
          </w:p>
        </w:tc>
        <w:tc>
          <w:tcPr>
            <w:tcW w:w="2254" w:type="dxa"/>
          </w:tcPr>
          <w:p w14:paraId="5B858182" w14:textId="77777777" w:rsidR="00413560" w:rsidRPr="00265C6F" w:rsidRDefault="00413560" w:rsidP="009062EB">
            <w:pPr>
              <w:pStyle w:val="Paragraphedeliste"/>
              <w:numPr>
                <w:ilvl w:val="0"/>
                <w:numId w:val="31"/>
              </w:numPr>
              <w:ind w:left="189" w:hanging="112"/>
              <w:rPr>
                <w:rFonts w:ascii="Arial Narrow" w:hAnsi="Arial Narrow" w:cstheme="minorHAnsi"/>
                <w:sz w:val="20"/>
                <w:szCs w:val="20"/>
              </w:rPr>
            </w:pPr>
          </w:p>
        </w:tc>
        <w:tc>
          <w:tcPr>
            <w:tcW w:w="2254" w:type="dxa"/>
          </w:tcPr>
          <w:p w14:paraId="2BC62FAB" w14:textId="77777777" w:rsidR="00413560" w:rsidRPr="00265C6F" w:rsidRDefault="00413560" w:rsidP="009062EB">
            <w:pPr>
              <w:pStyle w:val="Paragraphedeliste"/>
              <w:keepNext/>
              <w:numPr>
                <w:ilvl w:val="0"/>
                <w:numId w:val="31"/>
              </w:numPr>
              <w:ind w:left="189" w:hanging="112"/>
              <w:rPr>
                <w:rFonts w:ascii="Arial Narrow" w:hAnsi="Arial Narrow" w:cstheme="minorHAnsi"/>
                <w:sz w:val="20"/>
                <w:szCs w:val="20"/>
              </w:rPr>
            </w:pPr>
          </w:p>
        </w:tc>
      </w:tr>
      <w:tr w:rsidR="00413560" w:rsidRPr="00265C6F" w14:paraId="041D11D6" w14:textId="77777777">
        <w:trPr>
          <w:cantSplit/>
        </w:trPr>
        <w:tc>
          <w:tcPr>
            <w:tcW w:w="2254" w:type="dxa"/>
            <w:vAlign w:val="center"/>
          </w:tcPr>
          <w:p w14:paraId="6E4A2CB8" w14:textId="20E42117" w:rsidR="00413560" w:rsidRPr="00265C6F" w:rsidRDefault="00413560">
            <w:pPr>
              <w:rPr>
                <w:rFonts w:ascii="Arial Narrow" w:hAnsi="Arial Narrow" w:cstheme="minorHAnsi"/>
                <w:sz w:val="20"/>
                <w:szCs w:val="20"/>
              </w:rPr>
            </w:pPr>
            <w:r w:rsidRPr="00265C6F">
              <w:rPr>
                <w:rFonts w:ascii="Arial Narrow" w:hAnsi="Arial Narrow" w:cstheme="minorHAnsi"/>
                <w:sz w:val="20"/>
                <w:szCs w:val="20"/>
              </w:rPr>
              <w:t xml:space="preserve">Comment accroitre la </w:t>
            </w:r>
            <w:r w:rsidR="00166B4D">
              <w:rPr>
                <w:rFonts w:ascii="Arial Narrow" w:hAnsi="Arial Narrow" w:cstheme="minorHAnsi"/>
                <w:sz w:val="20"/>
                <w:szCs w:val="20"/>
              </w:rPr>
              <w:t>disponibilité des données sur les</w:t>
            </w:r>
            <w:r w:rsidRPr="00265C6F">
              <w:rPr>
                <w:rFonts w:ascii="Arial Narrow" w:hAnsi="Arial Narrow" w:cstheme="minorHAnsi"/>
                <w:sz w:val="20"/>
                <w:szCs w:val="20"/>
              </w:rPr>
              <w:t xml:space="preserve"> </w:t>
            </w:r>
            <w:proofErr w:type="gramStart"/>
            <w:r w:rsidRPr="00265C6F">
              <w:rPr>
                <w:rFonts w:ascii="Arial Narrow" w:hAnsi="Arial Narrow" w:cstheme="minorHAnsi"/>
                <w:sz w:val="20"/>
                <w:szCs w:val="20"/>
              </w:rPr>
              <w:t>MNT?</w:t>
            </w:r>
            <w:proofErr w:type="gramEnd"/>
          </w:p>
        </w:tc>
        <w:tc>
          <w:tcPr>
            <w:tcW w:w="2254" w:type="dxa"/>
          </w:tcPr>
          <w:p w14:paraId="2EA27785" w14:textId="77777777" w:rsidR="00413560" w:rsidRPr="00265C6F" w:rsidRDefault="00413560" w:rsidP="009062EB">
            <w:pPr>
              <w:pStyle w:val="Paragraphedeliste"/>
              <w:numPr>
                <w:ilvl w:val="0"/>
                <w:numId w:val="31"/>
              </w:numPr>
              <w:ind w:left="189" w:hanging="112"/>
              <w:rPr>
                <w:rFonts w:ascii="Arial Narrow" w:hAnsi="Arial Narrow" w:cstheme="minorHAnsi"/>
                <w:sz w:val="20"/>
                <w:szCs w:val="20"/>
              </w:rPr>
            </w:pPr>
            <w:r w:rsidRPr="00265C6F">
              <w:rPr>
                <w:rFonts w:ascii="Arial Narrow" w:hAnsi="Arial Narrow" w:cstheme="minorHAnsi"/>
                <w:sz w:val="20"/>
                <w:szCs w:val="20"/>
              </w:rPr>
              <w:t>Non prise en compte de certains besoins d’informations(données) dans les outils primaires de collecte de données (registre, rapport)</w:t>
            </w:r>
          </w:p>
          <w:p w14:paraId="29CFF9B7" w14:textId="77777777" w:rsidR="00413560" w:rsidRPr="00265C6F" w:rsidRDefault="00413560" w:rsidP="009062EB">
            <w:pPr>
              <w:pStyle w:val="Paragraphedeliste"/>
              <w:numPr>
                <w:ilvl w:val="0"/>
                <w:numId w:val="31"/>
              </w:numPr>
              <w:ind w:left="189" w:hanging="112"/>
              <w:rPr>
                <w:rFonts w:ascii="Arial Narrow" w:hAnsi="Arial Narrow" w:cstheme="minorHAnsi"/>
                <w:sz w:val="20"/>
                <w:szCs w:val="20"/>
              </w:rPr>
            </w:pPr>
            <w:r w:rsidRPr="00265C6F">
              <w:rPr>
                <w:rFonts w:ascii="Arial Narrow" w:hAnsi="Arial Narrow" w:cstheme="minorHAnsi"/>
                <w:sz w:val="20"/>
                <w:szCs w:val="20"/>
              </w:rPr>
              <w:t>Non intégration des données UPEC dans le DHIS2</w:t>
            </w:r>
          </w:p>
        </w:tc>
        <w:tc>
          <w:tcPr>
            <w:tcW w:w="2254" w:type="dxa"/>
          </w:tcPr>
          <w:p w14:paraId="2AABB780" w14:textId="77777777" w:rsidR="00413560" w:rsidRPr="00265C6F" w:rsidRDefault="00413560" w:rsidP="009062EB">
            <w:pPr>
              <w:pStyle w:val="Paragraphedeliste"/>
              <w:numPr>
                <w:ilvl w:val="0"/>
                <w:numId w:val="31"/>
              </w:numPr>
              <w:ind w:left="189" w:hanging="112"/>
              <w:rPr>
                <w:rFonts w:ascii="Arial Narrow" w:hAnsi="Arial Narrow" w:cstheme="minorHAnsi"/>
                <w:sz w:val="20"/>
                <w:szCs w:val="20"/>
              </w:rPr>
            </w:pPr>
            <w:r w:rsidRPr="00265C6F">
              <w:rPr>
                <w:rFonts w:ascii="Arial Narrow" w:hAnsi="Arial Narrow" w:cstheme="minorHAnsi"/>
                <w:sz w:val="20"/>
                <w:szCs w:val="20"/>
              </w:rPr>
              <w:t>Absence de données du secteur privé</w:t>
            </w:r>
          </w:p>
        </w:tc>
        <w:tc>
          <w:tcPr>
            <w:tcW w:w="2254" w:type="dxa"/>
          </w:tcPr>
          <w:p w14:paraId="18AB710F" w14:textId="77777777" w:rsidR="00413560" w:rsidRPr="00265C6F" w:rsidRDefault="00413560" w:rsidP="009062EB">
            <w:pPr>
              <w:pStyle w:val="Paragraphedeliste"/>
              <w:keepNext/>
              <w:numPr>
                <w:ilvl w:val="0"/>
                <w:numId w:val="31"/>
              </w:numPr>
              <w:ind w:left="189" w:hanging="112"/>
              <w:rPr>
                <w:rFonts w:ascii="Arial Narrow" w:hAnsi="Arial Narrow" w:cstheme="minorHAnsi"/>
                <w:sz w:val="20"/>
                <w:szCs w:val="20"/>
              </w:rPr>
            </w:pPr>
          </w:p>
        </w:tc>
      </w:tr>
      <w:tr w:rsidR="00413560" w:rsidRPr="00265C6F" w14:paraId="5F40E27A" w14:textId="77777777">
        <w:trPr>
          <w:cantSplit/>
        </w:trPr>
        <w:tc>
          <w:tcPr>
            <w:tcW w:w="2254" w:type="dxa"/>
            <w:vAlign w:val="center"/>
          </w:tcPr>
          <w:p w14:paraId="6A41F9DC" w14:textId="77CE3312" w:rsidR="00413560" w:rsidRPr="00265C6F" w:rsidRDefault="00413560">
            <w:pPr>
              <w:rPr>
                <w:rFonts w:ascii="Arial Narrow" w:hAnsi="Arial Narrow" w:cstheme="minorHAnsi"/>
                <w:sz w:val="20"/>
                <w:szCs w:val="20"/>
              </w:rPr>
            </w:pPr>
            <w:r w:rsidRPr="00265C6F">
              <w:rPr>
                <w:rFonts w:ascii="Arial Narrow" w:hAnsi="Arial Narrow" w:cstheme="minorHAnsi"/>
                <w:sz w:val="20"/>
                <w:szCs w:val="20"/>
              </w:rPr>
              <w:t xml:space="preserve">Comment accroitre </w:t>
            </w:r>
            <w:r w:rsidR="00870152" w:rsidRPr="007A001B">
              <w:rPr>
                <w:rFonts w:ascii="Arial Narrow" w:hAnsi="Arial Narrow" w:cstheme="minorHAnsi"/>
                <w:sz w:val="20"/>
                <w:szCs w:val="20"/>
              </w:rPr>
              <w:t>la proportion de structures sanitaires offrant le service de dépistage du cancer du col de l'utérus à 32% d’ici à fin 2025 ?</w:t>
            </w:r>
          </w:p>
        </w:tc>
        <w:tc>
          <w:tcPr>
            <w:tcW w:w="2254" w:type="dxa"/>
          </w:tcPr>
          <w:p w14:paraId="001B52D4" w14:textId="77777777" w:rsidR="00413560" w:rsidRPr="00265C6F" w:rsidRDefault="00413560" w:rsidP="009062EB">
            <w:pPr>
              <w:pStyle w:val="Paragraphedeliste"/>
              <w:numPr>
                <w:ilvl w:val="0"/>
                <w:numId w:val="31"/>
              </w:numPr>
              <w:ind w:left="189" w:hanging="112"/>
              <w:rPr>
                <w:rFonts w:ascii="Arial Narrow" w:hAnsi="Arial Narrow" w:cstheme="minorHAnsi"/>
                <w:sz w:val="20"/>
                <w:szCs w:val="20"/>
              </w:rPr>
            </w:pPr>
            <w:r w:rsidRPr="00265C6F">
              <w:rPr>
                <w:rFonts w:ascii="Arial Narrow" w:hAnsi="Arial Narrow" w:cstheme="minorHAnsi"/>
                <w:sz w:val="20"/>
                <w:szCs w:val="20"/>
              </w:rPr>
              <w:t>Insuffisance d’intrants pour le dépistage (Lugol, écouvillon, speculum)</w:t>
            </w:r>
          </w:p>
          <w:p w14:paraId="334543B1" w14:textId="2E179858" w:rsidR="00413560" w:rsidRPr="00265C6F" w:rsidRDefault="00413560" w:rsidP="009062EB">
            <w:pPr>
              <w:pStyle w:val="Paragraphedeliste"/>
              <w:numPr>
                <w:ilvl w:val="0"/>
                <w:numId w:val="31"/>
              </w:numPr>
              <w:ind w:left="189" w:hanging="112"/>
              <w:rPr>
                <w:rFonts w:ascii="Arial Narrow" w:hAnsi="Arial Narrow" w:cstheme="minorHAnsi"/>
                <w:sz w:val="20"/>
                <w:szCs w:val="20"/>
              </w:rPr>
            </w:pPr>
            <w:r w:rsidRPr="00265C6F">
              <w:rPr>
                <w:rFonts w:ascii="Arial Narrow" w:hAnsi="Arial Narrow" w:cstheme="minorHAnsi"/>
                <w:sz w:val="20"/>
                <w:szCs w:val="20"/>
              </w:rPr>
              <w:t xml:space="preserve">Insuffisance de formation des SFDE au dépistage du cancer du col de l’utérus </w:t>
            </w:r>
          </w:p>
        </w:tc>
        <w:tc>
          <w:tcPr>
            <w:tcW w:w="2254" w:type="dxa"/>
          </w:tcPr>
          <w:p w14:paraId="0342AB62" w14:textId="77777777" w:rsidR="00413560" w:rsidRPr="00265C6F" w:rsidRDefault="00413560" w:rsidP="009062EB">
            <w:pPr>
              <w:pStyle w:val="Paragraphedeliste"/>
              <w:numPr>
                <w:ilvl w:val="0"/>
                <w:numId w:val="31"/>
              </w:numPr>
              <w:ind w:left="189" w:hanging="112"/>
              <w:rPr>
                <w:rFonts w:ascii="Arial Narrow" w:hAnsi="Arial Narrow" w:cstheme="minorHAnsi"/>
                <w:sz w:val="20"/>
                <w:szCs w:val="20"/>
              </w:rPr>
            </w:pPr>
          </w:p>
        </w:tc>
        <w:tc>
          <w:tcPr>
            <w:tcW w:w="2254" w:type="dxa"/>
          </w:tcPr>
          <w:p w14:paraId="2FB57471" w14:textId="77777777" w:rsidR="00413560" w:rsidRPr="00265C6F" w:rsidRDefault="00413560" w:rsidP="009062EB">
            <w:pPr>
              <w:pStyle w:val="Paragraphedeliste"/>
              <w:keepNext/>
              <w:numPr>
                <w:ilvl w:val="0"/>
                <w:numId w:val="31"/>
              </w:numPr>
              <w:ind w:left="189" w:hanging="112"/>
              <w:rPr>
                <w:rFonts w:ascii="Arial Narrow" w:hAnsi="Arial Narrow" w:cstheme="minorHAnsi"/>
                <w:sz w:val="20"/>
                <w:szCs w:val="20"/>
              </w:rPr>
            </w:pPr>
            <w:r w:rsidRPr="00265C6F">
              <w:rPr>
                <w:rFonts w:ascii="Arial Narrow" w:hAnsi="Arial Narrow" w:cstheme="minorHAnsi"/>
                <w:sz w:val="20"/>
                <w:szCs w:val="20"/>
              </w:rPr>
              <w:t>Faible pouvoir d’achat des populations</w:t>
            </w:r>
          </w:p>
        </w:tc>
      </w:tr>
    </w:tbl>
    <w:p w14:paraId="0AFE2E78" w14:textId="3C8A242A" w:rsidR="00BC30AE" w:rsidRDefault="00BC30AE" w:rsidP="00F04ECC">
      <w:pPr>
        <w:pStyle w:val="Lgende"/>
      </w:pPr>
      <w:r w:rsidRPr="0052623B">
        <w:t xml:space="preserve">Sources : Données collectées pour la </w:t>
      </w:r>
      <w:r w:rsidR="00B635D8">
        <w:t>revue</w:t>
      </w:r>
      <w:r w:rsidRPr="0052623B">
        <w:t xml:space="preserve"> du PNDS </w:t>
      </w:r>
      <w:r w:rsidR="00EB1CA0">
        <w:t>2021-2025</w:t>
      </w:r>
    </w:p>
    <w:p w14:paraId="14190EA4" w14:textId="77777777" w:rsidR="00935385" w:rsidRDefault="00935385" w:rsidP="00935385"/>
    <w:p w14:paraId="2D0524D5" w14:textId="1A9A2505" w:rsidR="00935385" w:rsidRDefault="00935385" w:rsidP="00935385">
      <w:pPr>
        <w:pStyle w:val="Titre2"/>
        <w:jc w:val="both"/>
        <w:rPr>
          <w:rFonts w:ascii="Arial Narrow" w:hAnsi="Arial Narrow" w:cstheme="minorHAnsi"/>
          <w:sz w:val="24"/>
          <w:szCs w:val="24"/>
        </w:rPr>
      </w:pPr>
      <w:bookmarkStart w:id="209" w:name="_Toc190677497"/>
      <w:r w:rsidRPr="0052623B">
        <w:rPr>
          <w:rFonts w:ascii="Arial Narrow" w:hAnsi="Arial Narrow"/>
          <w:sz w:val="24"/>
          <w:szCs w:val="24"/>
        </w:rPr>
        <w:t xml:space="preserve">Annexe </w:t>
      </w:r>
      <w:r>
        <w:rPr>
          <w:rFonts w:ascii="Arial Narrow" w:hAnsi="Arial Narrow"/>
          <w:sz w:val="24"/>
          <w:szCs w:val="24"/>
        </w:rPr>
        <w:t>2</w:t>
      </w:r>
      <w:r w:rsidRPr="0052623B">
        <w:rPr>
          <w:rFonts w:ascii="Arial Narrow" w:hAnsi="Arial Narrow"/>
          <w:sz w:val="24"/>
          <w:szCs w:val="24"/>
        </w:rPr>
        <w:t xml:space="preserve"> : </w:t>
      </w:r>
      <w:r w:rsidR="00FD42F4">
        <w:rPr>
          <w:rFonts w:ascii="Arial Narrow" w:hAnsi="Arial Narrow" w:cstheme="minorHAnsi"/>
          <w:sz w:val="24"/>
          <w:szCs w:val="24"/>
        </w:rPr>
        <w:t xml:space="preserve">Outils méthodologiques pour la </w:t>
      </w:r>
      <w:r w:rsidR="00B635D8">
        <w:rPr>
          <w:rFonts w:ascii="Arial Narrow" w:hAnsi="Arial Narrow" w:cstheme="minorHAnsi"/>
          <w:sz w:val="24"/>
          <w:szCs w:val="24"/>
        </w:rPr>
        <w:t>revue</w:t>
      </w:r>
      <w:r w:rsidR="00FD42F4">
        <w:rPr>
          <w:rFonts w:ascii="Arial Narrow" w:hAnsi="Arial Narrow" w:cstheme="minorHAnsi"/>
          <w:sz w:val="24"/>
          <w:szCs w:val="24"/>
        </w:rPr>
        <w:t xml:space="preserve"> du PNDS 2021-2025</w:t>
      </w:r>
      <w:bookmarkEnd w:id="209"/>
    </w:p>
    <w:p w14:paraId="33B68F1A" w14:textId="77777777" w:rsidR="00FD42F4" w:rsidRDefault="00FD42F4" w:rsidP="00FD42F4"/>
    <w:p w14:paraId="0F57DD17" w14:textId="55E6B926" w:rsidR="00FD42F4" w:rsidRPr="0052623B" w:rsidRDefault="00FD42F4" w:rsidP="00FD42F4">
      <w:pPr>
        <w:pStyle w:val="Titre2"/>
        <w:jc w:val="both"/>
        <w:rPr>
          <w:rFonts w:ascii="Arial Narrow" w:hAnsi="Arial Narrow" w:cstheme="minorHAnsi"/>
          <w:sz w:val="24"/>
          <w:szCs w:val="24"/>
        </w:rPr>
      </w:pPr>
      <w:bookmarkStart w:id="210" w:name="_Toc190677498"/>
      <w:r w:rsidRPr="0052623B">
        <w:rPr>
          <w:rFonts w:ascii="Arial Narrow" w:hAnsi="Arial Narrow"/>
          <w:sz w:val="24"/>
          <w:szCs w:val="24"/>
        </w:rPr>
        <w:t xml:space="preserve">Annexe </w:t>
      </w:r>
      <w:r>
        <w:rPr>
          <w:rFonts w:ascii="Arial Narrow" w:hAnsi="Arial Narrow"/>
          <w:sz w:val="24"/>
          <w:szCs w:val="24"/>
        </w:rPr>
        <w:t>3</w:t>
      </w:r>
      <w:r w:rsidRPr="0052623B">
        <w:rPr>
          <w:rFonts w:ascii="Arial Narrow" w:hAnsi="Arial Narrow"/>
          <w:sz w:val="24"/>
          <w:szCs w:val="24"/>
        </w:rPr>
        <w:t xml:space="preserve"> : </w:t>
      </w:r>
      <w:r w:rsidR="00403223">
        <w:rPr>
          <w:rFonts w:ascii="Arial Narrow" w:hAnsi="Arial Narrow" w:cstheme="minorHAnsi"/>
          <w:sz w:val="24"/>
          <w:szCs w:val="24"/>
        </w:rPr>
        <w:t>Participation au processus</w:t>
      </w:r>
      <w:r w:rsidR="00927233">
        <w:rPr>
          <w:rFonts w:ascii="Arial Narrow" w:hAnsi="Arial Narrow" w:cstheme="minorHAnsi"/>
          <w:sz w:val="24"/>
          <w:szCs w:val="24"/>
        </w:rPr>
        <w:t xml:space="preserve"> de </w:t>
      </w:r>
      <w:r w:rsidR="00B635D8">
        <w:rPr>
          <w:rFonts w:ascii="Arial Narrow" w:hAnsi="Arial Narrow" w:cstheme="minorHAnsi"/>
          <w:sz w:val="24"/>
          <w:szCs w:val="24"/>
        </w:rPr>
        <w:t>revue</w:t>
      </w:r>
      <w:r w:rsidR="00927233">
        <w:rPr>
          <w:rFonts w:ascii="Arial Narrow" w:hAnsi="Arial Narrow" w:cstheme="minorHAnsi"/>
          <w:sz w:val="24"/>
          <w:szCs w:val="24"/>
        </w:rPr>
        <w:t xml:space="preserve"> du PNDS 2021-2025</w:t>
      </w:r>
      <w:bookmarkEnd w:id="210"/>
    </w:p>
    <w:p w14:paraId="7DD27ED0" w14:textId="77777777" w:rsidR="00FD42F4" w:rsidRDefault="00FD42F4" w:rsidP="00FD42F4"/>
    <w:p w14:paraId="13FCDCF0" w14:textId="5E2FB285" w:rsidR="005420E0" w:rsidRPr="0052623B" w:rsidRDefault="005420E0" w:rsidP="005420E0">
      <w:pPr>
        <w:pStyle w:val="Titre2"/>
        <w:jc w:val="both"/>
        <w:rPr>
          <w:rFonts w:ascii="Arial Narrow" w:hAnsi="Arial Narrow" w:cstheme="minorHAnsi"/>
          <w:sz w:val="24"/>
          <w:szCs w:val="24"/>
        </w:rPr>
      </w:pPr>
      <w:bookmarkStart w:id="211" w:name="_Toc190677499"/>
      <w:r w:rsidRPr="0052623B">
        <w:rPr>
          <w:rFonts w:ascii="Arial Narrow" w:hAnsi="Arial Narrow"/>
          <w:sz w:val="24"/>
          <w:szCs w:val="24"/>
        </w:rPr>
        <w:t xml:space="preserve">Annexe </w:t>
      </w:r>
      <w:r>
        <w:rPr>
          <w:rFonts w:ascii="Arial Narrow" w:hAnsi="Arial Narrow"/>
          <w:sz w:val="24"/>
          <w:szCs w:val="24"/>
        </w:rPr>
        <w:t>4</w:t>
      </w:r>
      <w:r w:rsidRPr="0052623B">
        <w:rPr>
          <w:rFonts w:ascii="Arial Narrow" w:hAnsi="Arial Narrow"/>
          <w:sz w:val="24"/>
          <w:szCs w:val="24"/>
        </w:rPr>
        <w:t xml:space="preserve"> : </w:t>
      </w:r>
      <w:r w:rsidR="00A672B6">
        <w:rPr>
          <w:rFonts w:ascii="Arial Narrow" w:hAnsi="Arial Narrow" w:cstheme="minorHAnsi"/>
          <w:sz w:val="24"/>
          <w:szCs w:val="24"/>
        </w:rPr>
        <w:t>Evolution des indicateurs du PNDS 2021-2025, au titre de la période 2021-2023</w:t>
      </w:r>
      <w:bookmarkEnd w:id="211"/>
    </w:p>
    <w:p w14:paraId="20103926" w14:textId="77777777" w:rsidR="00E35D64" w:rsidRPr="00FD42F4" w:rsidRDefault="00E35D64" w:rsidP="00FD42F4"/>
    <w:sectPr w:rsidR="00E35D64" w:rsidRPr="00FD42F4" w:rsidSect="00D15C9A">
      <w:pgSz w:w="11906" w:h="16838"/>
      <w:pgMar w:top="1276"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0FF95" w14:textId="77777777" w:rsidR="001C7094" w:rsidRPr="00B82295" w:rsidRDefault="001C7094" w:rsidP="00C509CE">
      <w:pPr>
        <w:spacing w:after="0" w:line="240" w:lineRule="auto"/>
      </w:pPr>
      <w:r w:rsidRPr="00B82295">
        <w:separator/>
      </w:r>
    </w:p>
  </w:endnote>
  <w:endnote w:type="continuationSeparator" w:id="0">
    <w:p w14:paraId="4D7C6033" w14:textId="77777777" w:rsidR="001C7094" w:rsidRPr="00B82295" w:rsidRDefault="001C7094" w:rsidP="00C509CE">
      <w:pPr>
        <w:spacing w:after="0" w:line="240" w:lineRule="auto"/>
      </w:pPr>
      <w:r w:rsidRPr="00B82295">
        <w:continuationSeparator/>
      </w:r>
    </w:p>
  </w:endnote>
  <w:endnote w:type="continuationNotice" w:id="1">
    <w:p w14:paraId="458E9068" w14:textId="77777777" w:rsidR="001C7094" w:rsidRPr="00B82295" w:rsidRDefault="001C70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Historic">
    <w:panose1 w:val="020B0502040204020203"/>
    <w:charset w:val="00"/>
    <w:family w:val="swiss"/>
    <w:pitch w:val="variable"/>
    <w:sig w:usb0="800001EF" w:usb1="02000002" w:usb2="0060C080" w:usb3="00000000" w:csb0="00000001" w:csb1="00000000"/>
  </w:font>
  <w:font w:name="Bell MT">
    <w:panose1 w:val="02020503060305020303"/>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rabic Typesetting">
    <w:charset w:val="B2"/>
    <w:family w:val="script"/>
    <w:pitch w:val="variable"/>
    <w:sig w:usb0="80002007" w:usb1="80000000" w:usb2="00000008" w:usb3="00000000" w:csb0="000000D3"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ArialMT">
    <w:altName w:val="MS Gothic"/>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018C7" w14:textId="0D52EB03" w:rsidR="009D16A0" w:rsidRPr="002A5075" w:rsidRDefault="009D16A0" w:rsidP="00FA3B17">
    <w:pPr>
      <w:pStyle w:val="Pieddepage"/>
    </w:pPr>
    <w:r w:rsidRPr="002A5075">
      <w:rPr>
        <w:b/>
        <w:i/>
      </w:rPr>
      <w:t>Direction de la Prospective, de la Planification et des Stratégies</w:t>
    </w:r>
    <w:r w:rsidRPr="002A5075">
      <w:t xml:space="preserve"> </w:t>
    </w:r>
    <w:r w:rsidRPr="002A5075">
      <w:tab/>
    </w:r>
    <w:sdt>
      <w:sdtPr>
        <w:id w:val="-148212681"/>
        <w:docPartObj>
          <w:docPartGallery w:val="Page Numbers (Bottom of Page)"/>
          <w:docPartUnique/>
        </w:docPartObj>
      </w:sdtPr>
      <w:sdtEndPr/>
      <w:sdtContent>
        <w:r w:rsidRPr="00B82295">
          <w:fldChar w:fldCharType="begin"/>
        </w:r>
        <w:r w:rsidRPr="002A5075">
          <w:instrText xml:space="preserve"> PAGE   \* MERGEFORMAT </w:instrText>
        </w:r>
        <w:r w:rsidRPr="00B82295">
          <w:fldChar w:fldCharType="separate"/>
        </w:r>
        <w:r w:rsidRPr="002A5075">
          <w:t>2</w:t>
        </w:r>
        <w:r w:rsidRPr="00B82295">
          <w:fldChar w:fldCharType="end"/>
        </w:r>
      </w:sdtContent>
    </w:sdt>
  </w:p>
  <w:p w14:paraId="25A0B6D3" w14:textId="77777777" w:rsidR="009D16A0" w:rsidRPr="002A5075" w:rsidRDefault="009D16A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CBC5F" w14:textId="1A23018B" w:rsidR="009D16A0" w:rsidRPr="00A918AC" w:rsidRDefault="009D16A0" w:rsidP="00FA3B17">
    <w:pPr>
      <w:pStyle w:val="Pieddepage"/>
      <w:rPr>
        <w:color w:val="92D050"/>
      </w:rPr>
    </w:pPr>
    <w:r w:rsidRPr="00312F45">
      <w:rPr>
        <w:color w:val="70AD47" w:themeColor="accent6"/>
        <w:sz w:val="18"/>
        <w:szCs w:val="18"/>
      </w:rPr>
      <w:t xml:space="preserve">Ministère de la santé, de l'hygiène publique et de la couverture maladie universelle </w:t>
    </w:r>
    <w:r w:rsidR="00450F74">
      <w:rPr>
        <w:color w:val="70AD47" w:themeColor="accent6"/>
        <w:sz w:val="18"/>
        <w:szCs w:val="18"/>
      </w:rPr>
      <w:t>C</w:t>
    </w:r>
    <w:r w:rsidRPr="00312F45">
      <w:rPr>
        <w:color w:val="70AD47" w:themeColor="accent6"/>
        <w:sz w:val="18"/>
        <w:szCs w:val="18"/>
      </w:rPr>
      <w:t xml:space="preserve">ôte </w:t>
    </w:r>
    <w:r w:rsidR="00607348" w:rsidRPr="00312F45">
      <w:rPr>
        <w:color w:val="70AD47" w:themeColor="accent6"/>
        <w:sz w:val="18"/>
        <w:szCs w:val="18"/>
      </w:rPr>
      <w:t xml:space="preserve">d’Ivoire </w:t>
    </w:r>
    <w:r w:rsidR="00607348" w:rsidRPr="00312F45">
      <w:rPr>
        <w:color w:val="70AD47" w:themeColor="accent6"/>
        <w:sz w:val="18"/>
        <w:szCs w:val="18"/>
      </w:rPr>
      <w:tab/>
    </w:r>
    <w:sdt>
      <w:sdtPr>
        <w:rPr>
          <w:color w:val="92D050"/>
        </w:rPr>
        <w:id w:val="-925029717"/>
        <w:docPartObj>
          <w:docPartGallery w:val="Page Numbers (Bottom of Page)"/>
          <w:docPartUnique/>
        </w:docPartObj>
      </w:sdtPr>
      <w:sdtEndPr>
        <w:rPr>
          <w:color w:val="70AD47" w:themeColor="accent6"/>
          <w:sz w:val="18"/>
          <w:szCs w:val="18"/>
        </w:rPr>
      </w:sdtEndPr>
      <w:sdtContent>
        <w:r w:rsidRPr="00A918AC">
          <w:rPr>
            <w:color w:val="70AD47" w:themeColor="accent6"/>
            <w:sz w:val="18"/>
            <w:szCs w:val="18"/>
          </w:rPr>
          <w:fldChar w:fldCharType="begin"/>
        </w:r>
        <w:r w:rsidRPr="00A918AC">
          <w:rPr>
            <w:color w:val="70AD47" w:themeColor="accent6"/>
            <w:sz w:val="18"/>
            <w:szCs w:val="18"/>
          </w:rPr>
          <w:instrText xml:space="preserve"> PAGE  \* roman  \* MERGEFORMAT </w:instrText>
        </w:r>
        <w:r w:rsidRPr="00A918AC">
          <w:rPr>
            <w:color w:val="70AD47" w:themeColor="accent6"/>
            <w:sz w:val="18"/>
            <w:szCs w:val="18"/>
          </w:rPr>
          <w:fldChar w:fldCharType="separate"/>
        </w:r>
        <w:r w:rsidR="0029574B">
          <w:rPr>
            <w:noProof/>
            <w:color w:val="70AD47" w:themeColor="accent6"/>
            <w:sz w:val="18"/>
            <w:szCs w:val="18"/>
          </w:rPr>
          <w:t>viii</w:t>
        </w:r>
        <w:r w:rsidRPr="00A918AC">
          <w:rPr>
            <w:color w:val="70AD47" w:themeColor="accent6"/>
            <w:sz w:val="18"/>
            <w:szCs w:val="18"/>
          </w:rPr>
          <w:fldChar w:fldCharType="end"/>
        </w:r>
      </w:sdtContent>
    </w:sdt>
  </w:p>
  <w:p w14:paraId="18635BD6" w14:textId="77777777" w:rsidR="009D16A0" w:rsidRPr="002A5075" w:rsidRDefault="009D16A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6462985"/>
      <w:docPartObj>
        <w:docPartGallery w:val="Page Numbers (Bottom of Page)"/>
        <w:docPartUnique/>
      </w:docPartObj>
    </w:sdtPr>
    <w:sdtEndPr/>
    <w:sdtContent>
      <w:p w14:paraId="15AF7295" w14:textId="1794846B" w:rsidR="00E26291" w:rsidRDefault="00E26291">
        <w:pPr>
          <w:pStyle w:val="Pieddepage"/>
          <w:jc w:val="center"/>
        </w:pPr>
        <w:r>
          <w:rPr>
            <w:noProof/>
          </w:rPr>
          <mc:AlternateContent>
            <mc:Choice Requires="wps">
              <w:drawing>
                <wp:inline distT="0" distB="0" distL="0" distR="0" wp14:anchorId="418E5EF6" wp14:editId="13EAE5E0">
                  <wp:extent cx="5467350" cy="45085"/>
                  <wp:effectExtent l="9525" t="9525" r="0" b="2540"/>
                  <wp:docPr id="1058681815" name="Organigramme : Décision 3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w:pict>
                <v:shapetype w14:anchorId="0D96E38B" id="_x0000_t110" coordsize="21600,21600" o:spt="110" path="m10800,l,10800,10800,21600,21600,10800xe">
                  <v:stroke joinstyle="miter"/>
                  <v:path gradientshapeok="t" o:connecttype="rect" textboxrect="5400,5400,16200,16200"/>
                </v:shapetype>
                <v:shape id="Organigramme : Décision 3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14:paraId="06CB6F10" w14:textId="462514BE" w:rsidR="00E26291" w:rsidRDefault="00E26291">
        <w:pPr>
          <w:pStyle w:val="Pieddepage"/>
          <w:jc w:val="center"/>
        </w:pPr>
        <w:r>
          <w:fldChar w:fldCharType="begin"/>
        </w:r>
        <w:r>
          <w:instrText>PAGE    \* MERGEFORMAT</w:instrText>
        </w:r>
        <w:r>
          <w:fldChar w:fldCharType="separate"/>
        </w:r>
        <w:r>
          <w:t>2</w:t>
        </w:r>
        <w:r>
          <w:fldChar w:fldCharType="end"/>
        </w:r>
      </w:p>
    </w:sdtContent>
  </w:sdt>
  <w:p w14:paraId="52905C9D" w14:textId="1C173664" w:rsidR="009D16A0" w:rsidRPr="00A918AC" w:rsidRDefault="009D16A0">
    <w:pPr>
      <w:pStyle w:val="Pieddepage"/>
      <w:rPr>
        <w:color w:val="70AD47" w:themeColor="accent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1B9CD" w14:textId="77777777" w:rsidR="001C7094" w:rsidRPr="00B82295" w:rsidRDefault="001C7094" w:rsidP="00C509CE">
      <w:pPr>
        <w:spacing w:after="0" w:line="240" w:lineRule="auto"/>
      </w:pPr>
      <w:r w:rsidRPr="00B82295">
        <w:separator/>
      </w:r>
    </w:p>
  </w:footnote>
  <w:footnote w:type="continuationSeparator" w:id="0">
    <w:p w14:paraId="41C01175" w14:textId="77777777" w:rsidR="001C7094" w:rsidRPr="00B82295" w:rsidRDefault="001C7094" w:rsidP="00C509CE">
      <w:pPr>
        <w:spacing w:after="0" w:line="240" w:lineRule="auto"/>
      </w:pPr>
      <w:r w:rsidRPr="00B82295">
        <w:continuationSeparator/>
      </w:r>
    </w:p>
  </w:footnote>
  <w:footnote w:type="continuationNotice" w:id="1">
    <w:p w14:paraId="13B0AD25" w14:textId="77777777" w:rsidR="001C7094" w:rsidRPr="00B82295" w:rsidRDefault="001C7094">
      <w:pPr>
        <w:spacing w:after="0" w:line="240" w:lineRule="auto"/>
      </w:pPr>
    </w:p>
  </w:footnote>
  <w:footnote w:id="2">
    <w:p w14:paraId="38166B8C" w14:textId="77777777" w:rsidR="001626AE" w:rsidRPr="00990DAD" w:rsidRDefault="001626AE" w:rsidP="001626AE">
      <w:pPr>
        <w:pStyle w:val="Notedebasdepage"/>
        <w:rPr>
          <w:rFonts w:ascii="Arial Narrow" w:hAnsi="Arial Narrow"/>
        </w:rPr>
      </w:pPr>
      <w:r w:rsidRPr="00990DAD">
        <w:rPr>
          <w:rStyle w:val="Appelnotedebasdep"/>
          <w:rFonts w:ascii="Arial Narrow" w:hAnsi="Arial Narrow"/>
        </w:rPr>
        <w:footnoteRef/>
      </w:r>
      <w:r w:rsidRPr="00990DAD">
        <w:rPr>
          <w:rFonts w:ascii="Arial Narrow" w:hAnsi="Arial Narrow"/>
        </w:rPr>
        <w:t xml:space="preserve"> Comment le PNDS a-t-il été élaboré, diffusé et mis en œuvre ?</w:t>
      </w:r>
    </w:p>
  </w:footnote>
  <w:footnote w:id="3">
    <w:p w14:paraId="4F28BB0A" w14:textId="77777777" w:rsidR="001626AE" w:rsidRDefault="001626AE" w:rsidP="001626AE">
      <w:pPr>
        <w:pStyle w:val="Notedebasdepage"/>
      </w:pPr>
      <w:r w:rsidRPr="00990DAD">
        <w:rPr>
          <w:rStyle w:val="Appelnotedebasdep"/>
          <w:rFonts w:ascii="Arial Narrow" w:hAnsi="Arial Narrow"/>
        </w:rPr>
        <w:footnoteRef/>
      </w:r>
      <w:r w:rsidRPr="00990DAD">
        <w:rPr>
          <w:rFonts w:ascii="Arial Narrow" w:hAnsi="Arial Narrow"/>
        </w:rPr>
        <w:t xml:space="preserve"> Comment les indicateurs du PNDS ont-ils progressé vers leurs cibles, en conséquence des réalisations du MSHPCMU sur la période de la revue ?</w:t>
      </w:r>
    </w:p>
  </w:footnote>
  <w:footnote w:id="4">
    <w:p w14:paraId="4CDA60D7" w14:textId="51F96B7A" w:rsidR="009D16A0" w:rsidRPr="00464718" w:rsidRDefault="009D16A0">
      <w:pPr>
        <w:pStyle w:val="Notedebasdepage"/>
      </w:pPr>
      <w:r>
        <w:rPr>
          <w:rStyle w:val="Appelnotedebasdep"/>
        </w:rPr>
        <w:footnoteRef/>
      </w:r>
      <w:r>
        <w:t xml:space="preserve"> RASS 2021</w:t>
      </w:r>
    </w:p>
  </w:footnote>
  <w:footnote w:id="5">
    <w:p w14:paraId="4F066877" w14:textId="2CA2D1B2" w:rsidR="009D16A0" w:rsidRDefault="009D16A0">
      <w:pPr>
        <w:pStyle w:val="Notedebasdepage"/>
      </w:pPr>
      <w:r>
        <w:rPr>
          <w:rStyle w:val="Appelnotedebasdep"/>
        </w:rPr>
        <w:footnoteRef/>
      </w:r>
      <w:r>
        <w:t xml:space="preserve"> </w:t>
      </w:r>
      <w:hyperlink r:id="rId1" w:history="1">
        <w:r>
          <w:rPr>
            <w:rStyle w:val="Lienhypertexte"/>
          </w:rPr>
          <w:t>Données B</w:t>
        </w:r>
        <w:r w:rsidRPr="00A2050E">
          <w:rPr>
            <w:rStyle w:val="Lienhypertexte"/>
          </w:rPr>
          <w:t>anque Mondiale</w:t>
        </w:r>
      </w:hyperlink>
    </w:p>
  </w:footnote>
  <w:footnote w:id="6">
    <w:p w14:paraId="50D5BE7B" w14:textId="041BFC77" w:rsidR="009D16A0" w:rsidRPr="002A5075" w:rsidRDefault="009D16A0">
      <w:pPr>
        <w:pStyle w:val="Notedebasdepage"/>
      </w:pPr>
      <w:r>
        <w:rPr>
          <w:rStyle w:val="Appelnotedebasdep"/>
        </w:rPr>
        <w:footnoteRef/>
      </w:r>
      <w:r w:rsidRPr="002A5075">
        <w:t xml:space="preserve"> </w:t>
      </w:r>
      <w:r w:rsidRPr="00A05DB7">
        <w:t>EDS</w:t>
      </w:r>
      <w:r>
        <w:t xml:space="preserve"> 2021</w:t>
      </w:r>
    </w:p>
  </w:footnote>
  <w:footnote w:id="7">
    <w:p w14:paraId="13B78000" w14:textId="15E84975" w:rsidR="009D16A0" w:rsidRPr="002A5075" w:rsidRDefault="009D16A0">
      <w:pPr>
        <w:pStyle w:val="Notedebasdepage"/>
      </w:pPr>
      <w:r>
        <w:rPr>
          <w:rStyle w:val="Appelnotedebasdep"/>
        </w:rPr>
        <w:footnoteRef/>
      </w:r>
      <w:r w:rsidRPr="002A5075">
        <w:t xml:space="preserve"> Rapports d'activités PNSSU-SAJ</w:t>
      </w:r>
    </w:p>
  </w:footnote>
  <w:footnote w:id="8">
    <w:p w14:paraId="752B37AC" w14:textId="09889300" w:rsidR="009D16A0" w:rsidRPr="002A5075" w:rsidRDefault="009D16A0">
      <w:pPr>
        <w:pStyle w:val="Notedebasdepage"/>
      </w:pPr>
      <w:r>
        <w:rPr>
          <w:rStyle w:val="Appelnotedebasdep"/>
        </w:rPr>
        <w:footnoteRef/>
      </w:r>
      <w:r w:rsidRPr="002A5075">
        <w:t xml:space="preserve"> Rapports d'activités PNSSU-SAJ</w:t>
      </w:r>
    </w:p>
  </w:footnote>
  <w:footnote w:id="9">
    <w:p w14:paraId="1EBB6F5A" w14:textId="7FBD876E" w:rsidR="009D16A0" w:rsidRDefault="009D16A0">
      <w:pPr>
        <w:pStyle w:val="Notedebasdepage"/>
      </w:pPr>
      <w:r>
        <w:rPr>
          <w:rStyle w:val="Appelnotedebasdep"/>
        </w:rPr>
        <w:footnoteRef/>
      </w:r>
      <w:r>
        <w:t xml:space="preserve"> Institut National de la Statistique</w:t>
      </w:r>
    </w:p>
  </w:footnote>
  <w:footnote w:id="10">
    <w:p w14:paraId="06D46CBE" w14:textId="14997CAC" w:rsidR="009D16A0" w:rsidRDefault="009D16A0">
      <w:pPr>
        <w:pStyle w:val="Notedebasdepage"/>
      </w:pPr>
      <w:r>
        <w:rPr>
          <w:rStyle w:val="Appelnotedebasdep"/>
        </w:rPr>
        <w:footnoteRef/>
      </w:r>
      <w:r>
        <w:t xml:space="preserve"> PNDS 2021-2025</w:t>
      </w:r>
    </w:p>
  </w:footnote>
  <w:footnote w:id="11">
    <w:p w14:paraId="4FD88FF6" w14:textId="15303BE6" w:rsidR="009D16A0" w:rsidRPr="0090675B" w:rsidRDefault="009D16A0">
      <w:pPr>
        <w:pStyle w:val="Notedebasdepage"/>
        <w:rPr>
          <w:rFonts w:ascii="Arial Narrow" w:hAnsi="Arial Narrow" w:cs="Arabic Typesetting"/>
        </w:rPr>
      </w:pPr>
      <w:r w:rsidRPr="0090675B">
        <w:rPr>
          <w:rStyle w:val="Appelnotedebasdep"/>
          <w:rFonts w:ascii="Arial Narrow" w:hAnsi="Arial Narrow"/>
        </w:rPr>
        <w:footnoteRef/>
      </w:r>
      <w:r w:rsidRPr="0090675B">
        <w:rPr>
          <w:rFonts w:ascii="Arial Narrow" w:hAnsi="Arial Narrow"/>
        </w:rPr>
        <w:t xml:space="preserve"> Les </w:t>
      </w:r>
      <w:r w:rsidRPr="0090675B">
        <w:rPr>
          <w:rFonts w:ascii="Arial Narrow" w:hAnsi="Arial Narrow" w:cs="Arabic Typesetting"/>
        </w:rPr>
        <w:t>indicateurs pour lesquels les données sont disponibles sur la période d’observation</w:t>
      </w:r>
    </w:p>
  </w:footnote>
  <w:footnote w:id="12">
    <w:p w14:paraId="28802C44" w14:textId="0446B123" w:rsidR="009D16A0" w:rsidRDefault="009D16A0">
      <w:pPr>
        <w:pStyle w:val="Notedebasdepage"/>
      </w:pPr>
      <w:r>
        <w:rPr>
          <w:rStyle w:val="Appelnotedebasdep"/>
        </w:rPr>
        <w:footnoteRef/>
      </w:r>
      <w:r>
        <w:t xml:space="preserve"> </w:t>
      </w:r>
      <w:r w:rsidRPr="000B60EE">
        <w:t>Yopougon, Treichville, Cocody et Bouaké</w:t>
      </w:r>
    </w:p>
  </w:footnote>
  <w:footnote w:id="13">
    <w:p w14:paraId="70A17AC1" w14:textId="298EA694" w:rsidR="009D16A0" w:rsidRDefault="009D16A0">
      <w:pPr>
        <w:pStyle w:val="Notedebasdepage"/>
      </w:pPr>
      <w:r>
        <w:rPr>
          <w:rStyle w:val="Appelnotedebasdep"/>
        </w:rPr>
        <w:footnoteRef/>
      </w:r>
      <w:r>
        <w:t xml:space="preserve"> </w:t>
      </w:r>
      <w:r w:rsidRPr="000B60EE">
        <w:t>Abobo, Agboville, Abengourou, Daloa, Yamoussoukro, Korhogo, Guiglo, Bondoukou, Gagnoa, Bouaflé, Dimbokro, Man, Séguéla</w:t>
      </w:r>
    </w:p>
  </w:footnote>
  <w:footnote w:id="14">
    <w:p w14:paraId="5B1D62FD" w14:textId="532388CF" w:rsidR="009D16A0" w:rsidRDefault="009D16A0">
      <w:pPr>
        <w:pStyle w:val="Notedebasdepage"/>
      </w:pPr>
      <w:r>
        <w:rPr>
          <w:rStyle w:val="Appelnotedebasdep"/>
        </w:rPr>
        <w:footnoteRef/>
      </w:r>
      <w:r>
        <w:t xml:space="preserve"> </w:t>
      </w:r>
      <w:r w:rsidRPr="000B60EE">
        <w:t xml:space="preserve">Bingerville, Port Bouet, </w:t>
      </w:r>
      <w:r w:rsidRPr="000B60EE">
        <w:t>Didiévi, Guitry, Anyama, Sassandra, Dabou, Soubré, Bonoua, Ferk</w:t>
      </w:r>
      <w:r>
        <w:t>e</w:t>
      </w:r>
      <w:r w:rsidRPr="000B60EE">
        <w:t>ssédougou, Tiébissou, Bocanda, Katiola, Issia, Bouna, Daoukro, Toumodi, Adjamé, Grand Bassam, Prikro, Arrah, Vavoua, Jacqueville, Alépé, Niakaramadougou, Duékoué, Yopougon-</w:t>
      </w:r>
      <w:r w:rsidRPr="000B60EE">
        <w:t>Attié</w:t>
      </w:r>
      <w:r w:rsidR="00BB1FF5">
        <w:t>,Abobo-Nord</w:t>
      </w:r>
    </w:p>
  </w:footnote>
  <w:footnote w:id="15">
    <w:p w14:paraId="528DC1F9" w14:textId="232D42B0" w:rsidR="009D16A0" w:rsidRDefault="009D16A0">
      <w:pPr>
        <w:pStyle w:val="Notedebasdepage"/>
      </w:pPr>
      <w:r>
        <w:rPr>
          <w:rStyle w:val="Appelnotedebasdep"/>
        </w:rPr>
        <w:footnoteRef/>
      </w:r>
      <w:r>
        <w:t xml:space="preserve"> </w:t>
      </w:r>
      <w:r w:rsidRPr="00833B62">
        <w:t>Aboisso, Adzopé, Bouaké, Man et San Pedro</w:t>
      </w:r>
    </w:p>
  </w:footnote>
  <w:footnote w:id="16">
    <w:p w14:paraId="427D2956" w14:textId="479463E4" w:rsidR="009D16A0" w:rsidRDefault="009D16A0">
      <w:pPr>
        <w:pStyle w:val="Notedebasdepage"/>
      </w:pPr>
      <w:r>
        <w:rPr>
          <w:rStyle w:val="Appelnotedebasdep"/>
        </w:rPr>
        <w:footnoteRef/>
      </w:r>
      <w:r>
        <w:t xml:space="preserve"> </w:t>
      </w:r>
      <w:r w:rsidRPr="00833B62">
        <w:t>Méagui, Danané</w:t>
      </w:r>
    </w:p>
  </w:footnote>
  <w:footnote w:id="17">
    <w:p w14:paraId="435E9953" w14:textId="069E5FAB" w:rsidR="009D16A0" w:rsidRDefault="009D16A0">
      <w:pPr>
        <w:pStyle w:val="Notedebasdepage"/>
      </w:pPr>
      <w:r>
        <w:rPr>
          <w:rStyle w:val="Appelnotedebasdep"/>
        </w:rPr>
        <w:footnoteRef/>
      </w:r>
      <w:r>
        <w:t xml:space="preserve"> </w:t>
      </w:r>
      <w:r w:rsidRPr="005B728D">
        <w:t>Kouto, Ouangolo et Kong</w:t>
      </w:r>
    </w:p>
  </w:footnote>
  <w:footnote w:id="18">
    <w:p w14:paraId="126AF103" w14:textId="3E46F92E" w:rsidR="009D16A0" w:rsidRDefault="009D16A0">
      <w:pPr>
        <w:pStyle w:val="Notedebasdepage"/>
      </w:pPr>
      <w:r>
        <w:rPr>
          <w:rStyle w:val="Appelnotedebasdep"/>
        </w:rPr>
        <w:footnoteRef/>
      </w:r>
      <w:r>
        <w:t xml:space="preserve"> </w:t>
      </w:r>
      <w:r>
        <w:t>Minignan, Katiola, Boundiali</w:t>
      </w:r>
    </w:p>
  </w:footnote>
  <w:footnote w:id="19">
    <w:p w14:paraId="1F5B42BD" w14:textId="2EB0F861" w:rsidR="009D16A0" w:rsidRDefault="009D16A0">
      <w:pPr>
        <w:pStyle w:val="Notedebasdepage"/>
      </w:pPr>
      <w:r>
        <w:rPr>
          <w:rStyle w:val="Appelnotedebasdep"/>
        </w:rPr>
        <w:footnoteRef/>
      </w:r>
      <w:r>
        <w:t xml:space="preserve"> CHU de Treichville ; CHR de Bouaké, Korhogo, San Pedro, Yamoussoukro, Daloa ; Institut de Cardiologie de Bouaké</w:t>
      </w:r>
    </w:p>
  </w:footnote>
  <w:footnote w:id="20">
    <w:p w14:paraId="10CC785F" w14:textId="5FB08D36" w:rsidR="009D16A0" w:rsidRDefault="009D16A0">
      <w:pPr>
        <w:pStyle w:val="Notedebasdepage"/>
      </w:pPr>
      <w:r>
        <w:rPr>
          <w:rStyle w:val="Appelnotedebasdep"/>
        </w:rPr>
        <w:footnoteRef/>
      </w:r>
      <w:r>
        <w:t xml:space="preserve"> PNLT, PNLP, PNLS, PNSME, PEV</w:t>
      </w:r>
    </w:p>
  </w:footnote>
  <w:footnote w:id="21">
    <w:p w14:paraId="1E35E48B" w14:textId="373E9B52" w:rsidR="007B5412" w:rsidRDefault="007B5412">
      <w:pPr>
        <w:pStyle w:val="Notedebasdepage"/>
      </w:pPr>
      <w:r>
        <w:rPr>
          <w:rStyle w:val="Appelnotedebasdep"/>
        </w:rPr>
        <w:footnoteRef/>
      </w:r>
      <w:r>
        <w:t xml:space="preserve"> </w:t>
      </w:r>
      <w:r w:rsidRPr="00966718">
        <w:rPr>
          <w:rFonts w:ascii="Arial Narrow" w:hAnsi="Arial Narrow" w:cs="Arial"/>
          <w:sz w:val="24"/>
          <w:szCs w:val="24"/>
        </w:rPr>
        <w:t>Bondoukou, M'</w:t>
      </w:r>
      <w:r w:rsidRPr="00966718">
        <w:rPr>
          <w:rFonts w:ascii="Arial Narrow" w:hAnsi="Arial Narrow" w:cs="Arial"/>
          <w:sz w:val="24"/>
          <w:szCs w:val="24"/>
        </w:rPr>
        <w:t>Bahiakro, Dimbokro, Korhogo 1, Méagui, Gagnoa 1, Odienné, Sinfra, Aboisso et Tanda).</w:t>
      </w:r>
    </w:p>
  </w:footnote>
  <w:footnote w:id="22">
    <w:p w14:paraId="32CE4E08" w14:textId="5A7E273B" w:rsidR="009D16A0" w:rsidRPr="00504B41" w:rsidRDefault="009D16A0">
      <w:pPr>
        <w:pStyle w:val="Notedebasdepage"/>
      </w:pPr>
      <w:r>
        <w:rPr>
          <w:rStyle w:val="Appelnotedebasdep"/>
        </w:rPr>
        <w:footnoteRef/>
      </w:r>
      <w:r>
        <w:t xml:space="preserve"> Prise en charge de la tuberculose, </w:t>
      </w:r>
      <w:r w:rsidRPr="00382295">
        <w:t>diagnostics des laboratoires et radiologies des centres de diagnostic et traitement de la tuberculose</w:t>
      </w:r>
      <w:r>
        <w:t xml:space="preserve">, </w:t>
      </w:r>
      <w:r w:rsidRPr="00382295">
        <w:t>appui des communautaires (ASC)</w:t>
      </w:r>
    </w:p>
  </w:footnote>
  <w:footnote w:id="23">
    <w:p w14:paraId="5440444C" w14:textId="629730C8" w:rsidR="009F797B" w:rsidRDefault="009F797B">
      <w:pPr>
        <w:pStyle w:val="Notedebasdepage"/>
      </w:pPr>
      <w:r>
        <w:rPr>
          <w:rStyle w:val="Appelnotedebasdep"/>
        </w:rPr>
        <w:footnoteRef/>
      </w:r>
      <w:r>
        <w:t xml:space="preserve"> </w:t>
      </w:r>
      <w:r w:rsidRPr="006A340C">
        <w:rPr>
          <w:rFonts w:ascii="Arial Narrow" w:eastAsia="Times New Roman" w:hAnsi="Arial Narrow" w:cs="Arial"/>
          <w:bCs/>
          <w:kern w:val="0"/>
          <w:sz w:val="24"/>
          <w:szCs w:val="24"/>
          <w:lang w:eastAsia="fr-FR"/>
          <w14:ligatures w14:val="none"/>
        </w:rPr>
        <w:t>Centre de guérison traditionnelle</w:t>
      </w:r>
      <w:r w:rsidRPr="009F797B">
        <w:rPr>
          <w:rFonts w:ascii="Arial Narrow" w:eastAsia="Times New Roman" w:hAnsi="Arial Narrow" w:cs="Arial"/>
          <w:bCs/>
          <w:kern w:val="0"/>
          <w:sz w:val="24"/>
          <w:szCs w:val="24"/>
          <w:lang w:eastAsia="fr-FR"/>
          <w14:ligatures w14:val="none"/>
        </w:rPr>
        <w:t>,</w:t>
      </w:r>
      <w:r w:rsidRPr="006A340C">
        <w:rPr>
          <w:rFonts w:ascii="Arial Narrow" w:eastAsia="Times New Roman" w:hAnsi="Arial Narrow" w:cs="Arial"/>
          <w:bCs/>
          <w:kern w:val="0"/>
          <w:sz w:val="24"/>
          <w:szCs w:val="24"/>
          <w:lang w:eastAsia="fr-FR"/>
          <w14:ligatures w14:val="none"/>
        </w:rPr>
        <w:t xml:space="preserve"> Camp de prière, Centre </w:t>
      </w:r>
      <w:r w:rsidRPr="006A340C">
        <w:rPr>
          <w:rFonts w:ascii="Arial Narrow" w:eastAsia="Times New Roman" w:hAnsi="Arial Narrow" w:cs="Arial"/>
          <w:bCs/>
          <w:kern w:val="0"/>
          <w:sz w:val="24"/>
          <w:szCs w:val="24"/>
          <w:lang w:eastAsia="fr-FR"/>
          <w14:ligatures w14:val="none"/>
        </w:rPr>
        <w:t>Roqya, Centre de Phytothérapie</w:t>
      </w:r>
    </w:p>
  </w:footnote>
  <w:footnote w:id="24">
    <w:p w14:paraId="13CCE343" w14:textId="4DBC4F4F" w:rsidR="009D16A0" w:rsidRDefault="009D16A0">
      <w:pPr>
        <w:pStyle w:val="Notedebasdepage"/>
      </w:pPr>
      <w:r>
        <w:rPr>
          <w:rStyle w:val="Appelnotedebasdep"/>
        </w:rPr>
        <w:footnoteRef/>
      </w:r>
      <w:r>
        <w:t xml:space="preserve"> Ce taux concerne </w:t>
      </w:r>
      <w:r w:rsidRPr="000877AE">
        <w:t>les maladies coronaires, les troubles du rythme et de la conduction</w:t>
      </w:r>
      <w:r>
        <w:t xml:space="preserve">, les cardiopathies congénitales et les </w:t>
      </w:r>
      <w:r w:rsidRPr="00E340FF">
        <w:t>valvulopathies</w:t>
      </w:r>
    </w:p>
  </w:footnote>
  <w:footnote w:id="25">
    <w:p w14:paraId="3FA4B5C1" w14:textId="10C12F9F" w:rsidR="009D16A0" w:rsidRDefault="009D16A0">
      <w:pPr>
        <w:pStyle w:val="Notedebasdepage"/>
      </w:pPr>
      <w:r>
        <w:rPr>
          <w:rStyle w:val="Appelnotedebasdep"/>
        </w:rPr>
        <w:footnoteRef/>
      </w:r>
      <w:r>
        <w:t xml:space="preserve"> L</w:t>
      </w:r>
      <w:r w:rsidRPr="001E17AC">
        <w:t>'INSP, le Centre d’Accompagnement et de Soins en Addiction (CASA), la Croix Bleue, le Centre Régional de Formation à la Lutte contre la Drogue (CRFLD), les hôpitaux psychiatriques de Bingerville et Bouaké et l’hôpital psychiatrique Saint Vincent de Paul de Yamoussoukro</w:t>
      </w:r>
    </w:p>
  </w:footnote>
  <w:footnote w:id="26">
    <w:p w14:paraId="6046ECD9" w14:textId="06833C04" w:rsidR="009D16A0" w:rsidRDefault="009D16A0">
      <w:pPr>
        <w:pStyle w:val="Notedebasdepage"/>
      </w:pPr>
      <w:r>
        <w:rPr>
          <w:rStyle w:val="Appelnotedebasdep"/>
        </w:rPr>
        <w:footnoteRef/>
      </w:r>
      <w:r>
        <w:t xml:space="preserve"> </w:t>
      </w:r>
      <w:r w:rsidRPr="00362FFD">
        <w:t>Agnéby-Tiassa, Béré, Bounkani, Folon, Gontougo, Kabadougou, Sud-Comoé et Poro</w:t>
      </w:r>
    </w:p>
  </w:footnote>
  <w:footnote w:id="27">
    <w:p w14:paraId="3705491B" w14:textId="77777777" w:rsidR="00755D5F" w:rsidRPr="00CB6B7B" w:rsidRDefault="00755D5F" w:rsidP="00755D5F">
      <w:pPr>
        <w:pStyle w:val="Notedebasdepage"/>
        <w:rPr>
          <w:rFonts w:ascii="Times New Roman" w:hAnsi="Times New Roman" w:cs="Times New Roman"/>
          <w:sz w:val="16"/>
          <w:szCs w:val="16"/>
        </w:rPr>
      </w:pPr>
      <w:r w:rsidRPr="00CB6B7B">
        <w:rPr>
          <w:rStyle w:val="Appelnotedebasdep"/>
          <w:rFonts w:ascii="Times New Roman" w:hAnsi="Times New Roman" w:cs="Times New Roman"/>
          <w:sz w:val="16"/>
          <w:szCs w:val="16"/>
        </w:rPr>
        <w:footnoteRef/>
      </w:r>
      <w:r w:rsidRPr="00CB6B7B">
        <w:rPr>
          <w:rFonts w:ascii="Times New Roman" w:hAnsi="Times New Roman" w:cs="Times New Roman"/>
          <w:sz w:val="16"/>
          <w:szCs w:val="16"/>
        </w:rPr>
        <w:t xml:space="preserve"> Les niveaux de contributions des ménages dans les dépenses de santé étaient de 37.61% au Ghana et de 55.8% au Sénégal en 2018.</w:t>
      </w:r>
      <w:r>
        <w:rPr>
          <w:rFonts w:ascii="Times New Roman" w:hAnsi="Times New Roman" w:cs="Times New Roman"/>
          <w:sz w:val="16"/>
          <w:szCs w:val="16"/>
        </w:rPr>
        <w:t xml:space="preserve"> La moyenne dans les pays africains est de 38%.</w:t>
      </w:r>
    </w:p>
  </w:footnote>
  <w:footnote w:id="28">
    <w:p w14:paraId="3A2314D0" w14:textId="77777777" w:rsidR="00E26291" w:rsidRDefault="00E26291" w:rsidP="00E26291">
      <w:pPr>
        <w:pStyle w:val="Notedebasdepage"/>
      </w:pPr>
      <w:r>
        <w:rPr>
          <w:rStyle w:val="Appelnotedebasdep"/>
        </w:rPr>
        <w:footnoteRef/>
      </w:r>
      <w:r>
        <w:t xml:space="preserve"> </w:t>
      </w:r>
      <w:r w:rsidRPr="008D02E9">
        <w:t xml:space="preserve"> Bénin, Burkina Faso, Côte d'Ivoire, Guinée, Mali, Mauritanie, Niger, Sénégal et Togo</w:t>
      </w:r>
    </w:p>
  </w:footnote>
  <w:footnote w:id="29">
    <w:p w14:paraId="4A050060" w14:textId="79025B88" w:rsidR="009D16A0" w:rsidRDefault="009D16A0">
      <w:pPr>
        <w:pStyle w:val="Notedebasdepage"/>
      </w:pPr>
      <w:r>
        <w:rPr>
          <w:rStyle w:val="Appelnotedebasdep"/>
        </w:rPr>
        <w:footnoteRef/>
      </w:r>
      <w:r>
        <w:t xml:space="preserve"> </w:t>
      </w:r>
      <w:hyperlink r:id="rId2" w:history="1">
        <w:r w:rsidRPr="00A918AC">
          <w:rPr>
            <w:rStyle w:val="Lienhypertexte"/>
            <w:rFonts w:ascii="Arial Narrow" w:hAnsi="Arial Narrow" w:cs="Times New Roman"/>
            <w:sz w:val="22"/>
            <w:szCs w:val="22"/>
          </w:rPr>
          <w:t>www.depps.sante.gouv.ci</w:t>
        </w:r>
      </w:hyperlink>
    </w:p>
  </w:footnote>
  <w:footnote w:id="30">
    <w:p w14:paraId="7B6D5725" w14:textId="045C1E33" w:rsidR="00407F12" w:rsidRDefault="00407F12">
      <w:pPr>
        <w:pStyle w:val="Notedebasdepage"/>
      </w:pPr>
      <w:r>
        <w:rPr>
          <w:rStyle w:val="Appelnotedebasdep"/>
        </w:rPr>
        <w:footnoteRef/>
      </w:r>
      <w:r>
        <w:t xml:space="preserve"> </w:t>
      </w:r>
      <w:r w:rsidR="00B8615B">
        <w:t>Téléc</w:t>
      </w:r>
      <w:r>
        <w:t>onsultations</w:t>
      </w:r>
    </w:p>
  </w:footnote>
  <w:footnote w:id="31">
    <w:p w14:paraId="6D7DAC33" w14:textId="77777777" w:rsidR="005B5439" w:rsidRPr="002A5075" w:rsidRDefault="005B5439" w:rsidP="005B5439">
      <w:pPr>
        <w:pStyle w:val="Notedebasdepage"/>
      </w:pPr>
      <w:r w:rsidRPr="00B82295">
        <w:rPr>
          <w:rStyle w:val="Appelnotedebasdep"/>
        </w:rPr>
        <w:footnoteRef/>
      </w:r>
      <w:r w:rsidRPr="002A5075">
        <w:t xml:space="preserve"> Faisabilité élevée – Fort Impact</w:t>
      </w:r>
    </w:p>
  </w:footnote>
  <w:footnote w:id="32">
    <w:p w14:paraId="094417F7" w14:textId="77777777" w:rsidR="005B5439" w:rsidRPr="002A5075" w:rsidRDefault="005B5439" w:rsidP="005B5439">
      <w:pPr>
        <w:pStyle w:val="Notedebasdepage"/>
      </w:pPr>
      <w:r w:rsidRPr="00B82295">
        <w:rPr>
          <w:rStyle w:val="Appelnotedebasdep"/>
        </w:rPr>
        <w:footnoteRef/>
      </w:r>
      <w:r w:rsidRPr="002A5075">
        <w:t xml:space="preserve"> Faisabilité élevée – Impact Faible </w:t>
      </w:r>
    </w:p>
  </w:footnote>
  <w:footnote w:id="33">
    <w:p w14:paraId="145826E4" w14:textId="77777777" w:rsidR="005B5439" w:rsidRPr="002A5075" w:rsidRDefault="005B5439" w:rsidP="005B5439">
      <w:pPr>
        <w:pStyle w:val="Notedebasdepage"/>
      </w:pPr>
      <w:r w:rsidRPr="00B82295">
        <w:rPr>
          <w:rStyle w:val="Appelnotedebasdep"/>
        </w:rPr>
        <w:footnoteRef/>
      </w:r>
      <w:r w:rsidRPr="002A5075">
        <w:t xml:space="preserve"> Faisabilité faible – Fort Impact</w:t>
      </w:r>
    </w:p>
  </w:footnote>
  <w:footnote w:id="34">
    <w:p w14:paraId="4535C768" w14:textId="77777777" w:rsidR="00187D01" w:rsidRPr="002A5075" w:rsidRDefault="00187D01" w:rsidP="00187D01">
      <w:pPr>
        <w:pStyle w:val="Notedebasdepage"/>
      </w:pPr>
      <w:r w:rsidRPr="00B82295">
        <w:rPr>
          <w:rStyle w:val="Appelnotedebasdep"/>
        </w:rPr>
        <w:footnoteRef/>
      </w:r>
      <w:r w:rsidRPr="002A5075">
        <w:t xml:space="preserve"> Faisabilité élevée – Fort Impact</w:t>
      </w:r>
    </w:p>
  </w:footnote>
  <w:footnote w:id="35">
    <w:p w14:paraId="3B2FB53A" w14:textId="77777777" w:rsidR="00187D01" w:rsidRPr="002A5075" w:rsidRDefault="00187D01" w:rsidP="00187D01">
      <w:pPr>
        <w:pStyle w:val="Notedebasdepage"/>
      </w:pPr>
      <w:r w:rsidRPr="00B82295">
        <w:rPr>
          <w:rStyle w:val="Appelnotedebasdep"/>
        </w:rPr>
        <w:footnoteRef/>
      </w:r>
      <w:r w:rsidRPr="002A5075">
        <w:t xml:space="preserve"> Faisabilité élevée – Impact Faible </w:t>
      </w:r>
    </w:p>
  </w:footnote>
  <w:footnote w:id="36">
    <w:p w14:paraId="304840BF" w14:textId="77777777" w:rsidR="00187D01" w:rsidRPr="002A5075" w:rsidRDefault="00187D01" w:rsidP="00187D01">
      <w:pPr>
        <w:pStyle w:val="Notedebasdepage"/>
      </w:pPr>
      <w:r w:rsidRPr="00B82295">
        <w:rPr>
          <w:rStyle w:val="Appelnotedebasdep"/>
        </w:rPr>
        <w:footnoteRef/>
      </w:r>
      <w:r w:rsidRPr="002A5075">
        <w:t xml:space="preserve"> Faisabilité faible – Fort Impact</w:t>
      </w:r>
    </w:p>
  </w:footnote>
  <w:footnote w:id="37">
    <w:p w14:paraId="7CF88882" w14:textId="77777777" w:rsidR="00A34A3E" w:rsidRPr="002A5075" w:rsidRDefault="00A34A3E" w:rsidP="00A34A3E">
      <w:pPr>
        <w:pStyle w:val="Notedebasdepage"/>
      </w:pPr>
      <w:r w:rsidRPr="00B82295">
        <w:rPr>
          <w:rStyle w:val="Appelnotedebasdep"/>
        </w:rPr>
        <w:footnoteRef/>
      </w:r>
      <w:r w:rsidRPr="002A5075">
        <w:t xml:space="preserve"> Faisabilité élevée – Fort Impact</w:t>
      </w:r>
    </w:p>
  </w:footnote>
  <w:footnote w:id="38">
    <w:p w14:paraId="6599CFF2" w14:textId="77777777" w:rsidR="00A34A3E" w:rsidRPr="002A5075" w:rsidRDefault="00A34A3E" w:rsidP="00A34A3E">
      <w:pPr>
        <w:pStyle w:val="Notedebasdepage"/>
      </w:pPr>
      <w:r w:rsidRPr="00B82295">
        <w:rPr>
          <w:rStyle w:val="Appelnotedebasdep"/>
        </w:rPr>
        <w:footnoteRef/>
      </w:r>
      <w:r w:rsidRPr="002A5075">
        <w:t xml:space="preserve"> Faisabilité élevée – Impact Faible </w:t>
      </w:r>
    </w:p>
  </w:footnote>
  <w:footnote w:id="39">
    <w:p w14:paraId="58CB6655" w14:textId="77777777" w:rsidR="00A34A3E" w:rsidRPr="002A5075" w:rsidRDefault="00A34A3E" w:rsidP="00A34A3E">
      <w:pPr>
        <w:pStyle w:val="Notedebasdepage"/>
      </w:pPr>
      <w:r w:rsidRPr="00B82295">
        <w:rPr>
          <w:rStyle w:val="Appelnotedebasdep"/>
        </w:rPr>
        <w:footnoteRef/>
      </w:r>
      <w:r w:rsidRPr="002A5075">
        <w:t xml:space="preserve"> Faisabilité faible – Fort Impact</w:t>
      </w:r>
    </w:p>
  </w:footnote>
  <w:footnote w:id="40">
    <w:p w14:paraId="573D417A" w14:textId="77777777" w:rsidR="00413560" w:rsidRPr="002A5075" w:rsidRDefault="00413560" w:rsidP="00413560">
      <w:pPr>
        <w:pStyle w:val="Notedebasdepage"/>
      </w:pPr>
      <w:r w:rsidRPr="00B82295">
        <w:rPr>
          <w:rStyle w:val="Appelnotedebasdep"/>
        </w:rPr>
        <w:footnoteRef/>
      </w:r>
      <w:r w:rsidRPr="002A5075">
        <w:t xml:space="preserve"> Faisabilité élevée – Fort Impact</w:t>
      </w:r>
    </w:p>
  </w:footnote>
  <w:footnote w:id="41">
    <w:p w14:paraId="6405D962" w14:textId="77777777" w:rsidR="00413560" w:rsidRPr="002A5075" w:rsidRDefault="00413560" w:rsidP="00413560">
      <w:pPr>
        <w:pStyle w:val="Notedebasdepage"/>
      </w:pPr>
      <w:r w:rsidRPr="00B82295">
        <w:rPr>
          <w:rStyle w:val="Appelnotedebasdep"/>
        </w:rPr>
        <w:footnoteRef/>
      </w:r>
      <w:r w:rsidRPr="002A5075">
        <w:t xml:space="preserve"> Faisabilité élevée – Impact Faible </w:t>
      </w:r>
    </w:p>
  </w:footnote>
  <w:footnote w:id="42">
    <w:p w14:paraId="4F716C4D" w14:textId="77777777" w:rsidR="00413560" w:rsidRPr="002A5075" w:rsidRDefault="00413560" w:rsidP="00413560">
      <w:pPr>
        <w:pStyle w:val="Notedebasdepage"/>
      </w:pPr>
      <w:r w:rsidRPr="00B82295">
        <w:rPr>
          <w:rStyle w:val="Appelnotedebasdep"/>
        </w:rPr>
        <w:footnoteRef/>
      </w:r>
      <w:r w:rsidRPr="002A5075">
        <w:t xml:space="preserve"> Faisabilité faible – Fort Impact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D28FA" w14:textId="49D2284A" w:rsidR="00D9052D" w:rsidRDefault="003238C4">
    <w:pPr>
      <w:pStyle w:val="En-tte"/>
    </w:pPr>
    <w:r>
      <w:rPr>
        <w:noProof/>
      </w:rPr>
      <w:pict w14:anchorId="3BABD3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2703657" o:spid="_x0000_s1036" type="#_x0000_t136" style="position:absolute;margin-left:0;margin-top:0;width:682.5pt;height:109.5pt;rotation:315;z-index:-251654144;mso-position-horizontal:center;mso-position-horizontal-relative:margin;mso-position-vertical:center;mso-position-vertical-relative:margin" o:allowincell="f" fillcolor="silver" stroked="f">
          <v:fill opacity=".5"/>
          <v:textpath style="font-family:&quot;Calibri&quot;;font-size:90pt" string="Rapport provisoire"/>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288AF" w14:textId="27E1104B" w:rsidR="009D16A0" w:rsidRDefault="003238C4">
    <w:pPr>
      <w:pStyle w:val="En-tte"/>
    </w:pPr>
    <w:r>
      <w:rPr>
        <w:noProof/>
      </w:rPr>
      <w:pict w14:anchorId="09EB6D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2703666" o:spid="_x0000_s1045" type="#_x0000_t136" style="position:absolute;margin-left:0;margin-top:0;width:682.5pt;height:109.5pt;rotation:315;z-index:-251635712;mso-position-horizontal:center;mso-position-horizontal-relative:margin;mso-position-vertical:center;mso-position-vertical-relative:margin" o:allowincell="f" fillcolor="silver" stroked="f">
          <v:fill opacity=".5"/>
          <v:textpath style="font-family:&quot;Calibri&quot;;font-size:90pt" string="Rapport provisoire"/>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42D51" w14:textId="5D602DB3" w:rsidR="009D16A0" w:rsidRDefault="003238C4" w:rsidP="006D3ACE">
    <w:pPr>
      <w:pStyle w:val="En-tte"/>
      <w:tabs>
        <w:tab w:val="clear" w:pos="9026"/>
        <w:tab w:val="right" w:pos="12191"/>
      </w:tabs>
    </w:pPr>
    <w:r>
      <w:rPr>
        <w:noProof/>
      </w:rPr>
      <w:pict w14:anchorId="32FD1E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2703667" o:spid="_x0000_s1046" type="#_x0000_t136" style="position:absolute;margin-left:0;margin-top:0;width:682.5pt;height:109.5pt;rotation:315;z-index:-251633664;mso-position-horizontal:center;mso-position-horizontal-relative:margin;mso-position-vertical:center;mso-position-vertical-relative:margin" o:allowincell="f" fillcolor="silver" stroked="f">
          <v:fill opacity=".5"/>
          <v:textpath style="font-family:&quot;Calibri&quot;;font-size:90pt" string="Rapport provisoire"/>
          <w10:wrap anchorx="margin" anchory="margin"/>
        </v:shape>
      </w:pict>
    </w:r>
    <w:sdt>
      <w:sdtPr>
        <w:rPr>
          <w:color w:val="FFC000" w:themeColor="accent4"/>
          <w:sz w:val="18"/>
          <w:szCs w:val="18"/>
        </w:rPr>
        <w:alias w:val="Title"/>
        <w:id w:val="967859369"/>
        <w:placeholder>
          <w:docPart w:val="C74F62EF979E4BCEABF81580054321FF"/>
        </w:placeholder>
        <w:dataBinding w:prefixMappings="xmlns:ns0='http://schemas.openxmlformats.org/package/2006/metadata/core-properties' xmlns:ns1='http://purl.org/dc/elements/1.1/'" w:xpath="/ns0:coreProperties[1]/ns1:title[1]" w:storeItemID="{6C3C8BC8-F283-45AE-878A-BAB7291924A1}"/>
        <w:text/>
      </w:sdtPr>
      <w:sdtEndPr/>
      <w:sdtContent>
        <w:r w:rsidR="00B635D8" w:rsidRPr="00F93FC1">
          <w:rPr>
            <w:color w:val="FFC000" w:themeColor="accent4"/>
            <w:sz w:val="18"/>
            <w:szCs w:val="18"/>
          </w:rPr>
          <w:t>Revue du Plan National de Développement Sanitaire 2021-2025</w:t>
        </w:r>
      </w:sdtContent>
    </w:sdt>
    <w:r w:rsidR="009D16A0" w:rsidRPr="00AA7D22">
      <w:rPr>
        <w:color w:val="FFC000" w:themeColor="accent4"/>
        <w:sz w:val="18"/>
        <w:szCs w:val="18"/>
      </w:rPr>
      <w:t xml:space="preserve">  </w:t>
    </w:r>
    <w:r w:rsidR="009D16A0">
      <w:rPr>
        <w:color w:val="FFC000" w:themeColor="accent4"/>
        <w:sz w:val="18"/>
        <w:szCs w:val="18"/>
      </w:rPr>
      <w:tab/>
    </w:r>
    <w:r w:rsidR="009D16A0" w:rsidRPr="00B25392">
      <w:rPr>
        <w:rFonts w:ascii="Arial Narrow" w:hAnsi="Arial Narrow"/>
        <w:bCs/>
        <w:iCs/>
        <w:noProof/>
        <w:color w:val="FF0000"/>
        <w:sz w:val="18"/>
        <w:szCs w:val="18"/>
      </w:rPr>
      <w:t>Projet. V</w:t>
    </w:r>
    <w:r w:rsidR="00BA0C31">
      <w:rPr>
        <w:rFonts w:ascii="Arial Narrow" w:hAnsi="Arial Narrow"/>
        <w:bCs/>
        <w:iCs/>
        <w:noProof/>
        <w:color w:val="FF0000"/>
        <w:sz w:val="18"/>
        <w:szCs w:val="18"/>
      </w:rPr>
      <w:t>4</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17FCF" w14:textId="1D81E4AC" w:rsidR="009D16A0" w:rsidRDefault="003238C4">
    <w:pPr>
      <w:pStyle w:val="En-tte"/>
    </w:pPr>
    <w:r>
      <w:rPr>
        <w:noProof/>
      </w:rPr>
      <w:pict w14:anchorId="460A8A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2703665" o:spid="_x0000_s1044" type="#_x0000_t136" style="position:absolute;margin-left:0;margin-top:0;width:682.5pt;height:109.5pt;rotation:315;z-index:-251637760;mso-position-horizontal:center;mso-position-horizontal-relative:margin;mso-position-vertical:center;mso-position-vertical-relative:margin" o:allowincell="f" fillcolor="silver" stroked="f">
          <v:fill opacity=".5"/>
          <v:textpath style="font-family:&quot;Calibri&quot;;font-size:90pt" string="Rapport provisoir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922E8" w14:textId="6E72388A" w:rsidR="009D16A0" w:rsidRPr="002A5075" w:rsidRDefault="003238C4">
    <w:pPr>
      <w:spacing w:line="264" w:lineRule="auto"/>
      <w:rPr>
        <w:b/>
        <w:i/>
      </w:rPr>
    </w:pPr>
    <w:r>
      <w:rPr>
        <w:noProof/>
      </w:rPr>
      <w:pict w14:anchorId="47316E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2703658" o:spid="_x0000_s1037" type="#_x0000_t136" style="position:absolute;margin-left:0;margin-top:0;width:682.5pt;height:109.5pt;rotation:315;z-index:-251652096;mso-position-horizontal:center;mso-position-horizontal-relative:margin;mso-position-vertical:center;mso-position-vertical-relative:margin" o:allowincell="f" fillcolor="silver" stroked="f">
          <v:fill opacity=".5"/>
          <v:textpath style="font-family:&quot;Calibri&quot;;font-size:90pt" string="Rapport provisoire"/>
          <w10:wrap anchorx="margin" anchory="margin"/>
        </v:shape>
      </w:pict>
    </w:r>
    <w:r w:rsidR="009D16A0" w:rsidRPr="00B82295">
      <w:rPr>
        <w:b/>
        <w:i/>
        <w:noProof/>
        <w:lang w:eastAsia="fr-FR"/>
      </w:rPr>
      <mc:AlternateContent>
        <mc:Choice Requires="wps">
          <w:drawing>
            <wp:anchor distT="0" distB="0" distL="114300" distR="114300" simplePos="0" relativeHeight="251658240" behindDoc="0" locked="0" layoutInCell="1" allowOverlap="1" wp14:anchorId="252D0409" wp14:editId="12914D75">
              <wp:simplePos x="0" y="0"/>
              <wp:positionH relativeFrom="page">
                <wp:posOffset>547662</wp:posOffset>
              </wp:positionH>
              <wp:positionV relativeFrom="margin">
                <wp:posOffset>-630789</wp:posOffset>
              </wp:positionV>
              <wp:extent cx="6483472" cy="10106779"/>
              <wp:effectExtent l="0" t="0" r="12700" b="27940"/>
              <wp:wrapNone/>
              <wp:docPr id="222" name="Rectangle 233"/>
              <wp:cNvGraphicFramePr/>
              <a:graphic xmlns:a="http://schemas.openxmlformats.org/drawingml/2006/main">
                <a:graphicData uri="http://schemas.microsoft.com/office/word/2010/wordprocessingShape">
                  <wps:wsp>
                    <wps:cNvSpPr/>
                    <wps:spPr>
                      <a:xfrm>
                        <a:off x="0" y="0"/>
                        <a:ext cx="6483472" cy="10106779"/>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w16sdtfl="http://schemas.microsoft.com/office/word/2024/wordml/sdtformatlock" xmlns:w16du="http://schemas.microsoft.com/office/word/2023/wordml/word16du">
          <w:pict w14:anchorId="4C4099F3">
            <v:rect id="Rectangle 233" style="position:absolute;margin-left:43.1pt;margin-top:-49.65pt;width:510.5pt;height:795.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middle" o:spid="_x0000_s1026" filled="f" strokecolor="#747070 [1614]" strokeweight="1.25pt" w14:anchorId="67F1A1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">
              <w10:wrap anchorx="page" anchory="margin"/>
            </v:rect>
          </w:pict>
        </mc:Fallback>
      </mc:AlternateContent>
    </w:r>
    <w:sdt>
      <w:sdtPr>
        <w:rPr>
          <w:b/>
          <w:i/>
          <w:sz w:val="20"/>
          <w:szCs w:val="20"/>
        </w:rPr>
        <w:alias w:val="Title"/>
        <w:id w:val="-1834832396"/>
        <w:placeholder>
          <w:docPart w:val="1C750A1E05E947E0B1D1C76334C8E160"/>
        </w:placeholder>
        <w:dataBinding w:prefixMappings="xmlns:ns0='http://schemas.openxmlformats.org/package/2006/metadata/core-properties' xmlns:ns1='http://purl.org/dc/elements/1.1/'" w:xpath="/ns0:coreProperties[1]/ns1:title[1]" w:storeItemID="{6C3C8BC8-F283-45AE-878A-BAB7291924A1}"/>
        <w:text/>
      </w:sdtPr>
      <w:sdtEndPr/>
      <w:sdtContent>
        <w:r w:rsidR="00B635D8">
          <w:rPr>
            <w:b/>
            <w:i/>
            <w:sz w:val="20"/>
            <w:szCs w:val="20"/>
          </w:rPr>
          <w:t>Revue du Plan National de Développement Sanitaire 2021-2025</w:t>
        </w:r>
      </w:sdtContent>
    </w:sdt>
    <w:sdt>
      <w:sdtPr>
        <w:rPr>
          <w:b/>
          <w:i/>
          <w:sz w:val="20"/>
          <w:szCs w:val="20"/>
        </w:rPr>
        <w:alias w:val="Title"/>
        <w:id w:val="-698782164"/>
        <w:placeholder>
          <w:docPart w:val="DB140CF015CA4A46BD0BE1B102E77E98"/>
        </w:placeholder>
        <w:dataBinding w:prefixMappings="xmlns:ns0='http://schemas.openxmlformats.org/package/2006/metadata/core-properties' xmlns:ns1='http://purl.org/dc/elements/1.1/'" w:xpath="/ns0:coreProperties[1]/ns1:title[1]" w:storeItemID="{6C3C8BC8-F283-45AE-878A-BAB7291924A1}"/>
        <w:text/>
      </w:sdtPr>
      <w:sdtEndPr/>
      <w:sdtContent>
        <w:r w:rsidR="00B635D8">
          <w:rPr>
            <w:b/>
            <w:i/>
            <w:sz w:val="20"/>
            <w:szCs w:val="20"/>
          </w:rPr>
          <w:t>Revue du Plan National de Développement Sanitaire 2021-2025</w:t>
        </w:r>
      </w:sdtContent>
    </w:sdt>
    <w:sdt>
      <w:sdtPr>
        <w:rPr>
          <w:b/>
          <w:i/>
          <w:sz w:val="20"/>
          <w:szCs w:val="20"/>
        </w:rPr>
        <w:alias w:val="Title"/>
        <w:id w:val="-355965129"/>
        <w:placeholder>
          <w:docPart w:val="CC18EC86311849A38898400CB2327010"/>
        </w:placeholder>
        <w:dataBinding w:prefixMappings="xmlns:ns0='http://schemas.openxmlformats.org/package/2006/metadata/core-properties' xmlns:ns1='http://purl.org/dc/elements/1.1/'" w:xpath="/ns0:coreProperties[1]/ns1:title[1]" w:storeItemID="{6C3C8BC8-F283-45AE-878A-BAB7291924A1}"/>
        <w:text/>
      </w:sdtPr>
      <w:sdtEndPr/>
      <w:sdtContent>
        <w:r w:rsidR="00B635D8">
          <w:rPr>
            <w:b/>
            <w:i/>
            <w:sz w:val="20"/>
            <w:szCs w:val="20"/>
          </w:rPr>
          <w:t>Revue du Plan National de Développement Sanitaire 2021-2025</w:t>
        </w:r>
      </w:sdtContent>
    </w:sdt>
    <w:sdt>
      <w:sdtPr>
        <w:rPr>
          <w:b/>
          <w:i/>
          <w:sz w:val="20"/>
          <w:szCs w:val="20"/>
        </w:rPr>
        <w:alias w:val="Title"/>
        <w:id w:val="463928895"/>
        <w:placeholder>
          <w:docPart w:val="8AD0F98C5F954F4294B6690614BFCA22"/>
        </w:placeholder>
        <w:dataBinding w:prefixMappings="xmlns:ns0='http://schemas.openxmlformats.org/package/2006/metadata/core-properties' xmlns:ns1='http://purl.org/dc/elements/1.1/'" w:xpath="/ns0:coreProperties[1]/ns1:title[1]" w:storeItemID="{6C3C8BC8-F283-45AE-878A-BAB7291924A1}"/>
        <w:text/>
      </w:sdtPr>
      <w:sdtEndPr/>
      <w:sdtContent>
        <w:r w:rsidR="00B635D8">
          <w:rPr>
            <w:b/>
            <w:i/>
            <w:sz w:val="20"/>
            <w:szCs w:val="20"/>
          </w:rPr>
          <w:t>Revue du Plan National de Développement Sanitaire 2021-2025</w:t>
        </w:r>
      </w:sdtContent>
    </w:sdt>
    <w:sdt>
      <w:sdtPr>
        <w:rPr>
          <w:b/>
          <w:i/>
          <w:sz w:val="20"/>
          <w:szCs w:val="20"/>
        </w:rPr>
        <w:alias w:val="Title"/>
        <w:id w:val="-1373922051"/>
        <w:placeholder>
          <w:docPart w:val="CC3CFA18445D4385A2E8A09A1E446DFA"/>
        </w:placeholder>
        <w:dataBinding w:prefixMappings="xmlns:ns0='http://schemas.openxmlformats.org/package/2006/metadata/core-properties' xmlns:ns1='http://purl.org/dc/elements/1.1/'" w:xpath="/ns0:coreProperties[1]/ns1:title[1]" w:storeItemID="{6C3C8BC8-F283-45AE-878A-BAB7291924A1}"/>
        <w:text/>
      </w:sdtPr>
      <w:sdtEndPr/>
      <w:sdtContent>
        <w:r w:rsidR="00B635D8">
          <w:rPr>
            <w:b/>
            <w:i/>
            <w:sz w:val="20"/>
            <w:szCs w:val="20"/>
          </w:rPr>
          <w:t>Revue du Plan National de Développement Sanitaire 2021-2025</w:t>
        </w:r>
      </w:sdtContent>
    </w:sdt>
    <w:sdt>
      <w:sdtPr>
        <w:rPr>
          <w:b/>
          <w:i/>
          <w:sz w:val="20"/>
          <w:szCs w:val="20"/>
        </w:rPr>
        <w:alias w:val="Title"/>
        <w:id w:val="-1866972311"/>
        <w:placeholder>
          <w:docPart w:val="49F26D59B23947C099F1D08DDE39C794"/>
        </w:placeholder>
        <w:dataBinding w:prefixMappings="xmlns:ns0='http://schemas.openxmlformats.org/package/2006/metadata/core-properties' xmlns:ns1='http://purl.org/dc/elements/1.1/'" w:xpath="/ns0:coreProperties[1]/ns1:title[1]" w:storeItemID="{6C3C8BC8-F283-45AE-878A-BAB7291924A1}"/>
        <w:text/>
      </w:sdtPr>
      <w:sdtEndPr/>
      <w:sdtContent>
        <w:r w:rsidR="00B635D8">
          <w:rPr>
            <w:b/>
            <w:i/>
            <w:sz w:val="20"/>
            <w:szCs w:val="20"/>
          </w:rPr>
          <w:t>Revue du Plan National de Développement Sanitaire 2021-2025</w:t>
        </w:r>
      </w:sdtContent>
    </w:sdt>
    <w:sdt>
      <w:sdtPr>
        <w:rPr>
          <w:b/>
          <w:i/>
          <w:sz w:val="20"/>
          <w:szCs w:val="20"/>
        </w:rPr>
        <w:alias w:val="Title"/>
        <w:id w:val="15524250"/>
        <w:placeholder>
          <w:docPart w:val="4E78528727834091A4C49028A1C894A5"/>
        </w:placeholder>
        <w:dataBinding w:prefixMappings="xmlns:ns0='http://schemas.openxmlformats.org/package/2006/metadata/core-properties' xmlns:ns1='http://purl.org/dc/elements/1.1/'" w:xpath="/ns0:coreProperties[1]/ns1:title[1]" w:storeItemID="{6C3C8BC8-F283-45AE-878A-BAB7291924A1}"/>
        <w:text/>
      </w:sdtPr>
      <w:sdtEndPr/>
      <w:sdtContent>
        <w:r w:rsidR="00B635D8">
          <w:rPr>
            <w:b/>
            <w:i/>
            <w:sz w:val="20"/>
            <w:szCs w:val="20"/>
          </w:rPr>
          <w:t>Revue du Plan National de Développement Sanitaire 2021-2025</w:t>
        </w:r>
      </w:sdtContent>
    </w:sdt>
  </w:p>
  <w:p w14:paraId="3073E5B8" w14:textId="77777777" w:rsidR="009D16A0" w:rsidRPr="002A5075" w:rsidRDefault="009D16A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48662" w14:textId="1F232445" w:rsidR="00D9052D" w:rsidRDefault="003238C4">
    <w:pPr>
      <w:pStyle w:val="En-tte"/>
    </w:pPr>
    <w:r>
      <w:rPr>
        <w:noProof/>
      </w:rPr>
      <w:pict w14:anchorId="6804E7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2703656" o:spid="_x0000_s1035" type="#_x0000_t136" style="position:absolute;margin-left:0;margin-top:0;width:682.5pt;height:109.5pt;rotation:315;z-index:-251656192;mso-position-horizontal:center;mso-position-horizontal-relative:margin;mso-position-vertical:center;mso-position-vertical-relative:margin" o:allowincell="f" fillcolor="silver" stroked="f">
          <v:fill opacity=".5"/>
          <v:textpath style="font-family:&quot;Calibri&quot;;font-size:90pt" string="Rapport provisoir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1DAAA" w14:textId="6CE09C9B" w:rsidR="009D16A0" w:rsidRDefault="003238C4">
    <w:pPr>
      <w:pStyle w:val="En-tte"/>
    </w:pPr>
    <w:r>
      <w:rPr>
        <w:noProof/>
      </w:rPr>
      <w:pict w14:anchorId="51600D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2703660" o:spid="_x0000_s1039" type="#_x0000_t136" style="position:absolute;margin-left:0;margin-top:0;width:682.5pt;height:109.5pt;rotation:315;z-index:-251648000;mso-position-horizontal:center;mso-position-horizontal-relative:margin;mso-position-vertical:center;mso-position-vertical-relative:margin" o:allowincell="f" fillcolor="silver" stroked="f">
          <v:fill opacity=".5"/>
          <v:textpath style="font-family:&quot;Calibri&quot;;font-size:90pt" string="Rapport provisoir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CF77F" w14:textId="053189C2" w:rsidR="00263261" w:rsidRPr="00391DA3" w:rsidRDefault="003238C4" w:rsidP="00263261">
    <w:pPr>
      <w:pStyle w:val="En-tte"/>
      <w:rPr>
        <w:rFonts w:ascii="Arial Narrow" w:hAnsi="Arial Narrow"/>
        <w:color w:val="FF0000"/>
        <w:sz w:val="18"/>
        <w:szCs w:val="18"/>
      </w:rPr>
    </w:pPr>
    <w:r>
      <w:rPr>
        <w:noProof/>
      </w:rPr>
      <w:pict w14:anchorId="72E97D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2703661" o:spid="_x0000_s1040" type="#_x0000_t136" style="position:absolute;margin-left:0;margin-top:0;width:682.5pt;height:109.5pt;rotation:315;z-index:-251645952;mso-position-horizontal:center;mso-position-horizontal-relative:margin;mso-position-vertical:center;mso-position-vertical-relative:margin" o:allowincell="f" fillcolor="silver" stroked="f">
          <v:fill opacity=".5"/>
          <v:textpath style="font-family:&quot;Calibri&quot;;font-size:90pt" string="Rapport provisoire"/>
          <w10:wrap anchorx="margin" anchory="margin"/>
        </v:shape>
      </w:pict>
    </w:r>
    <w:sdt>
      <w:sdtPr>
        <w:rPr>
          <w:color w:val="FFC000" w:themeColor="accent4"/>
          <w:sz w:val="18"/>
          <w:szCs w:val="18"/>
        </w:rPr>
        <w:alias w:val="Title"/>
        <w:id w:val="749933107"/>
        <w:placeholder>
          <w:docPart w:val="4AF8415FAE2F49E5AC931EB631E672D1"/>
        </w:placeholder>
        <w:dataBinding w:prefixMappings="xmlns:ns0='http://schemas.openxmlformats.org/package/2006/metadata/core-properties' xmlns:ns1='http://purl.org/dc/elements/1.1/'" w:xpath="/ns0:coreProperties[1]/ns1:title[1]" w:storeItemID="{6C3C8BC8-F283-45AE-878A-BAB7291924A1}"/>
        <w:text/>
      </w:sdtPr>
      <w:sdtEndPr/>
      <w:sdtContent>
        <w:r w:rsidR="00B635D8">
          <w:rPr>
            <w:color w:val="FFC000" w:themeColor="accent4"/>
            <w:sz w:val="18"/>
            <w:szCs w:val="18"/>
          </w:rPr>
          <w:t>Revue du Plan National de Développement Sanitaire 2021-2025</w:t>
        </w:r>
      </w:sdtContent>
    </w:sdt>
    <w:r w:rsidR="009D16A0" w:rsidRPr="00B82295">
      <w:rPr>
        <w:b/>
        <w:i/>
        <w:noProof/>
        <w:lang w:eastAsia="fr-FR"/>
      </w:rPr>
      <w:t xml:space="preserve"> </w:t>
    </w:r>
    <w:r w:rsidR="00263261">
      <w:rPr>
        <w:b/>
        <w:i/>
        <w:noProof/>
        <w:lang w:eastAsia="fr-FR"/>
      </w:rPr>
      <w:tab/>
    </w:r>
    <w:r w:rsidR="00263261" w:rsidRPr="00B25392">
      <w:rPr>
        <w:rFonts w:ascii="Arial Narrow" w:hAnsi="Arial Narrow"/>
        <w:bCs/>
        <w:iCs/>
        <w:noProof/>
        <w:color w:val="FF0000"/>
        <w:sz w:val="18"/>
        <w:szCs w:val="18"/>
      </w:rPr>
      <w:t>Projet. V</w:t>
    </w:r>
    <w:r w:rsidR="00263261">
      <w:rPr>
        <w:rFonts w:ascii="Arial Narrow" w:hAnsi="Arial Narrow"/>
        <w:bCs/>
        <w:iCs/>
        <w:noProof/>
        <w:color w:val="FF0000"/>
        <w:sz w:val="18"/>
        <w:szCs w:val="18"/>
      </w:rPr>
      <w:t>4</w:t>
    </w:r>
  </w:p>
  <w:p w14:paraId="588C181E" w14:textId="2B8F6F32" w:rsidR="009D16A0" w:rsidRDefault="009D16A0">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614CF" w14:textId="456C329B" w:rsidR="009D16A0" w:rsidRDefault="003238C4">
    <w:pPr>
      <w:pStyle w:val="En-tte"/>
    </w:pPr>
    <w:r>
      <w:rPr>
        <w:noProof/>
      </w:rPr>
      <w:pict w14:anchorId="5DB009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2703659" o:spid="_x0000_s1038" type="#_x0000_t136" style="position:absolute;margin-left:0;margin-top:0;width:682.5pt;height:109.5pt;rotation:315;z-index:-251650048;mso-position-horizontal:center;mso-position-horizontal-relative:margin;mso-position-vertical:center;mso-position-vertical-relative:margin" o:allowincell="f" fillcolor="silver" stroked="f">
          <v:fill opacity=".5"/>
          <v:textpath style="font-family:&quot;Calibri&quot;;font-size:90pt" string="Rapport provisoire"/>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B2393" w14:textId="2603E929" w:rsidR="009D16A0" w:rsidRDefault="003238C4">
    <w:pPr>
      <w:pStyle w:val="En-tte"/>
    </w:pPr>
    <w:r>
      <w:rPr>
        <w:noProof/>
      </w:rPr>
      <w:pict w14:anchorId="5D97DC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2703663" o:spid="_x0000_s1042" type="#_x0000_t136" style="position:absolute;margin-left:0;margin-top:0;width:682.5pt;height:109.5pt;rotation:315;z-index:-251641856;mso-position-horizontal:center;mso-position-horizontal-relative:margin;mso-position-vertical:center;mso-position-vertical-relative:margin" o:allowincell="f" fillcolor="silver" stroked="f">
          <v:fill opacity=".5"/>
          <v:textpath style="font-family:&quot;Calibri&quot;;font-size:90pt" string="Rapport provisoir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F57CE" w14:textId="15A75471" w:rsidR="009D16A0" w:rsidRPr="00391DA3" w:rsidRDefault="003238C4">
    <w:pPr>
      <w:pStyle w:val="En-tte"/>
      <w:rPr>
        <w:rFonts w:ascii="Arial Narrow" w:hAnsi="Arial Narrow"/>
        <w:color w:val="FF0000"/>
        <w:sz w:val="18"/>
        <w:szCs w:val="18"/>
      </w:rPr>
    </w:pPr>
    <w:r>
      <w:rPr>
        <w:noProof/>
      </w:rPr>
      <w:pict w14:anchorId="2CDACA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2703664" o:spid="_x0000_s1043" type="#_x0000_t136" style="position:absolute;margin-left:0;margin-top:0;width:682.5pt;height:109.5pt;rotation:315;z-index:-251639808;mso-position-horizontal:center;mso-position-horizontal-relative:margin;mso-position-vertical:center;mso-position-vertical-relative:margin" o:allowincell="f" fillcolor="silver" stroked="f">
          <v:fill opacity=".5"/>
          <v:textpath style="font-family:&quot;Calibri&quot;;font-size:90pt" string="Rapport provisoire"/>
          <w10:wrap anchorx="margin" anchory="margin"/>
        </v:shape>
      </w:pict>
    </w:r>
    <w:sdt>
      <w:sdtPr>
        <w:rPr>
          <w:color w:val="FFC000" w:themeColor="accent4"/>
          <w:sz w:val="18"/>
          <w:szCs w:val="18"/>
        </w:rPr>
        <w:alias w:val="Title"/>
        <w:id w:val="-704024840"/>
        <w:placeholder>
          <w:docPart w:val="9A9841F7EB9C4C5BA74E444E1C42ED7F"/>
        </w:placeholder>
        <w:dataBinding w:prefixMappings="xmlns:ns0='http://schemas.openxmlformats.org/package/2006/metadata/core-properties' xmlns:ns1='http://purl.org/dc/elements/1.1/'" w:xpath="/ns0:coreProperties[1]/ns1:title[1]" w:storeItemID="{6C3C8BC8-F283-45AE-878A-BAB7291924A1}"/>
        <w:text/>
      </w:sdtPr>
      <w:sdtEndPr/>
      <w:sdtContent>
        <w:r w:rsidR="00B635D8">
          <w:rPr>
            <w:color w:val="FFC000" w:themeColor="accent4"/>
            <w:sz w:val="18"/>
            <w:szCs w:val="18"/>
          </w:rPr>
          <w:t>Revue du Plan National de Développement Sanitaire 2021-2025</w:t>
        </w:r>
      </w:sdtContent>
    </w:sdt>
    <w:r w:rsidR="009D16A0" w:rsidRPr="00AA7D22">
      <w:rPr>
        <w:color w:val="FFC000" w:themeColor="accent4"/>
        <w:sz w:val="18"/>
        <w:szCs w:val="18"/>
      </w:rPr>
      <w:t xml:space="preserve">   </w:t>
    </w:r>
    <w:r w:rsidR="009D16A0" w:rsidRPr="00B25392">
      <w:rPr>
        <w:rFonts w:ascii="Arial Narrow" w:hAnsi="Arial Narrow"/>
        <w:bCs/>
        <w:iCs/>
        <w:noProof/>
        <w:color w:val="FFC000" w:themeColor="accent4"/>
        <w:sz w:val="18"/>
        <w:szCs w:val="18"/>
      </w:rPr>
      <w:tab/>
    </w:r>
    <w:r w:rsidR="00263261">
      <w:rPr>
        <w:rFonts w:ascii="Arial Narrow" w:hAnsi="Arial Narrow"/>
        <w:bCs/>
        <w:iCs/>
        <w:noProof/>
        <w:color w:val="FFC000" w:themeColor="accent4"/>
        <w:sz w:val="18"/>
        <w:szCs w:val="18"/>
      </w:rPr>
      <w:t xml:space="preserve"> </w:t>
    </w:r>
    <w:r w:rsidR="009D16A0" w:rsidRPr="00B25392">
      <w:rPr>
        <w:rFonts w:ascii="Arial Narrow" w:hAnsi="Arial Narrow"/>
        <w:bCs/>
        <w:iCs/>
        <w:noProof/>
        <w:color w:val="FF0000"/>
        <w:sz w:val="18"/>
        <w:szCs w:val="18"/>
      </w:rPr>
      <w:t>Projet. V</w:t>
    </w:r>
    <w:r w:rsidR="00263261">
      <w:rPr>
        <w:rFonts w:ascii="Arial Narrow" w:hAnsi="Arial Narrow"/>
        <w:bCs/>
        <w:iCs/>
        <w:noProof/>
        <w:color w:val="FF0000"/>
        <w:sz w:val="18"/>
        <w:szCs w:val="18"/>
      </w:rPr>
      <w:t>4</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BDDEF" w14:textId="38B763C2" w:rsidR="009D16A0" w:rsidRDefault="003238C4">
    <w:pPr>
      <w:pStyle w:val="En-tte"/>
    </w:pPr>
    <w:r>
      <w:rPr>
        <w:noProof/>
      </w:rPr>
      <w:pict w14:anchorId="3CAFA0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2703662" o:spid="_x0000_s1041" type="#_x0000_t136" style="position:absolute;margin-left:0;margin-top:0;width:682.5pt;height:109.5pt;rotation:315;z-index:-251643904;mso-position-horizontal:center;mso-position-horizontal-relative:margin;mso-position-vertical:center;mso-position-vertical-relative:margin" o:allowincell="f" fillcolor="silver" stroked="f">
          <v:fill opacity=".5"/>
          <v:textpath style="font-family:&quot;Calibri&quot;;font-size:90pt" string="Rapport provisoire"/>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CnU1WBFuu5kucy" int2:id="0LYOzvci">
      <int2:state int2:value="Rejected" int2:type="AugLoop_Text_Critique"/>
    </int2:textHash>
    <int2:textHash int2:hashCode="lDT4EaaaIzt00w" int2:id="1Xh9MyJj">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023FA"/>
    <w:multiLevelType w:val="hybridMultilevel"/>
    <w:tmpl w:val="E16686CE"/>
    <w:lvl w:ilvl="0" w:tplc="349253E0">
      <w:start w:val="1"/>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8A3561"/>
    <w:multiLevelType w:val="hybridMultilevel"/>
    <w:tmpl w:val="50E0326E"/>
    <w:lvl w:ilvl="0" w:tplc="E144A786">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521A02"/>
    <w:multiLevelType w:val="hybridMultilevel"/>
    <w:tmpl w:val="FD00B684"/>
    <w:lvl w:ilvl="0" w:tplc="793A3C36">
      <w:start w:val="1"/>
      <w:numFmt w:val="bullet"/>
      <w:lvlText w:val=""/>
      <w:lvlJc w:val="left"/>
      <w:pPr>
        <w:tabs>
          <w:tab w:val="num" w:pos="720"/>
        </w:tabs>
        <w:ind w:left="720" w:hanging="360"/>
      </w:pPr>
      <w:rPr>
        <w:rFonts w:ascii="Wingdings" w:hAnsi="Wingdings" w:hint="default"/>
      </w:rPr>
    </w:lvl>
    <w:lvl w:ilvl="1" w:tplc="6512CA26" w:tentative="1">
      <w:start w:val="1"/>
      <w:numFmt w:val="bullet"/>
      <w:lvlText w:val=""/>
      <w:lvlJc w:val="left"/>
      <w:pPr>
        <w:tabs>
          <w:tab w:val="num" w:pos="1440"/>
        </w:tabs>
        <w:ind w:left="1440" w:hanging="360"/>
      </w:pPr>
      <w:rPr>
        <w:rFonts w:ascii="Wingdings" w:hAnsi="Wingdings" w:hint="default"/>
      </w:rPr>
    </w:lvl>
    <w:lvl w:ilvl="2" w:tplc="8708A678" w:tentative="1">
      <w:start w:val="1"/>
      <w:numFmt w:val="bullet"/>
      <w:lvlText w:val=""/>
      <w:lvlJc w:val="left"/>
      <w:pPr>
        <w:tabs>
          <w:tab w:val="num" w:pos="2160"/>
        </w:tabs>
        <w:ind w:left="2160" w:hanging="360"/>
      </w:pPr>
      <w:rPr>
        <w:rFonts w:ascii="Wingdings" w:hAnsi="Wingdings" w:hint="default"/>
      </w:rPr>
    </w:lvl>
    <w:lvl w:ilvl="3" w:tplc="F5DA5F0A" w:tentative="1">
      <w:start w:val="1"/>
      <w:numFmt w:val="bullet"/>
      <w:lvlText w:val=""/>
      <w:lvlJc w:val="left"/>
      <w:pPr>
        <w:tabs>
          <w:tab w:val="num" w:pos="2880"/>
        </w:tabs>
        <w:ind w:left="2880" w:hanging="360"/>
      </w:pPr>
      <w:rPr>
        <w:rFonts w:ascii="Wingdings" w:hAnsi="Wingdings" w:hint="default"/>
      </w:rPr>
    </w:lvl>
    <w:lvl w:ilvl="4" w:tplc="7A36DCF4" w:tentative="1">
      <w:start w:val="1"/>
      <w:numFmt w:val="bullet"/>
      <w:lvlText w:val=""/>
      <w:lvlJc w:val="left"/>
      <w:pPr>
        <w:tabs>
          <w:tab w:val="num" w:pos="3600"/>
        </w:tabs>
        <w:ind w:left="3600" w:hanging="360"/>
      </w:pPr>
      <w:rPr>
        <w:rFonts w:ascii="Wingdings" w:hAnsi="Wingdings" w:hint="default"/>
      </w:rPr>
    </w:lvl>
    <w:lvl w:ilvl="5" w:tplc="0C64AACC" w:tentative="1">
      <w:start w:val="1"/>
      <w:numFmt w:val="bullet"/>
      <w:lvlText w:val=""/>
      <w:lvlJc w:val="left"/>
      <w:pPr>
        <w:tabs>
          <w:tab w:val="num" w:pos="4320"/>
        </w:tabs>
        <w:ind w:left="4320" w:hanging="360"/>
      </w:pPr>
      <w:rPr>
        <w:rFonts w:ascii="Wingdings" w:hAnsi="Wingdings" w:hint="default"/>
      </w:rPr>
    </w:lvl>
    <w:lvl w:ilvl="6" w:tplc="F7CE5AAC" w:tentative="1">
      <w:start w:val="1"/>
      <w:numFmt w:val="bullet"/>
      <w:lvlText w:val=""/>
      <w:lvlJc w:val="left"/>
      <w:pPr>
        <w:tabs>
          <w:tab w:val="num" w:pos="5040"/>
        </w:tabs>
        <w:ind w:left="5040" w:hanging="360"/>
      </w:pPr>
      <w:rPr>
        <w:rFonts w:ascii="Wingdings" w:hAnsi="Wingdings" w:hint="default"/>
      </w:rPr>
    </w:lvl>
    <w:lvl w:ilvl="7" w:tplc="DCF68D02" w:tentative="1">
      <w:start w:val="1"/>
      <w:numFmt w:val="bullet"/>
      <w:lvlText w:val=""/>
      <w:lvlJc w:val="left"/>
      <w:pPr>
        <w:tabs>
          <w:tab w:val="num" w:pos="5760"/>
        </w:tabs>
        <w:ind w:left="5760" w:hanging="360"/>
      </w:pPr>
      <w:rPr>
        <w:rFonts w:ascii="Wingdings" w:hAnsi="Wingdings" w:hint="default"/>
      </w:rPr>
    </w:lvl>
    <w:lvl w:ilvl="8" w:tplc="02748F0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851BD1"/>
    <w:multiLevelType w:val="hybridMultilevel"/>
    <w:tmpl w:val="6288886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70275A4"/>
    <w:multiLevelType w:val="hybridMultilevel"/>
    <w:tmpl w:val="B2667C9E"/>
    <w:lvl w:ilvl="0" w:tplc="E144A786">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E6257E"/>
    <w:multiLevelType w:val="hybridMultilevel"/>
    <w:tmpl w:val="07349D22"/>
    <w:lvl w:ilvl="0" w:tplc="300C000D">
      <w:start w:val="1"/>
      <w:numFmt w:val="bullet"/>
      <w:lvlText w:val=""/>
      <w:lvlJc w:val="left"/>
      <w:pPr>
        <w:ind w:left="1791" w:hanging="360"/>
      </w:pPr>
      <w:rPr>
        <w:rFonts w:ascii="Wingdings" w:hAnsi="Wingdings" w:hint="default"/>
      </w:rPr>
    </w:lvl>
    <w:lvl w:ilvl="1" w:tplc="300C0003" w:tentative="1">
      <w:start w:val="1"/>
      <w:numFmt w:val="bullet"/>
      <w:lvlText w:val="o"/>
      <w:lvlJc w:val="left"/>
      <w:pPr>
        <w:ind w:left="2511" w:hanging="360"/>
      </w:pPr>
      <w:rPr>
        <w:rFonts w:ascii="Courier New" w:hAnsi="Courier New" w:cs="Courier New" w:hint="default"/>
      </w:rPr>
    </w:lvl>
    <w:lvl w:ilvl="2" w:tplc="300C0005" w:tentative="1">
      <w:start w:val="1"/>
      <w:numFmt w:val="bullet"/>
      <w:lvlText w:val=""/>
      <w:lvlJc w:val="left"/>
      <w:pPr>
        <w:ind w:left="3231" w:hanging="360"/>
      </w:pPr>
      <w:rPr>
        <w:rFonts w:ascii="Wingdings" w:hAnsi="Wingdings" w:hint="default"/>
      </w:rPr>
    </w:lvl>
    <w:lvl w:ilvl="3" w:tplc="300C0001" w:tentative="1">
      <w:start w:val="1"/>
      <w:numFmt w:val="bullet"/>
      <w:lvlText w:val=""/>
      <w:lvlJc w:val="left"/>
      <w:pPr>
        <w:ind w:left="3951" w:hanging="360"/>
      </w:pPr>
      <w:rPr>
        <w:rFonts w:ascii="Symbol" w:hAnsi="Symbol" w:hint="default"/>
      </w:rPr>
    </w:lvl>
    <w:lvl w:ilvl="4" w:tplc="300C0003" w:tentative="1">
      <w:start w:val="1"/>
      <w:numFmt w:val="bullet"/>
      <w:lvlText w:val="o"/>
      <w:lvlJc w:val="left"/>
      <w:pPr>
        <w:ind w:left="4671" w:hanging="360"/>
      </w:pPr>
      <w:rPr>
        <w:rFonts w:ascii="Courier New" w:hAnsi="Courier New" w:cs="Courier New" w:hint="default"/>
      </w:rPr>
    </w:lvl>
    <w:lvl w:ilvl="5" w:tplc="300C0005" w:tentative="1">
      <w:start w:val="1"/>
      <w:numFmt w:val="bullet"/>
      <w:lvlText w:val=""/>
      <w:lvlJc w:val="left"/>
      <w:pPr>
        <w:ind w:left="5391" w:hanging="360"/>
      </w:pPr>
      <w:rPr>
        <w:rFonts w:ascii="Wingdings" w:hAnsi="Wingdings" w:hint="default"/>
      </w:rPr>
    </w:lvl>
    <w:lvl w:ilvl="6" w:tplc="300C0001" w:tentative="1">
      <w:start w:val="1"/>
      <w:numFmt w:val="bullet"/>
      <w:lvlText w:val=""/>
      <w:lvlJc w:val="left"/>
      <w:pPr>
        <w:ind w:left="6111" w:hanging="360"/>
      </w:pPr>
      <w:rPr>
        <w:rFonts w:ascii="Symbol" w:hAnsi="Symbol" w:hint="default"/>
      </w:rPr>
    </w:lvl>
    <w:lvl w:ilvl="7" w:tplc="300C0003" w:tentative="1">
      <w:start w:val="1"/>
      <w:numFmt w:val="bullet"/>
      <w:lvlText w:val="o"/>
      <w:lvlJc w:val="left"/>
      <w:pPr>
        <w:ind w:left="6831" w:hanging="360"/>
      </w:pPr>
      <w:rPr>
        <w:rFonts w:ascii="Courier New" w:hAnsi="Courier New" w:cs="Courier New" w:hint="default"/>
      </w:rPr>
    </w:lvl>
    <w:lvl w:ilvl="8" w:tplc="300C0005" w:tentative="1">
      <w:start w:val="1"/>
      <w:numFmt w:val="bullet"/>
      <w:lvlText w:val=""/>
      <w:lvlJc w:val="left"/>
      <w:pPr>
        <w:ind w:left="7551" w:hanging="360"/>
      </w:pPr>
      <w:rPr>
        <w:rFonts w:ascii="Wingdings" w:hAnsi="Wingdings" w:hint="default"/>
      </w:rPr>
    </w:lvl>
  </w:abstractNum>
  <w:abstractNum w:abstractNumId="6" w15:restartNumberingAfterBreak="0">
    <w:nsid w:val="09ED73B7"/>
    <w:multiLevelType w:val="hybridMultilevel"/>
    <w:tmpl w:val="F190CA24"/>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A4B1D34"/>
    <w:multiLevelType w:val="hybridMultilevel"/>
    <w:tmpl w:val="D3FC2B1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B893CE4"/>
    <w:multiLevelType w:val="hybridMultilevel"/>
    <w:tmpl w:val="52CE2394"/>
    <w:lvl w:ilvl="0" w:tplc="349253E0">
      <w:start w:val="1"/>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9214F9"/>
    <w:multiLevelType w:val="hybridMultilevel"/>
    <w:tmpl w:val="A17A38A0"/>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10" w15:restartNumberingAfterBreak="0">
    <w:nsid w:val="0BD47040"/>
    <w:multiLevelType w:val="hybridMultilevel"/>
    <w:tmpl w:val="1BD64690"/>
    <w:lvl w:ilvl="0" w:tplc="D152DC1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380491"/>
    <w:multiLevelType w:val="hybridMultilevel"/>
    <w:tmpl w:val="46FE10DC"/>
    <w:lvl w:ilvl="0" w:tplc="349253E0">
      <w:start w:val="1"/>
      <w:numFmt w:val="bullet"/>
      <w:lvlText w:val="-"/>
      <w:lvlJc w:val="left"/>
      <w:pPr>
        <w:ind w:left="720" w:hanging="360"/>
      </w:pPr>
      <w:rPr>
        <w:rFonts w:ascii="Arial Narrow" w:eastAsiaTheme="minorHAnsi" w:hAnsi="Arial Narrow"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C4D1AC3"/>
    <w:multiLevelType w:val="hybridMultilevel"/>
    <w:tmpl w:val="B85C34A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0D7206C9"/>
    <w:multiLevelType w:val="hybridMultilevel"/>
    <w:tmpl w:val="FB9E774C"/>
    <w:lvl w:ilvl="0" w:tplc="D152DC1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8972F3"/>
    <w:multiLevelType w:val="hybridMultilevel"/>
    <w:tmpl w:val="50DEBE8E"/>
    <w:lvl w:ilvl="0" w:tplc="5F1AFCA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DE12018"/>
    <w:multiLevelType w:val="hybridMultilevel"/>
    <w:tmpl w:val="876EFA2E"/>
    <w:lvl w:ilvl="0" w:tplc="300C0001">
      <w:start w:val="1"/>
      <w:numFmt w:val="bullet"/>
      <w:lvlText w:val=""/>
      <w:lvlJc w:val="left"/>
      <w:pPr>
        <w:ind w:left="1146" w:hanging="360"/>
      </w:pPr>
      <w:rPr>
        <w:rFonts w:ascii="Symbol" w:hAnsi="Symbol" w:hint="default"/>
      </w:rPr>
    </w:lvl>
    <w:lvl w:ilvl="1" w:tplc="300C0003" w:tentative="1">
      <w:start w:val="1"/>
      <w:numFmt w:val="bullet"/>
      <w:lvlText w:val="o"/>
      <w:lvlJc w:val="left"/>
      <w:pPr>
        <w:ind w:left="1866" w:hanging="360"/>
      </w:pPr>
      <w:rPr>
        <w:rFonts w:ascii="Courier New" w:hAnsi="Courier New" w:cs="Courier New" w:hint="default"/>
      </w:rPr>
    </w:lvl>
    <w:lvl w:ilvl="2" w:tplc="300C0005" w:tentative="1">
      <w:start w:val="1"/>
      <w:numFmt w:val="bullet"/>
      <w:lvlText w:val=""/>
      <w:lvlJc w:val="left"/>
      <w:pPr>
        <w:ind w:left="2586" w:hanging="360"/>
      </w:pPr>
      <w:rPr>
        <w:rFonts w:ascii="Wingdings" w:hAnsi="Wingdings" w:hint="default"/>
      </w:rPr>
    </w:lvl>
    <w:lvl w:ilvl="3" w:tplc="300C0001" w:tentative="1">
      <w:start w:val="1"/>
      <w:numFmt w:val="bullet"/>
      <w:lvlText w:val=""/>
      <w:lvlJc w:val="left"/>
      <w:pPr>
        <w:ind w:left="3306" w:hanging="360"/>
      </w:pPr>
      <w:rPr>
        <w:rFonts w:ascii="Symbol" w:hAnsi="Symbol" w:hint="default"/>
      </w:rPr>
    </w:lvl>
    <w:lvl w:ilvl="4" w:tplc="300C0003" w:tentative="1">
      <w:start w:val="1"/>
      <w:numFmt w:val="bullet"/>
      <w:lvlText w:val="o"/>
      <w:lvlJc w:val="left"/>
      <w:pPr>
        <w:ind w:left="4026" w:hanging="360"/>
      </w:pPr>
      <w:rPr>
        <w:rFonts w:ascii="Courier New" w:hAnsi="Courier New" w:cs="Courier New" w:hint="default"/>
      </w:rPr>
    </w:lvl>
    <w:lvl w:ilvl="5" w:tplc="300C0005" w:tentative="1">
      <w:start w:val="1"/>
      <w:numFmt w:val="bullet"/>
      <w:lvlText w:val=""/>
      <w:lvlJc w:val="left"/>
      <w:pPr>
        <w:ind w:left="4746" w:hanging="360"/>
      </w:pPr>
      <w:rPr>
        <w:rFonts w:ascii="Wingdings" w:hAnsi="Wingdings" w:hint="default"/>
      </w:rPr>
    </w:lvl>
    <w:lvl w:ilvl="6" w:tplc="300C0001" w:tentative="1">
      <w:start w:val="1"/>
      <w:numFmt w:val="bullet"/>
      <w:lvlText w:val=""/>
      <w:lvlJc w:val="left"/>
      <w:pPr>
        <w:ind w:left="5466" w:hanging="360"/>
      </w:pPr>
      <w:rPr>
        <w:rFonts w:ascii="Symbol" w:hAnsi="Symbol" w:hint="default"/>
      </w:rPr>
    </w:lvl>
    <w:lvl w:ilvl="7" w:tplc="300C0003" w:tentative="1">
      <w:start w:val="1"/>
      <w:numFmt w:val="bullet"/>
      <w:lvlText w:val="o"/>
      <w:lvlJc w:val="left"/>
      <w:pPr>
        <w:ind w:left="6186" w:hanging="360"/>
      </w:pPr>
      <w:rPr>
        <w:rFonts w:ascii="Courier New" w:hAnsi="Courier New" w:cs="Courier New" w:hint="default"/>
      </w:rPr>
    </w:lvl>
    <w:lvl w:ilvl="8" w:tplc="300C0005" w:tentative="1">
      <w:start w:val="1"/>
      <w:numFmt w:val="bullet"/>
      <w:lvlText w:val=""/>
      <w:lvlJc w:val="left"/>
      <w:pPr>
        <w:ind w:left="6906" w:hanging="360"/>
      </w:pPr>
      <w:rPr>
        <w:rFonts w:ascii="Wingdings" w:hAnsi="Wingdings" w:hint="default"/>
      </w:rPr>
    </w:lvl>
  </w:abstractNum>
  <w:abstractNum w:abstractNumId="16" w15:restartNumberingAfterBreak="0">
    <w:nsid w:val="0E7E3778"/>
    <w:multiLevelType w:val="hybridMultilevel"/>
    <w:tmpl w:val="84DA2A26"/>
    <w:lvl w:ilvl="0" w:tplc="300C0001">
      <w:start w:val="1"/>
      <w:numFmt w:val="bullet"/>
      <w:lvlText w:val=""/>
      <w:lvlJc w:val="left"/>
      <w:pPr>
        <w:ind w:left="2520" w:hanging="360"/>
      </w:pPr>
      <w:rPr>
        <w:rFonts w:ascii="Symbol" w:hAnsi="Symbol" w:hint="default"/>
      </w:rPr>
    </w:lvl>
    <w:lvl w:ilvl="1" w:tplc="300C0003" w:tentative="1">
      <w:start w:val="1"/>
      <w:numFmt w:val="bullet"/>
      <w:lvlText w:val="o"/>
      <w:lvlJc w:val="left"/>
      <w:pPr>
        <w:ind w:left="3240" w:hanging="360"/>
      </w:pPr>
      <w:rPr>
        <w:rFonts w:ascii="Courier New" w:hAnsi="Courier New" w:cs="Courier New" w:hint="default"/>
      </w:rPr>
    </w:lvl>
    <w:lvl w:ilvl="2" w:tplc="300C0005" w:tentative="1">
      <w:start w:val="1"/>
      <w:numFmt w:val="bullet"/>
      <w:lvlText w:val=""/>
      <w:lvlJc w:val="left"/>
      <w:pPr>
        <w:ind w:left="3960" w:hanging="360"/>
      </w:pPr>
      <w:rPr>
        <w:rFonts w:ascii="Wingdings" w:hAnsi="Wingdings" w:hint="default"/>
      </w:rPr>
    </w:lvl>
    <w:lvl w:ilvl="3" w:tplc="300C0001" w:tentative="1">
      <w:start w:val="1"/>
      <w:numFmt w:val="bullet"/>
      <w:lvlText w:val=""/>
      <w:lvlJc w:val="left"/>
      <w:pPr>
        <w:ind w:left="4680" w:hanging="360"/>
      </w:pPr>
      <w:rPr>
        <w:rFonts w:ascii="Symbol" w:hAnsi="Symbol" w:hint="default"/>
      </w:rPr>
    </w:lvl>
    <w:lvl w:ilvl="4" w:tplc="300C0003" w:tentative="1">
      <w:start w:val="1"/>
      <w:numFmt w:val="bullet"/>
      <w:lvlText w:val="o"/>
      <w:lvlJc w:val="left"/>
      <w:pPr>
        <w:ind w:left="5400" w:hanging="360"/>
      </w:pPr>
      <w:rPr>
        <w:rFonts w:ascii="Courier New" w:hAnsi="Courier New" w:cs="Courier New" w:hint="default"/>
      </w:rPr>
    </w:lvl>
    <w:lvl w:ilvl="5" w:tplc="300C0005" w:tentative="1">
      <w:start w:val="1"/>
      <w:numFmt w:val="bullet"/>
      <w:lvlText w:val=""/>
      <w:lvlJc w:val="left"/>
      <w:pPr>
        <w:ind w:left="6120" w:hanging="360"/>
      </w:pPr>
      <w:rPr>
        <w:rFonts w:ascii="Wingdings" w:hAnsi="Wingdings" w:hint="default"/>
      </w:rPr>
    </w:lvl>
    <w:lvl w:ilvl="6" w:tplc="300C0001" w:tentative="1">
      <w:start w:val="1"/>
      <w:numFmt w:val="bullet"/>
      <w:lvlText w:val=""/>
      <w:lvlJc w:val="left"/>
      <w:pPr>
        <w:ind w:left="6840" w:hanging="360"/>
      </w:pPr>
      <w:rPr>
        <w:rFonts w:ascii="Symbol" w:hAnsi="Symbol" w:hint="default"/>
      </w:rPr>
    </w:lvl>
    <w:lvl w:ilvl="7" w:tplc="300C0003" w:tentative="1">
      <w:start w:val="1"/>
      <w:numFmt w:val="bullet"/>
      <w:lvlText w:val="o"/>
      <w:lvlJc w:val="left"/>
      <w:pPr>
        <w:ind w:left="7560" w:hanging="360"/>
      </w:pPr>
      <w:rPr>
        <w:rFonts w:ascii="Courier New" w:hAnsi="Courier New" w:cs="Courier New" w:hint="default"/>
      </w:rPr>
    </w:lvl>
    <w:lvl w:ilvl="8" w:tplc="300C0005" w:tentative="1">
      <w:start w:val="1"/>
      <w:numFmt w:val="bullet"/>
      <w:lvlText w:val=""/>
      <w:lvlJc w:val="left"/>
      <w:pPr>
        <w:ind w:left="8280" w:hanging="360"/>
      </w:pPr>
      <w:rPr>
        <w:rFonts w:ascii="Wingdings" w:hAnsi="Wingdings" w:hint="default"/>
      </w:rPr>
    </w:lvl>
  </w:abstractNum>
  <w:abstractNum w:abstractNumId="17" w15:restartNumberingAfterBreak="0">
    <w:nsid w:val="0EA20E00"/>
    <w:multiLevelType w:val="hybridMultilevel"/>
    <w:tmpl w:val="EABE31B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8D4223C"/>
    <w:multiLevelType w:val="hybridMultilevel"/>
    <w:tmpl w:val="0720D722"/>
    <w:lvl w:ilvl="0" w:tplc="349253E0">
      <w:start w:val="1"/>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BB772B"/>
    <w:multiLevelType w:val="hybridMultilevel"/>
    <w:tmpl w:val="AB4E4DFC"/>
    <w:lvl w:ilvl="0" w:tplc="FFFFFFFF">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1D6E4DD1"/>
    <w:multiLevelType w:val="hybridMultilevel"/>
    <w:tmpl w:val="0B809FFE"/>
    <w:lvl w:ilvl="0" w:tplc="300C000F">
      <w:start w:val="1"/>
      <w:numFmt w:val="decimal"/>
      <w:lvlText w:val="%1."/>
      <w:lvlJc w:val="left"/>
      <w:pPr>
        <w:ind w:left="720" w:hanging="360"/>
      </w:p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21" w15:restartNumberingAfterBreak="0">
    <w:nsid w:val="1E711D7B"/>
    <w:multiLevelType w:val="hybridMultilevel"/>
    <w:tmpl w:val="B0E824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F8561D3"/>
    <w:multiLevelType w:val="hybridMultilevel"/>
    <w:tmpl w:val="EFD66E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F8970C4"/>
    <w:multiLevelType w:val="hybridMultilevel"/>
    <w:tmpl w:val="9906F494"/>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25E6244C"/>
    <w:multiLevelType w:val="hybridMultilevel"/>
    <w:tmpl w:val="6E149490"/>
    <w:lvl w:ilvl="0" w:tplc="D152DC1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78435AB"/>
    <w:multiLevelType w:val="hybridMultilevel"/>
    <w:tmpl w:val="4F54CE38"/>
    <w:lvl w:ilvl="0" w:tplc="349253E0">
      <w:start w:val="1"/>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A2F1639"/>
    <w:multiLevelType w:val="hybridMultilevel"/>
    <w:tmpl w:val="8572D5F8"/>
    <w:lvl w:ilvl="0" w:tplc="D152DC1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ACB6A30"/>
    <w:multiLevelType w:val="hybridMultilevel"/>
    <w:tmpl w:val="0B9EFA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C1B51BB"/>
    <w:multiLevelType w:val="hybridMultilevel"/>
    <w:tmpl w:val="B0E824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C5F06DA"/>
    <w:multiLevelType w:val="hybridMultilevel"/>
    <w:tmpl w:val="15CA2804"/>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30" w15:restartNumberingAfterBreak="0">
    <w:nsid w:val="2D164FDD"/>
    <w:multiLevelType w:val="hybridMultilevel"/>
    <w:tmpl w:val="43C069B6"/>
    <w:lvl w:ilvl="0" w:tplc="D152DC1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DB66890"/>
    <w:multiLevelType w:val="hybridMultilevel"/>
    <w:tmpl w:val="F54E338C"/>
    <w:lvl w:ilvl="0" w:tplc="349253E0">
      <w:start w:val="1"/>
      <w:numFmt w:val="bullet"/>
      <w:lvlText w:val="-"/>
      <w:lvlJc w:val="left"/>
      <w:pPr>
        <w:ind w:left="720" w:hanging="360"/>
      </w:pPr>
      <w:rPr>
        <w:rFonts w:ascii="Arial Narrow" w:eastAsiaTheme="minorHAnsi" w:hAnsi="Arial Narrow"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2E75774E"/>
    <w:multiLevelType w:val="hybridMultilevel"/>
    <w:tmpl w:val="97A4F596"/>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FD07587"/>
    <w:multiLevelType w:val="hybridMultilevel"/>
    <w:tmpl w:val="73085DD2"/>
    <w:lvl w:ilvl="0" w:tplc="FFFFFFFF">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304D3DB4"/>
    <w:multiLevelType w:val="hybridMultilevel"/>
    <w:tmpl w:val="BE7C23C2"/>
    <w:lvl w:ilvl="0" w:tplc="D152DC1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25A5ABC"/>
    <w:multiLevelType w:val="hybridMultilevel"/>
    <w:tmpl w:val="30C440B8"/>
    <w:lvl w:ilvl="0" w:tplc="349253E0">
      <w:start w:val="1"/>
      <w:numFmt w:val="bullet"/>
      <w:lvlText w:val="-"/>
      <w:lvlJc w:val="left"/>
      <w:pPr>
        <w:ind w:left="720" w:hanging="360"/>
      </w:pPr>
      <w:rPr>
        <w:rFonts w:ascii="Arial Narrow" w:eastAsiaTheme="minorHAnsi" w:hAnsi="Arial Narrow"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47A654C"/>
    <w:multiLevelType w:val="multilevel"/>
    <w:tmpl w:val="6CEE6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57A511D"/>
    <w:multiLevelType w:val="hybridMultilevel"/>
    <w:tmpl w:val="057231BC"/>
    <w:lvl w:ilvl="0" w:tplc="349253E0">
      <w:start w:val="1"/>
      <w:numFmt w:val="bullet"/>
      <w:lvlText w:val="-"/>
      <w:lvlJc w:val="left"/>
      <w:pPr>
        <w:ind w:left="720" w:hanging="360"/>
      </w:pPr>
      <w:rPr>
        <w:rFonts w:ascii="Arial Narrow" w:eastAsiaTheme="minorHAnsi" w:hAnsi="Arial Narrow" w:cstheme="minorBidi"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38" w15:restartNumberingAfterBreak="0">
    <w:nsid w:val="38682A84"/>
    <w:multiLevelType w:val="hybridMultilevel"/>
    <w:tmpl w:val="67C0CB6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39397DDF"/>
    <w:multiLevelType w:val="hybridMultilevel"/>
    <w:tmpl w:val="3ED27E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3A8F31D2"/>
    <w:multiLevelType w:val="hybridMultilevel"/>
    <w:tmpl w:val="F8C0A0C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3D0642E7"/>
    <w:multiLevelType w:val="hybridMultilevel"/>
    <w:tmpl w:val="BF48C094"/>
    <w:lvl w:ilvl="0" w:tplc="D152DC1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03A37B5"/>
    <w:multiLevelType w:val="hybridMultilevel"/>
    <w:tmpl w:val="9ECEB8B8"/>
    <w:lvl w:ilvl="0" w:tplc="349253E0">
      <w:start w:val="1"/>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184207E"/>
    <w:multiLevelType w:val="hybridMultilevel"/>
    <w:tmpl w:val="72FCC13C"/>
    <w:lvl w:ilvl="0" w:tplc="5F1AFCA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26B32B8"/>
    <w:multiLevelType w:val="hybridMultilevel"/>
    <w:tmpl w:val="075A7CA0"/>
    <w:lvl w:ilvl="0" w:tplc="754C6766">
      <w:start w:val="1"/>
      <w:numFmt w:val="bullet"/>
      <w:lvlText w:val=""/>
      <w:lvlJc w:val="left"/>
      <w:pPr>
        <w:ind w:left="720" w:hanging="360"/>
      </w:pPr>
      <w:rPr>
        <w:rFonts w:ascii="Symbol" w:hAnsi="Symbol"/>
      </w:rPr>
    </w:lvl>
    <w:lvl w:ilvl="1" w:tplc="2312DFE2">
      <w:start w:val="1"/>
      <w:numFmt w:val="bullet"/>
      <w:lvlText w:val=""/>
      <w:lvlJc w:val="left"/>
      <w:pPr>
        <w:ind w:left="720" w:hanging="360"/>
      </w:pPr>
      <w:rPr>
        <w:rFonts w:ascii="Symbol" w:hAnsi="Symbol"/>
      </w:rPr>
    </w:lvl>
    <w:lvl w:ilvl="2" w:tplc="7A4C43DE">
      <w:start w:val="1"/>
      <w:numFmt w:val="bullet"/>
      <w:lvlText w:val=""/>
      <w:lvlJc w:val="left"/>
      <w:pPr>
        <w:ind w:left="720" w:hanging="360"/>
      </w:pPr>
      <w:rPr>
        <w:rFonts w:ascii="Symbol" w:hAnsi="Symbol"/>
      </w:rPr>
    </w:lvl>
    <w:lvl w:ilvl="3" w:tplc="13609392">
      <w:start w:val="1"/>
      <w:numFmt w:val="bullet"/>
      <w:lvlText w:val=""/>
      <w:lvlJc w:val="left"/>
      <w:pPr>
        <w:ind w:left="720" w:hanging="360"/>
      </w:pPr>
      <w:rPr>
        <w:rFonts w:ascii="Symbol" w:hAnsi="Symbol"/>
      </w:rPr>
    </w:lvl>
    <w:lvl w:ilvl="4" w:tplc="B2CAA2B2">
      <w:start w:val="1"/>
      <w:numFmt w:val="bullet"/>
      <w:lvlText w:val=""/>
      <w:lvlJc w:val="left"/>
      <w:pPr>
        <w:ind w:left="720" w:hanging="360"/>
      </w:pPr>
      <w:rPr>
        <w:rFonts w:ascii="Symbol" w:hAnsi="Symbol"/>
      </w:rPr>
    </w:lvl>
    <w:lvl w:ilvl="5" w:tplc="04C8B350">
      <w:start w:val="1"/>
      <w:numFmt w:val="bullet"/>
      <w:lvlText w:val=""/>
      <w:lvlJc w:val="left"/>
      <w:pPr>
        <w:ind w:left="720" w:hanging="360"/>
      </w:pPr>
      <w:rPr>
        <w:rFonts w:ascii="Symbol" w:hAnsi="Symbol"/>
      </w:rPr>
    </w:lvl>
    <w:lvl w:ilvl="6" w:tplc="A4D641CE">
      <w:start w:val="1"/>
      <w:numFmt w:val="bullet"/>
      <w:lvlText w:val=""/>
      <w:lvlJc w:val="left"/>
      <w:pPr>
        <w:ind w:left="720" w:hanging="360"/>
      </w:pPr>
      <w:rPr>
        <w:rFonts w:ascii="Symbol" w:hAnsi="Symbol"/>
      </w:rPr>
    </w:lvl>
    <w:lvl w:ilvl="7" w:tplc="EED86302">
      <w:start w:val="1"/>
      <w:numFmt w:val="bullet"/>
      <w:lvlText w:val=""/>
      <w:lvlJc w:val="left"/>
      <w:pPr>
        <w:ind w:left="720" w:hanging="360"/>
      </w:pPr>
      <w:rPr>
        <w:rFonts w:ascii="Symbol" w:hAnsi="Symbol"/>
      </w:rPr>
    </w:lvl>
    <w:lvl w:ilvl="8" w:tplc="B46C482C">
      <w:start w:val="1"/>
      <w:numFmt w:val="bullet"/>
      <w:lvlText w:val=""/>
      <w:lvlJc w:val="left"/>
      <w:pPr>
        <w:ind w:left="720" w:hanging="360"/>
      </w:pPr>
      <w:rPr>
        <w:rFonts w:ascii="Symbol" w:hAnsi="Symbol"/>
      </w:rPr>
    </w:lvl>
  </w:abstractNum>
  <w:abstractNum w:abstractNumId="45" w15:restartNumberingAfterBreak="0">
    <w:nsid w:val="43206F09"/>
    <w:multiLevelType w:val="hybridMultilevel"/>
    <w:tmpl w:val="DEFA9FE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45C83F2B"/>
    <w:multiLevelType w:val="hybridMultilevel"/>
    <w:tmpl w:val="27044F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45D11F36"/>
    <w:multiLevelType w:val="hybridMultilevel"/>
    <w:tmpl w:val="1D12A952"/>
    <w:lvl w:ilvl="0" w:tplc="040C0017">
      <w:start w:val="1"/>
      <w:numFmt w:val="lowerLetter"/>
      <w:lvlText w:val="%1)"/>
      <w:lvlJc w:val="left"/>
      <w:pPr>
        <w:ind w:left="1800" w:hanging="360"/>
      </w:pPr>
    </w:lvl>
    <w:lvl w:ilvl="1" w:tplc="040C0019">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48" w15:restartNumberingAfterBreak="0">
    <w:nsid w:val="46A734CE"/>
    <w:multiLevelType w:val="hybridMultilevel"/>
    <w:tmpl w:val="F8B6F572"/>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49" w15:restartNumberingAfterBreak="0">
    <w:nsid w:val="48BA3C27"/>
    <w:multiLevelType w:val="hybridMultilevel"/>
    <w:tmpl w:val="A43E63CA"/>
    <w:lvl w:ilvl="0" w:tplc="A0046A06">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98D741C"/>
    <w:multiLevelType w:val="hybridMultilevel"/>
    <w:tmpl w:val="53204D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49FE59B2"/>
    <w:multiLevelType w:val="hybridMultilevel"/>
    <w:tmpl w:val="98009BAC"/>
    <w:lvl w:ilvl="0" w:tplc="7E8E7286">
      <w:start w:val="1"/>
      <w:numFmt w:val="bullet"/>
      <w:lvlText w:val=""/>
      <w:lvlJc w:val="left"/>
      <w:pPr>
        <w:tabs>
          <w:tab w:val="num" w:pos="720"/>
        </w:tabs>
        <w:ind w:left="720" w:hanging="360"/>
      </w:pPr>
      <w:rPr>
        <w:rFonts w:ascii="Wingdings" w:hAnsi="Wingdings" w:hint="default"/>
      </w:rPr>
    </w:lvl>
    <w:lvl w:ilvl="1" w:tplc="0E36A78A">
      <w:start w:val="1"/>
      <w:numFmt w:val="bullet"/>
      <w:lvlText w:val=""/>
      <w:lvlJc w:val="left"/>
      <w:pPr>
        <w:tabs>
          <w:tab w:val="num" w:pos="1440"/>
        </w:tabs>
        <w:ind w:left="1440" w:hanging="360"/>
      </w:pPr>
      <w:rPr>
        <w:rFonts w:ascii="Wingdings" w:hAnsi="Wingdings" w:hint="default"/>
      </w:rPr>
    </w:lvl>
    <w:lvl w:ilvl="2" w:tplc="F83CAC96" w:tentative="1">
      <w:start w:val="1"/>
      <w:numFmt w:val="bullet"/>
      <w:lvlText w:val=""/>
      <w:lvlJc w:val="left"/>
      <w:pPr>
        <w:tabs>
          <w:tab w:val="num" w:pos="2160"/>
        </w:tabs>
        <w:ind w:left="2160" w:hanging="360"/>
      </w:pPr>
      <w:rPr>
        <w:rFonts w:ascii="Wingdings" w:hAnsi="Wingdings" w:hint="default"/>
      </w:rPr>
    </w:lvl>
    <w:lvl w:ilvl="3" w:tplc="A4526A5A" w:tentative="1">
      <w:start w:val="1"/>
      <w:numFmt w:val="bullet"/>
      <w:lvlText w:val=""/>
      <w:lvlJc w:val="left"/>
      <w:pPr>
        <w:tabs>
          <w:tab w:val="num" w:pos="2880"/>
        </w:tabs>
        <w:ind w:left="2880" w:hanging="360"/>
      </w:pPr>
      <w:rPr>
        <w:rFonts w:ascii="Wingdings" w:hAnsi="Wingdings" w:hint="default"/>
      </w:rPr>
    </w:lvl>
    <w:lvl w:ilvl="4" w:tplc="715EBBD4" w:tentative="1">
      <w:start w:val="1"/>
      <w:numFmt w:val="bullet"/>
      <w:lvlText w:val=""/>
      <w:lvlJc w:val="left"/>
      <w:pPr>
        <w:tabs>
          <w:tab w:val="num" w:pos="3600"/>
        </w:tabs>
        <w:ind w:left="3600" w:hanging="360"/>
      </w:pPr>
      <w:rPr>
        <w:rFonts w:ascii="Wingdings" w:hAnsi="Wingdings" w:hint="default"/>
      </w:rPr>
    </w:lvl>
    <w:lvl w:ilvl="5" w:tplc="5D76EA20" w:tentative="1">
      <w:start w:val="1"/>
      <w:numFmt w:val="bullet"/>
      <w:lvlText w:val=""/>
      <w:lvlJc w:val="left"/>
      <w:pPr>
        <w:tabs>
          <w:tab w:val="num" w:pos="4320"/>
        </w:tabs>
        <w:ind w:left="4320" w:hanging="360"/>
      </w:pPr>
      <w:rPr>
        <w:rFonts w:ascii="Wingdings" w:hAnsi="Wingdings" w:hint="default"/>
      </w:rPr>
    </w:lvl>
    <w:lvl w:ilvl="6" w:tplc="5D1429A0" w:tentative="1">
      <w:start w:val="1"/>
      <w:numFmt w:val="bullet"/>
      <w:lvlText w:val=""/>
      <w:lvlJc w:val="left"/>
      <w:pPr>
        <w:tabs>
          <w:tab w:val="num" w:pos="5040"/>
        </w:tabs>
        <w:ind w:left="5040" w:hanging="360"/>
      </w:pPr>
      <w:rPr>
        <w:rFonts w:ascii="Wingdings" w:hAnsi="Wingdings" w:hint="default"/>
      </w:rPr>
    </w:lvl>
    <w:lvl w:ilvl="7" w:tplc="49849DF0" w:tentative="1">
      <w:start w:val="1"/>
      <w:numFmt w:val="bullet"/>
      <w:lvlText w:val=""/>
      <w:lvlJc w:val="left"/>
      <w:pPr>
        <w:tabs>
          <w:tab w:val="num" w:pos="5760"/>
        </w:tabs>
        <w:ind w:left="5760" w:hanging="360"/>
      </w:pPr>
      <w:rPr>
        <w:rFonts w:ascii="Wingdings" w:hAnsi="Wingdings" w:hint="default"/>
      </w:rPr>
    </w:lvl>
    <w:lvl w:ilvl="8" w:tplc="99BE7BCC"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CD24774"/>
    <w:multiLevelType w:val="hybridMultilevel"/>
    <w:tmpl w:val="E7961E8C"/>
    <w:lvl w:ilvl="0" w:tplc="FFFFFFFF">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54116195"/>
    <w:multiLevelType w:val="hybridMultilevel"/>
    <w:tmpl w:val="A43E8850"/>
    <w:lvl w:ilvl="0" w:tplc="862478FE">
      <w:start w:val="3"/>
      <w:numFmt w:val="bullet"/>
      <w:lvlText w:val=""/>
      <w:lvlJc w:val="left"/>
      <w:pPr>
        <w:ind w:left="720" w:hanging="360"/>
      </w:pPr>
      <w:rPr>
        <w:rFonts w:ascii="Wingdings" w:eastAsiaTheme="minorHAnsi" w:hAnsi="Wingdings" w:cstheme="minorHAns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55A15F4"/>
    <w:multiLevelType w:val="hybridMultilevel"/>
    <w:tmpl w:val="AB72C676"/>
    <w:lvl w:ilvl="0" w:tplc="FFFFFFFF">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555E40E2"/>
    <w:multiLevelType w:val="hybridMultilevel"/>
    <w:tmpl w:val="CB62E6FA"/>
    <w:lvl w:ilvl="0" w:tplc="D152DC1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5BC5F1E"/>
    <w:multiLevelType w:val="hybridMultilevel"/>
    <w:tmpl w:val="979CB104"/>
    <w:lvl w:ilvl="0" w:tplc="FFFFFFFF">
      <w:start w:val="1"/>
      <w:numFmt w:val="bullet"/>
      <w:lvlText w:val="o"/>
      <w:lvlJc w:val="left"/>
      <w:pPr>
        <w:ind w:left="720" w:hanging="360"/>
      </w:pPr>
      <w:rPr>
        <w:rFonts w:ascii="Courier New" w:hAnsi="Courier New" w:cs="Courier New" w:hint="default"/>
      </w:rPr>
    </w:lvl>
    <w:lvl w:ilvl="1" w:tplc="300C0003">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57" w15:restartNumberingAfterBreak="0">
    <w:nsid w:val="58DE0D39"/>
    <w:multiLevelType w:val="hybridMultilevel"/>
    <w:tmpl w:val="0EE48F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590439B8"/>
    <w:multiLevelType w:val="hybridMultilevel"/>
    <w:tmpl w:val="4F8E8F44"/>
    <w:lvl w:ilvl="0" w:tplc="349253E0">
      <w:start w:val="1"/>
      <w:numFmt w:val="bullet"/>
      <w:lvlText w:val="-"/>
      <w:lvlJc w:val="left"/>
      <w:pPr>
        <w:ind w:left="360" w:hanging="360"/>
      </w:pPr>
      <w:rPr>
        <w:rFonts w:ascii="Arial Narrow" w:eastAsiaTheme="minorHAnsi" w:hAnsi="Arial Narrow" w:cstheme="minorBid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5A4D1623"/>
    <w:multiLevelType w:val="hybridMultilevel"/>
    <w:tmpl w:val="B23AD5D6"/>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60" w15:restartNumberingAfterBreak="0">
    <w:nsid w:val="5CAE4957"/>
    <w:multiLevelType w:val="hybridMultilevel"/>
    <w:tmpl w:val="834EAA84"/>
    <w:lvl w:ilvl="0" w:tplc="D152DC1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D875D87"/>
    <w:multiLevelType w:val="hybridMultilevel"/>
    <w:tmpl w:val="E71005E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2A81A9B"/>
    <w:multiLevelType w:val="hybridMultilevel"/>
    <w:tmpl w:val="BE881AF0"/>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63" w15:restartNumberingAfterBreak="0">
    <w:nsid w:val="6508390E"/>
    <w:multiLevelType w:val="hybridMultilevel"/>
    <w:tmpl w:val="72885EE8"/>
    <w:lvl w:ilvl="0" w:tplc="FFFFFFFF">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66CE451E"/>
    <w:multiLevelType w:val="hybridMultilevel"/>
    <w:tmpl w:val="9ED01DAA"/>
    <w:lvl w:ilvl="0" w:tplc="349253E0">
      <w:start w:val="1"/>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6F92D9D"/>
    <w:multiLevelType w:val="hybridMultilevel"/>
    <w:tmpl w:val="52448C4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686E1E35"/>
    <w:multiLevelType w:val="hybridMultilevel"/>
    <w:tmpl w:val="119E1FB4"/>
    <w:lvl w:ilvl="0" w:tplc="D152DC1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9C85AB8"/>
    <w:multiLevelType w:val="hybridMultilevel"/>
    <w:tmpl w:val="FAC8773E"/>
    <w:lvl w:ilvl="0" w:tplc="0E9E23CA">
      <w:start w:val="1"/>
      <w:numFmt w:val="bullet"/>
      <w:lvlText w:val="o"/>
      <w:lvlJc w:val="left"/>
      <w:pPr>
        <w:tabs>
          <w:tab w:val="num" w:pos="720"/>
        </w:tabs>
        <w:ind w:left="720" w:hanging="360"/>
      </w:pPr>
      <w:rPr>
        <w:rFonts w:ascii="Courier New" w:hAnsi="Courier New" w:hint="default"/>
      </w:rPr>
    </w:lvl>
    <w:lvl w:ilvl="1" w:tplc="3F02AA5E">
      <w:start w:val="1"/>
      <w:numFmt w:val="bullet"/>
      <w:lvlText w:val="o"/>
      <w:lvlJc w:val="left"/>
      <w:pPr>
        <w:tabs>
          <w:tab w:val="num" w:pos="1440"/>
        </w:tabs>
        <w:ind w:left="1440" w:hanging="360"/>
      </w:pPr>
      <w:rPr>
        <w:rFonts w:ascii="Courier New" w:hAnsi="Courier New" w:hint="default"/>
      </w:rPr>
    </w:lvl>
    <w:lvl w:ilvl="2" w:tplc="4BA8FE26" w:tentative="1">
      <w:start w:val="1"/>
      <w:numFmt w:val="bullet"/>
      <w:lvlText w:val="o"/>
      <w:lvlJc w:val="left"/>
      <w:pPr>
        <w:tabs>
          <w:tab w:val="num" w:pos="2160"/>
        </w:tabs>
        <w:ind w:left="2160" w:hanging="360"/>
      </w:pPr>
      <w:rPr>
        <w:rFonts w:ascii="Courier New" w:hAnsi="Courier New" w:hint="default"/>
      </w:rPr>
    </w:lvl>
    <w:lvl w:ilvl="3" w:tplc="9EA6D6D4" w:tentative="1">
      <w:start w:val="1"/>
      <w:numFmt w:val="bullet"/>
      <w:lvlText w:val="o"/>
      <w:lvlJc w:val="left"/>
      <w:pPr>
        <w:tabs>
          <w:tab w:val="num" w:pos="2880"/>
        </w:tabs>
        <w:ind w:left="2880" w:hanging="360"/>
      </w:pPr>
      <w:rPr>
        <w:rFonts w:ascii="Courier New" w:hAnsi="Courier New" w:hint="default"/>
      </w:rPr>
    </w:lvl>
    <w:lvl w:ilvl="4" w:tplc="3EA6BE18" w:tentative="1">
      <w:start w:val="1"/>
      <w:numFmt w:val="bullet"/>
      <w:lvlText w:val="o"/>
      <w:lvlJc w:val="left"/>
      <w:pPr>
        <w:tabs>
          <w:tab w:val="num" w:pos="3600"/>
        </w:tabs>
        <w:ind w:left="3600" w:hanging="360"/>
      </w:pPr>
      <w:rPr>
        <w:rFonts w:ascii="Courier New" w:hAnsi="Courier New" w:hint="default"/>
      </w:rPr>
    </w:lvl>
    <w:lvl w:ilvl="5" w:tplc="362480A8" w:tentative="1">
      <w:start w:val="1"/>
      <w:numFmt w:val="bullet"/>
      <w:lvlText w:val="o"/>
      <w:lvlJc w:val="left"/>
      <w:pPr>
        <w:tabs>
          <w:tab w:val="num" w:pos="4320"/>
        </w:tabs>
        <w:ind w:left="4320" w:hanging="360"/>
      </w:pPr>
      <w:rPr>
        <w:rFonts w:ascii="Courier New" w:hAnsi="Courier New" w:hint="default"/>
      </w:rPr>
    </w:lvl>
    <w:lvl w:ilvl="6" w:tplc="28A81E5C" w:tentative="1">
      <w:start w:val="1"/>
      <w:numFmt w:val="bullet"/>
      <w:lvlText w:val="o"/>
      <w:lvlJc w:val="left"/>
      <w:pPr>
        <w:tabs>
          <w:tab w:val="num" w:pos="5040"/>
        </w:tabs>
        <w:ind w:left="5040" w:hanging="360"/>
      </w:pPr>
      <w:rPr>
        <w:rFonts w:ascii="Courier New" w:hAnsi="Courier New" w:hint="default"/>
      </w:rPr>
    </w:lvl>
    <w:lvl w:ilvl="7" w:tplc="F51A88CC" w:tentative="1">
      <w:start w:val="1"/>
      <w:numFmt w:val="bullet"/>
      <w:lvlText w:val="o"/>
      <w:lvlJc w:val="left"/>
      <w:pPr>
        <w:tabs>
          <w:tab w:val="num" w:pos="5760"/>
        </w:tabs>
        <w:ind w:left="5760" w:hanging="360"/>
      </w:pPr>
      <w:rPr>
        <w:rFonts w:ascii="Courier New" w:hAnsi="Courier New" w:hint="default"/>
      </w:rPr>
    </w:lvl>
    <w:lvl w:ilvl="8" w:tplc="6374F472" w:tentative="1">
      <w:start w:val="1"/>
      <w:numFmt w:val="bullet"/>
      <w:lvlText w:val="o"/>
      <w:lvlJc w:val="left"/>
      <w:pPr>
        <w:tabs>
          <w:tab w:val="num" w:pos="6480"/>
        </w:tabs>
        <w:ind w:left="6480" w:hanging="360"/>
      </w:pPr>
      <w:rPr>
        <w:rFonts w:ascii="Courier New" w:hAnsi="Courier New" w:hint="default"/>
      </w:rPr>
    </w:lvl>
  </w:abstractNum>
  <w:abstractNum w:abstractNumId="68" w15:restartNumberingAfterBreak="0">
    <w:nsid w:val="69F5281F"/>
    <w:multiLevelType w:val="hybridMultilevel"/>
    <w:tmpl w:val="EFB0EF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C06761D"/>
    <w:multiLevelType w:val="hybridMultilevel"/>
    <w:tmpl w:val="2F448E5A"/>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6C8629FF"/>
    <w:multiLevelType w:val="hybridMultilevel"/>
    <w:tmpl w:val="9D50A90C"/>
    <w:lvl w:ilvl="0" w:tplc="D152DC1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CEE3C2B"/>
    <w:multiLevelType w:val="hybridMultilevel"/>
    <w:tmpl w:val="E4D8E7D4"/>
    <w:lvl w:ilvl="0" w:tplc="D152DC1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29340EC"/>
    <w:multiLevelType w:val="hybridMultilevel"/>
    <w:tmpl w:val="28546B18"/>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73" w15:restartNumberingAfterBreak="0">
    <w:nsid w:val="7393306A"/>
    <w:multiLevelType w:val="hybridMultilevel"/>
    <w:tmpl w:val="0D46B3C4"/>
    <w:lvl w:ilvl="0" w:tplc="D152DC1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3FD7BD3"/>
    <w:multiLevelType w:val="hybridMultilevel"/>
    <w:tmpl w:val="CE647F7C"/>
    <w:lvl w:ilvl="0" w:tplc="040C000F">
      <w:start w:val="1"/>
      <w:numFmt w:val="decimal"/>
      <w:lvlText w:val="%1."/>
      <w:lvlJc w:val="left"/>
      <w:pPr>
        <w:ind w:left="720" w:hanging="360"/>
      </w:pPr>
    </w:lvl>
    <w:lvl w:ilvl="1" w:tplc="546E9584">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74412E76"/>
    <w:multiLevelType w:val="hybridMultilevel"/>
    <w:tmpl w:val="3EB88F0A"/>
    <w:lvl w:ilvl="0" w:tplc="D152DC1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55E7756"/>
    <w:multiLevelType w:val="hybridMultilevel"/>
    <w:tmpl w:val="AA4CC4EE"/>
    <w:lvl w:ilvl="0" w:tplc="D152DC1E">
      <w:start w:val="1"/>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75D779A0"/>
    <w:multiLevelType w:val="hybridMultilevel"/>
    <w:tmpl w:val="6B1E007E"/>
    <w:lvl w:ilvl="0" w:tplc="D152DC1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95035B1"/>
    <w:multiLevelType w:val="hybridMultilevel"/>
    <w:tmpl w:val="F5403858"/>
    <w:lvl w:ilvl="0" w:tplc="349253E0">
      <w:start w:val="1"/>
      <w:numFmt w:val="bullet"/>
      <w:lvlText w:val="-"/>
      <w:lvlJc w:val="left"/>
      <w:pPr>
        <w:ind w:left="720" w:hanging="360"/>
      </w:pPr>
      <w:rPr>
        <w:rFonts w:ascii="Arial Narrow" w:eastAsiaTheme="minorHAnsi" w:hAnsi="Arial Narrow" w:cstheme="minorBidi"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79" w15:restartNumberingAfterBreak="0">
    <w:nsid w:val="79725DF4"/>
    <w:multiLevelType w:val="hybridMultilevel"/>
    <w:tmpl w:val="3760A66A"/>
    <w:lvl w:ilvl="0" w:tplc="FFFFFFFF">
      <w:start w:val="1"/>
      <w:numFmt w:val="bullet"/>
      <w:lvlText w:val="o"/>
      <w:lvlJc w:val="left"/>
      <w:pPr>
        <w:ind w:left="1146" w:hanging="360"/>
      </w:pPr>
      <w:rPr>
        <w:rFonts w:ascii="Courier New" w:hAnsi="Courier New" w:cs="Courier New" w:hint="default"/>
      </w:rPr>
    </w:lvl>
    <w:lvl w:ilvl="1" w:tplc="300C0003" w:tentative="1">
      <w:start w:val="1"/>
      <w:numFmt w:val="bullet"/>
      <w:lvlText w:val="o"/>
      <w:lvlJc w:val="left"/>
      <w:pPr>
        <w:ind w:left="1866" w:hanging="360"/>
      </w:pPr>
      <w:rPr>
        <w:rFonts w:ascii="Courier New" w:hAnsi="Courier New" w:cs="Courier New" w:hint="default"/>
      </w:rPr>
    </w:lvl>
    <w:lvl w:ilvl="2" w:tplc="300C0005" w:tentative="1">
      <w:start w:val="1"/>
      <w:numFmt w:val="bullet"/>
      <w:lvlText w:val=""/>
      <w:lvlJc w:val="left"/>
      <w:pPr>
        <w:ind w:left="2586" w:hanging="360"/>
      </w:pPr>
      <w:rPr>
        <w:rFonts w:ascii="Wingdings" w:hAnsi="Wingdings" w:hint="default"/>
      </w:rPr>
    </w:lvl>
    <w:lvl w:ilvl="3" w:tplc="300C0001" w:tentative="1">
      <w:start w:val="1"/>
      <w:numFmt w:val="bullet"/>
      <w:lvlText w:val=""/>
      <w:lvlJc w:val="left"/>
      <w:pPr>
        <w:ind w:left="3306" w:hanging="360"/>
      </w:pPr>
      <w:rPr>
        <w:rFonts w:ascii="Symbol" w:hAnsi="Symbol" w:hint="default"/>
      </w:rPr>
    </w:lvl>
    <w:lvl w:ilvl="4" w:tplc="300C0003" w:tentative="1">
      <w:start w:val="1"/>
      <w:numFmt w:val="bullet"/>
      <w:lvlText w:val="o"/>
      <w:lvlJc w:val="left"/>
      <w:pPr>
        <w:ind w:left="4026" w:hanging="360"/>
      </w:pPr>
      <w:rPr>
        <w:rFonts w:ascii="Courier New" w:hAnsi="Courier New" w:cs="Courier New" w:hint="default"/>
      </w:rPr>
    </w:lvl>
    <w:lvl w:ilvl="5" w:tplc="300C0005" w:tentative="1">
      <w:start w:val="1"/>
      <w:numFmt w:val="bullet"/>
      <w:lvlText w:val=""/>
      <w:lvlJc w:val="left"/>
      <w:pPr>
        <w:ind w:left="4746" w:hanging="360"/>
      </w:pPr>
      <w:rPr>
        <w:rFonts w:ascii="Wingdings" w:hAnsi="Wingdings" w:hint="default"/>
      </w:rPr>
    </w:lvl>
    <w:lvl w:ilvl="6" w:tplc="300C0001" w:tentative="1">
      <w:start w:val="1"/>
      <w:numFmt w:val="bullet"/>
      <w:lvlText w:val=""/>
      <w:lvlJc w:val="left"/>
      <w:pPr>
        <w:ind w:left="5466" w:hanging="360"/>
      </w:pPr>
      <w:rPr>
        <w:rFonts w:ascii="Symbol" w:hAnsi="Symbol" w:hint="default"/>
      </w:rPr>
    </w:lvl>
    <w:lvl w:ilvl="7" w:tplc="300C0003" w:tentative="1">
      <w:start w:val="1"/>
      <w:numFmt w:val="bullet"/>
      <w:lvlText w:val="o"/>
      <w:lvlJc w:val="left"/>
      <w:pPr>
        <w:ind w:left="6186" w:hanging="360"/>
      </w:pPr>
      <w:rPr>
        <w:rFonts w:ascii="Courier New" w:hAnsi="Courier New" w:cs="Courier New" w:hint="default"/>
      </w:rPr>
    </w:lvl>
    <w:lvl w:ilvl="8" w:tplc="300C0005" w:tentative="1">
      <w:start w:val="1"/>
      <w:numFmt w:val="bullet"/>
      <w:lvlText w:val=""/>
      <w:lvlJc w:val="left"/>
      <w:pPr>
        <w:ind w:left="6906" w:hanging="360"/>
      </w:pPr>
      <w:rPr>
        <w:rFonts w:ascii="Wingdings" w:hAnsi="Wingdings" w:hint="default"/>
      </w:rPr>
    </w:lvl>
  </w:abstractNum>
  <w:abstractNum w:abstractNumId="80" w15:restartNumberingAfterBreak="0">
    <w:nsid w:val="7CA10087"/>
    <w:multiLevelType w:val="hybridMultilevel"/>
    <w:tmpl w:val="AE2EBC00"/>
    <w:lvl w:ilvl="0" w:tplc="300C0001">
      <w:start w:val="1"/>
      <w:numFmt w:val="bullet"/>
      <w:lvlText w:val=""/>
      <w:lvlJc w:val="left"/>
      <w:pPr>
        <w:ind w:left="1211" w:hanging="360"/>
      </w:pPr>
      <w:rPr>
        <w:rFonts w:ascii="Symbol" w:hAnsi="Symbol" w:hint="default"/>
      </w:rPr>
    </w:lvl>
    <w:lvl w:ilvl="1" w:tplc="300C0003" w:tentative="1">
      <w:start w:val="1"/>
      <w:numFmt w:val="bullet"/>
      <w:lvlText w:val="o"/>
      <w:lvlJc w:val="left"/>
      <w:pPr>
        <w:ind w:left="1931" w:hanging="360"/>
      </w:pPr>
      <w:rPr>
        <w:rFonts w:ascii="Courier New" w:hAnsi="Courier New" w:cs="Courier New" w:hint="default"/>
      </w:rPr>
    </w:lvl>
    <w:lvl w:ilvl="2" w:tplc="300C0005" w:tentative="1">
      <w:start w:val="1"/>
      <w:numFmt w:val="bullet"/>
      <w:lvlText w:val=""/>
      <w:lvlJc w:val="left"/>
      <w:pPr>
        <w:ind w:left="2651" w:hanging="360"/>
      </w:pPr>
      <w:rPr>
        <w:rFonts w:ascii="Wingdings" w:hAnsi="Wingdings" w:hint="default"/>
      </w:rPr>
    </w:lvl>
    <w:lvl w:ilvl="3" w:tplc="300C0001" w:tentative="1">
      <w:start w:val="1"/>
      <w:numFmt w:val="bullet"/>
      <w:lvlText w:val=""/>
      <w:lvlJc w:val="left"/>
      <w:pPr>
        <w:ind w:left="3371" w:hanging="360"/>
      </w:pPr>
      <w:rPr>
        <w:rFonts w:ascii="Symbol" w:hAnsi="Symbol" w:hint="default"/>
      </w:rPr>
    </w:lvl>
    <w:lvl w:ilvl="4" w:tplc="300C0003" w:tentative="1">
      <w:start w:val="1"/>
      <w:numFmt w:val="bullet"/>
      <w:lvlText w:val="o"/>
      <w:lvlJc w:val="left"/>
      <w:pPr>
        <w:ind w:left="4091" w:hanging="360"/>
      </w:pPr>
      <w:rPr>
        <w:rFonts w:ascii="Courier New" w:hAnsi="Courier New" w:cs="Courier New" w:hint="default"/>
      </w:rPr>
    </w:lvl>
    <w:lvl w:ilvl="5" w:tplc="300C0005" w:tentative="1">
      <w:start w:val="1"/>
      <w:numFmt w:val="bullet"/>
      <w:lvlText w:val=""/>
      <w:lvlJc w:val="left"/>
      <w:pPr>
        <w:ind w:left="4811" w:hanging="360"/>
      </w:pPr>
      <w:rPr>
        <w:rFonts w:ascii="Wingdings" w:hAnsi="Wingdings" w:hint="default"/>
      </w:rPr>
    </w:lvl>
    <w:lvl w:ilvl="6" w:tplc="300C0001" w:tentative="1">
      <w:start w:val="1"/>
      <w:numFmt w:val="bullet"/>
      <w:lvlText w:val=""/>
      <w:lvlJc w:val="left"/>
      <w:pPr>
        <w:ind w:left="5531" w:hanging="360"/>
      </w:pPr>
      <w:rPr>
        <w:rFonts w:ascii="Symbol" w:hAnsi="Symbol" w:hint="default"/>
      </w:rPr>
    </w:lvl>
    <w:lvl w:ilvl="7" w:tplc="300C0003" w:tentative="1">
      <w:start w:val="1"/>
      <w:numFmt w:val="bullet"/>
      <w:lvlText w:val="o"/>
      <w:lvlJc w:val="left"/>
      <w:pPr>
        <w:ind w:left="6251" w:hanging="360"/>
      </w:pPr>
      <w:rPr>
        <w:rFonts w:ascii="Courier New" w:hAnsi="Courier New" w:cs="Courier New" w:hint="default"/>
      </w:rPr>
    </w:lvl>
    <w:lvl w:ilvl="8" w:tplc="300C0005" w:tentative="1">
      <w:start w:val="1"/>
      <w:numFmt w:val="bullet"/>
      <w:lvlText w:val=""/>
      <w:lvlJc w:val="left"/>
      <w:pPr>
        <w:ind w:left="6971" w:hanging="360"/>
      </w:pPr>
      <w:rPr>
        <w:rFonts w:ascii="Wingdings" w:hAnsi="Wingdings" w:hint="default"/>
      </w:rPr>
    </w:lvl>
  </w:abstractNum>
  <w:abstractNum w:abstractNumId="81" w15:restartNumberingAfterBreak="0">
    <w:nsid w:val="7CA225BB"/>
    <w:multiLevelType w:val="hybridMultilevel"/>
    <w:tmpl w:val="41AA74C0"/>
    <w:lvl w:ilvl="0" w:tplc="D152DC1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07076735">
    <w:abstractNumId w:val="58"/>
  </w:num>
  <w:num w:numId="2" w16cid:durableId="488910696">
    <w:abstractNumId w:val="23"/>
  </w:num>
  <w:num w:numId="3" w16cid:durableId="1882668675">
    <w:abstractNumId w:val="4"/>
  </w:num>
  <w:num w:numId="4" w16cid:durableId="602417692">
    <w:abstractNumId w:val="32"/>
  </w:num>
  <w:num w:numId="5" w16cid:durableId="958148414">
    <w:abstractNumId w:val="11"/>
  </w:num>
  <w:num w:numId="6" w16cid:durableId="1328557897">
    <w:abstractNumId w:val="35"/>
  </w:num>
  <w:num w:numId="7" w16cid:durableId="182015138">
    <w:abstractNumId w:val="27"/>
  </w:num>
  <w:num w:numId="8" w16cid:durableId="713119108">
    <w:abstractNumId w:val="52"/>
  </w:num>
  <w:num w:numId="9" w16cid:durableId="1945185374">
    <w:abstractNumId w:val="50"/>
  </w:num>
  <w:num w:numId="10" w16cid:durableId="1072511680">
    <w:abstractNumId w:val="39"/>
  </w:num>
  <w:num w:numId="11" w16cid:durableId="1347486430">
    <w:abstractNumId w:val="31"/>
  </w:num>
  <w:num w:numId="12" w16cid:durableId="463276006">
    <w:abstractNumId w:val="0"/>
  </w:num>
  <w:num w:numId="13" w16cid:durableId="311256622">
    <w:abstractNumId w:val="18"/>
  </w:num>
  <w:num w:numId="14" w16cid:durableId="1978219956">
    <w:abstractNumId w:val="42"/>
  </w:num>
  <w:num w:numId="15" w16cid:durableId="555746200">
    <w:abstractNumId w:val="45"/>
  </w:num>
  <w:num w:numId="16" w16cid:durableId="190194915">
    <w:abstractNumId w:val="12"/>
  </w:num>
  <w:num w:numId="17" w16cid:durableId="256524762">
    <w:abstractNumId w:val="3"/>
  </w:num>
  <w:num w:numId="18" w16cid:durableId="1973051696">
    <w:abstractNumId w:val="57"/>
  </w:num>
  <w:num w:numId="19" w16cid:durableId="147481455">
    <w:abstractNumId w:val="38"/>
  </w:num>
  <w:num w:numId="20" w16cid:durableId="47463219">
    <w:abstractNumId w:val="7"/>
  </w:num>
  <w:num w:numId="21" w16cid:durableId="1944528347">
    <w:abstractNumId w:val="36"/>
  </w:num>
  <w:num w:numId="22" w16cid:durableId="1282567891">
    <w:abstractNumId w:val="69"/>
  </w:num>
  <w:num w:numId="23" w16cid:durableId="665329375">
    <w:abstractNumId w:val="6"/>
  </w:num>
  <w:num w:numId="24" w16cid:durableId="1034617408">
    <w:abstractNumId w:val="22"/>
  </w:num>
  <w:num w:numId="25" w16cid:durableId="1985696917">
    <w:abstractNumId w:val="49"/>
  </w:num>
  <w:num w:numId="26" w16cid:durableId="1824464551">
    <w:abstractNumId w:val="64"/>
  </w:num>
  <w:num w:numId="27" w16cid:durableId="97915288">
    <w:abstractNumId w:val="40"/>
  </w:num>
  <w:num w:numId="28" w16cid:durableId="671378471">
    <w:abstractNumId w:val="68"/>
  </w:num>
  <w:num w:numId="29" w16cid:durableId="106510861">
    <w:abstractNumId w:val="44"/>
  </w:num>
  <w:num w:numId="30" w16cid:durableId="1876963223">
    <w:abstractNumId w:val="21"/>
  </w:num>
  <w:num w:numId="31" w16cid:durableId="1897160150">
    <w:abstractNumId w:val="25"/>
  </w:num>
  <w:num w:numId="32" w16cid:durableId="3750430">
    <w:abstractNumId w:val="76"/>
  </w:num>
  <w:num w:numId="33" w16cid:durableId="1234241458">
    <w:abstractNumId w:val="66"/>
  </w:num>
  <w:num w:numId="34" w16cid:durableId="1119373041">
    <w:abstractNumId w:val="41"/>
  </w:num>
  <w:num w:numId="35" w16cid:durableId="1156412186">
    <w:abstractNumId w:val="81"/>
  </w:num>
  <w:num w:numId="36" w16cid:durableId="668869606">
    <w:abstractNumId w:val="77"/>
  </w:num>
  <w:num w:numId="37" w16cid:durableId="2113934449">
    <w:abstractNumId w:val="55"/>
  </w:num>
  <w:num w:numId="38" w16cid:durableId="1494495110">
    <w:abstractNumId w:val="71"/>
  </w:num>
  <w:num w:numId="39" w16cid:durableId="1547058325">
    <w:abstractNumId w:val="61"/>
  </w:num>
  <w:num w:numId="40" w16cid:durableId="608388546">
    <w:abstractNumId w:val="73"/>
  </w:num>
  <w:num w:numId="41" w16cid:durableId="1405562409">
    <w:abstractNumId w:val="24"/>
  </w:num>
  <w:num w:numId="42" w16cid:durableId="938952571">
    <w:abstractNumId w:val="70"/>
  </w:num>
  <w:num w:numId="43" w16cid:durableId="834107619">
    <w:abstractNumId w:val="60"/>
  </w:num>
  <w:num w:numId="44" w16cid:durableId="722023935">
    <w:abstractNumId w:val="65"/>
  </w:num>
  <w:num w:numId="45" w16cid:durableId="146169024">
    <w:abstractNumId w:val="75"/>
  </w:num>
  <w:num w:numId="46" w16cid:durableId="1925138406">
    <w:abstractNumId w:val="10"/>
  </w:num>
  <w:num w:numId="47" w16cid:durableId="845558768">
    <w:abstractNumId w:val="34"/>
  </w:num>
  <w:num w:numId="48" w16cid:durableId="575241341">
    <w:abstractNumId w:val="13"/>
  </w:num>
  <w:num w:numId="49" w16cid:durableId="2076396513">
    <w:abstractNumId w:val="30"/>
  </w:num>
  <w:num w:numId="50" w16cid:durableId="737751711">
    <w:abstractNumId w:val="28"/>
  </w:num>
  <w:num w:numId="51" w16cid:durableId="1765614544">
    <w:abstractNumId w:val="26"/>
  </w:num>
  <w:num w:numId="52" w16cid:durableId="1295062228">
    <w:abstractNumId w:val="43"/>
  </w:num>
  <w:num w:numId="53" w16cid:durableId="118426941">
    <w:abstractNumId w:val="14"/>
  </w:num>
  <w:num w:numId="54" w16cid:durableId="925844206">
    <w:abstractNumId w:val="17"/>
  </w:num>
  <w:num w:numId="55" w16cid:durableId="687298043">
    <w:abstractNumId w:val="67"/>
  </w:num>
  <w:num w:numId="56" w16cid:durableId="1896432778">
    <w:abstractNumId w:val="2"/>
  </w:num>
  <w:num w:numId="57" w16cid:durableId="1230068768">
    <w:abstractNumId w:val="1"/>
  </w:num>
  <w:num w:numId="58" w16cid:durableId="188682483">
    <w:abstractNumId w:val="8"/>
  </w:num>
  <w:num w:numId="59" w16cid:durableId="1503929815">
    <w:abstractNumId w:val="62"/>
  </w:num>
  <w:num w:numId="60" w16cid:durableId="1592080430">
    <w:abstractNumId w:val="5"/>
  </w:num>
  <w:num w:numId="61" w16cid:durableId="1996372382">
    <w:abstractNumId w:val="20"/>
  </w:num>
  <w:num w:numId="62" w16cid:durableId="1183545534">
    <w:abstractNumId w:val="74"/>
  </w:num>
  <w:num w:numId="63" w16cid:durableId="1473014882">
    <w:abstractNumId w:val="47"/>
  </w:num>
  <w:num w:numId="64" w16cid:durableId="2053477">
    <w:abstractNumId w:val="19"/>
  </w:num>
  <w:num w:numId="65" w16cid:durableId="1683631098">
    <w:abstractNumId w:val="48"/>
  </w:num>
  <w:num w:numId="66" w16cid:durableId="706177492">
    <w:abstractNumId w:val="29"/>
  </w:num>
  <w:num w:numId="67" w16cid:durableId="1847478176">
    <w:abstractNumId w:val="9"/>
  </w:num>
  <w:num w:numId="68" w16cid:durableId="1457480018">
    <w:abstractNumId w:val="54"/>
  </w:num>
  <w:num w:numId="69" w16cid:durableId="568225985">
    <w:abstractNumId w:val="46"/>
  </w:num>
  <w:num w:numId="70" w16cid:durableId="117073075">
    <w:abstractNumId w:val="53"/>
  </w:num>
  <w:num w:numId="71" w16cid:durableId="1460414493">
    <w:abstractNumId w:val="16"/>
  </w:num>
  <w:num w:numId="72" w16cid:durableId="548696">
    <w:abstractNumId w:val="80"/>
  </w:num>
  <w:num w:numId="73" w16cid:durableId="171187403">
    <w:abstractNumId w:val="56"/>
  </w:num>
  <w:num w:numId="74" w16cid:durableId="377974232">
    <w:abstractNumId w:val="33"/>
  </w:num>
  <w:num w:numId="75" w16cid:durableId="1324043034">
    <w:abstractNumId w:val="59"/>
  </w:num>
  <w:num w:numId="76" w16cid:durableId="1141730680">
    <w:abstractNumId w:val="72"/>
  </w:num>
  <w:num w:numId="77" w16cid:durableId="1539976064">
    <w:abstractNumId w:val="79"/>
  </w:num>
  <w:num w:numId="78" w16cid:durableId="449201044">
    <w:abstractNumId w:val="63"/>
  </w:num>
  <w:num w:numId="79" w16cid:durableId="1121459308">
    <w:abstractNumId w:val="15"/>
  </w:num>
  <w:num w:numId="80" w16cid:durableId="1363632966">
    <w:abstractNumId w:val="51"/>
  </w:num>
  <w:num w:numId="81" w16cid:durableId="8415320">
    <w:abstractNumId w:val="37"/>
  </w:num>
  <w:num w:numId="82" w16cid:durableId="1045255756">
    <w:abstractNumId w:val="7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2EB"/>
    <w:rsid w:val="000000D3"/>
    <w:rsid w:val="0000013F"/>
    <w:rsid w:val="0000014F"/>
    <w:rsid w:val="000001AF"/>
    <w:rsid w:val="000001CB"/>
    <w:rsid w:val="0000021A"/>
    <w:rsid w:val="00000279"/>
    <w:rsid w:val="00000371"/>
    <w:rsid w:val="000003A6"/>
    <w:rsid w:val="000005EC"/>
    <w:rsid w:val="0000071F"/>
    <w:rsid w:val="00000751"/>
    <w:rsid w:val="000007C4"/>
    <w:rsid w:val="000008CE"/>
    <w:rsid w:val="00000960"/>
    <w:rsid w:val="000009C0"/>
    <w:rsid w:val="00000AEF"/>
    <w:rsid w:val="00000BBD"/>
    <w:rsid w:val="00000CD9"/>
    <w:rsid w:val="00000D76"/>
    <w:rsid w:val="00000DCA"/>
    <w:rsid w:val="00000E20"/>
    <w:rsid w:val="00000F1C"/>
    <w:rsid w:val="000010BD"/>
    <w:rsid w:val="00001101"/>
    <w:rsid w:val="0000111B"/>
    <w:rsid w:val="0000111F"/>
    <w:rsid w:val="0000126D"/>
    <w:rsid w:val="0000127F"/>
    <w:rsid w:val="000013BA"/>
    <w:rsid w:val="00001439"/>
    <w:rsid w:val="00001594"/>
    <w:rsid w:val="00001707"/>
    <w:rsid w:val="0000170B"/>
    <w:rsid w:val="00001809"/>
    <w:rsid w:val="00001822"/>
    <w:rsid w:val="00001919"/>
    <w:rsid w:val="00001ADE"/>
    <w:rsid w:val="00001AE3"/>
    <w:rsid w:val="00001BC9"/>
    <w:rsid w:val="00001C0C"/>
    <w:rsid w:val="00001C91"/>
    <w:rsid w:val="00001DC4"/>
    <w:rsid w:val="00001EBA"/>
    <w:rsid w:val="00001FE2"/>
    <w:rsid w:val="0000204F"/>
    <w:rsid w:val="00002361"/>
    <w:rsid w:val="000023CC"/>
    <w:rsid w:val="000024DA"/>
    <w:rsid w:val="00002516"/>
    <w:rsid w:val="00002612"/>
    <w:rsid w:val="00002642"/>
    <w:rsid w:val="0000266A"/>
    <w:rsid w:val="000026E1"/>
    <w:rsid w:val="00002819"/>
    <w:rsid w:val="0000283C"/>
    <w:rsid w:val="000028C6"/>
    <w:rsid w:val="00002A07"/>
    <w:rsid w:val="00002AC2"/>
    <w:rsid w:val="00002AE1"/>
    <w:rsid w:val="00002B24"/>
    <w:rsid w:val="00002B5D"/>
    <w:rsid w:val="00002BF4"/>
    <w:rsid w:val="00002D52"/>
    <w:rsid w:val="00002DD0"/>
    <w:rsid w:val="00002EE8"/>
    <w:rsid w:val="0000302E"/>
    <w:rsid w:val="00003053"/>
    <w:rsid w:val="000030DD"/>
    <w:rsid w:val="00003284"/>
    <w:rsid w:val="0000328D"/>
    <w:rsid w:val="000033DD"/>
    <w:rsid w:val="00003454"/>
    <w:rsid w:val="00003511"/>
    <w:rsid w:val="000035C5"/>
    <w:rsid w:val="0000360C"/>
    <w:rsid w:val="00003650"/>
    <w:rsid w:val="0000370C"/>
    <w:rsid w:val="0000370F"/>
    <w:rsid w:val="000037B4"/>
    <w:rsid w:val="000039BA"/>
    <w:rsid w:val="00003B89"/>
    <w:rsid w:val="00003B8A"/>
    <w:rsid w:val="00003D1F"/>
    <w:rsid w:val="00003E17"/>
    <w:rsid w:val="00003E6D"/>
    <w:rsid w:val="00004021"/>
    <w:rsid w:val="000042AC"/>
    <w:rsid w:val="000042BF"/>
    <w:rsid w:val="000042FC"/>
    <w:rsid w:val="0000430F"/>
    <w:rsid w:val="00004314"/>
    <w:rsid w:val="00004326"/>
    <w:rsid w:val="00004383"/>
    <w:rsid w:val="0000448E"/>
    <w:rsid w:val="000046E7"/>
    <w:rsid w:val="000047A2"/>
    <w:rsid w:val="00004802"/>
    <w:rsid w:val="000048FA"/>
    <w:rsid w:val="00004B57"/>
    <w:rsid w:val="00004D40"/>
    <w:rsid w:val="00004DCC"/>
    <w:rsid w:val="00004E91"/>
    <w:rsid w:val="00004EB3"/>
    <w:rsid w:val="000050D6"/>
    <w:rsid w:val="00005113"/>
    <w:rsid w:val="00005203"/>
    <w:rsid w:val="00005259"/>
    <w:rsid w:val="000052D7"/>
    <w:rsid w:val="000052E5"/>
    <w:rsid w:val="00005332"/>
    <w:rsid w:val="0000541C"/>
    <w:rsid w:val="000054A9"/>
    <w:rsid w:val="00005685"/>
    <w:rsid w:val="00005843"/>
    <w:rsid w:val="000058AE"/>
    <w:rsid w:val="000059E6"/>
    <w:rsid w:val="00005A44"/>
    <w:rsid w:val="00005AA9"/>
    <w:rsid w:val="00005C01"/>
    <w:rsid w:val="00005C9A"/>
    <w:rsid w:val="00005DB8"/>
    <w:rsid w:val="00005E4E"/>
    <w:rsid w:val="00005EBE"/>
    <w:rsid w:val="00005FD8"/>
    <w:rsid w:val="00006002"/>
    <w:rsid w:val="00006400"/>
    <w:rsid w:val="000064A9"/>
    <w:rsid w:val="0000666D"/>
    <w:rsid w:val="00006675"/>
    <w:rsid w:val="000069F6"/>
    <w:rsid w:val="00006A9F"/>
    <w:rsid w:val="00006CDF"/>
    <w:rsid w:val="00006CE8"/>
    <w:rsid w:val="00006D4C"/>
    <w:rsid w:val="0000713D"/>
    <w:rsid w:val="0000718C"/>
    <w:rsid w:val="00007195"/>
    <w:rsid w:val="000072EF"/>
    <w:rsid w:val="00007516"/>
    <w:rsid w:val="000075B0"/>
    <w:rsid w:val="000075BE"/>
    <w:rsid w:val="000075EA"/>
    <w:rsid w:val="00007626"/>
    <w:rsid w:val="0000763C"/>
    <w:rsid w:val="00007661"/>
    <w:rsid w:val="0000771A"/>
    <w:rsid w:val="00007A2E"/>
    <w:rsid w:val="00007A70"/>
    <w:rsid w:val="00007C54"/>
    <w:rsid w:val="00007C6C"/>
    <w:rsid w:val="00007C89"/>
    <w:rsid w:val="00007DE0"/>
    <w:rsid w:val="00007DFF"/>
    <w:rsid w:val="00007E69"/>
    <w:rsid w:val="00007F1D"/>
    <w:rsid w:val="00007F97"/>
    <w:rsid w:val="000102DF"/>
    <w:rsid w:val="000102E6"/>
    <w:rsid w:val="0001040D"/>
    <w:rsid w:val="000106DA"/>
    <w:rsid w:val="000107B7"/>
    <w:rsid w:val="00010808"/>
    <w:rsid w:val="00010985"/>
    <w:rsid w:val="000109C5"/>
    <w:rsid w:val="00010AF4"/>
    <w:rsid w:val="00010C93"/>
    <w:rsid w:val="00010D3F"/>
    <w:rsid w:val="00010D44"/>
    <w:rsid w:val="00010E22"/>
    <w:rsid w:val="00010E66"/>
    <w:rsid w:val="00010F31"/>
    <w:rsid w:val="00011025"/>
    <w:rsid w:val="00011141"/>
    <w:rsid w:val="000111EA"/>
    <w:rsid w:val="000113AF"/>
    <w:rsid w:val="00011647"/>
    <w:rsid w:val="000116B6"/>
    <w:rsid w:val="000116F1"/>
    <w:rsid w:val="000118E0"/>
    <w:rsid w:val="00011BF4"/>
    <w:rsid w:val="00011C4B"/>
    <w:rsid w:val="00011C51"/>
    <w:rsid w:val="00011C88"/>
    <w:rsid w:val="00011CB2"/>
    <w:rsid w:val="00011D19"/>
    <w:rsid w:val="00011D30"/>
    <w:rsid w:val="00011D85"/>
    <w:rsid w:val="00011E60"/>
    <w:rsid w:val="00011EDE"/>
    <w:rsid w:val="00011F82"/>
    <w:rsid w:val="00011FDA"/>
    <w:rsid w:val="000120FF"/>
    <w:rsid w:val="000121D2"/>
    <w:rsid w:val="000124F3"/>
    <w:rsid w:val="000126BC"/>
    <w:rsid w:val="00012779"/>
    <w:rsid w:val="0001281A"/>
    <w:rsid w:val="000128EF"/>
    <w:rsid w:val="0001298A"/>
    <w:rsid w:val="00012B58"/>
    <w:rsid w:val="00012C15"/>
    <w:rsid w:val="00012E6F"/>
    <w:rsid w:val="00012F7A"/>
    <w:rsid w:val="00012F8E"/>
    <w:rsid w:val="00013039"/>
    <w:rsid w:val="000131A0"/>
    <w:rsid w:val="000132CB"/>
    <w:rsid w:val="000133AD"/>
    <w:rsid w:val="000134BC"/>
    <w:rsid w:val="000135B1"/>
    <w:rsid w:val="0001360A"/>
    <w:rsid w:val="0001366B"/>
    <w:rsid w:val="000137E2"/>
    <w:rsid w:val="00013916"/>
    <w:rsid w:val="00013991"/>
    <w:rsid w:val="00013B00"/>
    <w:rsid w:val="00013B75"/>
    <w:rsid w:val="00013DA6"/>
    <w:rsid w:val="00013EF9"/>
    <w:rsid w:val="000140D2"/>
    <w:rsid w:val="000141A3"/>
    <w:rsid w:val="0001428D"/>
    <w:rsid w:val="000142BC"/>
    <w:rsid w:val="000143C9"/>
    <w:rsid w:val="000144CC"/>
    <w:rsid w:val="00014786"/>
    <w:rsid w:val="000148B7"/>
    <w:rsid w:val="00014D32"/>
    <w:rsid w:val="00014D48"/>
    <w:rsid w:val="00014DE9"/>
    <w:rsid w:val="00014E8E"/>
    <w:rsid w:val="00014EAE"/>
    <w:rsid w:val="00014F68"/>
    <w:rsid w:val="00014FC3"/>
    <w:rsid w:val="000151B6"/>
    <w:rsid w:val="0001523A"/>
    <w:rsid w:val="0001529D"/>
    <w:rsid w:val="0001535A"/>
    <w:rsid w:val="0001576A"/>
    <w:rsid w:val="0001587E"/>
    <w:rsid w:val="000158CD"/>
    <w:rsid w:val="000159D8"/>
    <w:rsid w:val="00015B56"/>
    <w:rsid w:val="00015C14"/>
    <w:rsid w:val="00015C97"/>
    <w:rsid w:val="00015CDA"/>
    <w:rsid w:val="00015D60"/>
    <w:rsid w:val="00015E9E"/>
    <w:rsid w:val="00015EAD"/>
    <w:rsid w:val="00015F31"/>
    <w:rsid w:val="00015FC9"/>
    <w:rsid w:val="0001608A"/>
    <w:rsid w:val="00016118"/>
    <w:rsid w:val="000162F9"/>
    <w:rsid w:val="000164D6"/>
    <w:rsid w:val="00016542"/>
    <w:rsid w:val="0001661A"/>
    <w:rsid w:val="00016755"/>
    <w:rsid w:val="00016761"/>
    <w:rsid w:val="00016763"/>
    <w:rsid w:val="00016835"/>
    <w:rsid w:val="0001683B"/>
    <w:rsid w:val="00016927"/>
    <w:rsid w:val="0001697F"/>
    <w:rsid w:val="00016A75"/>
    <w:rsid w:val="00016A9A"/>
    <w:rsid w:val="00016AB0"/>
    <w:rsid w:val="00016B23"/>
    <w:rsid w:val="00016B69"/>
    <w:rsid w:val="00016BF9"/>
    <w:rsid w:val="00016C4F"/>
    <w:rsid w:val="00016CCE"/>
    <w:rsid w:val="00016FA3"/>
    <w:rsid w:val="0001701A"/>
    <w:rsid w:val="000170B3"/>
    <w:rsid w:val="000170E5"/>
    <w:rsid w:val="0001713F"/>
    <w:rsid w:val="000171AE"/>
    <w:rsid w:val="00017208"/>
    <w:rsid w:val="0001730D"/>
    <w:rsid w:val="000174C2"/>
    <w:rsid w:val="000175F4"/>
    <w:rsid w:val="000176F5"/>
    <w:rsid w:val="00017732"/>
    <w:rsid w:val="0001776B"/>
    <w:rsid w:val="0001782A"/>
    <w:rsid w:val="00017871"/>
    <w:rsid w:val="00017882"/>
    <w:rsid w:val="000178C1"/>
    <w:rsid w:val="000179DE"/>
    <w:rsid w:val="00017A8D"/>
    <w:rsid w:val="00017AFA"/>
    <w:rsid w:val="00017BCC"/>
    <w:rsid w:val="00017BE5"/>
    <w:rsid w:val="00017CA3"/>
    <w:rsid w:val="00017D65"/>
    <w:rsid w:val="00017E74"/>
    <w:rsid w:val="00017EC0"/>
    <w:rsid w:val="00020330"/>
    <w:rsid w:val="0002037D"/>
    <w:rsid w:val="0002047A"/>
    <w:rsid w:val="00020564"/>
    <w:rsid w:val="00020598"/>
    <w:rsid w:val="000206DB"/>
    <w:rsid w:val="0002074F"/>
    <w:rsid w:val="000207A6"/>
    <w:rsid w:val="000208AD"/>
    <w:rsid w:val="00020A45"/>
    <w:rsid w:val="00020A7E"/>
    <w:rsid w:val="00020CAA"/>
    <w:rsid w:val="00020F61"/>
    <w:rsid w:val="00020FAD"/>
    <w:rsid w:val="00020FBE"/>
    <w:rsid w:val="00020FF8"/>
    <w:rsid w:val="000210D3"/>
    <w:rsid w:val="000210E2"/>
    <w:rsid w:val="000214DE"/>
    <w:rsid w:val="000214F5"/>
    <w:rsid w:val="00021519"/>
    <w:rsid w:val="000215C1"/>
    <w:rsid w:val="0002161F"/>
    <w:rsid w:val="000218E7"/>
    <w:rsid w:val="00021908"/>
    <w:rsid w:val="00021950"/>
    <w:rsid w:val="00021C72"/>
    <w:rsid w:val="00021CDE"/>
    <w:rsid w:val="00021D6D"/>
    <w:rsid w:val="00021F55"/>
    <w:rsid w:val="00021FE3"/>
    <w:rsid w:val="00022018"/>
    <w:rsid w:val="0002202B"/>
    <w:rsid w:val="000220A1"/>
    <w:rsid w:val="000220CF"/>
    <w:rsid w:val="000220EB"/>
    <w:rsid w:val="000220FD"/>
    <w:rsid w:val="00022118"/>
    <w:rsid w:val="00022136"/>
    <w:rsid w:val="000221D8"/>
    <w:rsid w:val="00022229"/>
    <w:rsid w:val="0002226B"/>
    <w:rsid w:val="0002230E"/>
    <w:rsid w:val="000224B2"/>
    <w:rsid w:val="000227B2"/>
    <w:rsid w:val="00022CC3"/>
    <w:rsid w:val="00022DD6"/>
    <w:rsid w:val="00022E24"/>
    <w:rsid w:val="00022FE2"/>
    <w:rsid w:val="000230B7"/>
    <w:rsid w:val="0002317C"/>
    <w:rsid w:val="000231AC"/>
    <w:rsid w:val="0002322F"/>
    <w:rsid w:val="0002328B"/>
    <w:rsid w:val="000233EB"/>
    <w:rsid w:val="00023417"/>
    <w:rsid w:val="0002341D"/>
    <w:rsid w:val="00023453"/>
    <w:rsid w:val="000234B6"/>
    <w:rsid w:val="00023505"/>
    <w:rsid w:val="0002366B"/>
    <w:rsid w:val="00023678"/>
    <w:rsid w:val="000237EF"/>
    <w:rsid w:val="000238E2"/>
    <w:rsid w:val="000238F1"/>
    <w:rsid w:val="00023A56"/>
    <w:rsid w:val="00023A86"/>
    <w:rsid w:val="00023BEE"/>
    <w:rsid w:val="00023DA9"/>
    <w:rsid w:val="00023E07"/>
    <w:rsid w:val="00023E3F"/>
    <w:rsid w:val="00023FFD"/>
    <w:rsid w:val="000240AA"/>
    <w:rsid w:val="0002410C"/>
    <w:rsid w:val="00024113"/>
    <w:rsid w:val="000241CF"/>
    <w:rsid w:val="0002421D"/>
    <w:rsid w:val="0002438C"/>
    <w:rsid w:val="0002448A"/>
    <w:rsid w:val="000245DD"/>
    <w:rsid w:val="000245E5"/>
    <w:rsid w:val="000246D8"/>
    <w:rsid w:val="000247F1"/>
    <w:rsid w:val="000248A9"/>
    <w:rsid w:val="00024B8B"/>
    <w:rsid w:val="00024BA3"/>
    <w:rsid w:val="00024BBE"/>
    <w:rsid w:val="00024C3F"/>
    <w:rsid w:val="00024D08"/>
    <w:rsid w:val="00024D17"/>
    <w:rsid w:val="00024FE7"/>
    <w:rsid w:val="00025161"/>
    <w:rsid w:val="000251AF"/>
    <w:rsid w:val="00025201"/>
    <w:rsid w:val="0002529F"/>
    <w:rsid w:val="0002534C"/>
    <w:rsid w:val="000253EE"/>
    <w:rsid w:val="000254BB"/>
    <w:rsid w:val="00025685"/>
    <w:rsid w:val="00025687"/>
    <w:rsid w:val="000256DC"/>
    <w:rsid w:val="000256E2"/>
    <w:rsid w:val="000258C0"/>
    <w:rsid w:val="00025923"/>
    <w:rsid w:val="00025A05"/>
    <w:rsid w:val="00025ADD"/>
    <w:rsid w:val="00025BF1"/>
    <w:rsid w:val="00025C1D"/>
    <w:rsid w:val="00025CF1"/>
    <w:rsid w:val="00025D6B"/>
    <w:rsid w:val="00025EEA"/>
    <w:rsid w:val="00025FA8"/>
    <w:rsid w:val="000260B6"/>
    <w:rsid w:val="00026139"/>
    <w:rsid w:val="000261D0"/>
    <w:rsid w:val="0002624F"/>
    <w:rsid w:val="00026292"/>
    <w:rsid w:val="000262BE"/>
    <w:rsid w:val="0002630A"/>
    <w:rsid w:val="00026372"/>
    <w:rsid w:val="000263C9"/>
    <w:rsid w:val="0002648A"/>
    <w:rsid w:val="00026546"/>
    <w:rsid w:val="00026566"/>
    <w:rsid w:val="0002659A"/>
    <w:rsid w:val="00026636"/>
    <w:rsid w:val="00026721"/>
    <w:rsid w:val="0002683A"/>
    <w:rsid w:val="00026A1A"/>
    <w:rsid w:val="00026A8B"/>
    <w:rsid w:val="00026B6F"/>
    <w:rsid w:val="00026C70"/>
    <w:rsid w:val="00026FAE"/>
    <w:rsid w:val="0002702B"/>
    <w:rsid w:val="000271DC"/>
    <w:rsid w:val="000272BF"/>
    <w:rsid w:val="00027556"/>
    <w:rsid w:val="00027687"/>
    <w:rsid w:val="000279A7"/>
    <w:rsid w:val="00027C5C"/>
    <w:rsid w:val="00027C76"/>
    <w:rsid w:val="00027D6B"/>
    <w:rsid w:val="00027FB5"/>
    <w:rsid w:val="00030031"/>
    <w:rsid w:val="00030187"/>
    <w:rsid w:val="00030296"/>
    <w:rsid w:val="00030315"/>
    <w:rsid w:val="00030379"/>
    <w:rsid w:val="0003037E"/>
    <w:rsid w:val="000303A2"/>
    <w:rsid w:val="00030434"/>
    <w:rsid w:val="00030462"/>
    <w:rsid w:val="000304F3"/>
    <w:rsid w:val="00030551"/>
    <w:rsid w:val="0003070B"/>
    <w:rsid w:val="0003097F"/>
    <w:rsid w:val="00030A4E"/>
    <w:rsid w:val="00030ABC"/>
    <w:rsid w:val="00030C7B"/>
    <w:rsid w:val="00030CDC"/>
    <w:rsid w:val="00030E7B"/>
    <w:rsid w:val="00030FF0"/>
    <w:rsid w:val="00031105"/>
    <w:rsid w:val="0003110A"/>
    <w:rsid w:val="000313DD"/>
    <w:rsid w:val="000313E5"/>
    <w:rsid w:val="00031416"/>
    <w:rsid w:val="00031426"/>
    <w:rsid w:val="00031577"/>
    <w:rsid w:val="0003158E"/>
    <w:rsid w:val="0003162F"/>
    <w:rsid w:val="000316A4"/>
    <w:rsid w:val="000316E9"/>
    <w:rsid w:val="0003170B"/>
    <w:rsid w:val="000318ED"/>
    <w:rsid w:val="0003194B"/>
    <w:rsid w:val="0003194E"/>
    <w:rsid w:val="00031AF2"/>
    <w:rsid w:val="00031B18"/>
    <w:rsid w:val="00031B33"/>
    <w:rsid w:val="00031B71"/>
    <w:rsid w:val="00031BE2"/>
    <w:rsid w:val="00031EC0"/>
    <w:rsid w:val="00031EFB"/>
    <w:rsid w:val="00031F3C"/>
    <w:rsid w:val="00031FDC"/>
    <w:rsid w:val="00032024"/>
    <w:rsid w:val="000320D9"/>
    <w:rsid w:val="000320E1"/>
    <w:rsid w:val="0003220B"/>
    <w:rsid w:val="0003225B"/>
    <w:rsid w:val="0003233B"/>
    <w:rsid w:val="000323FF"/>
    <w:rsid w:val="000325D8"/>
    <w:rsid w:val="00032732"/>
    <w:rsid w:val="000327B2"/>
    <w:rsid w:val="00032822"/>
    <w:rsid w:val="000328C0"/>
    <w:rsid w:val="000328D1"/>
    <w:rsid w:val="0003292E"/>
    <w:rsid w:val="0003293D"/>
    <w:rsid w:val="00032A2D"/>
    <w:rsid w:val="00032B94"/>
    <w:rsid w:val="00032BDF"/>
    <w:rsid w:val="00032E1F"/>
    <w:rsid w:val="00032E6D"/>
    <w:rsid w:val="00032EAA"/>
    <w:rsid w:val="00032F80"/>
    <w:rsid w:val="00033003"/>
    <w:rsid w:val="0003313D"/>
    <w:rsid w:val="00033252"/>
    <w:rsid w:val="000332DB"/>
    <w:rsid w:val="00033341"/>
    <w:rsid w:val="000333CE"/>
    <w:rsid w:val="000333FF"/>
    <w:rsid w:val="000335B7"/>
    <w:rsid w:val="000335FB"/>
    <w:rsid w:val="00033628"/>
    <w:rsid w:val="00033778"/>
    <w:rsid w:val="0003378E"/>
    <w:rsid w:val="000339DA"/>
    <w:rsid w:val="00033A74"/>
    <w:rsid w:val="00033B58"/>
    <w:rsid w:val="00033B7E"/>
    <w:rsid w:val="00033B83"/>
    <w:rsid w:val="00033BCA"/>
    <w:rsid w:val="00033D6B"/>
    <w:rsid w:val="00033DF2"/>
    <w:rsid w:val="00033E35"/>
    <w:rsid w:val="00033E60"/>
    <w:rsid w:val="000340DB"/>
    <w:rsid w:val="000341E2"/>
    <w:rsid w:val="0003424B"/>
    <w:rsid w:val="00034290"/>
    <w:rsid w:val="00034374"/>
    <w:rsid w:val="000343A5"/>
    <w:rsid w:val="000344B6"/>
    <w:rsid w:val="0003468B"/>
    <w:rsid w:val="00034707"/>
    <w:rsid w:val="000347BF"/>
    <w:rsid w:val="00034910"/>
    <w:rsid w:val="0003497F"/>
    <w:rsid w:val="00034BD3"/>
    <w:rsid w:val="00034D56"/>
    <w:rsid w:val="00034F3B"/>
    <w:rsid w:val="00034F52"/>
    <w:rsid w:val="00034F64"/>
    <w:rsid w:val="0003524D"/>
    <w:rsid w:val="00035293"/>
    <w:rsid w:val="000352F4"/>
    <w:rsid w:val="00035437"/>
    <w:rsid w:val="0003544F"/>
    <w:rsid w:val="000354D5"/>
    <w:rsid w:val="00035701"/>
    <w:rsid w:val="00035822"/>
    <w:rsid w:val="00035938"/>
    <w:rsid w:val="00035957"/>
    <w:rsid w:val="0003599C"/>
    <w:rsid w:val="00035A05"/>
    <w:rsid w:val="00035A16"/>
    <w:rsid w:val="00035A59"/>
    <w:rsid w:val="00035AF6"/>
    <w:rsid w:val="00035D40"/>
    <w:rsid w:val="00035DA3"/>
    <w:rsid w:val="00035E6E"/>
    <w:rsid w:val="00035F4A"/>
    <w:rsid w:val="00036137"/>
    <w:rsid w:val="00036156"/>
    <w:rsid w:val="000361B5"/>
    <w:rsid w:val="000361CD"/>
    <w:rsid w:val="000361FD"/>
    <w:rsid w:val="0003620F"/>
    <w:rsid w:val="000362A8"/>
    <w:rsid w:val="0003630E"/>
    <w:rsid w:val="0003637E"/>
    <w:rsid w:val="000363BE"/>
    <w:rsid w:val="000366D4"/>
    <w:rsid w:val="0003687C"/>
    <w:rsid w:val="000368FA"/>
    <w:rsid w:val="00036A12"/>
    <w:rsid w:val="00036A28"/>
    <w:rsid w:val="00036C03"/>
    <w:rsid w:val="00036C7A"/>
    <w:rsid w:val="00036D42"/>
    <w:rsid w:val="00036E0E"/>
    <w:rsid w:val="00037076"/>
    <w:rsid w:val="0003719E"/>
    <w:rsid w:val="000371B4"/>
    <w:rsid w:val="0003746E"/>
    <w:rsid w:val="0003768E"/>
    <w:rsid w:val="000377AC"/>
    <w:rsid w:val="0003783B"/>
    <w:rsid w:val="00037965"/>
    <w:rsid w:val="00037B01"/>
    <w:rsid w:val="00037BAD"/>
    <w:rsid w:val="00037BDC"/>
    <w:rsid w:val="00037C5C"/>
    <w:rsid w:val="00037DE6"/>
    <w:rsid w:val="00037DFA"/>
    <w:rsid w:val="00037E61"/>
    <w:rsid w:val="00037F42"/>
    <w:rsid w:val="00037F89"/>
    <w:rsid w:val="00037FAA"/>
    <w:rsid w:val="00037FC0"/>
    <w:rsid w:val="00037FEA"/>
    <w:rsid w:val="000400CC"/>
    <w:rsid w:val="00040128"/>
    <w:rsid w:val="00040238"/>
    <w:rsid w:val="00040321"/>
    <w:rsid w:val="000403FE"/>
    <w:rsid w:val="00040521"/>
    <w:rsid w:val="00040563"/>
    <w:rsid w:val="00040589"/>
    <w:rsid w:val="000406F2"/>
    <w:rsid w:val="00040A2F"/>
    <w:rsid w:val="00040AFF"/>
    <w:rsid w:val="00040B05"/>
    <w:rsid w:val="00040CC9"/>
    <w:rsid w:val="00040CF2"/>
    <w:rsid w:val="00040E90"/>
    <w:rsid w:val="00041020"/>
    <w:rsid w:val="00041039"/>
    <w:rsid w:val="00041171"/>
    <w:rsid w:val="00041397"/>
    <w:rsid w:val="000413C8"/>
    <w:rsid w:val="000414BD"/>
    <w:rsid w:val="00041515"/>
    <w:rsid w:val="0004169D"/>
    <w:rsid w:val="000416C3"/>
    <w:rsid w:val="000416F9"/>
    <w:rsid w:val="00041791"/>
    <w:rsid w:val="00041811"/>
    <w:rsid w:val="000418DB"/>
    <w:rsid w:val="000419E0"/>
    <w:rsid w:val="00041B01"/>
    <w:rsid w:val="00041C1D"/>
    <w:rsid w:val="00041C82"/>
    <w:rsid w:val="00041CB5"/>
    <w:rsid w:val="00041CEE"/>
    <w:rsid w:val="00041D5F"/>
    <w:rsid w:val="00041F63"/>
    <w:rsid w:val="00041F73"/>
    <w:rsid w:val="00041F9F"/>
    <w:rsid w:val="000420BC"/>
    <w:rsid w:val="000421DF"/>
    <w:rsid w:val="000421F8"/>
    <w:rsid w:val="000422FF"/>
    <w:rsid w:val="00042348"/>
    <w:rsid w:val="0004237D"/>
    <w:rsid w:val="000423D1"/>
    <w:rsid w:val="00042400"/>
    <w:rsid w:val="000424BF"/>
    <w:rsid w:val="00042585"/>
    <w:rsid w:val="00042643"/>
    <w:rsid w:val="00042754"/>
    <w:rsid w:val="000427C9"/>
    <w:rsid w:val="00042868"/>
    <w:rsid w:val="00042A95"/>
    <w:rsid w:val="00042B88"/>
    <w:rsid w:val="00042D86"/>
    <w:rsid w:val="00042D8C"/>
    <w:rsid w:val="00042DD2"/>
    <w:rsid w:val="00042DF7"/>
    <w:rsid w:val="00042F25"/>
    <w:rsid w:val="00043038"/>
    <w:rsid w:val="00043286"/>
    <w:rsid w:val="000433B5"/>
    <w:rsid w:val="00043505"/>
    <w:rsid w:val="0004359D"/>
    <w:rsid w:val="0004387F"/>
    <w:rsid w:val="000438C0"/>
    <w:rsid w:val="000439DA"/>
    <w:rsid w:val="00043B39"/>
    <w:rsid w:val="00043E9C"/>
    <w:rsid w:val="00043EB6"/>
    <w:rsid w:val="00044078"/>
    <w:rsid w:val="0004410F"/>
    <w:rsid w:val="00044165"/>
    <w:rsid w:val="000441B5"/>
    <w:rsid w:val="00044225"/>
    <w:rsid w:val="0004424B"/>
    <w:rsid w:val="0004432D"/>
    <w:rsid w:val="0004434E"/>
    <w:rsid w:val="000443A9"/>
    <w:rsid w:val="00044451"/>
    <w:rsid w:val="000444C1"/>
    <w:rsid w:val="000444F5"/>
    <w:rsid w:val="00044725"/>
    <w:rsid w:val="000447AC"/>
    <w:rsid w:val="000447FA"/>
    <w:rsid w:val="000449DF"/>
    <w:rsid w:val="00044BB1"/>
    <w:rsid w:val="00044BC2"/>
    <w:rsid w:val="00044C13"/>
    <w:rsid w:val="00044CDE"/>
    <w:rsid w:val="00044DB2"/>
    <w:rsid w:val="00044E97"/>
    <w:rsid w:val="00044F94"/>
    <w:rsid w:val="00044FCC"/>
    <w:rsid w:val="00044FE3"/>
    <w:rsid w:val="0004506E"/>
    <w:rsid w:val="0004519B"/>
    <w:rsid w:val="000451F4"/>
    <w:rsid w:val="000452B6"/>
    <w:rsid w:val="00045358"/>
    <w:rsid w:val="000454E7"/>
    <w:rsid w:val="0004554E"/>
    <w:rsid w:val="0004568F"/>
    <w:rsid w:val="0004574F"/>
    <w:rsid w:val="00045752"/>
    <w:rsid w:val="0004589C"/>
    <w:rsid w:val="000458BA"/>
    <w:rsid w:val="00045923"/>
    <w:rsid w:val="00045B5D"/>
    <w:rsid w:val="00045B72"/>
    <w:rsid w:val="00045C61"/>
    <w:rsid w:val="00045C78"/>
    <w:rsid w:val="00045CC3"/>
    <w:rsid w:val="00045CD4"/>
    <w:rsid w:val="00045D42"/>
    <w:rsid w:val="00045D61"/>
    <w:rsid w:val="00045DE0"/>
    <w:rsid w:val="00045F75"/>
    <w:rsid w:val="00045F77"/>
    <w:rsid w:val="000463CB"/>
    <w:rsid w:val="00046525"/>
    <w:rsid w:val="00046701"/>
    <w:rsid w:val="00046882"/>
    <w:rsid w:val="000468DE"/>
    <w:rsid w:val="00046B61"/>
    <w:rsid w:val="00046B62"/>
    <w:rsid w:val="00046BB5"/>
    <w:rsid w:val="00046E9E"/>
    <w:rsid w:val="00046F0C"/>
    <w:rsid w:val="00046F80"/>
    <w:rsid w:val="000471D6"/>
    <w:rsid w:val="000471F5"/>
    <w:rsid w:val="00047217"/>
    <w:rsid w:val="000472A5"/>
    <w:rsid w:val="000474DC"/>
    <w:rsid w:val="000476D4"/>
    <w:rsid w:val="00047983"/>
    <w:rsid w:val="000479C7"/>
    <w:rsid w:val="00047B1B"/>
    <w:rsid w:val="00047BCB"/>
    <w:rsid w:val="00047D55"/>
    <w:rsid w:val="00047DC4"/>
    <w:rsid w:val="00047F0E"/>
    <w:rsid w:val="000501A5"/>
    <w:rsid w:val="000501B2"/>
    <w:rsid w:val="00050391"/>
    <w:rsid w:val="00050527"/>
    <w:rsid w:val="00050608"/>
    <w:rsid w:val="00050622"/>
    <w:rsid w:val="00050782"/>
    <w:rsid w:val="0005078B"/>
    <w:rsid w:val="00050864"/>
    <w:rsid w:val="00050B39"/>
    <w:rsid w:val="00050C2C"/>
    <w:rsid w:val="00050C61"/>
    <w:rsid w:val="00050D18"/>
    <w:rsid w:val="00050D58"/>
    <w:rsid w:val="00050F84"/>
    <w:rsid w:val="00050FC4"/>
    <w:rsid w:val="000510F8"/>
    <w:rsid w:val="00051160"/>
    <w:rsid w:val="000511DD"/>
    <w:rsid w:val="0005132A"/>
    <w:rsid w:val="000513F9"/>
    <w:rsid w:val="00051458"/>
    <w:rsid w:val="00051482"/>
    <w:rsid w:val="000514DA"/>
    <w:rsid w:val="000514E9"/>
    <w:rsid w:val="00051522"/>
    <w:rsid w:val="000515C7"/>
    <w:rsid w:val="000516E6"/>
    <w:rsid w:val="000517AB"/>
    <w:rsid w:val="0005197E"/>
    <w:rsid w:val="00051987"/>
    <w:rsid w:val="00051996"/>
    <w:rsid w:val="000519A1"/>
    <w:rsid w:val="00051B41"/>
    <w:rsid w:val="00051C4F"/>
    <w:rsid w:val="00051C7A"/>
    <w:rsid w:val="00051D2A"/>
    <w:rsid w:val="00051DEC"/>
    <w:rsid w:val="00051E40"/>
    <w:rsid w:val="00051ED6"/>
    <w:rsid w:val="00051EDD"/>
    <w:rsid w:val="0005215A"/>
    <w:rsid w:val="000522E2"/>
    <w:rsid w:val="00052374"/>
    <w:rsid w:val="00052491"/>
    <w:rsid w:val="000524FF"/>
    <w:rsid w:val="0005271E"/>
    <w:rsid w:val="00052724"/>
    <w:rsid w:val="000529A6"/>
    <w:rsid w:val="00052A04"/>
    <w:rsid w:val="00052B83"/>
    <w:rsid w:val="00052BC9"/>
    <w:rsid w:val="00052BCD"/>
    <w:rsid w:val="00052BCE"/>
    <w:rsid w:val="00052CB7"/>
    <w:rsid w:val="00053058"/>
    <w:rsid w:val="00053192"/>
    <w:rsid w:val="000533DE"/>
    <w:rsid w:val="000534AB"/>
    <w:rsid w:val="000536B6"/>
    <w:rsid w:val="0005372C"/>
    <w:rsid w:val="00053794"/>
    <w:rsid w:val="0005383B"/>
    <w:rsid w:val="000538C8"/>
    <w:rsid w:val="00053925"/>
    <w:rsid w:val="0005392C"/>
    <w:rsid w:val="00053A64"/>
    <w:rsid w:val="00053A6B"/>
    <w:rsid w:val="00053AC6"/>
    <w:rsid w:val="00053BD2"/>
    <w:rsid w:val="00053BFD"/>
    <w:rsid w:val="00053D1A"/>
    <w:rsid w:val="00053D66"/>
    <w:rsid w:val="00053DDA"/>
    <w:rsid w:val="00053DDE"/>
    <w:rsid w:val="00053E64"/>
    <w:rsid w:val="00053F3E"/>
    <w:rsid w:val="00054044"/>
    <w:rsid w:val="0005412A"/>
    <w:rsid w:val="000541DA"/>
    <w:rsid w:val="000542FA"/>
    <w:rsid w:val="00054302"/>
    <w:rsid w:val="00054426"/>
    <w:rsid w:val="0005481C"/>
    <w:rsid w:val="00054851"/>
    <w:rsid w:val="000548DD"/>
    <w:rsid w:val="00054A22"/>
    <w:rsid w:val="00054BF9"/>
    <w:rsid w:val="00054C5E"/>
    <w:rsid w:val="00054C91"/>
    <w:rsid w:val="00054E0F"/>
    <w:rsid w:val="00054EA9"/>
    <w:rsid w:val="00054FD9"/>
    <w:rsid w:val="0005511E"/>
    <w:rsid w:val="0005514A"/>
    <w:rsid w:val="00055237"/>
    <w:rsid w:val="000553C5"/>
    <w:rsid w:val="000554D4"/>
    <w:rsid w:val="000555DE"/>
    <w:rsid w:val="0005562B"/>
    <w:rsid w:val="00055677"/>
    <w:rsid w:val="0005567F"/>
    <w:rsid w:val="00055787"/>
    <w:rsid w:val="0005592A"/>
    <w:rsid w:val="000559FA"/>
    <w:rsid w:val="00055A32"/>
    <w:rsid w:val="00055AC1"/>
    <w:rsid w:val="00055B8B"/>
    <w:rsid w:val="00055CE3"/>
    <w:rsid w:val="00055D16"/>
    <w:rsid w:val="00055D50"/>
    <w:rsid w:val="00055E7C"/>
    <w:rsid w:val="00055F5A"/>
    <w:rsid w:val="000560AC"/>
    <w:rsid w:val="000560AE"/>
    <w:rsid w:val="00056246"/>
    <w:rsid w:val="000562E1"/>
    <w:rsid w:val="0005636B"/>
    <w:rsid w:val="0005637B"/>
    <w:rsid w:val="0005639B"/>
    <w:rsid w:val="0005642E"/>
    <w:rsid w:val="0005658C"/>
    <w:rsid w:val="000565C8"/>
    <w:rsid w:val="000565E3"/>
    <w:rsid w:val="00056853"/>
    <w:rsid w:val="00056B46"/>
    <w:rsid w:val="00056B76"/>
    <w:rsid w:val="00056B97"/>
    <w:rsid w:val="00056BB0"/>
    <w:rsid w:val="00056BDC"/>
    <w:rsid w:val="00056D36"/>
    <w:rsid w:val="00056D88"/>
    <w:rsid w:val="00056F17"/>
    <w:rsid w:val="0005704C"/>
    <w:rsid w:val="0005704D"/>
    <w:rsid w:val="0005727B"/>
    <w:rsid w:val="000572C9"/>
    <w:rsid w:val="000573BE"/>
    <w:rsid w:val="000573C7"/>
    <w:rsid w:val="000573F0"/>
    <w:rsid w:val="0005749A"/>
    <w:rsid w:val="00057516"/>
    <w:rsid w:val="00057611"/>
    <w:rsid w:val="0005774F"/>
    <w:rsid w:val="000577E7"/>
    <w:rsid w:val="0005793B"/>
    <w:rsid w:val="00057988"/>
    <w:rsid w:val="000579B8"/>
    <w:rsid w:val="00057A15"/>
    <w:rsid w:val="00057A47"/>
    <w:rsid w:val="00057E88"/>
    <w:rsid w:val="00057EDD"/>
    <w:rsid w:val="00057EFE"/>
    <w:rsid w:val="00057F3E"/>
    <w:rsid w:val="00057F75"/>
    <w:rsid w:val="000600DE"/>
    <w:rsid w:val="000601A6"/>
    <w:rsid w:val="00060480"/>
    <w:rsid w:val="000604A2"/>
    <w:rsid w:val="000604A9"/>
    <w:rsid w:val="000607E7"/>
    <w:rsid w:val="00060976"/>
    <w:rsid w:val="00060A84"/>
    <w:rsid w:val="00060BF9"/>
    <w:rsid w:val="00060C08"/>
    <w:rsid w:val="00060CD6"/>
    <w:rsid w:val="00060D38"/>
    <w:rsid w:val="00060E07"/>
    <w:rsid w:val="00060F3E"/>
    <w:rsid w:val="00060FCA"/>
    <w:rsid w:val="00060FE3"/>
    <w:rsid w:val="000610E1"/>
    <w:rsid w:val="00061102"/>
    <w:rsid w:val="00061145"/>
    <w:rsid w:val="00061229"/>
    <w:rsid w:val="00061240"/>
    <w:rsid w:val="000613BF"/>
    <w:rsid w:val="00061443"/>
    <w:rsid w:val="000616DB"/>
    <w:rsid w:val="00061824"/>
    <w:rsid w:val="00061A07"/>
    <w:rsid w:val="00061ABA"/>
    <w:rsid w:val="00061AD6"/>
    <w:rsid w:val="00061AEE"/>
    <w:rsid w:val="00061B53"/>
    <w:rsid w:val="00061B74"/>
    <w:rsid w:val="00061BB0"/>
    <w:rsid w:val="00061C68"/>
    <w:rsid w:val="00061E11"/>
    <w:rsid w:val="00061EF6"/>
    <w:rsid w:val="00061F19"/>
    <w:rsid w:val="00061FBA"/>
    <w:rsid w:val="00061FC3"/>
    <w:rsid w:val="00062024"/>
    <w:rsid w:val="00062174"/>
    <w:rsid w:val="00062204"/>
    <w:rsid w:val="0006236B"/>
    <w:rsid w:val="00062690"/>
    <w:rsid w:val="0006289B"/>
    <w:rsid w:val="000629F8"/>
    <w:rsid w:val="00062B0B"/>
    <w:rsid w:val="00062D38"/>
    <w:rsid w:val="00062DDC"/>
    <w:rsid w:val="00062E02"/>
    <w:rsid w:val="00062E42"/>
    <w:rsid w:val="0006320E"/>
    <w:rsid w:val="0006345B"/>
    <w:rsid w:val="000635B1"/>
    <w:rsid w:val="000635D5"/>
    <w:rsid w:val="000636CB"/>
    <w:rsid w:val="00063800"/>
    <w:rsid w:val="0006381A"/>
    <w:rsid w:val="00063BDF"/>
    <w:rsid w:val="00063D2A"/>
    <w:rsid w:val="00063EEA"/>
    <w:rsid w:val="00063F61"/>
    <w:rsid w:val="0006406D"/>
    <w:rsid w:val="000641F1"/>
    <w:rsid w:val="00064270"/>
    <w:rsid w:val="00064275"/>
    <w:rsid w:val="00064603"/>
    <w:rsid w:val="0006467B"/>
    <w:rsid w:val="000646B6"/>
    <w:rsid w:val="000646CA"/>
    <w:rsid w:val="000646F8"/>
    <w:rsid w:val="00064CE9"/>
    <w:rsid w:val="00064DEB"/>
    <w:rsid w:val="00064E31"/>
    <w:rsid w:val="0006503F"/>
    <w:rsid w:val="00065047"/>
    <w:rsid w:val="000650A5"/>
    <w:rsid w:val="0006515E"/>
    <w:rsid w:val="00065194"/>
    <w:rsid w:val="0006537B"/>
    <w:rsid w:val="0006548C"/>
    <w:rsid w:val="0006564A"/>
    <w:rsid w:val="000656D0"/>
    <w:rsid w:val="000656E1"/>
    <w:rsid w:val="00065787"/>
    <w:rsid w:val="000657AB"/>
    <w:rsid w:val="0006596D"/>
    <w:rsid w:val="00065A97"/>
    <w:rsid w:val="00065ACA"/>
    <w:rsid w:val="00065ACC"/>
    <w:rsid w:val="00065AE2"/>
    <w:rsid w:val="00065BDC"/>
    <w:rsid w:val="00065EB2"/>
    <w:rsid w:val="00065EB9"/>
    <w:rsid w:val="00065F31"/>
    <w:rsid w:val="00065F5C"/>
    <w:rsid w:val="00066038"/>
    <w:rsid w:val="00066051"/>
    <w:rsid w:val="000660B5"/>
    <w:rsid w:val="00066179"/>
    <w:rsid w:val="000661A5"/>
    <w:rsid w:val="00066343"/>
    <w:rsid w:val="000663AB"/>
    <w:rsid w:val="000664FC"/>
    <w:rsid w:val="00066644"/>
    <w:rsid w:val="000667C2"/>
    <w:rsid w:val="000668CA"/>
    <w:rsid w:val="00066906"/>
    <w:rsid w:val="00066AD4"/>
    <w:rsid w:val="00066C4F"/>
    <w:rsid w:val="00066CD0"/>
    <w:rsid w:val="00066DE7"/>
    <w:rsid w:val="000670D3"/>
    <w:rsid w:val="000671AA"/>
    <w:rsid w:val="000671BA"/>
    <w:rsid w:val="0006720F"/>
    <w:rsid w:val="000673ED"/>
    <w:rsid w:val="00067484"/>
    <w:rsid w:val="00067495"/>
    <w:rsid w:val="00067499"/>
    <w:rsid w:val="00067723"/>
    <w:rsid w:val="0006775E"/>
    <w:rsid w:val="000679A3"/>
    <w:rsid w:val="00067AD3"/>
    <w:rsid w:val="00067B6B"/>
    <w:rsid w:val="00067B8F"/>
    <w:rsid w:val="00067E54"/>
    <w:rsid w:val="00067E64"/>
    <w:rsid w:val="00067E9B"/>
    <w:rsid w:val="00067EFA"/>
    <w:rsid w:val="000700D0"/>
    <w:rsid w:val="00070105"/>
    <w:rsid w:val="00070216"/>
    <w:rsid w:val="0007030B"/>
    <w:rsid w:val="00070399"/>
    <w:rsid w:val="00070448"/>
    <w:rsid w:val="000705FF"/>
    <w:rsid w:val="0007087F"/>
    <w:rsid w:val="000708E1"/>
    <w:rsid w:val="00070992"/>
    <w:rsid w:val="00070A44"/>
    <w:rsid w:val="00070AAD"/>
    <w:rsid w:val="00070C4C"/>
    <w:rsid w:val="00070D0A"/>
    <w:rsid w:val="00070DB3"/>
    <w:rsid w:val="00070F58"/>
    <w:rsid w:val="000711E4"/>
    <w:rsid w:val="00071378"/>
    <w:rsid w:val="00071536"/>
    <w:rsid w:val="0007154C"/>
    <w:rsid w:val="00071622"/>
    <w:rsid w:val="000717F6"/>
    <w:rsid w:val="000718EB"/>
    <w:rsid w:val="00071A1B"/>
    <w:rsid w:val="00071A71"/>
    <w:rsid w:val="00071AC0"/>
    <w:rsid w:val="00071BAD"/>
    <w:rsid w:val="00071BDD"/>
    <w:rsid w:val="00071C4C"/>
    <w:rsid w:val="00071CE4"/>
    <w:rsid w:val="00071DD1"/>
    <w:rsid w:val="00071E3E"/>
    <w:rsid w:val="00071E45"/>
    <w:rsid w:val="00071F67"/>
    <w:rsid w:val="00071F70"/>
    <w:rsid w:val="000721A8"/>
    <w:rsid w:val="000721C4"/>
    <w:rsid w:val="00072314"/>
    <w:rsid w:val="0007235F"/>
    <w:rsid w:val="0007253F"/>
    <w:rsid w:val="0007269D"/>
    <w:rsid w:val="000728A9"/>
    <w:rsid w:val="00072901"/>
    <w:rsid w:val="000729E5"/>
    <w:rsid w:val="00072AFB"/>
    <w:rsid w:val="00072B8F"/>
    <w:rsid w:val="00072C38"/>
    <w:rsid w:val="00072CCA"/>
    <w:rsid w:val="00072CE9"/>
    <w:rsid w:val="00072DD1"/>
    <w:rsid w:val="00072E4E"/>
    <w:rsid w:val="00072EC3"/>
    <w:rsid w:val="00072FCC"/>
    <w:rsid w:val="000730DE"/>
    <w:rsid w:val="000730E8"/>
    <w:rsid w:val="000730EB"/>
    <w:rsid w:val="00073106"/>
    <w:rsid w:val="0007338B"/>
    <w:rsid w:val="00073401"/>
    <w:rsid w:val="00073750"/>
    <w:rsid w:val="000737BF"/>
    <w:rsid w:val="000737C3"/>
    <w:rsid w:val="000737EC"/>
    <w:rsid w:val="000738FF"/>
    <w:rsid w:val="00073A60"/>
    <w:rsid w:val="00073B1C"/>
    <w:rsid w:val="00073B34"/>
    <w:rsid w:val="00073BBA"/>
    <w:rsid w:val="00073C45"/>
    <w:rsid w:val="00073FDE"/>
    <w:rsid w:val="00074057"/>
    <w:rsid w:val="000740B1"/>
    <w:rsid w:val="000740E8"/>
    <w:rsid w:val="000741A3"/>
    <w:rsid w:val="0007446D"/>
    <w:rsid w:val="00074555"/>
    <w:rsid w:val="000745D5"/>
    <w:rsid w:val="0007466D"/>
    <w:rsid w:val="00074B0D"/>
    <w:rsid w:val="00074B5B"/>
    <w:rsid w:val="00074BF7"/>
    <w:rsid w:val="00074C33"/>
    <w:rsid w:val="00074C88"/>
    <w:rsid w:val="00074DDC"/>
    <w:rsid w:val="00074E16"/>
    <w:rsid w:val="0007520B"/>
    <w:rsid w:val="00075212"/>
    <w:rsid w:val="0007528B"/>
    <w:rsid w:val="00075397"/>
    <w:rsid w:val="000754BA"/>
    <w:rsid w:val="000754FC"/>
    <w:rsid w:val="00075534"/>
    <w:rsid w:val="00075545"/>
    <w:rsid w:val="00075691"/>
    <w:rsid w:val="00075737"/>
    <w:rsid w:val="00075770"/>
    <w:rsid w:val="000757BC"/>
    <w:rsid w:val="0007594B"/>
    <w:rsid w:val="00075976"/>
    <w:rsid w:val="00075B78"/>
    <w:rsid w:val="00075BC5"/>
    <w:rsid w:val="00075C60"/>
    <w:rsid w:val="00075CE6"/>
    <w:rsid w:val="00075D36"/>
    <w:rsid w:val="00075DC1"/>
    <w:rsid w:val="00075DF2"/>
    <w:rsid w:val="00075F6F"/>
    <w:rsid w:val="00075F8F"/>
    <w:rsid w:val="00076079"/>
    <w:rsid w:val="000760B9"/>
    <w:rsid w:val="0007616B"/>
    <w:rsid w:val="0007619A"/>
    <w:rsid w:val="00076232"/>
    <w:rsid w:val="000762A3"/>
    <w:rsid w:val="00076460"/>
    <w:rsid w:val="00076552"/>
    <w:rsid w:val="000765D5"/>
    <w:rsid w:val="00076756"/>
    <w:rsid w:val="000767A3"/>
    <w:rsid w:val="0007682A"/>
    <w:rsid w:val="00076A25"/>
    <w:rsid w:val="00076ABE"/>
    <w:rsid w:val="00076BF5"/>
    <w:rsid w:val="00076C0B"/>
    <w:rsid w:val="00076CBF"/>
    <w:rsid w:val="00076DA4"/>
    <w:rsid w:val="00076DE1"/>
    <w:rsid w:val="00076E12"/>
    <w:rsid w:val="00076E7F"/>
    <w:rsid w:val="00076EC0"/>
    <w:rsid w:val="00076F45"/>
    <w:rsid w:val="00077002"/>
    <w:rsid w:val="00077094"/>
    <w:rsid w:val="000770A4"/>
    <w:rsid w:val="000770AC"/>
    <w:rsid w:val="000770F4"/>
    <w:rsid w:val="000771AF"/>
    <w:rsid w:val="000771EF"/>
    <w:rsid w:val="00077283"/>
    <w:rsid w:val="0007735C"/>
    <w:rsid w:val="00077371"/>
    <w:rsid w:val="000774AD"/>
    <w:rsid w:val="00077567"/>
    <w:rsid w:val="00077820"/>
    <w:rsid w:val="00077828"/>
    <w:rsid w:val="0007784F"/>
    <w:rsid w:val="000778AF"/>
    <w:rsid w:val="00077916"/>
    <w:rsid w:val="0007794E"/>
    <w:rsid w:val="00077953"/>
    <w:rsid w:val="000779B1"/>
    <w:rsid w:val="00077BB6"/>
    <w:rsid w:val="00077BC8"/>
    <w:rsid w:val="00077C2D"/>
    <w:rsid w:val="00077C3D"/>
    <w:rsid w:val="00077C64"/>
    <w:rsid w:val="00077C9A"/>
    <w:rsid w:val="00077D74"/>
    <w:rsid w:val="00077D91"/>
    <w:rsid w:val="00077DCC"/>
    <w:rsid w:val="00077DF6"/>
    <w:rsid w:val="00077E97"/>
    <w:rsid w:val="00077F73"/>
    <w:rsid w:val="000800F2"/>
    <w:rsid w:val="0008017F"/>
    <w:rsid w:val="000801A6"/>
    <w:rsid w:val="000801D7"/>
    <w:rsid w:val="0008022F"/>
    <w:rsid w:val="0008037A"/>
    <w:rsid w:val="000803D3"/>
    <w:rsid w:val="00080415"/>
    <w:rsid w:val="000804B5"/>
    <w:rsid w:val="00080553"/>
    <w:rsid w:val="00080593"/>
    <w:rsid w:val="0008062D"/>
    <w:rsid w:val="000807C8"/>
    <w:rsid w:val="000807E0"/>
    <w:rsid w:val="00080801"/>
    <w:rsid w:val="0008085A"/>
    <w:rsid w:val="0008093E"/>
    <w:rsid w:val="00080B21"/>
    <w:rsid w:val="00080BFA"/>
    <w:rsid w:val="00080C88"/>
    <w:rsid w:val="00080ECB"/>
    <w:rsid w:val="00080F10"/>
    <w:rsid w:val="00080FDE"/>
    <w:rsid w:val="00081039"/>
    <w:rsid w:val="00081258"/>
    <w:rsid w:val="0008126E"/>
    <w:rsid w:val="0008127F"/>
    <w:rsid w:val="0008150D"/>
    <w:rsid w:val="00081653"/>
    <w:rsid w:val="0008184D"/>
    <w:rsid w:val="0008189F"/>
    <w:rsid w:val="00081913"/>
    <w:rsid w:val="0008191A"/>
    <w:rsid w:val="00081928"/>
    <w:rsid w:val="00081947"/>
    <w:rsid w:val="00081B90"/>
    <w:rsid w:val="00081BCC"/>
    <w:rsid w:val="00081D32"/>
    <w:rsid w:val="00081FB1"/>
    <w:rsid w:val="000820CD"/>
    <w:rsid w:val="000825DA"/>
    <w:rsid w:val="00082723"/>
    <w:rsid w:val="00082AC0"/>
    <w:rsid w:val="00082AE1"/>
    <w:rsid w:val="00082CB1"/>
    <w:rsid w:val="00082D93"/>
    <w:rsid w:val="00082DB5"/>
    <w:rsid w:val="00082EB5"/>
    <w:rsid w:val="000830DD"/>
    <w:rsid w:val="000831BD"/>
    <w:rsid w:val="0008327A"/>
    <w:rsid w:val="00083361"/>
    <w:rsid w:val="00083388"/>
    <w:rsid w:val="000833B4"/>
    <w:rsid w:val="00083406"/>
    <w:rsid w:val="00083410"/>
    <w:rsid w:val="00083630"/>
    <w:rsid w:val="000839AE"/>
    <w:rsid w:val="00083A61"/>
    <w:rsid w:val="00083AC9"/>
    <w:rsid w:val="00083B59"/>
    <w:rsid w:val="00083D85"/>
    <w:rsid w:val="00083E34"/>
    <w:rsid w:val="000840A8"/>
    <w:rsid w:val="000841EA"/>
    <w:rsid w:val="00084208"/>
    <w:rsid w:val="0008429D"/>
    <w:rsid w:val="0008454F"/>
    <w:rsid w:val="000845E7"/>
    <w:rsid w:val="00084624"/>
    <w:rsid w:val="0008463C"/>
    <w:rsid w:val="000848D3"/>
    <w:rsid w:val="00084914"/>
    <w:rsid w:val="0008494D"/>
    <w:rsid w:val="00084A16"/>
    <w:rsid w:val="00084A6C"/>
    <w:rsid w:val="00084B8A"/>
    <w:rsid w:val="00084D05"/>
    <w:rsid w:val="00084F28"/>
    <w:rsid w:val="00084FE7"/>
    <w:rsid w:val="00085137"/>
    <w:rsid w:val="00085166"/>
    <w:rsid w:val="0008518C"/>
    <w:rsid w:val="00085238"/>
    <w:rsid w:val="000852CE"/>
    <w:rsid w:val="0008549B"/>
    <w:rsid w:val="000854C9"/>
    <w:rsid w:val="00085567"/>
    <w:rsid w:val="000855B2"/>
    <w:rsid w:val="000856D5"/>
    <w:rsid w:val="00085896"/>
    <w:rsid w:val="000858BF"/>
    <w:rsid w:val="000859F8"/>
    <w:rsid w:val="00085B2A"/>
    <w:rsid w:val="00085B2B"/>
    <w:rsid w:val="00085CC1"/>
    <w:rsid w:val="00085D7A"/>
    <w:rsid w:val="00085DCC"/>
    <w:rsid w:val="00085EDD"/>
    <w:rsid w:val="000861D7"/>
    <w:rsid w:val="0008626F"/>
    <w:rsid w:val="000862B4"/>
    <w:rsid w:val="0008636B"/>
    <w:rsid w:val="00086565"/>
    <w:rsid w:val="0008657B"/>
    <w:rsid w:val="0008659C"/>
    <w:rsid w:val="00086682"/>
    <w:rsid w:val="00086885"/>
    <w:rsid w:val="000869D0"/>
    <w:rsid w:val="00086B7E"/>
    <w:rsid w:val="00086B9E"/>
    <w:rsid w:val="00086BEB"/>
    <w:rsid w:val="00086C60"/>
    <w:rsid w:val="00086C62"/>
    <w:rsid w:val="00086CF1"/>
    <w:rsid w:val="00086D62"/>
    <w:rsid w:val="00086E09"/>
    <w:rsid w:val="00086E0D"/>
    <w:rsid w:val="00086E9F"/>
    <w:rsid w:val="00086F38"/>
    <w:rsid w:val="00086F82"/>
    <w:rsid w:val="00087028"/>
    <w:rsid w:val="000870B0"/>
    <w:rsid w:val="000870D7"/>
    <w:rsid w:val="0008718A"/>
    <w:rsid w:val="000871CE"/>
    <w:rsid w:val="00087295"/>
    <w:rsid w:val="000872D1"/>
    <w:rsid w:val="000876E4"/>
    <w:rsid w:val="000877AE"/>
    <w:rsid w:val="0008788C"/>
    <w:rsid w:val="000878C2"/>
    <w:rsid w:val="0008790D"/>
    <w:rsid w:val="0008797A"/>
    <w:rsid w:val="00087A0C"/>
    <w:rsid w:val="00087C80"/>
    <w:rsid w:val="00087C87"/>
    <w:rsid w:val="00087F51"/>
    <w:rsid w:val="00087FF2"/>
    <w:rsid w:val="00090056"/>
    <w:rsid w:val="00090214"/>
    <w:rsid w:val="000902AA"/>
    <w:rsid w:val="00090338"/>
    <w:rsid w:val="0009034D"/>
    <w:rsid w:val="000903DC"/>
    <w:rsid w:val="0009042F"/>
    <w:rsid w:val="000904E9"/>
    <w:rsid w:val="000904FE"/>
    <w:rsid w:val="0009057F"/>
    <w:rsid w:val="0009066A"/>
    <w:rsid w:val="00090820"/>
    <w:rsid w:val="00090824"/>
    <w:rsid w:val="00090862"/>
    <w:rsid w:val="00090A98"/>
    <w:rsid w:val="00090AA0"/>
    <w:rsid w:val="00090BBD"/>
    <w:rsid w:val="00090BCD"/>
    <w:rsid w:val="00090C02"/>
    <w:rsid w:val="00090C39"/>
    <w:rsid w:val="00090C4D"/>
    <w:rsid w:val="00090D50"/>
    <w:rsid w:val="00090D54"/>
    <w:rsid w:val="00090D9B"/>
    <w:rsid w:val="00090E25"/>
    <w:rsid w:val="00090E54"/>
    <w:rsid w:val="00090EB3"/>
    <w:rsid w:val="00090EB5"/>
    <w:rsid w:val="00091044"/>
    <w:rsid w:val="00091075"/>
    <w:rsid w:val="0009109A"/>
    <w:rsid w:val="00091266"/>
    <w:rsid w:val="00091269"/>
    <w:rsid w:val="000912C0"/>
    <w:rsid w:val="000912DE"/>
    <w:rsid w:val="000912F9"/>
    <w:rsid w:val="00091344"/>
    <w:rsid w:val="00091367"/>
    <w:rsid w:val="00091404"/>
    <w:rsid w:val="0009140E"/>
    <w:rsid w:val="00091423"/>
    <w:rsid w:val="00091459"/>
    <w:rsid w:val="00091618"/>
    <w:rsid w:val="0009162A"/>
    <w:rsid w:val="0009167D"/>
    <w:rsid w:val="00091771"/>
    <w:rsid w:val="00091783"/>
    <w:rsid w:val="0009178D"/>
    <w:rsid w:val="0009199C"/>
    <w:rsid w:val="00091A26"/>
    <w:rsid w:val="00091B80"/>
    <w:rsid w:val="00091CA0"/>
    <w:rsid w:val="00091CF0"/>
    <w:rsid w:val="00091D55"/>
    <w:rsid w:val="00091F19"/>
    <w:rsid w:val="000920CC"/>
    <w:rsid w:val="0009215C"/>
    <w:rsid w:val="00092371"/>
    <w:rsid w:val="000923DC"/>
    <w:rsid w:val="0009273F"/>
    <w:rsid w:val="00092769"/>
    <w:rsid w:val="000927FE"/>
    <w:rsid w:val="00092817"/>
    <w:rsid w:val="00092882"/>
    <w:rsid w:val="00092A31"/>
    <w:rsid w:val="00092A94"/>
    <w:rsid w:val="00092B1D"/>
    <w:rsid w:val="00092CD6"/>
    <w:rsid w:val="00092D6F"/>
    <w:rsid w:val="00092E04"/>
    <w:rsid w:val="00092F3F"/>
    <w:rsid w:val="00092F63"/>
    <w:rsid w:val="000930B2"/>
    <w:rsid w:val="00093286"/>
    <w:rsid w:val="00093311"/>
    <w:rsid w:val="00093352"/>
    <w:rsid w:val="000933AE"/>
    <w:rsid w:val="00093483"/>
    <w:rsid w:val="000934A5"/>
    <w:rsid w:val="0009365F"/>
    <w:rsid w:val="000936A2"/>
    <w:rsid w:val="000936DE"/>
    <w:rsid w:val="00093748"/>
    <w:rsid w:val="00093867"/>
    <w:rsid w:val="00093901"/>
    <w:rsid w:val="0009391D"/>
    <w:rsid w:val="00093960"/>
    <w:rsid w:val="00093965"/>
    <w:rsid w:val="00093ADB"/>
    <w:rsid w:val="00093B53"/>
    <w:rsid w:val="00093C0D"/>
    <w:rsid w:val="00093C29"/>
    <w:rsid w:val="00093F7D"/>
    <w:rsid w:val="00093FBA"/>
    <w:rsid w:val="000941AF"/>
    <w:rsid w:val="000941CF"/>
    <w:rsid w:val="00094232"/>
    <w:rsid w:val="000942AC"/>
    <w:rsid w:val="00094618"/>
    <w:rsid w:val="000946A7"/>
    <w:rsid w:val="000946AD"/>
    <w:rsid w:val="000946FF"/>
    <w:rsid w:val="00094A4A"/>
    <w:rsid w:val="00094A75"/>
    <w:rsid w:val="00094A81"/>
    <w:rsid w:val="00094AAF"/>
    <w:rsid w:val="00094AC4"/>
    <w:rsid w:val="00094CA1"/>
    <w:rsid w:val="00094D69"/>
    <w:rsid w:val="00094E2C"/>
    <w:rsid w:val="00094EE9"/>
    <w:rsid w:val="00094F0B"/>
    <w:rsid w:val="00094F1C"/>
    <w:rsid w:val="000952A0"/>
    <w:rsid w:val="00095329"/>
    <w:rsid w:val="00095336"/>
    <w:rsid w:val="0009555E"/>
    <w:rsid w:val="000956EE"/>
    <w:rsid w:val="000957B8"/>
    <w:rsid w:val="000957C6"/>
    <w:rsid w:val="000957E9"/>
    <w:rsid w:val="000957F0"/>
    <w:rsid w:val="00095B22"/>
    <w:rsid w:val="00095D3A"/>
    <w:rsid w:val="00095DA3"/>
    <w:rsid w:val="00095DDB"/>
    <w:rsid w:val="00095E32"/>
    <w:rsid w:val="00095EC6"/>
    <w:rsid w:val="00095F23"/>
    <w:rsid w:val="00095F26"/>
    <w:rsid w:val="000960FE"/>
    <w:rsid w:val="00096126"/>
    <w:rsid w:val="00096203"/>
    <w:rsid w:val="0009638D"/>
    <w:rsid w:val="0009653D"/>
    <w:rsid w:val="00096657"/>
    <w:rsid w:val="0009687C"/>
    <w:rsid w:val="0009695B"/>
    <w:rsid w:val="00096A74"/>
    <w:rsid w:val="00096B85"/>
    <w:rsid w:val="00096BB4"/>
    <w:rsid w:val="00096CE8"/>
    <w:rsid w:val="00096D12"/>
    <w:rsid w:val="00096DB8"/>
    <w:rsid w:val="00096E7A"/>
    <w:rsid w:val="00096F06"/>
    <w:rsid w:val="000970D0"/>
    <w:rsid w:val="000970DE"/>
    <w:rsid w:val="00097192"/>
    <w:rsid w:val="0009722C"/>
    <w:rsid w:val="000972EE"/>
    <w:rsid w:val="000974B6"/>
    <w:rsid w:val="000975E5"/>
    <w:rsid w:val="000976A7"/>
    <w:rsid w:val="00097771"/>
    <w:rsid w:val="000978B0"/>
    <w:rsid w:val="00097A6B"/>
    <w:rsid w:val="00097AE3"/>
    <w:rsid w:val="00097B12"/>
    <w:rsid w:val="00097B68"/>
    <w:rsid w:val="00097BC6"/>
    <w:rsid w:val="00097CE6"/>
    <w:rsid w:val="00097CE7"/>
    <w:rsid w:val="00097D14"/>
    <w:rsid w:val="00097D5F"/>
    <w:rsid w:val="00097DCF"/>
    <w:rsid w:val="00097E9D"/>
    <w:rsid w:val="00097EF0"/>
    <w:rsid w:val="00097EF9"/>
    <w:rsid w:val="00097FD2"/>
    <w:rsid w:val="000A00DE"/>
    <w:rsid w:val="000A0147"/>
    <w:rsid w:val="000A017A"/>
    <w:rsid w:val="000A01D8"/>
    <w:rsid w:val="000A022B"/>
    <w:rsid w:val="000A024B"/>
    <w:rsid w:val="000A025F"/>
    <w:rsid w:val="000A037B"/>
    <w:rsid w:val="000A04A7"/>
    <w:rsid w:val="000A055E"/>
    <w:rsid w:val="000A056F"/>
    <w:rsid w:val="000A0705"/>
    <w:rsid w:val="000A08A1"/>
    <w:rsid w:val="000A0951"/>
    <w:rsid w:val="000A0B49"/>
    <w:rsid w:val="000A0D56"/>
    <w:rsid w:val="000A0DC0"/>
    <w:rsid w:val="000A0EB7"/>
    <w:rsid w:val="000A1011"/>
    <w:rsid w:val="000A1063"/>
    <w:rsid w:val="000A1130"/>
    <w:rsid w:val="000A1368"/>
    <w:rsid w:val="000A13D4"/>
    <w:rsid w:val="000A1507"/>
    <w:rsid w:val="000A1511"/>
    <w:rsid w:val="000A17B3"/>
    <w:rsid w:val="000A180F"/>
    <w:rsid w:val="000A1825"/>
    <w:rsid w:val="000A18FB"/>
    <w:rsid w:val="000A1A7B"/>
    <w:rsid w:val="000A1AD2"/>
    <w:rsid w:val="000A1B4E"/>
    <w:rsid w:val="000A1C11"/>
    <w:rsid w:val="000A1D0E"/>
    <w:rsid w:val="000A1FCE"/>
    <w:rsid w:val="000A20DE"/>
    <w:rsid w:val="000A211B"/>
    <w:rsid w:val="000A228E"/>
    <w:rsid w:val="000A2479"/>
    <w:rsid w:val="000A2489"/>
    <w:rsid w:val="000A24CD"/>
    <w:rsid w:val="000A26C2"/>
    <w:rsid w:val="000A275B"/>
    <w:rsid w:val="000A2776"/>
    <w:rsid w:val="000A285A"/>
    <w:rsid w:val="000A2918"/>
    <w:rsid w:val="000A2961"/>
    <w:rsid w:val="000A2995"/>
    <w:rsid w:val="000A2B10"/>
    <w:rsid w:val="000A2B7A"/>
    <w:rsid w:val="000A2D0F"/>
    <w:rsid w:val="000A2E53"/>
    <w:rsid w:val="000A2E7E"/>
    <w:rsid w:val="000A2E82"/>
    <w:rsid w:val="000A2FCF"/>
    <w:rsid w:val="000A3048"/>
    <w:rsid w:val="000A3077"/>
    <w:rsid w:val="000A3134"/>
    <w:rsid w:val="000A32B9"/>
    <w:rsid w:val="000A32C7"/>
    <w:rsid w:val="000A3360"/>
    <w:rsid w:val="000A33A9"/>
    <w:rsid w:val="000A3404"/>
    <w:rsid w:val="000A3427"/>
    <w:rsid w:val="000A35E9"/>
    <w:rsid w:val="000A37AC"/>
    <w:rsid w:val="000A3892"/>
    <w:rsid w:val="000A38BC"/>
    <w:rsid w:val="000A38EF"/>
    <w:rsid w:val="000A39B1"/>
    <w:rsid w:val="000A3A13"/>
    <w:rsid w:val="000A3B65"/>
    <w:rsid w:val="000A3B90"/>
    <w:rsid w:val="000A3DBA"/>
    <w:rsid w:val="000A3F2F"/>
    <w:rsid w:val="000A3F58"/>
    <w:rsid w:val="000A3FCB"/>
    <w:rsid w:val="000A41A5"/>
    <w:rsid w:val="000A4299"/>
    <w:rsid w:val="000A4369"/>
    <w:rsid w:val="000A44D4"/>
    <w:rsid w:val="000A45C6"/>
    <w:rsid w:val="000A45D6"/>
    <w:rsid w:val="000A4633"/>
    <w:rsid w:val="000A46C0"/>
    <w:rsid w:val="000A46C3"/>
    <w:rsid w:val="000A48C9"/>
    <w:rsid w:val="000A4922"/>
    <w:rsid w:val="000A4991"/>
    <w:rsid w:val="000A4A0B"/>
    <w:rsid w:val="000A4A20"/>
    <w:rsid w:val="000A4A4F"/>
    <w:rsid w:val="000A4AFE"/>
    <w:rsid w:val="000A4CB2"/>
    <w:rsid w:val="000A4D1F"/>
    <w:rsid w:val="000A4F33"/>
    <w:rsid w:val="000A4F3F"/>
    <w:rsid w:val="000A4FE2"/>
    <w:rsid w:val="000A5111"/>
    <w:rsid w:val="000A5228"/>
    <w:rsid w:val="000A523A"/>
    <w:rsid w:val="000A533A"/>
    <w:rsid w:val="000A54FB"/>
    <w:rsid w:val="000A551B"/>
    <w:rsid w:val="000A5640"/>
    <w:rsid w:val="000A56ED"/>
    <w:rsid w:val="000A57A1"/>
    <w:rsid w:val="000A5813"/>
    <w:rsid w:val="000A58B8"/>
    <w:rsid w:val="000A5A87"/>
    <w:rsid w:val="000A5B2F"/>
    <w:rsid w:val="000A5BD6"/>
    <w:rsid w:val="000A5C2C"/>
    <w:rsid w:val="000A5D41"/>
    <w:rsid w:val="000A5EAF"/>
    <w:rsid w:val="000A5EB1"/>
    <w:rsid w:val="000A5EBC"/>
    <w:rsid w:val="000A5ECA"/>
    <w:rsid w:val="000A602E"/>
    <w:rsid w:val="000A6073"/>
    <w:rsid w:val="000A611F"/>
    <w:rsid w:val="000A6122"/>
    <w:rsid w:val="000A618C"/>
    <w:rsid w:val="000A61C9"/>
    <w:rsid w:val="000A628C"/>
    <w:rsid w:val="000A661A"/>
    <w:rsid w:val="000A67D2"/>
    <w:rsid w:val="000A681B"/>
    <w:rsid w:val="000A69B7"/>
    <w:rsid w:val="000A6B18"/>
    <w:rsid w:val="000A6B5F"/>
    <w:rsid w:val="000A6BCD"/>
    <w:rsid w:val="000A6BD3"/>
    <w:rsid w:val="000A6C9E"/>
    <w:rsid w:val="000A6D59"/>
    <w:rsid w:val="000A6D75"/>
    <w:rsid w:val="000A6E76"/>
    <w:rsid w:val="000A7008"/>
    <w:rsid w:val="000A7107"/>
    <w:rsid w:val="000A71D0"/>
    <w:rsid w:val="000A71DC"/>
    <w:rsid w:val="000A721D"/>
    <w:rsid w:val="000A727E"/>
    <w:rsid w:val="000A72A5"/>
    <w:rsid w:val="000A73CB"/>
    <w:rsid w:val="000A749C"/>
    <w:rsid w:val="000A74E4"/>
    <w:rsid w:val="000A757D"/>
    <w:rsid w:val="000A7625"/>
    <w:rsid w:val="000A7760"/>
    <w:rsid w:val="000A7786"/>
    <w:rsid w:val="000A7851"/>
    <w:rsid w:val="000A78CD"/>
    <w:rsid w:val="000A7935"/>
    <w:rsid w:val="000A7AC7"/>
    <w:rsid w:val="000A7B20"/>
    <w:rsid w:val="000A7B6F"/>
    <w:rsid w:val="000A7BAC"/>
    <w:rsid w:val="000A7CF8"/>
    <w:rsid w:val="000A7DCB"/>
    <w:rsid w:val="000A7DCF"/>
    <w:rsid w:val="000A7ED7"/>
    <w:rsid w:val="000A7F14"/>
    <w:rsid w:val="000A7F6C"/>
    <w:rsid w:val="000A7FC1"/>
    <w:rsid w:val="000B0028"/>
    <w:rsid w:val="000B002B"/>
    <w:rsid w:val="000B012E"/>
    <w:rsid w:val="000B015C"/>
    <w:rsid w:val="000B01C1"/>
    <w:rsid w:val="000B0258"/>
    <w:rsid w:val="000B029B"/>
    <w:rsid w:val="000B03A1"/>
    <w:rsid w:val="000B03DE"/>
    <w:rsid w:val="000B0492"/>
    <w:rsid w:val="000B0515"/>
    <w:rsid w:val="000B0588"/>
    <w:rsid w:val="000B071A"/>
    <w:rsid w:val="000B07E8"/>
    <w:rsid w:val="000B0817"/>
    <w:rsid w:val="000B08F2"/>
    <w:rsid w:val="000B094C"/>
    <w:rsid w:val="000B098B"/>
    <w:rsid w:val="000B0A30"/>
    <w:rsid w:val="000B0A8D"/>
    <w:rsid w:val="000B0E4A"/>
    <w:rsid w:val="000B0EBD"/>
    <w:rsid w:val="000B0F99"/>
    <w:rsid w:val="000B0FFF"/>
    <w:rsid w:val="000B10C6"/>
    <w:rsid w:val="000B112B"/>
    <w:rsid w:val="000B1824"/>
    <w:rsid w:val="000B1826"/>
    <w:rsid w:val="000B192D"/>
    <w:rsid w:val="000B1BC8"/>
    <w:rsid w:val="000B1D7C"/>
    <w:rsid w:val="000B1FE2"/>
    <w:rsid w:val="000B21ED"/>
    <w:rsid w:val="000B225A"/>
    <w:rsid w:val="000B23B4"/>
    <w:rsid w:val="000B2428"/>
    <w:rsid w:val="000B247C"/>
    <w:rsid w:val="000B2624"/>
    <w:rsid w:val="000B2639"/>
    <w:rsid w:val="000B27A1"/>
    <w:rsid w:val="000B2871"/>
    <w:rsid w:val="000B28D3"/>
    <w:rsid w:val="000B29C7"/>
    <w:rsid w:val="000B29D5"/>
    <w:rsid w:val="000B2A70"/>
    <w:rsid w:val="000B2ADA"/>
    <w:rsid w:val="000B2E36"/>
    <w:rsid w:val="000B2E77"/>
    <w:rsid w:val="000B2EBD"/>
    <w:rsid w:val="000B30F8"/>
    <w:rsid w:val="000B330F"/>
    <w:rsid w:val="000B34B8"/>
    <w:rsid w:val="000B35F1"/>
    <w:rsid w:val="000B3605"/>
    <w:rsid w:val="000B3782"/>
    <w:rsid w:val="000B394E"/>
    <w:rsid w:val="000B39C4"/>
    <w:rsid w:val="000B3CD1"/>
    <w:rsid w:val="000B3D3B"/>
    <w:rsid w:val="000B3E75"/>
    <w:rsid w:val="000B40FF"/>
    <w:rsid w:val="000B4179"/>
    <w:rsid w:val="000B4192"/>
    <w:rsid w:val="000B41CC"/>
    <w:rsid w:val="000B4847"/>
    <w:rsid w:val="000B49AC"/>
    <w:rsid w:val="000B4A10"/>
    <w:rsid w:val="000B4A49"/>
    <w:rsid w:val="000B4AA1"/>
    <w:rsid w:val="000B4BC5"/>
    <w:rsid w:val="000B4DE1"/>
    <w:rsid w:val="000B4DF6"/>
    <w:rsid w:val="000B4FB6"/>
    <w:rsid w:val="000B5145"/>
    <w:rsid w:val="000B536C"/>
    <w:rsid w:val="000B543A"/>
    <w:rsid w:val="000B5460"/>
    <w:rsid w:val="000B54A4"/>
    <w:rsid w:val="000B554B"/>
    <w:rsid w:val="000B5562"/>
    <w:rsid w:val="000B55A8"/>
    <w:rsid w:val="000B55D8"/>
    <w:rsid w:val="000B576E"/>
    <w:rsid w:val="000B5793"/>
    <w:rsid w:val="000B57AA"/>
    <w:rsid w:val="000B5946"/>
    <w:rsid w:val="000B5AE5"/>
    <w:rsid w:val="000B5BB9"/>
    <w:rsid w:val="000B5BBE"/>
    <w:rsid w:val="000B5C57"/>
    <w:rsid w:val="000B5C5D"/>
    <w:rsid w:val="000B5C81"/>
    <w:rsid w:val="000B5D17"/>
    <w:rsid w:val="000B5DA5"/>
    <w:rsid w:val="000B5F80"/>
    <w:rsid w:val="000B60EE"/>
    <w:rsid w:val="000B6110"/>
    <w:rsid w:val="000B6152"/>
    <w:rsid w:val="000B61D8"/>
    <w:rsid w:val="000B61EF"/>
    <w:rsid w:val="000B6270"/>
    <w:rsid w:val="000B6285"/>
    <w:rsid w:val="000B63A8"/>
    <w:rsid w:val="000B650D"/>
    <w:rsid w:val="000B66E6"/>
    <w:rsid w:val="000B6755"/>
    <w:rsid w:val="000B67CD"/>
    <w:rsid w:val="000B686D"/>
    <w:rsid w:val="000B6870"/>
    <w:rsid w:val="000B6917"/>
    <w:rsid w:val="000B69D4"/>
    <w:rsid w:val="000B6A63"/>
    <w:rsid w:val="000B6B48"/>
    <w:rsid w:val="000B6CFB"/>
    <w:rsid w:val="000B6E31"/>
    <w:rsid w:val="000B6EEF"/>
    <w:rsid w:val="000B6F07"/>
    <w:rsid w:val="000B7004"/>
    <w:rsid w:val="000B705B"/>
    <w:rsid w:val="000B70D1"/>
    <w:rsid w:val="000B72EE"/>
    <w:rsid w:val="000B732C"/>
    <w:rsid w:val="000B737F"/>
    <w:rsid w:val="000B7584"/>
    <w:rsid w:val="000B76CE"/>
    <w:rsid w:val="000B78F7"/>
    <w:rsid w:val="000B7990"/>
    <w:rsid w:val="000B79BF"/>
    <w:rsid w:val="000B7A3F"/>
    <w:rsid w:val="000B7B08"/>
    <w:rsid w:val="000B7B9F"/>
    <w:rsid w:val="000B7BD2"/>
    <w:rsid w:val="000B7BE7"/>
    <w:rsid w:val="000B7D8C"/>
    <w:rsid w:val="000B7EE1"/>
    <w:rsid w:val="000B7F02"/>
    <w:rsid w:val="000C0098"/>
    <w:rsid w:val="000C0225"/>
    <w:rsid w:val="000C025E"/>
    <w:rsid w:val="000C0561"/>
    <w:rsid w:val="000C0563"/>
    <w:rsid w:val="000C063D"/>
    <w:rsid w:val="000C0717"/>
    <w:rsid w:val="000C0738"/>
    <w:rsid w:val="000C0AD8"/>
    <w:rsid w:val="000C0B94"/>
    <w:rsid w:val="000C0CAA"/>
    <w:rsid w:val="000C0CF7"/>
    <w:rsid w:val="000C0D14"/>
    <w:rsid w:val="000C0D48"/>
    <w:rsid w:val="000C0DCD"/>
    <w:rsid w:val="000C0DDF"/>
    <w:rsid w:val="000C0DF4"/>
    <w:rsid w:val="000C0E04"/>
    <w:rsid w:val="000C0E8C"/>
    <w:rsid w:val="000C0F60"/>
    <w:rsid w:val="000C0F6C"/>
    <w:rsid w:val="000C0FC4"/>
    <w:rsid w:val="000C1087"/>
    <w:rsid w:val="000C133B"/>
    <w:rsid w:val="000C13FB"/>
    <w:rsid w:val="000C1506"/>
    <w:rsid w:val="000C16A6"/>
    <w:rsid w:val="000C181B"/>
    <w:rsid w:val="000C1822"/>
    <w:rsid w:val="000C1859"/>
    <w:rsid w:val="000C18D6"/>
    <w:rsid w:val="000C194B"/>
    <w:rsid w:val="000C195D"/>
    <w:rsid w:val="000C1982"/>
    <w:rsid w:val="000C199C"/>
    <w:rsid w:val="000C1B30"/>
    <w:rsid w:val="000C1C38"/>
    <w:rsid w:val="000C1E5E"/>
    <w:rsid w:val="000C1E6F"/>
    <w:rsid w:val="000C1E79"/>
    <w:rsid w:val="000C1EB9"/>
    <w:rsid w:val="000C1EE6"/>
    <w:rsid w:val="000C1F1E"/>
    <w:rsid w:val="000C1FEA"/>
    <w:rsid w:val="000C224A"/>
    <w:rsid w:val="000C22E4"/>
    <w:rsid w:val="000C230F"/>
    <w:rsid w:val="000C2373"/>
    <w:rsid w:val="000C248F"/>
    <w:rsid w:val="000C24BF"/>
    <w:rsid w:val="000C24E6"/>
    <w:rsid w:val="000C2725"/>
    <w:rsid w:val="000C2B72"/>
    <w:rsid w:val="000C2B77"/>
    <w:rsid w:val="000C2C37"/>
    <w:rsid w:val="000C2E20"/>
    <w:rsid w:val="000C2F18"/>
    <w:rsid w:val="000C2FD3"/>
    <w:rsid w:val="000C3016"/>
    <w:rsid w:val="000C3240"/>
    <w:rsid w:val="000C326E"/>
    <w:rsid w:val="000C3318"/>
    <w:rsid w:val="000C3370"/>
    <w:rsid w:val="000C3418"/>
    <w:rsid w:val="000C342D"/>
    <w:rsid w:val="000C34F7"/>
    <w:rsid w:val="000C356D"/>
    <w:rsid w:val="000C363D"/>
    <w:rsid w:val="000C366E"/>
    <w:rsid w:val="000C3821"/>
    <w:rsid w:val="000C3925"/>
    <w:rsid w:val="000C3A6C"/>
    <w:rsid w:val="000C4139"/>
    <w:rsid w:val="000C41C9"/>
    <w:rsid w:val="000C42F0"/>
    <w:rsid w:val="000C43F6"/>
    <w:rsid w:val="000C441F"/>
    <w:rsid w:val="000C44E0"/>
    <w:rsid w:val="000C451A"/>
    <w:rsid w:val="000C45D1"/>
    <w:rsid w:val="000C47A0"/>
    <w:rsid w:val="000C4809"/>
    <w:rsid w:val="000C48A4"/>
    <w:rsid w:val="000C495F"/>
    <w:rsid w:val="000C49A8"/>
    <w:rsid w:val="000C4DD3"/>
    <w:rsid w:val="000C4E6B"/>
    <w:rsid w:val="000C4EAD"/>
    <w:rsid w:val="000C4EB6"/>
    <w:rsid w:val="000C4FF5"/>
    <w:rsid w:val="000C500F"/>
    <w:rsid w:val="000C50EC"/>
    <w:rsid w:val="000C520D"/>
    <w:rsid w:val="000C523F"/>
    <w:rsid w:val="000C54F9"/>
    <w:rsid w:val="000C5570"/>
    <w:rsid w:val="000C5639"/>
    <w:rsid w:val="000C5938"/>
    <w:rsid w:val="000C59FA"/>
    <w:rsid w:val="000C5C66"/>
    <w:rsid w:val="000C5DB4"/>
    <w:rsid w:val="000C5E44"/>
    <w:rsid w:val="000C5F9B"/>
    <w:rsid w:val="000C62C9"/>
    <w:rsid w:val="000C6301"/>
    <w:rsid w:val="000C631F"/>
    <w:rsid w:val="000C6325"/>
    <w:rsid w:val="000C633E"/>
    <w:rsid w:val="000C6397"/>
    <w:rsid w:val="000C63BD"/>
    <w:rsid w:val="000C652A"/>
    <w:rsid w:val="000C66E8"/>
    <w:rsid w:val="000C683C"/>
    <w:rsid w:val="000C6A9F"/>
    <w:rsid w:val="000C6BBB"/>
    <w:rsid w:val="000C6D55"/>
    <w:rsid w:val="000C6DBD"/>
    <w:rsid w:val="000C7132"/>
    <w:rsid w:val="000C7143"/>
    <w:rsid w:val="000C71E7"/>
    <w:rsid w:val="000C7299"/>
    <w:rsid w:val="000C729A"/>
    <w:rsid w:val="000C73C1"/>
    <w:rsid w:val="000C73EF"/>
    <w:rsid w:val="000C7410"/>
    <w:rsid w:val="000C74C8"/>
    <w:rsid w:val="000C74F0"/>
    <w:rsid w:val="000C75EE"/>
    <w:rsid w:val="000C777F"/>
    <w:rsid w:val="000C78F5"/>
    <w:rsid w:val="000C794B"/>
    <w:rsid w:val="000C7B03"/>
    <w:rsid w:val="000C7B4F"/>
    <w:rsid w:val="000C7B56"/>
    <w:rsid w:val="000C7C53"/>
    <w:rsid w:val="000C7D76"/>
    <w:rsid w:val="000C7E1F"/>
    <w:rsid w:val="000C7E21"/>
    <w:rsid w:val="000C7FBB"/>
    <w:rsid w:val="000D000E"/>
    <w:rsid w:val="000D0066"/>
    <w:rsid w:val="000D00A1"/>
    <w:rsid w:val="000D01C3"/>
    <w:rsid w:val="000D01EF"/>
    <w:rsid w:val="000D01FF"/>
    <w:rsid w:val="000D0341"/>
    <w:rsid w:val="000D034C"/>
    <w:rsid w:val="000D035D"/>
    <w:rsid w:val="000D0452"/>
    <w:rsid w:val="000D0460"/>
    <w:rsid w:val="000D04F6"/>
    <w:rsid w:val="000D0526"/>
    <w:rsid w:val="000D054C"/>
    <w:rsid w:val="000D05C8"/>
    <w:rsid w:val="000D05F4"/>
    <w:rsid w:val="000D08C7"/>
    <w:rsid w:val="000D0910"/>
    <w:rsid w:val="000D0A10"/>
    <w:rsid w:val="000D0A75"/>
    <w:rsid w:val="000D0C33"/>
    <w:rsid w:val="000D0D1D"/>
    <w:rsid w:val="000D1027"/>
    <w:rsid w:val="000D10BD"/>
    <w:rsid w:val="000D1216"/>
    <w:rsid w:val="000D1262"/>
    <w:rsid w:val="000D143B"/>
    <w:rsid w:val="000D1492"/>
    <w:rsid w:val="000D149F"/>
    <w:rsid w:val="000D1602"/>
    <w:rsid w:val="000D1774"/>
    <w:rsid w:val="000D1775"/>
    <w:rsid w:val="000D18DB"/>
    <w:rsid w:val="000D1960"/>
    <w:rsid w:val="000D19FB"/>
    <w:rsid w:val="000D1A43"/>
    <w:rsid w:val="000D1A77"/>
    <w:rsid w:val="000D1A9A"/>
    <w:rsid w:val="000D1B3E"/>
    <w:rsid w:val="000D1C95"/>
    <w:rsid w:val="000D1CCE"/>
    <w:rsid w:val="000D1D2B"/>
    <w:rsid w:val="000D1DAE"/>
    <w:rsid w:val="000D1E48"/>
    <w:rsid w:val="000D1E61"/>
    <w:rsid w:val="000D1E8B"/>
    <w:rsid w:val="000D1ED2"/>
    <w:rsid w:val="000D1F51"/>
    <w:rsid w:val="000D1FEB"/>
    <w:rsid w:val="000D2004"/>
    <w:rsid w:val="000D212C"/>
    <w:rsid w:val="000D21EF"/>
    <w:rsid w:val="000D22DE"/>
    <w:rsid w:val="000D2336"/>
    <w:rsid w:val="000D23C6"/>
    <w:rsid w:val="000D24FC"/>
    <w:rsid w:val="000D2638"/>
    <w:rsid w:val="000D26FA"/>
    <w:rsid w:val="000D270B"/>
    <w:rsid w:val="000D276E"/>
    <w:rsid w:val="000D2778"/>
    <w:rsid w:val="000D2843"/>
    <w:rsid w:val="000D2ACF"/>
    <w:rsid w:val="000D2B47"/>
    <w:rsid w:val="000D2BC5"/>
    <w:rsid w:val="000D2BD0"/>
    <w:rsid w:val="000D2C85"/>
    <w:rsid w:val="000D2CAD"/>
    <w:rsid w:val="000D2DD9"/>
    <w:rsid w:val="000D2DF5"/>
    <w:rsid w:val="000D304E"/>
    <w:rsid w:val="000D311B"/>
    <w:rsid w:val="000D313A"/>
    <w:rsid w:val="000D323E"/>
    <w:rsid w:val="000D337C"/>
    <w:rsid w:val="000D33E2"/>
    <w:rsid w:val="000D34C0"/>
    <w:rsid w:val="000D3596"/>
    <w:rsid w:val="000D369F"/>
    <w:rsid w:val="000D36C5"/>
    <w:rsid w:val="000D3771"/>
    <w:rsid w:val="000D38BF"/>
    <w:rsid w:val="000D3908"/>
    <w:rsid w:val="000D3CAE"/>
    <w:rsid w:val="000D3DBD"/>
    <w:rsid w:val="000D3EF7"/>
    <w:rsid w:val="000D4296"/>
    <w:rsid w:val="000D44D0"/>
    <w:rsid w:val="000D4632"/>
    <w:rsid w:val="000D46F4"/>
    <w:rsid w:val="000D493F"/>
    <w:rsid w:val="000D49E7"/>
    <w:rsid w:val="000D4A2B"/>
    <w:rsid w:val="000D4A55"/>
    <w:rsid w:val="000D4B23"/>
    <w:rsid w:val="000D4B49"/>
    <w:rsid w:val="000D4BCD"/>
    <w:rsid w:val="000D4C1E"/>
    <w:rsid w:val="000D4C9C"/>
    <w:rsid w:val="000D4D68"/>
    <w:rsid w:val="000D4DE4"/>
    <w:rsid w:val="000D4E09"/>
    <w:rsid w:val="000D4E84"/>
    <w:rsid w:val="000D4E8B"/>
    <w:rsid w:val="000D4ED2"/>
    <w:rsid w:val="000D4F6E"/>
    <w:rsid w:val="000D4FE6"/>
    <w:rsid w:val="000D50BD"/>
    <w:rsid w:val="000D5113"/>
    <w:rsid w:val="000D5185"/>
    <w:rsid w:val="000D51A4"/>
    <w:rsid w:val="000D51C5"/>
    <w:rsid w:val="000D530E"/>
    <w:rsid w:val="000D556D"/>
    <w:rsid w:val="000D578E"/>
    <w:rsid w:val="000D5806"/>
    <w:rsid w:val="000D583B"/>
    <w:rsid w:val="000D584E"/>
    <w:rsid w:val="000D5954"/>
    <w:rsid w:val="000D59E3"/>
    <w:rsid w:val="000D5A6D"/>
    <w:rsid w:val="000D5C05"/>
    <w:rsid w:val="000D5E8F"/>
    <w:rsid w:val="000D5EEB"/>
    <w:rsid w:val="000D60DC"/>
    <w:rsid w:val="000D6157"/>
    <w:rsid w:val="000D61D0"/>
    <w:rsid w:val="000D6258"/>
    <w:rsid w:val="000D6295"/>
    <w:rsid w:val="000D63AB"/>
    <w:rsid w:val="000D63E5"/>
    <w:rsid w:val="000D64F3"/>
    <w:rsid w:val="000D6696"/>
    <w:rsid w:val="000D682D"/>
    <w:rsid w:val="000D6864"/>
    <w:rsid w:val="000D690E"/>
    <w:rsid w:val="000D69AF"/>
    <w:rsid w:val="000D6A22"/>
    <w:rsid w:val="000D6B93"/>
    <w:rsid w:val="000D6C0B"/>
    <w:rsid w:val="000D6D30"/>
    <w:rsid w:val="000D6D64"/>
    <w:rsid w:val="000D6E91"/>
    <w:rsid w:val="000D6F74"/>
    <w:rsid w:val="000D7035"/>
    <w:rsid w:val="000D7159"/>
    <w:rsid w:val="000D715E"/>
    <w:rsid w:val="000D71A8"/>
    <w:rsid w:val="000D72F9"/>
    <w:rsid w:val="000D734B"/>
    <w:rsid w:val="000D7389"/>
    <w:rsid w:val="000D73B3"/>
    <w:rsid w:val="000D7550"/>
    <w:rsid w:val="000D757A"/>
    <w:rsid w:val="000D7595"/>
    <w:rsid w:val="000D77E6"/>
    <w:rsid w:val="000D79C2"/>
    <w:rsid w:val="000D7B6C"/>
    <w:rsid w:val="000D7C2C"/>
    <w:rsid w:val="000D7C9A"/>
    <w:rsid w:val="000D7CD7"/>
    <w:rsid w:val="000D7DAA"/>
    <w:rsid w:val="000D7E0F"/>
    <w:rsid w:val="000D7F14"/>
    <w:rsid w:val="000D7F6F"/>
    <w:rsid w:val="000D7F84"/>
    <w:rsid w:val="000D7FA7"/>
    <w:rsid w:val="000E017D"/>
    <w:rsid w:val="000E037B"/>
    <w:rsid w:val="000E0567"/>
    <w:rsid w:val="000E05BE"/>
    <w:rsid w:val="000E05DE"/>
    <w:rsid w:val="000E0651"/>
    <w:rsid w:val="000E0673"/>
    <w:rsid w:val="000E067B"/>
    <w:rsid w:val="000E0745"/>
    <w:rsid w:val="000E077D"/>
    <w:rsid w:val="000E07D9"/>
    <w:rsid w:val="000E07EB"/>
    <w:rsid w:val="000E08AB"/>
    <w:rsid w:val="000E091B"/>
    <w:rsid w:val="000E09A0"/>
    <w:rsid w:val="000E09B5"/>
    <w:rsid w:val="000E09C9"/>
    <w:rsid w:val="000E0A7F"/>
    <w:rsid w:val="000E0BE5"/>
    <w:rsid w:val="000E0C4C"/>
    <w:rsid w:val="000E0CDD"/>
    <w:rsid w:val="000E0F1C"/>
    <w:rsid w:val="000E12AA"/>
    <w:rsid w:val="000E1450"/>
    <w:rsid w:val="000E1638"/>
    <w:rsid w:val="000E1683"/>
    <w:rsid w:val="000E168E"/>
    <w:rsid w:val="000E16D9"/>
    <w:rsid w:val="000E1782"/>
    <w:rsid w:val="000E17A8"/>
    <w:rsid w:val="000E1816"/>
    <w:rsid w:val="000E19B1"/>
    <w:rsid w:val="000E1A20"/>
    <w:rsid w:val="000E1C20"/>
    <w:rsid w:val="000E1E2C"/>
    <w:rsid w:val="000E1F2C"/>
    <w:rsid w:val="000E1F84"/>
    <w:rsid w:val="000E1F91"/>
    <w:rsid w:val="000E1FF8"/>
    <w:rsid w:val="000E2051"/>
    <w:rsid w:val="000E205A"/>
    <w:rsid w:val="000E24A7"/>
    <w:rsid w:val="000E24FB"/>
    <w:rsid w:val="000E25A4"/>
    <w:rsid w:val="000E272C"/>
    <w:rsid w:val="000E29F9"/>
    <w:rsid w:val="000E2A90"/>
    <w:rsid w:val="000E2AA7"/>
    <w:rsid w:val="000E2AF9"/>
    <w:rsid w:val="000E2B34"/>
    <w:rsid w:val="000E2BB8"/>
    <w:rsid w:val="000E2D0A"/>
    <w:rsid w:val="000E2DF7"/>
    <w:rsid w:val="000E2E29"/>
    <w:rsid w:val="000E2E53"/>
    <w:rsid w:val="000E2FCA"/>
    <w:rsid w:val="000E30A5"/>
    <w:rsid w:val="000E30B3"/>
    <w:rsid w:val="000E30E7"/>
    <w:rsid w:val="000E32FF"/>
    <w:rsid w:val="000E336F"/>
    <w:rsid w:val="000E34BE"/>
    <w:rsid w:val="000E36AC"/>
    <w:rsid w:val="000E3716"/>
    <w:rsid w:val="000E382A"/>
    <w:rsid w:val="000E385F"/>
    <w:rsid w:val="000E38B8"/>
    <w:rsid w:val="000E38F9"/>
    <w:rsid w:val="000E3B0D"/>
    <w:rsid w:val="000E3C73"/>
    <w:rsid w:val="000E3DFF"/>
    <w:rsid w:val="000E3F95"/>
    <w:rsid w:val="000E3FDA"/>
    <w:rsid w:val="000E4095"/>
    <w:rsid w:val="000E409D"/>
    <w:rsid w:val="000E40C7"/>
    <w:rsid w:val="000E4150"/>
    <w:rsid w:val="000E4203"/>
    <w:rsid w:val="000E4287"/>
    <w:rsid w:val="000E434C"/>
    <w:rsid w:val="000E450D"/>
    <w:rsid w:val="000E4590"/>
    <w:rsid w:val="000E4698"/>
    <w:rsid w:val="000E46A2"/>
    <w:rsid w:val="000E47DA"/>
    <w:rsid w:val="000E4857"/>
    <w:rsid w:val="000E4920"/>
    <w:rsid w:val="000E4989"/>
    <w:rsid w:val="000E4AAB"/>
    <w:rsid w:val="000E4AEE"/>
    <w:rsid w:val="000E4C5F"/>
    <w:rsid w:val="000E4D19"/>
    <w:rsid w:val="000E4D39"/>
    <w:rsid w:val="000E4DEE"/>
    <w:rsid w:val="000E4E30"/>
    <w:rsid w:val="000E4E7F"/>
    <w:rsid w:val="000E4F54"/>
    <w:rsid w:val="000E5086"/>
    <w:rsid w:val="000E50EE"/>
    <w:rsid w:val="000E5270"/>
    <w:rsid w:val="000E527B"/>
    <w:rsid w:val="000E5280"/>
    <w:rsid w:val="000E52B8"/>
    <w:rsid w:val="000E5335"/>
    <w:rsid w:val="000E53AB"/>
    <w:rsid w:val="000E53CF"/>
    <w:rsid w:val="000E53F9"/>
    <w:rsid w:val="000E5815"/>
    <w:rsid w:val="000E5886"/>
    <w:rsid w:val="000E5945"/>
    <w:rsid w:val="000E59A8"/>
    <w:rsid w:val="000E59DE"/>
    <w:rsid w:val="000E5A28"/>
    <w:rsid w:val="000E5B3D"/>
    <w:rsid w:val="000E5C33"/>
    <w:rsid w:val="000E5C74"/>
    <w:rsid w:val="000E5D91"/>
    <w:rsid w:val="000E5DE3"/>
    <w:rsid w:val="000E5DEA"/>
    <w:rsid w:val="000E5E38"/>
    <w:rsid w:val="000E5F8F"/>
    <w:rsid w:val="000E5FB0"/>
    <w:rsid w:val="000E6033"/>
    <w:rsid w:val="000E6161"/>
    <w:rsid w:val="000E6426"/>
    <w:rsid w:val="000E64C7"/>
    <w:rsid w:val="000E652D"/>
    <w:rsid w:val="000E65FC"/>
    <w:rsid w:val="000E6609"/>
    <w:rsid w:val="000E6721"/>
    <w:rsid w:val="000E674F"/>
    <w:rsid w:val="000E67C1"/>
    <w:rsid w:val="000E6A1A"/>
    <w:rsid w:val="000E6BF0"/>
    <w:rsid w:val="000E6C1B"/>
    <w:rsid w:val="000E6FAD"/>
    <w:rsid w:val="000E6FF9"/>
    <w:rsid w:val="000E7014"/>
    <w:rsid w:val="000E7191"/>
    <w:rsid w:val="000E7230"/>
    <w:rsid w:val="000E7274"/>
    <w:rsid w:val="000E757D"/>
    <w:rsid w:val="000E767E"/>
    <w:rsid w:val="000E775C"/>
    <w:rsid w:val="000E776D"/>
    <w:rsid w:val="000E7828"/>
    <w:rsid w:val="000E7855"/>
    <w:rsid w:val="000E7895"/>
    <w:rsid w:val="000E78D9"/>
    <w:rsid w:val="000E7AF6"/>
    <w:rsid w:val="000E7C6D"/>
    <w:rsid w:val="000E7CE1"/>
    <w:rsid w:val="000E7DBE"/>
    <w:rsid w:val="000F0061"/>
    <w:rsid w:val="000F01DB"/>
    <w:rsid w:val="000F02FC"/>
    <w:rsid w:val="000F030C"/>
    <w:rsid w:val="000F030D"/>
    <w:rsid w:val="000F04AF"/>
    <w:rsid w:val="000F0531"/>
    <w:rsid w:val="000F0629"/>
    <w:rsid w:val="000F079E"/>
    <w:rsid w:val="000F07D4"/>
    <w:rsid w:val="000F0805"/>
    <w:rsid w:val="000F082A"/>
    <w:rsid w:val="000F0853"/>
    <w:rsid w:val="000F0A99"/>
    <w:rsid w:val="000F0C0C"/>
    <w:rsid w:val="000F0D0B"/>
    <w:rsid w:val="000F0D43"/>
    <w:rsid w:val="000F0D5D"/>
    <w:rsid w:val="000F0D82"/>
    <w:rsid w:val="000F0E19"/>
    <w:rsid w:val="000F0F73"/>
    <w:rsid w:val="000F105F"/>
    <w:rsid w:val="000F10CE"/>
    <w:rsid w:val="000F119E"/>
    <w:rsid w:val="000F11D3"/>
    <w:rsid w:val="000F11F6"/>
    <w:rsid w:val="000F1473"/>
    <w:rsid w:val="000F170E"/>
    <w:rsid w:val="000F17B0"/>
    <w:rsid w:val="000F183E"/>
    <w:rsid w:val="000F1855"/>
    <w:rsid w:val="000F1B8F"/>
    <w:rsid w:val="000F1C26"/>
    <w:rsid w:val="000F1CAA"/>
    <w:rsid w:val="000F1D74"/>
    <w:rsid w:val="000F1D9C"/>
    <w:rsid w:val="000F1E63"/>
    <w:rsid w:val="000F1F97"/>
    <w:rsid w:val="000F1FB8"/>
    <w:rsid w:val="000F2172"/>
    <w:rsid w:val="000F21B1"/>
    <w:rsid w:val="000F22D8"/>
    <w:rsid w:val="000F2454"/>
    <w:rsid w:val="000F268A"/>
    <w:rsid w:val="000F28A5"/>
    <w:rsid w:val="000F28D7"/>
    <w:rsid w:val="000F28E9"/>
    <w:rsid w:val="000F2AAC"/>
    <w:rsid w:val="000F2AC9"/>
    <w:rsid w:val="000F2BF0"/>
    <w:rsid w:val="000F2C19"/>
    <w:rsid w:val="000F2F87"/>
    <w:rsid w:val="000F3191"/>
    <w:rsid w:val="000F31BB"/>
    <w:rsid w:val="000F3292"/>
    <w:rsid w:val="000F3510"/>
    <w:rsid w:val="000F3533"/>
    <w:rsid w:val="000F3540"/>
    <w:rsid w:val="000F3654"/>
    <w:rsid w:val="000F3661"/>
    <w:rsid w:val="000F36E0"/>
    <w:rsid w:val="000F3821"/>
    <w:rsid w:val="000F3886"/>
    <w:rsid w:val="000F3B2C"/>
    <w:rsid w:val="000F3CD3"/>
    <w:rsid w:val="000F3F38"/>
    <w:rsid w:val="000F3F62"/>
    <w:rsid w:val="000F4017"/>
    <w:rsid w:val="000F4111"/>
    <w:rsid w:val="000F411E"/>
    <w:rsid w:val="000F416A"/>
    <w:rsid w:val="000F447A"/>
    <w:rsid w:val="000F4491"/>
    <w:rsid w:val="000F4571"/>
    <w:rsid w:val="000F46E8"/>
    <w:rsid w:val="000F489D"/>
    <w:rsid w:val="000F48A2"/>
    <w:rsid w:val="000F497B"/>
    <w:rsid w:val="000F49D8"/>
    <w:rsid w:val="000F4B1C"/>
    <w:rsid w:val="000F4BFD"/>
    <w:rsid w:val="000F4C00"/>
    <w:rsid w:val="000F4C3C"/>
    <w:rsid w:val="000F4C72"/>
    <w:rsid w:val="000F4C7C"/>
    <w:rsid w:val="000F4E21"/>
    <w:rsid w:val="000F4E8B"/>
    <w:rsid w:val="000F4F15"/>
    <w:rsid w:val="000F508A"/>
    <w:rsid w:val="000F5232"/>
    <w:rsid w:val="000F5237"/>
    <w:rsid w:val="000F524E"/>
    <w:rsid w:val="000F536A"/>
    <w:rsid w:val="000F5584"/>
    <w:rsid w:val="000F5597"/>
    <w:rsid w:val="000F55AB"/>
    <w:rsid w:val="000F56E2"/>
    <w:rsid w:val="000F5720"/>
    <w:rsid w:val="000F5805"/>
    <w:rsid w:val="000F580F"/>
    <w:rsid w:val="000F5952"/>
    <w:rsid w:val="000F5987"/>
    <w:rsid w:val="000F5B07"/>
    <w:rsid w:val="000F5B0A"/>
    <w:rsid w:val="000F5B20"/>
    <w:rsid w:val="000F5B35"/>
    <w:rsid w:val="000F5D67"/>
    <w:rsid w:val="000F5DFA"/>
    <w:rsid w:val="000F60AC"/>
    <w:rsid w:val="000F60CB"/>
    <w:rsid w:val="000F60CF"/>
    <w:rsid w:val="000F6365"/>
    <w:rsid w:val="000F643A"/>
    <w:rsid w:val="000F6676"/>
    <w:rsid w:val="000F66ED"/>
    <w:rsid w:val="000F67A7"/>
    <w:rsid w:val="000F6A51"/>
    <w:rsid w:val="000F6AE4"/>
    <w:rsid w:val="000F6CA0"/>
    <w:rsid w:val="000F6D4A"/>
    <w:rsid w:val="000F6E5A"/>
    <w:rsid w:val="000F6EAD"/>
    <w:rsid w:val="000F6FBD"/>
    <w:rsid w:val="000F712D"/>
    <w:rsid w:val="000F72F8"/>
    <w:rsid w:val="000F733E"/>
    <w:rsid w:val="000F77FB"/>
    <w:rsid w:val="000F78EA"/>
    <w:rsid w:val="000F78F0"/>
    <w:rsid w:val="000F7953"/>
    <w:rsid w:val="000F7B57"/>
    <w:rsid w:val="000F7B64"/>
    <w:rsid w:val="000F7D49"/>
    <w:rsid w:val="000F7E23"/>
    <w:rsid w:val="000F7E36"/>
    <w:rsid w:val="000F7E9F"/>
    <w:rsid w:val="00100152"/>
    <w:rsid w:val="00100267"/>
    <w:rsid w:val="001002B7"/>
    <w:rsid w:val="00100346"/>
    <w:rsid w:val="001004A9"/>
    <w:rsid w:val="00100527"/>
    <w:rsid w:val="00100589"/>
    <w:rsid w:val="00100650"/>
    <w:rsid w:val="00100712"/>
    <w:rsid w:val="0010088C"/>
    <w:rsid w:val="00100A9B"/>
    <w:rsid w:val="00100CEC"/>
    <w:rsid w:val="00100D38"/>
    <w:rsid w:val="00100D81"/>
    <w:rsid w:val="00100E16"/>
    <w:rsid w:val="00100F15"/>
    <w:rsid w:val="0010109F"/>
    <w:rsid w:val="001011D6"/>
    <w:rsid w:val="00101259"/>
    <w:rsid w:val="00101346"/>
    <w:rsid w:val="0010140D"/>
    <w:rsid w:val="001015E6"/>
    <w:rsid w:val="0010162F"/>
    <w:rsid w:val="001016E1"/>
    <w:rsid w:val="00101825"/>
    <w:rsid w:val="001018E3"/>
    <w:rsid w:val="00101A5C"/>
    <w:rsid w:val="00101AB9"/>
    <w:rsid w:val="00101B57"/>
    <w:rsid w:val="00101B9F"/>
    <w:rsid w:val="00101DAB"/>
    <w:rsid w:val="00101DC5"/>
    <w:rsid w:val="00101E3D"/>
    <w:rsid w:val="0010219C"/>
    <w:rsid w:val="001021AF"/>
    <w:rsid w:val="00102501"/>
    <w:rsid w:val="00102582"/>
    <w:rsid w:val="001026EA"/>
    <w:rsid w:val="001028DC"/>
    <w:rsid w:val="00102BAE"/>
    <w:rsid w:val="00102C3B"/>
    <w:rsid w:val="00102F39"/>
    <w:rsid w:val="00102FE7"/>
    <w:rsid w:val="0010300F"/>
    <w:rsid w:val="00103021"/>
    <w:rsid w:val="0010304F"/>
    <w:rsid w:val="00103075"/>
    <w:rsid w:val="001034E7"/>
    <w:rsid w:val="00103592"/>
    <w:rsid w:val="00103699"/>
    <w:rsid w:val="001036B5"/>
    <w:rsid w:val="001036CE"/>
    <w:rsid w:val="0010380C"/>
    <w:rsid w:val="001039BD"/>
    <w:rsid w:val="00103A3E"/>
    <w:rsid w:val="00103ABA"/>
    <w:rsid w:val="00103B31"/>
    <w:rsid w:val="00103BE3"/>
    <w:rsid w:val="00103EF7"/>
    <w:rsid w:val="00104017"/>
    <w:rsid w:val="0010401B"/>
    <w:rsid w:val="001040C6"/>
    <w:rsid w:val="001040F7"/>
    <w:rsid w:val="001044B9"/>
    <w:rsid w:val="001044FD"/>
    <w:rsid w:val="001044FE"/>
    <w:rsid w:val="001045A5"/>
    <w:rsid w:val="00104659"/>
    <w:rsid w:val="00104695"/>
    <w:rsid w:val="00104747"/>
    <w:rsid w:val="001047B4"/>
    <w:rsid w:val="001048A9"/>
    <w:rsid w:val="00104907"/>
    <w:rsid w:val="00104A6C"/>
    <w:rsid w:val="00104C16"/>
    <w:rsid w:val="001050F4"/>
    <w:rsid w:val="0010519C"/>
    <w:rsid w:val="001051DF"/>
    <w:rsid w:val="00105557"/>
    <w:rsid w:val="0010557D"/>
    <w:rsid w:val="0010565B"/>
    <w:rsid w:val="00105703"/>
    <w:rsid w:val="00105708"/>
    <w:rsid w:val="00105B07"/>
    <w:rsid w:val="00105B72"/>
    <w:rsid w:val="00105C79"/>
    <w:rsid w:val="00105F27"/>
    <w:rsid w:val="00105F7C"/>
    <w:rsid w:val="00105FA7"/>
    <w:rsid w:val="00106108"/>
    <w:rsid w:val="0010611A"/>
    <w:rsid w:val="00106214"/>
    <w:rsid w:val="001062B7"/>
    <w:rsid w:val="00106487"/>
    <w:rsid w:val="001065A6"/>
    <w:rsid w:val="001066F4"/>
    <w:rsid w:val="0010672D"/>
    <w:rsid w:val="00106739"/>
    <w:rsid w:val="001067FC"/>
    <w:rsid w:val="00106880"/>
    <w:rsid w:val="00106899"/>
    <w:rsid w:val="001069EF"/>
    <w:rsid w:val="00106BF7"/>
    <w:rsid w:val="00106BFA"/>
    <w:rsid w:val="00106DF2"/>
    <w:rsid w:val="00106ED9"/>
    <w:rsid w:val="00106FAB"/>
    <w:rsid w:val="0010712D"/>
    <w:rsid w:val="00107133"/>
    <w:rsid w:val="00107199"/>
    <w:rsid w:val="001072B0"/>
    <w:rsid w:val="00107323"/>
    <w:rsid w:val="0010732A"/>
    <w:rsid w:val="001074AC"/>
    <w:rsid w:val="001074FC"/>
    <w:rsid w:val="00107523"/>
    <w:rsid w:val="00107748"/>
    <w:rsid w:val="00107757"/>
    <w:rsid w:val="001079A1"/>
    <w:rsid w:val="001079C3"/>
    <w:rsid w:val="00107B7E"/>
    <w:rsid w:val="00107C37"/>
    <w:rsid w:val="00107F2A"/>
    <w:rsid w:val="00107F9B"/>
    <w:rsid w:val="00110038"/>
    <w:rsid w:val="00110192"/>
    <w:rsid w:val="001104D5"/>
    <w:rsid w:val="001106DF"/>
    <w:rsid w:val="001106EA"/>
    <w:rsid w:val="00110946"/>
    <w:rsid w:val="00110A01"/>
    <w:rsid w:val="00110AFF"/>
    <w:rsid w:val="00110B36"/>
    <w:rsid w:val="00110BE3"/>
    <w:rsid w:val="00110D23"/>
    <w:rsid w:val="00110D95"/>
    <w:rsid w:val="00110E9B"/>
    <w:rsid w:val="0011102F"/>
    <w:rsid w:val="001110D2"/>
    <w:rsid w:val="001110E2"/>
    <w:rsid w:val="001112E1"/>
    <w:rsid w:val="001112E8"/>
    <w:rsid w:val="00111305"/>
    <w:rsid w:val="0011133C"/>
    <w:rsid w:val="0011135C"/>
    <w:rsid w:val="001113F5"/>
    <w:rsid w:val="00111436"/>
    <w:rsid w:val="00111610"/>
    <w:rsid w:val="00111634"/>
    <w:rsid w:val="001117BB"/>
    <w:rsid w:val="00111905"/>
    <w:rsid w:val="001119F9"/>
    <w:rsid w:val="00111B83"/>
    <w:rsid w:val="00111E9B"/>
    <w:rsid w:val="0011237A"/>
    <w:rsid w:val="0011238F"/>
    <w:rsid w:val="001123B6"/>
    <w:rsid w:val="001128B2"/>
    <w:rsid w:val="001128C9"/>
    <w:rsid w:val="00112978"/>
    <w:rsid w:val="00112A20"/>
    <w:rsid w:val="00112B5D"/>
    <w:rsid w:val="00112CD0"/>
    <w:rsid w:val="00112CFD"/>
    <w:rsid w:val="00112D53"/>
    <w:rsid w:val="00112F23"/>
    <w:rsid w:val="00112F92"/>
    <w:rsid w:val="00113002"/>
    <w:rsid w:val="00113240"/>
    <w:rsid w:val="00113309"/>
    <w:rsid w:val="001133B5"/>
    <w:rsid w:val="001133B6"/>
    <w:rsid w:val="0011341C"/>
    <w:rsid w:val="0011348B"/>
    <w:rsid w:val="00113605"/>
    <w:rsid w:val="00113614"/>
    <w:rsid w:val="0011366E"/>
    <w:rsid w:val="001137F8"/>
    <w:rsid w:val="0011386D"/>
    <w:rsid w:val="00113874"/>
    <w:rsid w:val="0011398C"/>
    <w:rsid w:val="00113A05"/>
    <w:rsid w:val="00113A53"/>
    <w:rsid w:val="00113ABB"/>
    <w:rsid w:val="00113B61"/>
    <w:rsid w:val="00113B82"/>
    <w:rsid w:val="00113C3D"/>
    <w:rsid w:val="00113CC1"/>
    <w:rsid w:val="00113D09"/>
    <w:rsid w:val="00113DF9"/>
    <w:rsid w:val="00113F77"/>
    <w:rsid w:val="001140E5"/>
    <w:rsid w:val="0011427C"/>
    <w:rsid w:val="0011441E"/>
    <w:rsid w:val="0011452F"/>
    <w:rsid w:val="00114647"/>
    <w:rsid w:val="0011469F"/>
    <w:rsid w:val="001147B0"/>
    <w:rsid w:val="001147E4"/>
    <w:rsid w:val="001148D2"/>
    <w:rsid w:val="001148F4"/>
    <w:rsid w:val="00114AC5"/>
    <w:rsid w:val="00114B42"/>
    <w:rsid w:val="00114D1D"/>
    <w:rsid w:val="00114D60"/>
    <w:rsid w:val="00114E56"/>
    <w:rsid w:val="00114F1B"/>
    <w:rsid w:val="00114FF9"/>
    <w:rsid w:val="001150A1"/>
    <w:rsid w:val="0011531E"/>
    <w:rsid w:val="00115942"/>
    <w:rsid w:val="00115948"/>
    <w:rsid w:val="0011597D"/>
    <w:rsid w:val="00115B61"/>
    <w:rsid w:val="00115BBE"/>
    <w:rsid w:val="00115C02"/>
    <w:rsid w:val="00115C66"/>
    <w:rsid w:val="00115D93"/>
    <w:rsid w:val="00115F48"/>
    <w:rsid w:val="00115F6F"/>
    <w:rsid w:val="00115F91"/>
    <w:rsid w:val="00116380"/>
    <w:rsid w:val="00116389"/>
    <w:rsid w:val="001163A0"/>
    <w:rsid w:val="0011640D"/>
    <w:rsid w:val="00116415"/>
    <w:rsid w:val="0011643A"/>
    <w:rsid w:val="0011648B"/>
    <w:rsid w:val="001164E6"/>
    <w:rsid w:val="00116523"/>
    <w:rsid w:val="00116652"/>
    <w:rsid w:val="00116658"/>
    <w:rsid w:val="001166BC"/>
    <w:rsid w:val="001166D0"/>
    <w:rsid w:val="00116725"/>
    <w:rsid w:val="00116761"/>
    <w:rsid w:val="001167FE"/>
    <w:rsid w:val="00116C89"/>
    <w:rsid w:val="00116D41"/>
    <w:rsid w:val="00116D4E"/>
    <w:rsid w:val="00116D65"/>
    <w:rsid w:val="00116E06"/>
    <w:rsid w:val="00117024"/>
    <w:rsid w:val="001170AD"/>
    <w:rsid w:val="001170F3"/>
    <w:rsid w:val="0011718C"/>
    <w:rsid w:val="001171EA"/>
    <w:rsid w:val="00117457"/>
    <w:rsid w:val="00117554"/>
    <w:rsid w:val="00117571"/>
    <w:rsid w:val="001176F6"/>
    <w:rsid w:val="00117764"/>
    <w:rsid w:val="00117864"/>
    <w:rsid w:val="00117923"/>
    <w:rsid w:val="0011799B"/>
    <w:rsid w:val="00117A8E"/>
    <w:rsid w:val="00117A93"/>
    <w:rsid w:val="00117C16"/>
    <w:rsid w:val="00117DAB"/>
    <w:rsid w:val="00117DDA"/>
    <w:rsid w:val="00117E41"/>
    <w:rsid w:val="00117E6C"/>
    <w:rsid w:val="00117EF3"/>
    <w:rsid w:val="00117F66"/>
    <w:rsid w:val="001200FE"/>
    <w:rsid w:val="00120106"/>
    <w:rsid w:val="00120286"/>
    <w:rsid w:val="0012043F"/>
    <w:rsid w:val="001206CF"/>
    <w:rsid w:val="001206D8"/>
    <w:rsid w:val="001207C9"/>
    <w:rsid w:val="0012084D"/>
    <w:rsid w:val="00120911"/>
    <w:rsid w:val="00120CF6"/>
    <w:rsid w:val="00120DB5"/>
    <w:rsid w:val="00120E6E"/>
    <w:rsid w:val="00120FC5"/>
    <w:rsid w:val="0012106B"/>
    <w:rsid w:val="00121106"/>
    <w:rsid w:val="00121174"/>
    <w:rsid w:val="00121302"/>
    <w:rsid w:val="0012130E"/>
    <w:rsid w:val="00121332"/>
    <w:rsid w:val="0012136F"/>
    <w:rsid w:val="001213ED"/>
    <w:rsid w:val="00121516"/>
    <w:rsid w:val="00121623"/>
    <w:rsid w:val="00121643"/>
    <w:rsid w:val="001216EE"/>
    <w:rsid w:val="00121957"/>
    <w:rsid w:val="00121A56"/>
    <w:rsid w:val="00121B5D"/>
    <w:rsid w:val="00121C61"/>
    <w:rsid w:val="00121ECE"/>
    <w:rsid w:val="00121F55"/>
    <w:rsid w:val="0012200D"/>
    <w:rsid w:val="001220EC"/>
    <w:rsid w:val="001221FB"/>
    <w:rsid w:val="0012243F"/>
    <w:rsid w:val="0012246C"/>
    <w:rsid w:val="00122497"/>
    <w:rsid w:val="001225BA"/>
    <w:rsid w:val="00122817"/>
    <w:rsid w:val="00122821"/>
    <w:rsid w:val="0012288E"/>
    <w:rsid w:val="001228D1"/>
    <w:rsid w:val="00122A7A"/>
    <w:rsid w:val="00122B7A"/>
    <w:rsid w:val="00122D6B"/>
    <w:rsid w:val="00122D9C"/>
    <w:rsid w:val="00122E43"/>
    <w:rsid w:val="00122FB1"/>
    <w:rsid w:val="001230B1"/>
    <w:rsid w:val="0012312E"/>
    <w:rsid w:val="00123232"/>
    <w:rsid w:val="0012326D"/>
    <w:rsid w:val="00123290"/>
    <w:rsid w:val="001232EE"/>
    <w:rsid w:val="0012335B"/>
    <w:rsid w:val="00123411"/>
    <w:rsid w:val="00123638"/>
    <w:rsid w:val="001237B3"/>
    <w:rsid w:val="0012390C"/>
    <w:rsid w:val="00123A07"/>
    <w:rsid w:val="00123CA7"/>
    <w:rsid w:val="00123DC6"/>
    <w:rsid w:val="00123E21"/>
    <w:rsid w:val="00124070"/>
    <w:rsid w:val="00124085"/>
    <w:rsid w:val="00124086"/>
    <w:rsid w:val="001240A1"/>
    <w:rsid w:val="001240CE"/>
    <w:rsid w:val="00124225"/>
    <w:rsid w:val="001243BD"/>
    <w:rsid w:val="001244EA"/>
    <w:rsid w:val="00124569"/>
    <w:rsid w:val="001248C4"/>
    <w:rsid w:val="001248D1"/>
    <w:rsid w:val="001248DB"/>
    <w:rsid w:val="0012493D"/>
    <w:rsid w:val="00124A90"/>
    <w:rsid w:val="00124A98"/>
    <w:rsid w:val="00124B47"/>
    <w:rsid w:val="00124C32"/>
    <w:rsid w:val="00124F2D"/>
    <w:rsid w:val="00125186"/>
    <w:rsid w:val="001251DD"/>
    <w:rsid w:val="00125292"/>
    <w:rsid w:val="00125323"/>
    <w:rsid w:val="0012576C"/>
    <w:rsid w:val="00125822"/>
    <w:rsid w:val="00125871"/>
    <w:rsid w:val="0012594B"/>
    <w:rsid w:val="00125A91"/>
    <w:rsid w:val="00125A93"/>
    <w:rsid w:val="00125AB4"/>
    <w:rsid w:val="00125BC6"/>
    <w:rsid w:val="00126094"/>
    <w:rsid w:val="00126221"/>
    <w:rsid w:val="001262A2"/>
    <w:rsid w:val="00126446"/>
    <w:rsid w:val="0012644E"/>
    <w:rsid w:val="00126482"/>
    <w:rsid w:val="0012649E"/>
    <w:rsid w:val="001264DA"/>
    <w:rsid w:val="00126521"/>
    <w:rsid w:val="00126802"/>
    <w:rsid w:val="0012682E"/>
    <w:rsid w:val="0012686B"/>
    <w:rsid w:val="001268B7"/>
    <w:rsid w:val="0012698A"/>
    <w:rsid w:val="001269D9"/>
    <w:rsid w:val="001269FE"/>
    <w:rsid w:val="00126A5B"/>
    <w:rsid w:val="00126BF6"/>
    <w:rsid w:val="00126CBB"/>
    <w:rsid w:val="00126E87"/>
    <w:rsid w:val="00126EBD"/>
    <w:rsid w:val="00126F3F"/>
    <w:rsid w:val="00126FFD"/>
    <w:rsid w:val="001270CD"/>
    <w:rsid w:val="0012716D"/>
    <w:rsid w:val="001273BF"/>
    <w:rsid w:val="00127446"/>
    <w:rsid w:val="00127461"/>
    <w:rsid w:val="00127555"/>
    <w:rsid w:val="00127573"/>
    <w:rsid w:val="001276CE"/>
    <w:rsid w:val="0012784D"/>
    <w:rsid w:val="00127994"/>
    <w:rsid w:val="001279A2"/>
    <w:rsid w:val="00127A84"/>
    <w:rsid w:val="00127CB4"/>
    <w:rsid w:val="00127CE8"/>
    <w:rsid w:val="00127D92"/>
    <w:rsid w:val="00127DC5"/>
    <w:rsid w:val="00127DCE"/>
    <w:rsid w:val="00127E3D"/>
    <w:rsid w:val="00130064"/>
    <w:rsid w:val="00130565"/>
    <w:rsid w:val="00130697"/>
    <w:rsid w:val="00130707"/>
    <w:rsid w:val="0013072F"/>
    <w:rsid w:val="00130836"/>
    <w:rsid w:val="001308F0"/>
    <w:rsid w:val="001308FE"/>
    <w:rsid w:val="00130906"/>
    <w:rsid w:val="00130970"/>
    <w:rsid w:val="00130A43"/>
    <w:rsid w:val="00130AA3"/>
    <w:rsid w:val="00130B13"/>
    <w:rsid w:val="00130D5D"/>
    <w:rsid w:val="00130E37"/>
    <w:rsid w:val="00130EBB"/>
    <w:rsid w:val="00130F53"/>
    <w:rsid w:val="00130F5A"/>
    <w:rsid w:val="00130FE7"/>
    <w:rsid w:val="001310C9"/>
    <w:rsid w:val="001310FF"/>
    <w:rsid w:val="0013112F"/>
    <w:rsid w:val="00131165"/>
    <w:rsid w:val="00131229"/>
    <w:rsid w:val="0013123F"/>
    <w:rsid w:val="00131252"/>
    <w:rsid w:val="001313BF"/>
    <w:rsid w:val="00131443"/>
    <w:rsid w:val="001314B9"/>
    <w:rsid w:val="00131542"/>
    <w:rsid w:val="001316D7"/>
    <w:rsid w:val="0013192C"/>
    <w:rsid w:val="0013194A"/>
    <w:rsid w:val="00131A3A"/>
    <w:rsid w:val="00131A76"/>
    <w:rsid w:val="00131BE3"/>
    <w:rsid w:val="00131D3B"/>
    <w:rsid w:val="00131EDE"/>
    <w:rsid w:val="00131F09"/>
    <w:rsid w:val="00131F12"/>
    <w:rsid w:val="00132038"/>
    <w:rsid w:val="001320B9"/>
    <w:rsid w:val="001320F8"/>
    <w:rsid w:val="00132164"/>
    <w:rsid w:val="00132169"/>
    <w:rsid w:val="0013218F"/>
    <w:rsid w:val="00132239"/>
    <w:rsid w:val="00132325"/>
    <w:rsid w:val="00132435"/>
    <w:rsid w:val="0013243D"/>
    <w:rsid w:val="00132634"/>
    <w:rsid w:val="00132826"/>
    <w:rsid w:val="001328ED"/>
    <w:rsid w:val="00132963"/>
    <w:rsid w:val="001329EC"/>
    <w:rsid w:val="001329FE"/>
    <w:rsid w:val="00132A80"/>
    <w:rsid w:val="00132ACC"/>
    <w:rsid w:val="00132B23"/>
    <w:rsid w:val="00132B32"/>
    <w:rsid w:val="00132CBC"/>
    <w:rsid w:val="00132D6D"/>
    <w:rsid w:val="00132DF9"/>
    <w:rsid w:val="00132FD8"/>
    <w:rsid w:val="00133024"/>
    <w:rsid w:val="00133081"/>
    <w:rsid w:val="00133082"/>
    <w:rsid w:val="001330ED"/>
    <w:rsid w:val="00133331"/>
    <w:rsid w:val="00133466"/>
    <w:rsid w:val="001335CA"/>
    <w:rsid w:val="001335E5"/>
    <w:rsid w:val="001335F3"/>
    <w:rsid w:val="00133653"/>
    <w:rsid w:val="001336D0"/>
    <w:rsid w:val="001336FC"/>
    <w:rsid w:val="001338ED"/>
    <w:rsid w:val="0013398D"/>
    <w:rsid w:val="001339B2"/>
    <w:rsid w:val="001339E2"/>
    <w:rsid w:val="00133A2E"/>
    <w:rsid w:val="00133AD3"/>
    <w:rsid w:val="00133B70"/>
    <w:rsid w:val="00133BA8"/>
    <w:rsid w:val="00133C94"/>
    <w:rsid w:val="00133C9D"/>
    <w:rsid w:val="00133CB8"/>
    <w:rsid w:val="00133EA1"/>
    <w:rsid w:val="00133EA4"/>
    <w:rsid w:val="00133F26"/>
    <w:rsid w:val="00133F44"/>
    <w:rsid w:val="00134024"/>
    <w:rsid w:val="00134135"/>
    <w:rsid w:val="00134232"/>
    <w:rsid w:val="001342D0"/>
    <w:rsid w:val="001344D4"/>
    <w:rsid w:val="001344FD"/>
    <w:rsid w:val="00134731"/>
    <w:rsid w:val="00134802"/>
    <w:rsid w:val="00134821"/>
    <w:rsid w:val="001348D4"/>
    <w:rsid w:val="001348FF"/>
    <w:rsid w:val="0013498A"/>
    <w:rsid w:val="00134B1C"/>
    <w:rsid w:val="00134D5C"/>
    <w:rsid w:val="00134E43"/>
    <w:rsid w:val="00134E6F"/>
    <w:rsid w:val="00134E81"/>
    <w:rsid w:val="00134EEC"/>
    <w:rsid w:val="0013519F"/>
    <w:rsid w:val="00135234"/>
    <w:rsid w:val="0013524A"/>
    <w:rsid w:val="0013528B"/>
    <w:rsid w:val="00135305"/>
    <w:rsid w:val="00135320"/>
    <w:rsid w:val="0013542E"/>
    <w:rsid w:val="001355B7"/>
    <w:rsid w:val="0013566D"/>
    <w:rsid w:val="0013582B"/>
    <w:rsid w:val="001358E6"/>
    <w:rsid w:val="00135945"/>
    <w:rsid w:val="00135994"/>
    <w:rsid w:val="00135ABE"/>
    <w:rsid w:val="00135AEE"/>
    <w:rsid w:val="00135C9F"/>
    <w:rsid w:val="00135CB6"/>
    <w:rsid w:val="00135D12"/>
    <w:rsid w:val="00135D26"/>
    <w:rsid w:val="00135D5A"/>
    <w:rsid w:val="00135DC3"/>
    <w:rsid w:val="00135E2A"/>
    <w:rsid w:val="00135EC2"/>
    <w:rsid w:val="00135EE3"/>
    <w:rsid w:val="00135F0F"/>
    <w:rsid w:val="00135FBB"/>
    <w:rsid w:val="0013612B"/>
    <w:rsid w:val="00136178"/>
    <w:rsid w:val="001362E9"/>
    <w:rsid w:val="0013636C"/>
    <w:rsid w:val="00136424"/>
    <w:rsid w:val="0013663D"/>
    <w:rsid w:val="001367B7"/>
    <w:rsid w:val="0013683D"/>
    <w:rsid w:val="00136988"/>
    <w:rsid w:val="001369C8"/>
    <w:rsid w:val="001369F1"/>
    <w:rsid w:val="00136A37"/>
    <w:rsid w:val="00136AAC"/>
    <w:rsid w:val="00136B35"/>
    <w:rsid w:val="00136B4E"/>
    <w:rsid w:val="00137050"/>
    <w:rsid w:val="00137320"/>
    <w:rsid w:val="00137353"/>
    <w:rsid w:val="00137449"/>
    <w:rsid w:val="001376AB"/>
    <w:rsid w:val="00137721"/>
    <w:rsid w:val="00137783"/>
    <w:rsid w:val="001377F4"/>
    <w:rsid w:val="001379BE"/>
    <w:rsid w:val="00137C98"/>
    <w:rsid w:val="00137E7E"/>
    <w:rsid w:val="00137F95"/>
    <w:rsid w:val="00140034"/>
    <w:rsid w:val="00140132"/>
    <w:rsid w:val="00140170"/>
    <w:rsid w:val="00140220"/>
    <w:rsid w:val="00140257"/>
    <w:rsid w:val="0014065A"/>
    <w:rsid w:val="0014069E"/>
    <w:rsid w:val="0014079C"/>
    <w:rsid w:val="00140892"/>
    <w:rsid w:val="0014096B"/>
    <w:rsid w:val="00140B53"/>
    <w:rsid w:val="00140C11"/>
    <w:rsid w:val="00140CCD"/>
    <w:rsid w:val="00140E62"/>
    <w:rsid w:val="00140F2C"/>
    <w:rsid w:val="00140F2E"/>
    <w:rsid w:val="00141020"/>
    <w:rsid w:val="001410B2"/>
    <w:rsid w:val="00141187"/>
    <w:rsid w:val="00141210"/>
    <w:rsid w:val="00141265"/>
    <w:rsid w:val="001412B0"/>
    <w:rsid w:val="001412DD"/>
    <w:rsid w:val="00141331"/>
    <w:rsid w:val="00141352"/>
    <w:rsid w:val="00141430"/>
    <w:rsid w:val="00141437"/>
    <w:rsid w:val="0014143E"/>
    <w:rsid w:val="00141474"/>
    <w:rsid w:val="00141484"/>
    <w:rsid w:val="00141514"/>
    <w:rsid w:val="0014155E"/>
    <w:rsid w:val="0014161B"/>
    <w:rsid w:val="00141632"/>
    <w:rsid w:val="00141636"/>
    <w:rsid w:val="00141648"/>
    <w:rsid w:val="0014174B"/>
    <w:rsid w:val="00141B14"/>
    <w:rsid w:val="00141B93"/>
    <w:rsid w:val="00141BD2"/>
    <w:rsid w:val="00141C21"/>
    <w:rsid w:val="00141C6E"/>
    <w:rsid w:val="00141C71"/>
    <w:rsid w:val="00141CBC"/>
    <w:rsid w:val="00141D61"/>
    <w:rsid w:val="00141FD5"/>
    <w:rsid w:val="00142260"/>
    <w:rsid w:val="001422AC"/>
    <w:rsid w:val="00142750"/>
    <w:rsid w:val="0014299A"/>
    <w:rsid w:val="00142CBC"/>
    <w:rsid w:val="00142E48"/>
    <w:rsid w:val="00142F80"/>
    <w:rsid w:val="0014301E"/>
    <w:rsid w:val="001430D8"/>
    <w:rsid w:val="00143116"/>
    <w:rsid w:val="001432A9"/>
    <w:rsid w:val="00143356"/>
    <w:rsid w:val="001433FB"/>
    <w:rsid w:val="00143475"/>
    <w:rsid w:val="001434A7"/>
    <w:rsid w:val="00143596"/>
    <w:rsid w:val="001435C8"/>
    <w:rsid w:val="00143617"/>
    <w:rsid w:val="00143857"/>
    <w:rsid w:val="00143BA6"/>
    <w:rsid w:val="00143C13"/>
    <w:rsid w:val="00143C38"/>
    <w:rsid w:val="00143CDE"/>
    <w:rsid w:val="00143D4B"/>
    <w:rsid w:val="00143D76"/>
    <w:rsid w:val="00143E36"/>
    <w:rsid w:val="00143ED5"/>
    <w:rsid w:val="00143EFB"/>
    <w:rsid w:val="00143F4C"/>
    <w:rsid w:val="00144050"/>
    <w:rsid w:val="0014416B"/>
    <w:rsid w:val="00144189"/>
    <w:rsid w:val="00144288"/>
    <w:rsid w:val="0014428F"/>
    <w:rsid w:val="001442A1"/>
    <w:rsid w:val="0014458F"/>
    <w:rsid w:val="00144630"/>
    <w:rsid w:val="00144649"/>
    <w:rsid w:val="0014464E"/>
    <w:rsid w:val="00144692"/>
    <w:rsid w:val="001446B6"/>
    <w:rsid w:val="00144779"/>
    <w:rsid w:val="00144871"/>
    <w:rsid w:val="0014495C"/>
    <w:rsid w:val="0014497E"/>
    <w:rsid w:val="00144AFA"/>
    <w:rsid w:val="00144B44"/>
    <w:rsid w:val="00144BFB"/>
    <w:rsid w:val="00144CCC"/>
    <w:rsid w:val="00144E1F"/>
    <w:rsid w:val="00144E77"/>
    <w:rsid w:val="001451B1"/>
    <w:rsid w:val="001451EC"/>
    <w:rsid w:val="001452E6"/>
    <w:rsid w:val="001452F6"/>
    <w:rsid w:val="00145322"/>
    <w:rsid w:val="0014547E"/>
    <w:rsid w:val="00145570"/>
    <w:rsid w:val="001455C5"/>
    <w:rsid w:val="00145714"/>
    <w:rsid w:val="00145776"/>
    <w:rsid w:val="0014578C"/>
    <w:rsid w:val="001458A1"/>
    <w:rsid w:val="001458FD"/>
    <w:rsid w:val="00145918"/>
    <w:rsid w:val="0014595D"/>
    <w:rsid w:val="001459BD"/>
    <w:rsid w:val="001459D0"/>
    <w:rsid w:val="00145A4D"/>
    <w:rsid w:val="00145BB2"/>
    <w:rsid w:val="00145C0C"/>
    <w:rsid w:val="00145D32"/>
    <w:rsid w:val="00145DFE"/>
    <w:rsid w:val="00145E07"/>
    <w:rsid w:val="00145E83"/>
    <w:rsid w:val="00145EF8"/>
    <w:rsid w:val="00145F76"/>
    <w:rsid w:val="00146094"/>
    <w:rsid w:val="001461A4"/>
    <w:rsid w:val="001463DA"/>
    <w:rsid w:val="00146459"/>
    <w:rsid w:val="00146551"/>
    <w:rsid w:val="0014663E"/>
    <w:rsid w:val="0014680B"/>
    <w:rsid w:val="00146906"/>
    <w:rsid w:val="00146983"/>
    <w:rsid w:val="001469D0"/>
    <w:rsid w:val="00146A42"/>
    <w:rsid w:val="00146C2F"/>
    <w:rsid w:val="00146DE7"/>
    <w:rsid w:val="00146F3F"/>
    <w:rsid w:val="00146FE6"/>
    <w:rsid w:val="001470F3"/>
    <w:rsid w:val="00147130"/>
    <w:rsid w:val="0014742D"/>
    <w:rsid w:val="00147440"/>
    <w:rsid w:val="00147504"/>
    <w:rsid w:val="001475B6"/>
    <w:rsid w:val="001479B1"/>
    <w:rsid w:val="00147B23"/>
    <w:rsid w:val="00147BEB"/>
    <w:rsid w:val="00147C74"/>
    <w:rsid w:val="00147D34"/>
    <w:rsid w:val="00147D49"/>
    <w:rsid w:val="00147D67"/>
    <w:rsid w:val="00147D97"/>
    <w:rsid w:val="00147FD9"/>
    <w:rsid w:val="00150233"/>
    <w:rsid w:val="00150256"/>
    <w:rsid w:val="0015037B"/>
    <w:rsid w:val="00150388"/>
    <w:rsid w:val="001503C3"/>
    <w:rsid w:val="001504D0"/>
    <w:rsid w:val="001505F9"/>
    <w:rsid w:val="00150747"/>
    <w:rsid w:val="00150793"/>
    <w:rsid w:val="001507F5"/>
    <w:rsid w:val="00150873"/>
    <w:rsid w:val="001508AB"/>
    <w:rsid w:val="001508C0"/>
    <w:rsid w:val="00150AA2"/>
    <w:rsid w:val="00150AC6"/>
    <w:rsid w:val="00150C43"/>
    <w:rsid w:val="00150C94"/>
    <w:rsid w:val="00150DAA"/>
    <w:rsid w:val="00150FF4"/>
    <w:rsid w:val="001510DA"/>
    <w:rsid w:val="00151444"/>
    <w:rsid w:val="00151458"/>
    <w:rsid w:val="0015162B"/>
    <w:rsid w:val="00151753"/>
    <w:rsid w:val="001517F5"/>
    <w:rsid w:val="00151835"/>
    <w:rsid w:val="0015192C"/>
    <w:rsid w:val="00151B2D"/>
    <w:rsid w:val="00151BE2"/>
    <w:rsid w:val="00151C04"/>
    <w:rsid w:val="00151C0B"/>
    <w:rsid w:val="00151C59"/>
    <w:rsid w:val="00151F15"/>
    <w:rsid w:val="00152081"/>
    <w:rsid w:val="00152083"/>
    <w:rsid w:val="0015209F"/>
    <w:rsid w:val="0015212C"/>
    <w:rsid w:val="0015247E"/>
    <w:rsid w:val="001524E5"/>
    <w:rsid w:val="00152537"/>
    <w:rsid w:val="00152583"/>
    <w:rsid w:val="001525E9"/>
    <w:rsid w:val="00152618"/>
    <w:rsid w:val="00152648"/>
    <w:rsid w:val="00152804"/>
    <w:rsid w:val="00152865"/>
    <w:rsid w:val="0015287F"/>
    <w:rsid w:val="00152994"/>
    <w:rsid w:val="00152C75"/>
    <w:rsid w:val="00152C8E"/>
    <w:rsid w:val="00152D57"/>
    <w:rsid w:val="00152D97"/>
    <w:rsid w:val="0015306F"/>
    <w:rsid w:val="00153172"/>
    <w:rsid w:val="001532D0"/>
    <w:rsid w:val="00153301"/>
    <w:rsid w:val="00153305"/>
    <w:rsid w:val="0015353E"/>
    <w:rsid w:val="001535B2"/>
    <w:rsid w:val="001536A6"/>
    <w:rsid w:val="0015386C"/>
    <w:rsid w:val="00153911"/>
    <w:rsid w:val="001539FA"/>
    <w:rsid w:val="00153A71"/>
    <w:rsid w:val="00153B66"/>
    <w:rsid w:val="00153C29"/>
    <w:rsid w:val="00153C5F"/>
    <w:rsid w:val="00153C6A"/>
    <w:rsid w:val="00153EB8"/>
    <w:rsid w:val="00153F69"/>
    <w:rsid w:val="00153F8F"/>
    <w:rsid w:val="00154000"/>
    <w:rsid w:val="00154051"/>
    <w:rsid w:val="001540C1"/>
    <w:rsid w:val="001541B1"/>
    <w:rsid w:val="001541C7"/>
    <w:rsid w:val="0015426C"/>
    <w:rsid w:val="0015432F"/>
    <w:rsid w:val="00154404"/>
    <w:rsid w:val="00154412"/>
    <w:rsid w:val="001545A5"/>
    <w:rsid w:val="00154605"/>
    <w:rsid w:val="001548B3"/>
    <w:rsid w:val="00154915"/>
    <w:rsid w:val="00154919"/>
    <w:rsid w:val="001549D5"/>
    <w:rsid w:val="00154A1C"/>
    <w:rsid w:val="00154ADB"/>
    <w:rsid w:val="00154C82"/>
    <w:rsid w:val="00154CB1"/>
    <w:rsid w:val="0015510F"/>
    <w:rsid w:val="00155158"/>
    <w:rsid w:val="00155174"/>
    <w:rsid w:val="0015517E"/>
    <w:rsid w:val="00155212"/>
    <w:rsid w:val="001552BA"/>
    <w:rsid w:val="001552D7"/>
    <w:rsid w:val="00155329"/>
    <w:rsid w:val="00155339"/>
    <w:rsid w:val="001553ED"/>
    <w:rsid w:val="00155463"/>
    <w:rsid w:val="0015546E"/>
    <w:rsid w:val="001558A5"/>
    <w:rsid w:val="00155AA9"/>
    <w:rsid w:val="00155AC3"/>
    <w:rsid w:val="00155BFD"/>
    <w:rsid w:val="00155C03"/>
    <w:rsid w:val="00155CC5"/>
    <w:rsid w:val="00155CFC"/>
    <w:rsid w:val="00155D31"/>
    <w:rsid w:val="00155D3F"/>
    <w:rsid w:val="00155EED"/>
    <w:rsid w:val="00155FB2"/>
    <w:rsid w:val="0015600B"/>
    <w:rsid w:val="0015601D"/>
    <w:rsid w:val="001564B4"/>
    <w:rsid w:val="00156668"/>
    <w:rsid w:val="001566FA"/>
    <w:rsid w:val="001567DC"/>
    <w:rsid w:val="001567F1"/>
    <w:rsid w:val="00156868"/>
    <w:rsid w:val="00156B2D"/>
    <w:rsid w:val="00156BC1"/>
    <w:rsid w:val="00156D06"/>
    <w:rsid w:val="00156D25"/>
    <w:rsid w:val="00156D4A"/>
    <w:rsid w:val="00156E58"/>
    <w:rsid w:val="00156EB6"/>
    <w:rsid w:val="00156FBC"/>
    <w:rsid w:val="001570A3"/>
    <w:rsid w:val="001570BF"/>
    <w:rsid w:val="001570EC"/>
    <w:rsid w:val="00157174"/>
    <w:rsid w:val="00157216"/>
    <w:rsid w:val="00157366"/>
    <w:rsid w:val="001573F5"/>
    <w:rsid w:val="0015741B"/>
    <w:rsid w:val="00157502"/>
    <w:rsid w:val="0015750D"/>
    <w:rsid w:val="00157560"/>
    <w:rsid w:val="0015765D"/>
    <w:rsid w:val="00157687"/>
    <w:rsid w:val="001578CE"/>
    <w:rsid w:val="00157B65"/>
    <w:rsid w:val="00157C8C"/>
    <w:rsid w:val="00157D7A"/>
    <w:rsid w:val="00157DC9"/>
    <w:rsid w:val="00157ECB"/>
    <w:rsid w:val="00157F2D"/>
    <w:rsid w:val="0016004C"/>
    <w:rsid w:val="0016017B"/>
    <w:rsid w:val="001603CD"/>
    <w:rsid w:val="001604AD"/>
    <w:rsid w:val="001604FE"/>
    <w:rsid w:val="00160512"/>
    <w:rsid w:val="00160518"/>
    <w:rsid w:val="00160546"/>
    <w:rsid w:val="001606EE"/>
    <w:rsid w:val="001607B4"/>
    <w:rsid w:val="0016081D"/>
    <w:rsid w:val="001608D2"/>
    <w:rsid w:val="001608D6"/>
    <w:rsid w:val="00160ABF"/>
    <w:rsid w:val="00160CD3"/>
    <w:rsid w:val="00161144"/>
    <w:rsid w:val="00161184"/>
    <w:rsid w:val="00161208"/>
    <w:rsid w:val="00161364"/>
    <w:rsid w:val="00161387"/>
    <w:rsid w:val="001614CE"/>
    <w:rsid w:val="001614E4"/>
    <w:rsid w:val="0016195F"/>
    <w:rsid w:val="00161B24"/>
    <w:rsid w:val="00161B5C"/>
    <w:rsid w:val="00161BD8"/>
    <w:rsid w:val="00161E9E"/>
    <w:rsid w:val="00162000"/>
    <w:rsid w:val="0016201B"/>
    <w:rsid w:val="00162031"/>
    <w:rsid w:val="001620DB"/>
    <w:rsid w:val="00162192"/>
    <w:rsid w:val="001621B2"/>
    <w:rsid w:val="0016225E"/>
    <w:rsid w:val="001622B0"/>
    <w:rsid w:val="00162342"/>
    <w:rsid w:val="00162389"/>
    <w:rsid w:val="00162428"/>
    <w:rsid w:val="00162452"/>
    <w:rsid w:val="00162473"/>
    <w:rsid w:val="001625F2"/>
    <w:rsid w:val="001626AE"/>
    <w:rsid w:val="001627F3"/>
    <w:rsid w:val="00162846"/>
    <w:rsid w:val="00162A08"/>
    <w:rsid w:val="00162A1B"/>
    <w:rsid w:val="00162A40"/>
    <w:rsid w:val="00162D39"/>
    <w:rsid w:val="00162E09"/>
    <w:rsid w:val="00162E28"/>
    <w:rsid w:val="00162FB6"/>
    <w:rsid w:val="0016312D"/>
    <w:rsid w:val="00163453"/>
    <w:rsid w:val="0016347A"/>
    <w:rsid w:val="00163514"/>
    <w:rsid w:val="001635D2"/>
    <w:rsid w:val="0016360F"/>
    <w:rsid w:val="001637C9"/>
    <w:rsid w:val="001637DB"/>
    <w:rsid w:val="00163865"/>
    <w:rsid w:val="001639F0"/>
    <w:rsid w:val="00163CAD"/>
    <w:rsid w:val="00163E59"/>
    <w:rsid w:val="00163E68"/>
    <w:rsid w:val="00163F29"/>
    <w:rsid w:val="00163F49"/>
    <w:rsid w:val="00163FDE"/>
    <w:rsid w:val="001640B4"/>
    <w:rsid w:val="001642AB"/>
    <w:rsid w:val="001643F6"/>
    <w:rsid w:val="00164417"/>
    <w:rsid w:val="0016456F"/>
    <w:rsid w:val="00164890"/>
    <w:rsid w:val="00164B0C"/>
    <w:rsid w:val="00164B7F"/>
    <w:rsid w:val="00164BDE"/>
    <w:rsid w:val="00164C26"/>
    <w:rsid w:val="00164C50"/>
    <w:rsid w:val="00164CCF"/>
    <w:rsid w:val="00164CF9"/>
    <w:rsid w:val="00164D52"/>
    <w:rsid w:val="00164DD7"/>
    <w:rsid w:val="00165033"/>
    <w:rsid w:val="0016510E"/>
    <w:rsid w:val="0016522A"/>
    <w:rsid w:val="00165244"/>
    <w:rsid w:val="0016533A"/>
    <w:rsid w:val="00165375"/>
    <w:rsid w:val="001653BF"/>
    <w:rsid w:val="001654ED"/>
    <w:rsid w:val="001655BC"/>
    <w:rsid w:val="001658D6"/>
    <w:rsid w:val="0016590B"/>
    <w:rsid w:val="00165A47"/>
    <w:rsid w:val="00165B95"/>
    <w:rsid w:val="00165C35"/>
    <w:rsid w:val="00165DDB"/>
    <w:rsid w:val="00165E5D"/>
    <w:rsid w:val="00165FB0"/>
    <w:rsid w:val="00166028"/>
    <w:rsid w:val="00166091"/>
    <w:rsid w:val="00166116"/>
    <w:rsid w:val="00166353"/>
    <w:rsid w:val="001663E0"/>
    <w:rsid w:val="001665A1"/>
    <w:rsid w:val="0016661F"/>
    <w:rsid w:val="0016662D"/>
    <w:rsid w:val="001666D5"/>
    <w:rsid w:val="00166701"/>
    <w:rsid w:val="0016678C"/>
    <w:rsid w:val="001667B3"/>
    <w:rsid w:val="001667E3"/>
    <w:rsid w:val="001667F2"/>
    <w:rsid w:val="0016681E"/>
    <w:rsid w:val="0016684B"/>
    <w:rsid w:val="001669A7"/>
    <w:rsid w:val="00166A7F"/>
    <w:rsid w:val="00166B25"/>
    <w:rsid w:val="00166B4D"/>
    <w:rsid w:val="00166B92"/>
    <w:rsid w:val="00166B99"/>
    <w:rsid w:val="00166BBB"/>
    <w:rsid w:val="00166C49"/>
    <w:rsid w:val="00166C9D"/>
    <w:rsid w:val="00166D89"/>
    <w:rsid w:val="00166E67"/>
    <w:rsid w:val="00166EE1"/>
    <w:rsid w:val="00166EE8"/>
    <w:rsid w:val="00167052"/>
    <w:rsid w:val="001670B8"/>
    <w:rsid w:val="00167233"/>
    <w:rsid w:val="00167503"/>
    <w:rsid w:val="0016753E"/>
    <w:rsid w:val="001675CD"/>
    <w:rsid w:val="00167833"/>
    <w:rsid w:val="00167845"/>
    <w:rsid w:val="00167876"/>
    <w:rsid w:val="001678B4"/>
    <w:rsid w:val="00167B22"/>
    <w:rsid w:val="00167CBD"/>
    <w:rsid w:val="00167CC4"/>
    <w:rsid w:val="00167D03"/>
    <w:rsid w:val="00167D17"/>
    <w:rsid w:val="00167DC9"/>
    <w:rsid w:val="00167E3D"/>
    <w:rsid w:val="00167E9E"/>
    <w:rsid w:val="00167EC8"/>
    <w:rsid w:val="00167ECF"/>
    <w:rsid w:val="00167F54"/>
    <w:rsid w:val="00167FB8"/>
    <w:rsid w:val="00170049"/>
    <w:rsid w:val="0017021F"/>
    <w:rsid w:val="0017031D"/>
    <w:rsid w:val="0017051F"/>
    <w:rsid w:val="001705DC"/>
    <w:rsid w:val="0017077B"/>
    <w:rsid w:val="001707FD"/>
    <w:rsid w:val="00170895"/>
    <w:rsid w:val="001708EB"/>
    <w:rsid w:val="0017097F"/>
    <w:rsid w:val="00170A87"/>
    <w:rsid w:val="00170B01"/>
    <w:rsid w:val="00170B0C"/>
    <w:rsid w:val="00170CD7"/>
    <w:rsid w:val="00170D12"/>
    <w:rsid w:val="00171179"/>
    <w:rsid w:val="0017140F"/>
    <w:rsid w:val="00171447"/>
    <w:rsid w:val="001715B8"/>
    <w:rsid w:val="00171994"/>
    <w:rsid w:val="001719D7"/>
    <w:rsid w:val="00171AD3"/>
    <w:rsid w:val="00171BE5"/>
    <w:rsid w:val="00171BF9"/>
    <w:rsid w:val="00171E1B"/>
    <w:rsid w:val="00171E9A"/>
    <w:rsid w:val="00171F80"/>
    <w:rsid w:val="00172159"/>
    <w:rsid w:val="0017222A"/>
    <w:rsid w:val="00172236"/>
    <w:rsid w:val="00172315"/>
    <w:rsid w:val="00172445"/>
    <w:rsid w:val="001724D3"/>
    <w:rsid w:val="001724E5"/>
    <w:rsid w:val="00172612"/>
    <w:rsid w:val="00172652"/>
    <w:rsid w:val="00172691"/>
    <w:rsid w:val="00172740"/>
    <w:rsid w:val="0017288C"/>
    <w:rsid w:val="001728D0"/>
    <w:rsid w:val="00172B08"/>
    <w:rsid w:val="00172BCB"/>
    <w:rsid w:val="00172BDA"/>
    <w:rsid w:val="00172D99"/>
    <w:rsid w:val="00172DEB"/>
    <w:rsid w:val="00172DF8"/>
    <w:rsid w:val="00172F25"/>
    <w:rsid w:val="00172FB0"/>
    <w:rsid w:val="00172FD7"/>
    <w:rsid w:val="00173057"/>
    <w:rsid w:val="00173207"/>
    <w:rsid w:val="001733B3"/>
    <w:rsid w:val="0017341B"/>
    <w:rsid w:val="001734F7"/>
    <w:rsid w:val="00173551"/>
    <w:rsid w:val="00173615"/>
    <w:rsid w:val="00173771"/>
    <w:rsid w:val="00173792"/>
    <w:rsid w:val="00173807"/>
    <w:rsid w:val="00173AB7"/>
    <w:rsid w:val="00173BC2"/>
    <w:rsid w:val="00173F30"/>
    <w:rsid w:val="0017406D"/>
    <w:rsid w:val="00174158"/>
    <w:rsid w:val="00174253"/>
    <w:rsid w:val="001743AD"/>
    <w:rsid w:val="00174544"/>
    <w:rsid w:val="00174620"/>
    <w:rsid w:val="001746B4"/>
    <w:rsid w:val="001746EF"/>
    <w:rsid w:val="00174712"/>
    <w:rsid w:val="00174746"/>
    <w:rsid w:val="001748C1"/>
    <w:rsid w:val="001748F4"/>
    <w:rsid w:val="001749BE"/>
    <w:rsid w:val="00174A76"/>
    <w:rsid w:val="00174B74"/>
    <w:rsid w:val="00174BC7"/>
    <w:rsid w:val="00174CF4"/>
    <w:rsid w:val="00174E46"/>
    <w:rsid w:val="00174F76"/>
    <w:rsid w:val="00174F97"/>
    <w:rsid w:val="00175129"/>
    <w:rsid w:val="00175164"/>
    <w:rsid w:val="001751A7"/>
    <w:rsid w:val="001751FD"/>
    <w:rsid w:val="00175292"/>
    <w:rsid w:val="00175366"/>
    <w:rsid w:val="001753DA"/>
    <w:rsid w:val="00175481"/>
    <w:rsid w:val="0017563E"/>
    <w:rsid w:val="001756AB"/>
    <w:rsid w:val="001756DB"/>
    <w:rsid w:val="001757AE"/>
    <w:rsid w:val="001759E2"/>
    <w:rsid w:val="00175A50"/>
    <w:rsid w:val="00175BC5"/>
    <w:rsid w:val="00175C68"/>
    <w:rsid w:val="00175CB9"/>
    <w:rsid w:val="001760BD"/>
    <w:rsid w:val="00176122"/>
    <w:rsid w:val="00176349"/>
    <w:rsid w:val="001765BF"/>
    <w:rsid w:val="0017678A"/>
    <w:rsid w:val="001767A5"/>
    <w:rsid w:val="0017683C"/>
    <w:rsid w:val="0017692D"/>
    <w:rsid w:val="00176A29"/>
    <w:rsid w:val="00176A48"/>
    <w:rsid w:val="00176A91"/>
    <w:rsid w:val="00176CCE"/>
    <w:rsid w:val="00176DCB"/>
    <w:rsid w:val="00176E16"/>
    <w:rsid w:val="00176E24"/>
    <w:rsid w:val="00176E80"/>
    <w:rsid w:val="0017724B"/>
    <w:rsid w:val="0017725A"/>
    <w:rsid w:val="00177347"/>
    <w:rsid w:val="00177365"/>
    <w:rsid w:val="00177368"/>
    <w:rsid w:val="0017742C"/>
    <w:rsid w:val="0017756B"/>
    <w:rsid w:val="001775CF"/>
    <w:rsid w:val="0017777B"/>
    <w:rsid w:val="001777E8"/>
    <w:rsid w:val="001778A6"/>
    <w:rsid w:val="0017793A"/>
    <w:rsid w:val="00177A1F"/>
    <w:rsid w:val="00177B7E"/>
    <w:rsid w:val="00177D19"/>
    <w:rsid w:val="00177E19"/>
    <w:rsid w:val="00177EAE"/>
    <w:rsid w:val="00177FB6"/>
    <w:rsid w:val="00180516"/>
    <w:rsid w:val="0018056F"/>
    <w:rsid w:val="00180A2A"/>
    <w:rsid w:val="00180AE3"/>
    <w:rsid w:val="00180B6F"/>
    <w:rsid w:val="00180C5E"/>
    <w:rsid w:val="00180CAD"/>
    <w:rsid w:val="00180DB3"/>
    <w:rsid w:val="00180F3E"/>
    <w:rsid w:val="001810E8"/>
    <w:rsid w:val="001811FC"/>
    <w:rsid w:val="0018124C"/>
    <w:rsid w:val="00181264"/>
    <w:rsid w:val="00181291"/>
    <w:rsid w:val="0018129D"/>
    <w:rsid w:val="001812AA"/>
    <w:rsid w:val="001814A7"/>
    <w:rsid w:val="00181567"/>
    <w:rsid w:val="001815A1"/>
    <w:rsid w:val="00181833"/>
    <w:rsid w:val="0018186F"/>
    <w:rsid w:val="001818AD"/>
    <w:rsid w:val="001819EA"/>
    <w:rsid w:val="00181A09"/>
    <w:rsid w:val="00181A0F"/>
    <w:rsid w:val="00181ACF"/>
    <w:rsid w:val="00181B09"/>
    <w:rsid w:val="00181B5E"/>
    <w:rsid w:val="00181B82"/>
    <w:rsid w:val="00181BFA"/>
    <w:rsid w:val="00181C27"/>
    <w:rsid w:val="00181C41"/>
    <w:rsid w:val="00181E49"/>
    <w:rsid w:val="00181F24"/>
    <w:rsid w:val="00181F65"/>
    <w:rsid w:val="00181FCE"/>
    <w:rsid w:val="00182012"/>
    <w:rsid w:val="00182015"/>
    <w:rsid w:val="0018202C"/>
    <w:rsid w:val="0018203D"/>
    <w:rsid w:val="0018224B"/>
    <w:rsid w:val="001822C3"/>
    <w:rsid w:val="0018255C"/>
    <w:rsid w:val="001826CA"/>
    <w:rsid w:val="00182715"/>
    <w:rsid w:val="001827C3"/>
    <w:rsid w:val="0018287B"/>
    <w:rsid w:val="00182C47"/>
    <w:rsid w:val="00182EE7"/>
    <w:rsid w:val="00182FAB"/>
    <w:rsid w:val="00183070"/>
    <w:rsid w:val="001830F0"/>
    <w:rsid w:val="00183195"/>
    <w:rsid w:val="0018324A"/>
    <w:rsid w:val="00183383"/>
    <w:rsid w:val="0018339A"/>
    <w:rsid w:val="00183420"/>
    <w:rsid w:val="00183428"/>
    <w:rsid w:val="0018342D"/>
    <w:rsid w:val="0018358A"/>
    <w:rsid w:val="001835F8"/>
    <w:rsid w:val="001835FB"/>
    <w:rsid w:val="001837AC"/>
    <w:rsid w:val="001837EC"/>
    <w:rsid w:val="001838B2"/>
    <w:rsid w:val="00183A46"/>
    <w:rsid w:val="00183B98"/>
    <w:rsid w:val="00183E2D"/>
    <w:rsid w:val="00183E76"/>
    <w:rsid w:val="00183E90"/>
    <w:rsid w:val="00183EDA"/>
    <w:rsid w:val="00183F69"/>
    <w:rsid w:val="00184049"/>
    <w:rsid w:val="0018414E"/>
    <w:rsid w:val="0018421A"/>
    <w:rsid w:val="0018426A"/>
    <w:rsid w:val="001842B3"/>
    <w:rsid w:val="0018431C"/>
    <w:rsid w:val="00184471"/>
    <w:rsid w:val="00184534"/>
    <w:rsid w:val="00184711"/>
    <w:rsid w:val="0018474B"/>
    <w:rsid w:val="00184764"/>
    <w:rsid w:val="001849F0"/>
    <w:rsid w:val="00184C35"/>
    <w:rsid w:val="00184CE2"/>
    <w:rsid w:val="00184E76"/>
    <w:rsid w:val="00184EDA"/>
    <w:rsid w:val="0018500D"/>
    <w:rsid w:val="00185248"/>
    <w:rsid w:val="00185558"/>
    <w:rsid w:val="0018559E"/>
    <w:rsid w:val="001855D6"/>
    <w:rsid w:val="0018562C"/>
    <w:rsid w:val="00185656"/>
    <w:rsid w:val="001857C7"/>
    <w:rsid w:val="00185808"/>
    <w:rsid w:val="00185889"/>
    <w:rsid w:val="001859BB"/>
    <w:rsid w:val="00185A39"/>
    <w:rsid w:val="00185CEC"/>
    <w:rsid w:val="00185D52"/>
    <w:rsid w:val="00185D7F"/>
    <w:rsid w:val="00185E53"/>
    <w:rsid w:val="00185EB9"/>
    <w:rsid w:val="00185ED7"/>
    <w:rsid w:val="00185EDF"/>
    <w:rsid w:val="00185FD5"/>
    <w:rsid w:val="00186138"/>
    <w:rsid w:val="00186153"/>
    <w:rsid w:val="001861E6"/>
    <w:rsid w:val="001862BD"/>
    <w:rsid w:val="001863A5"/>
    <w:rsid w:val="001863D1"/>
    <w:rsid w:val="00186597"/>
    <w:rsid w:val="001865AD"/>
    <w:rsid w:val="001865FB"/>
    <w:rsid w:val="0018664C"/>
    <w:rsid w:val="001867BA"/>
    <w:rsid w:val="00186A1C"/>
    <w:rsid w:val="00186ABE"/>
    <w:rsid w:val="00186B7F"/>
    <w:rsid w:val="00186C93"/>
    <w:rsid w:val="00186D0F"/>
    <w:rsid w:val="00186E6A"/>
    <w:rsid w:val="00186E6E"/>
    <w:rsid w:val="001870D0"/>
    <w:rsid w:val="0018711F"/>
    <w:rsid w:val="0018712E"/>
    <w:rsid w:val="0018717D"/>
    <w:rsid w:val="0018723A"/>
    <w:rsid w:val="00187250"/>
    <w:rsid w:val="0018733F"/>
    <w:rsid w:val="00187493"/>
    <w:rsid w:val="0018751C"/>
    <w:rsid w:val="001876C9"/>
    <w:rsid w:val="00187738"/>
    <w:rsid w:val="0018774C"/>
    <w:rsid w:val="00187770"/>
    <w:rsid w:val="001878EA"/>
    <w:rsid w:val="001879F6"/>
    <w:rsid w:val="001879FA"/>
    <w:rsid w:val="00187A4C"/>
    <w:rsid w:val="00187A8A"/>
    <w:rsid w:val="00187AB6"/>
    <w:rsid w:val="00187BC5"/>
    <w:rsid w:val="00187C51"/>
    <w:rsid w:val="00187D01"/>
    <w:rsid w:val="00187D73"/>
    <w:rsid w:val="00187DC5"/>
    <w:rsid w:val="00187DEC"/>
    <w:rsid w:val="00187EAB"/>
    <w:rsid w:val="00187F4E"/>
    <w:rsid w:val="00187F63"/>
    <w:rsid w:val="00190064"/>
    <w:rsid w:val="001900EF"/>
    <w:rsid w:val="00190223"/>
    <w:rsid w:val="00190254"/>
    <w:rsid w:val="00190284"/>
    <w:rsid w:val="00190698"/>
    <w:rsid w:val="001906EE"/>
    <w:rsid w:val="00190738"/>
    <w:rsid w:val="001907E4"/>
    <w:rsid w:val="00190870"/>
    <w:rsid w:val="001908D0"/>
    <w:rsid w:val="00190AEA"/>
    <w:rsid w:val="00190D59"/>
    <w:rsid w:val="00190DB6"/>
    <w:rsid w:val="00190EB4"/>
    <w:rsid w:val="00190EB6"/>
    <w:rsid w:val="00190FA2"/>
    <w:rsid w:val="00191030"/>
    <w:rsid w:val="00191130"/>
    <w:rsid w:val="00191138"/>
    <w:rsid w:val="00191490"/>
    <w:rsid w:val="0019158C"/>
    <w:rsid w:val="001916A1"/>
    <w:rsid w:val="0019194E"/>
    <w:rsid w:val="00191968"/>
    <w:rsid w:val="00191983"/>
    <w:rsid w:val="001919F7"/>
    <w:rsid w:val="00191A52"/>
    <w:rsid w:val="00191C30"/>
    <w:rsid w:val="00191CE6"/>
    <w:rsid w:val="00191D55"/>
    <w:rsid w:val="00191E00"/>
    <w:rsid w:val="00191E6B"/>
    <w:rsid w:val="00191F88"/>
    <w:rsid w:val="00191FAC"/>
    <w:rsid w:val="001920D3"/>
    <w:rsid w:val="001922B4"/>
    <w:rsid w:val="001922CB"/>
    <w:rsid w:val="0019243E"/>
    <w:rsid w:val="00192456"/>
    <w:rsid w:val="0019263D"/>
    <w:rsid w:val="00192715"/>
    <w:rsid w:val="001928EA"/>
    <w:rsid w:val="001928EF"/>
    <w:rsid w:val="00192993"/>
    <w:rsid w:val="001929BA"/>
    <w:rsid w:val="00192C35"/>
    <w:rsid w:val="00192CD1"/>
    <w:rsid w:val="00192CF9"/>
    <w:rsid w:val="00192DFD"/>
    <w:rsid w:val="00192F8B"/>
    <w:rsid w:val="001931B1"/>
    <w:rsid w:val="001933C2"/>
    <w:rsid w:val="0019347A"/>
    <w:rsid w:val="0019347E"/>
    <w:rsid w:val="001934ED"/>
    <w:rsid w:val="00193592"/>
    <w:rsid w:val="001935B1"/>
    <w:rsid w:val="0019361D"/>
    <w:rsid w:val="00193630"/>
    <w:rsid w:val="001936AB"/>
    <w:rsid w:val="001937B7"/>
    <w:rsid w:val="001937C5"/>
    <w:rsid w:val="001938AB"/>
    <w:rsid w:val="001938B6"/>
    <w:rsid w:val="001938F4"/>
    <w:rsid w:val="00193A68"/>
    <w:rsid w:val="00193A83"/>
    <w:rsid w:val="00193BC4"/>
    <w:rsid w:val="00193C94"/>
    <w:rsid w:val="00193CF9"/>
    <w:rsid w:val="00193D4A"/>
    <w:rsid w:val="00193D86"/>
    <w:rsid w:val="00193E32"/>
    <w:rsid w:val="00193E34"/>
    <w:rsid w:val="00193FB9"/>
    <w:rsid w:val="00193FF6"/>
    <w:rsid w:val="00194086"/>
    <w:rsid w:val="00194148"/>
    <w:rsid w:val="00194153"/>
    <w:rsid w:val="0019417B"/>
    <w:rsid w:val="00194204"/>
    <w:rsid w:val="00194359"/>
    <w:rsid w:val="0019435E"/>
    <w:rsid w:val="001944B2"/>
    <w:rsid w:val="00194508"/>
    <w:rsid w:val="00194797"/>
    <w:rsid w:val="0019481C"/>
    <w:rsid w:val="00194C8D"/>
    <w:rsid w:val="00194D90"/>
    <w:rsid w:val="00194DEA"/>
    <w:rsid w:val="00195030"/>
    <w:rsid w:val="0019508D"/>
    <w:rsid w:val="00195256"/>
    <w:rsid w:val="00195267"/>
    <w:rsid w:val="001953EA"/>
    <w:rsid w:val="0019542C"/>
    <w:rsid w:val="00195433"/>
    <w:rsid w:val="00195631"/>
    <w:rsid w:val="00195757"/>
    <w:rsid w:val="0019591F"/>
    <w:rsid w:val="0019599C"/>
    <w:rsid w:val="00195AB8"/>
    <w:rsid w:val="00195C45"/>
    <w:rsid w:val="00195D3E"/>
    <w:rsid w:val="00195E31"/>
    <w:rsid w:val="00195E68"/>
    <w:rsid w:val="00195FEA"/>
    <w:rsid w:val="00196040"/>
    <w:rsid w:val="00196085"/>
    <w:rsid w:val="0019612B"/>
    <w:rsid w:val="001962A2"/>
    <w:rsid w:val="001962F1"/>
    <w:rsid w:val="001962F7"/>
    <w:rsid w:val="001965AE"/>
    <w:rsid w:val="00196626"/>
    <w:rsid w:val="001966E5"/>
    <w:rsid w:val="001967DF"/>
    <w:rsid w:val="00196902"/>
    <w:rsid w:val="0019694A"/>
    <w:rsid w:val="0019695C"/>
    <w:rsid w:val="00196A04"/>
    <w:rsid w:val="00196AC1"/>
    <w:rsid w:val="00196CAB"/>
    <w:rsid w:val="00196D50"/>
    <w:rsid w:val="00196DBC"/>
    <w:rsid w:val="001970BD"/>
    <w:rsid w:val="001970D8"/>
    <w:rsid w:val="00197349"/>
    <w:rsid w:val="00197383"/>
    <w:rsid w:val="001974DA"/>
    <w:rsid w:val="001974EA"/>
    <w:rsid w:val="0019751D"/>
    <w:rsid w:val="00197610"/>
    <w:rsid w:val="00197623"/>
    <w:rsid w:val="00197657"/>
    <w:rsid w:val="001977BE"/>
    <w:rsid w:val="00197846"/>
    <w:rsid w:val="001978CA"/>
    <w:rsid w:val="001978DA"/>
    <w:rsid w:val="0019792B"/>
    <w:rsid w:val="00197990"/>
    <w:rsid w:val="00197A4A"/>
    <w:rsid w:val="00197CB0"/>
    <w:rsid w:val="00197DA1"/>
    <w:rsid w:val="00197EA0"/>
    <w:rsid w:val="00197FE7"/>
    <w:rsid w:val="001A0066"/>
    <w:rsid w:val="001A0102"/>
    <w:rsid w:val="001A0106"/>
    <w:rsid w:val="001A016E"/>
    <w:rsid w:val="001A029B"/>
    <w:rsid w:val="001A0401"/>
    <w:rsid w:val="001A04EC"/>
    <w:rsid w:val="001A0502"/>
    <w:rsid w:val="001A0658"/>
    <w:rsid w:val="001A072D"/>
    <w:rsid w:val="001A0762"/>
    <w:rsid w:val="001A07DC"/>
    <w:rsid w:val="001A0851"/>
    <w:rsid w:val="001A087F"/>
    <w:rsid w:val="001A0925"/>
    <w:rsid w:val="001A0A36"/>
    <w:rsid w:val="001A0B60"/>
    <w:rsid w:val="001A0C19"/>
    <w:rsid w:val="001A0C3D"/>
    <w:rsid w:val="001A0C68"/>
    <w:rsid w:val="001A0C8B"/>
    <w:rsid w:val="001A0DB9"/>
    <w:rsid w:val="001A1096"/>
    <w:rsid w:val="001A109C"/>
    <w:rsid w:val="001A1259"/>
    <w:rsid w:val="001A1285"/>
    <w:rsid w:val="001A12C2"/>
    <w:rsid w:val="001A12DC"/>
    <w:rsid w:val="001A13B7"/>
    <w:rsid w:val="001A147E"/>
    <w:rsid w:val="001A14B3"/>
    <w:rsid w:val="001A1525"/>
    <w:rsid w:val="001A1583"/>
    <w:rsid w:val="001A15F6"/>
    <w:rsid w:val="001A16FC"/>
    <w:rsid w:val="001A1732"/>
    <w:rsid w:val="001A179C"/>
    <w:rsid w:val="001A1872"/>
    <w:rsid w:val="001A188D"/>
    <w:rsid w:val="001A1923"/>
    <w:rsid w:val="001A194E"/>
    <w:rsid w:val="001A1953"/>
    <w:rsid w:val="001A1976"/>
    <w:rsid w:val="001A19E1"/>
    <w:rsid w:val="001A1B86"/>
    <w:rsid w:val="001A1CCA"/>
    <w:rsid w:val="001A1E0D"/>
    <w:rsid w:val="001A1EBC"/>
    <w:rsid w:val="001A1FC0"/>
    <w:rsid w:val="001A20E5"/>
    <w:rsid w:val="001A211B"/>
    <w:rsid w:val="001A211D"/>
    <w:rsid w:val="001A21A5"/>
    <w:rsid w:val="001A2226"/>
    <w:rsid w:val="001A2274"/>
    <w:rsid w:val="001A238C"/>
    <w:rsid w:val="001A23F3"/>
    <w:rsid w:val="001A25ED"/>
    <w:rsid w:val="001A2668"/>
    <w:rsid w:val="001A2678"/>
    <w:rsid w:val="001A278B"/>
    <w:rsid w:val="001A281B"/>
    <w:rsid w:val="001A28E2"/>
    <w:rsid w:val="001A29BC"/>
    <w:rsid w:val="001A2ACC"/>
    <w:rsid w:val="001A2B98"/>
    <w:rsid w:val="001A2C23"/>
    <w:rsid w:val="001A2C35"/>
    <w:rsid w:val="001A2C79"/>
    <w:rsid w:val="001A2DDC"/>
    <w:rsid w:val="001A305C"/>
    <w:rsid w:val="001A3149"/>
    <w:rsid w:val="001A315F"/>
    <w:rsid w:val="001A31B5"/>
    <w:rsid w:val="001A31D9"/>
    <w:rsid w:val="001A330D"/>
    <w:rsid w:val="001A3426"/>
    <w:rsid w:val="001A34FB"/>
    <w:rsid w:val="001A3604"/>
    <w:rsid w:val="001A36B7"/>
    <w:rsid w:val="001A3738"/>
    <w:rsid w:val="001A3765"/>
    <w:rsid w:val="001A399E"/>
    <w:rsid w:val="001A3AE1"/>
    <w:rsid w:val="001A3B7C"/>
    <w:rsid w:val="001A3B8B"/>
    <w:rsid w:val="001A3D08"/>
    <w:rsid w:val="001A3D3B"/>
    <w:rsid w:val="001A3DFA"/>
    <w:rsid w:val="001A3E95"/>
    <w:rsid w:val="001A3EB2"/>
    <w:rsid w:val="001A3F1A"/>
    <w:rsid w:val="001A4063"/>
    <w:rsid w:val="001A40E4"/>
    <w:rsid w:val="001A42E8"/>
    <w:rsid w:val="001A42EE"/>
    <w:rsid w:val="001A4305"/>
    <w:rsid w:val="001A4525"/>
    <w:rsid w:val="001A459B"/>
    <w:rsid w:val="001A45CA"/>
    <w:rsid w:val="001A4625"/>
    <w:rsid w:val="001A476F"/>
    <w:rsid w:val="001A485D"/>
    <w:rsid w:val="001A4863"/>
    <w:rsid w:val="001A4909"/>
    <w:rsid w:val="001A4AC0"/>
    <w:rsid w:val="001A4C90"/>
    <w:rsid w:val="001A4D20"/>
    <w:rsid w:val="001A4D24"/>
    <w:rsid w:val="001A4E97"/>
    <w:rsid w:val="001A504F"/>
    <w:rsid w:val="001A52B3"/>
    <w:rsid w:val="001A53AD"/>
    <w:rsid w:val="001A554F"/>
    <w:rsid w:val="001A5697"/>
    <w:rsid w:val="001A579D"/>
    <w:rsid w:val="001A592D"/>
    <w:rsid w:val="001A5D07"/>
    <w:rsid w:val="001A5FC3"/>
    <w:rsid w:val="001A5FDA"/>
    <w:rsid w:val="001A5FF7"/>
    <w:rsid w:val="001A6068"/>
    <w:rsid w:val="001A6204"/>
    <w:rsid w:val="001A623E"/>
    <w:rsid w:val="001A62F0"/>
    <w:rsid w:val="001A6342"/>
    <w:rsid w:val="001A655D"/>
    <w:rsid w:val="001A6630"/>
    <w:rsid w:val="001A66E2"/>
    <w:rsid w:val="001A678A"/>
    <w:rsid w:val="001A67C7"/>
    <w:rsid w:val="001A687A"/>
    <w:rsid w:val="001A69B2"/>
    <w:rsid w:val="001A6AE7"/>
    <w:rsid w:val="001A6AFD"/>
    <w:rsid w:val="001A6C66"/>
    <w:rsid w:val="001A6D36"/>
    <w:rsid w:val="001A6D91"/>
    <w:rsid w:val="001A6D9B"/>
    <w:rsid w:val="001A7003"/>
    <w:rsid w:val="001A713F"/>
    <w:rsid w:val="001A723E"/>
    <w:rsid w:val="001A7286"/>
    <w:rsid w:val="001A7372"/>
    <w:rsid w:val="001A76AA"/>
    <w:rsid w:val="001A7752"/>
    <w:rsid w:val="001A7800"/>
    <w:rsid w:val="001A78C1"/>
    <w:rsid w:val="001A795F"/>
    <w:rsid w:val="001A79D8"/>
    <w:rsid w:val="001A7A7D"/>
    <w:rsid w:val="001A7B28"/>
    <w:rsid w:val="001A7BDD"/>
    <w:rsid w:val="001B0026"/>
    <w:rsid w:val="001B0047"/>
    <w:rsid w:val="001B00AD"/>
    <w:rsid w:val="001B0147"/>
    <w:rsid w:val="001B02AE"/>
    <w:rsid w:val="001B050D"/>
    <w:rsid w:val="001B0567"/>
    <w:rsid w:val="001B062A"/>
    <w:rsid w:val="001B0647"/>
    <w:rsid w:val="001B0701"/>
    <w:rsid w:val="001B0711"/>
    <w:rsid w:val="001B0791"/>
    <w:rsid w:val="001B0B22"/>
    <w:rsid w:val="001B0B72"/>
    <w:rsid w:val="001B0D61"/>
    <w:rsid w:val="001B0E15"/>
    <w:rsid w:val="001B0E90"/>
    <w:rsid w:val="001B0F8D"/>
    <w:rsid w:val="001B109A"/>
    <w:rsid w:val="001B10C8"/>
    <w:rsid w:val="001B1301"/>
    <w:rsid w:val="001B1492"/>
    <w:rsid w:val="001B14CB"/>
    <w:rsid w:val="001B1549"/>
    <w:rsid w:val="001B1654"/>
    <w:rsid w:val="001B174A"/>
    <w:rsid w:val="001B1884"/>
    <w:rsid w:val="001B1888"/>
    <w:rsid w:val="001B188F"/>
    <w:rsid w:val="001B19BB"/>
    <w:rsid w:val="001B1BC1"/>
    <w:rsid w:val="001B1BF7"/>
    <w:rsid w:val="001B1C48"/>
    <w:rsid w:val="001B1CB3"/>
    <w:rsid w:val="001B1D14"/>
    <w:rsid w:val="001B1D9C"/>
    <w:rsid w:val="001B1DC7"/>
    <w:rsid w:val="001B1DCE"/>
    <w:rsid w:val="001B1E4D"/>
    <w:rsid w:val="001B1E85"/>
    <w:rsid w:val="001B20DE"/>
    <w:rsid w:val="001B2277"/>
    <w:rsid w:val="001B22B2"/>
    <w:rsid w:val="001B2362"/>
    <w:rsid w:val="001B25CD"/>
    <w:rsid w:val="001B277E"/>
    <w:rsid w:val="001B2974"/>
    <w:rsid w:val="001B2B42"/>
    <w:rsid w:val="001B2BE4"/>
    <w:rsid w:val="001B2C05"/>
    <w:rsid w:val="001B2C15"/>
    <w:rsid w:val="001B2C99"/>
    <w:rsid w:val="001B2C9E"/>
    <w:rsid w:val="001B2C9F"/>
    <w:rsid w:val="001B2DB5"/>
    <w:rsid w:val="001B2DFD"/>
    <w:rsid w:val="001B2EF5"/>
    <w:rsid w:val="001B3011"/>
    <w:rsid w:val="001B31A6"/>
    <w:rsid w:val="001B3226"/>
    <w:rsid w:val="001B32F9"/>
    <w:rsid w:val="001B3317"/>
    <w:rsid w:val="001B332E"/>
    <w:rsid w:val="001B34CE"/>
    <w:rsid w:val="001B378D"/>
    <w:rsid w:val="001B3917"/>
    <w:rsid w:val="001B3A96"/>
    <w:rsid w:val="001B3B16"/>
    <w:rsid w:val="001B3BAD"/>
    <w:rsid w:val="001B3C1E"/>
    <w:rsid w:val="001B3C7A"/>
    <w:rsid w:val="001B3CA3"/>
    <w:rsid w:val="001B408B"/>
    <w:rsid w:val="001B40D4"/>
    <w:rsid w:val="001B4171"/>
    <w:rsid w:val="001B419D"/>
    <w:rsid w:val="001B42B1"/>
    <w:rsid w:val="001B4321"/>
    <w:rsid w:val="001B4447"/>
    <w:rsid w:val="001B451C"/>
    <w:rsid w:val="001B462E"/>
    <w:rsid w:val="001B4700"/>
    <w:rsid w:val="001B4A11"/>
    <w:rsid w:val="001B4A81"/>
    <w:rsid w:val="001B4C9B"/>
    <w:rsid w:val="001B4CE3"/>
    <w:rsid w:val="001B4DE0"/>
    <w:rsid w:val="001B4EEF"/>
    <w:rsid w:val="001B4F77"/>
    <w:rsid w:val="001B50BB"/>
    <w:rsid w:val="001B50C1"/>
    <w:rsid w:val="001B5118"/>
    <w:rsid w:val="001B525A"/>
    <w:rsid w:val="001B533B"/>
    <w:rsid w:val="001B55F5"/>
    <w:rsid w:val="001B5819"/>
    <w:rsid w:val="001B583B"/>
    <w:rsid w:val="001B5872"/>
    <w:rsid w:val="001B59D0"/>
    <w:rsid w:val="001B5ADB"/>
    <w:rsid w:val="001B5BF2"/>
    <w:rsid w:val="001B5CA7"/>
    <w:rsid w:val="001B5D4C"/>
    <w:rsid w:val="001B5DCD"/>
    <w:rsid w:val="001B60A1"/>
    <w:rsid w:val="001B6284"/>
    <w:rsid w:val="001B62BF"/>
    <w:rsid w:val="001B641F"/>
    <w:rsid w:val="001B6543"/>
    <w:rsid w:val="001B6544"/>
    <w:rsid w:val="001B66CD"/>
    <w:rsid w:val="001B66F3"/>
    <w:rsid w:val="001B6770"/>
    <w:rsid w:val="001B6785"/>
    <w:rsid w:val="001B679E"/>
    <w:rsid w:val="001B6895"/>
    <w:rsid w:val="001B68FB"/>
    <w:rsid w:val="001B69F3"/>
    <w:rsid w:val="001B6A0F"/>
    <w:rsid w:val="001B6AA7"/>
    <w:rsid w:val="001B6B85"/>
    <w:rsid w:val="001B6BF8"/>
    <w:rsid w:val="001B6CBC"/>
    <w:rsid w:val="001B6DE4"/>
    <w:rsid w:val="001B6F60"/>
    <w:rsid w:val="001B7030"/>
    <w:rsid w:val="001B70DB"/>
    <w:rsid w:val="001B714E"/>
    <w:rsid w:val="001B7222"/>
    <w:rsid w:val="001B727D"/>
    <w:rsid w:val="001B7325"/>
    <w:rsid w:val="001B7380"/>
    <w:rsid w:val="001B7409"/>
    <w:rsid w:val="001B7466"/>
    <w:rsid w:val="001B749C"/>
    <w:rsid w:val="001B74F4"/>
    <w:rsid w:val="001B7586"/>
    <w:rsid w:val="001B7781"/>
    <w:rsid w:val="001B78B8"/>
    <w:rsid w:val="001B78CF"/>
    <w:rsid w:val="001B790C"/>
    <w:rsid w:val="001B7A7E"/>
    <w:rsid w:val="001B7B30"/>
    <w:rsid w:val="001B7B41"/>
    <w:rsid w:val="001B7C27"/>
    <w:rsid w:val="001B7CC5"/>
    <w:rsid w:val="001B7EF8"/>
    <w:rsid w:val="001C00A7"/>
    <w:rsid w:val="001C01A2"/>
    <w:rsid w:val="001C01C7"/>
    <w:rsid w:val="001C029E"/>
    <w:rsid w:val="001C0369"/>
    <w:rsid w:val="001C0440"/>
    <w:rsid w:val="001C049B"/>
    <w:rsid w:val="001C0552"/>
    <w:rsid w:val="001C070D"/>
    <w:rsid w:val="001C0754"/>
    <w:rsid w:val="001C07ED"/>
    <w:rsid w:val="001C0805"/>
    <w:rsid w:val="001C098B"/>
    <w:rsid w:val="001C0B2A"/>
    <w:rsid w:val="001C0C79"/>
    <w:rsid w:val="001C0DB1"/>
    <w:rsid w:val="001C0E88"/>
    <w:rsid w:val="001C1016"/>
    <w:rsid w:val="001C1235"/>
    <w:rsid w:val="001C135C"/>
    <w:rsid w:val="001C1781"/>
    <w:rsid w:val="001C1796"/>
    <w:rsid w:val="001C1922"/>
    <w:rsid w:val="001C1969"/>
    <w:rsid w:val="001C19E8"/>
    <w:rsid w:val="001C1A1E"/>
    <w:rsid w:val="001C1A9F"/>
    <w:rsid w:val="001C1ADB"/>
    <w:rsid w:val="001C1DF5"/>
    <w:rsid w:val="001C1E7C"/>
    <w:rsid w:val="001C1E8C"/>
    <w:rsid w:val="001C1F36"/>
    <w:rsid w:val="001C1F5D"/>
    <w:rsid w:val="001C2007"/>
    <w:rsid w:val="001C208B"/>
    <w:rsid w:val="001C219A"/>
    <w:rsid w:val="001C223A"/>
    <w:rsid w:val="001C2265"/>
    <w:rsid w:val="001C2273"/>
    <w:rsid w:val="001C24A9"/>
    <w:rsid w:val="001C257B"/>
    <w:rsid w:val="001C2650"/>
    <w:rsid w:val="001C2749"/>
    <w:rsid w:val="001C28DD"/>
    <w:rsid w:val="001C296A"/>
    <w:rsid w:val="001C2A52"/>
    <w:rsid w:val="001C2BE4"/>
    <w:rsid w:val="001C2CAA"/>
    <w:rsid w:val="001C2CDD"/>
    <w:rsid w:val="001C2D51"/>
    <w:rsid w:val="001C2DBE"/>
    <w:rsid w:val="001C2E9F"/>
    <w:rsid w:val="001C2F60"/>
    <w:rsid w:val="001C2F6D"/>
    <w:rsid w:val="001C30B1"/>
    <w:rsid w:val="001C30C3"/>
    <w:rsid w:val="001C316F"/>
    <w:rsid w:val="001C31FF"/>
    <w:rsid w:val="001C3261"/>
    <w:rsid w:val="001C351A"/>
    <w:rsid w:val="001C35A0"/>
    <w:rsid w:val="001C35AE"/>
    <w:rsid w:val="001C39D4"/>
    <w:rsid w:val="001C3B16"/>
    <w:rsid w:val="001C3E13"/>
    <w:rsid w:val="001C3ED0"/>
    <w:rsid w:val="001C3F99"/>
    <w:rsid w:val="001C4062"/>
    <w:rsid w:val="001C411F"/>
    <w:rsid w:val="001C428D"/>
    <w:rsid w:val="001C436B"/>
    <w:rsid w:val="001C436D"/>
    <w:rsid w:val="001C436F"/>
    <w:rsid w:val="001C4545"/>
    <w:rsid w:val="001C462D"/>
    <w:rsid w:val="001C46DD"/>
    <w:rsid w:val="001C473D"/>
    <w:rsid w:val="001C4A0D"/>
    <w:rsid w:val="001C4B11"/>
    <w:rsid w:val="001C4B48"/>
    <w:rsid w:val="001C4B6A"/>
    <w:rsid w:val="001C4CEA"/>
    <w:rsid w:val="001C4D83"/>
    <w:rsid w:val="001C4E00"/>
    <w:rsid w:val="001C4F97"/>
    <w:rsid w:val="001C5153"/>
    <w:rsid w:val="001C51E3"/>
    <w:rsid w:val="001C526B"/>
    <w:rsid w:val="001C5539"/>
    <w:rsid w:val="001C56B2"/>
    <w:rsid w:val="001C5827"/>
    <w:rsid w:val="001C5937"/>
    <w:rsid w:val="001C597C"/>
    <w:rsid w:val="001C5AC5"/>
    <w:rsid w:val="001C5B1D"/>
    <w:rsid w:val="001C5B2E"/>
    <w:rsid w:val="001C5C0F"/>
    <w:rsid w:val="001C5C69"/>
    <w:rsid w:val="001C5CEE"/>
    <w:rsid w:val="001C5D48"/>
    <w:rsid w:val="001C5D95"/>
    <w:rsid w:val="001C5DC0"/>
    <w:rsid w:val="001C5F8B"/>
    <w:rsid w:val="001C60C2"/>
    <w:rsid w:val="001C60C3"/>
    <w:rsid w:val="001C60E3"/>
    <w:rsid w:val="001C61EA"/>
    <w:rsid w:val="001C632A"/>
    <w:rsid w:val="001C663C"/>
    <w:rsid w:val="001C673A"/>
    <w:rsid w:val="001C67C5"/>
    <w:rsid w:val="001C6846"/>
    <w:rsid w:val="001C685E"/>
    <w:rsid w:val="001C68F8"/>
    <w:rsid w:val="001C6938"/>
    <w:rsid w:val="001C6A9B"/>
    <w:rsid w:val="001C6AC0"/>
    <w:rsid w:val="001C6B68"/>
    <w:rsid w:val="001C6E51"/>
    <w:rsid w:val="001C6ED4"/>
    <w:rsid w:val="001C7094"/>
    <w:rsid w:val="001C70B5"/>
    <w:rsid w:val="001C71BB"/>
    <w:rsid w:val="001C71DE"/>
    <w:rsid w:val="001C7219"/>
    <w:rsid w:val="001C726B"/>
    <w:rsid w:val="001C7469"/>
    <w:rsid w:val="001C751D"/>
    <w:rsid w:val="001C7524"/>
    <w:rsid w:val="001C766B"/>
    <w:rsid w:val="001C76DD"/>
    <w:rsid w:val="001C7852"/>
    <w:rsid w:val="001C7D2E"/>
    <w:rsid w:val="001C7DFE"/>
    <w:rsid w:val="001C7F6C"/>
    <w:rsid w:val="001D01CB"/>
    <w:rsid w:val="001D024C"/>
    <w:rsid w:val="001D031E"/>
    <w:rsid w:val="001D0392"/>
    <w:rsid w:val="001D03F3"/>
    <w:rsid w:val="001D040D"/>
    <w:rsid w:val="001D041B"/>
    <w:rsid w:val="001D044E"/>
    <w:rsid w:val="001D0466"/>
    <w:rsid w:val="001D0482"/>
    <w:rsid w:val="001D06F2"/>
    <w:rsid w:val="001D0737"/>
    <w:rsid w:val="001D080A"/>
    <w:rsid w:val="001D0846"/>
    <w:rsid w:val="001D088D"/>
    <w:rsid w:val="001D08A6"/>
    <w:rsid w:val="001D0953"/>
    <w:rsid w:val="001D09CA"/>
    <w:rsid w:val="001D0C1B"/>
    <w:rsid w:val="001D0DC7"/>
    <w:rsid w:val="001D0E43"/>
    <w:rsid w:val="001D0F64"/>
    <w:rsid w:val="001D1062"/>
    <w:rsid w:val="001D10F0"/>
    <w:rsid w:val="001D1158"/>
    <w:rsid w:val="001D1284"/>
    <w:rsid w:val="001D1342"/>
    <w:rsid w:val="001D134F"/>
    <w:rsid w:val="001D144F"/>
    <w:rsid w:val="001D1476"/>
    <w:rsid w:val="001D15B6"/>
    <w:rsid w:val="001D16A4"/>
    <w:rsid w:val="001D1763"/>
    <w:rsid w:val="001D17F1"/>
    <w:rsid w:val="001D1859"/>
    <w:rsid w:val="001D1883"/>
    <w:rsid w:val="001D1914"/>
    <w:rsid w:val="001D1B81"/>
    <w:rsid w:val="001D1C34"/>
    <w:rsid w:val="001D1CBA"/>
    <w:rsid w:val="001D1CED"/>
    <w:rsid w:val="001D1DFB"/>
    <w:rsid w:val="001D1E03"/>
    <w:rsid w:val="001D206F"/>
    <w:rsid w:val="001D2177"/>
    <w:rsid w:val="001D2292"/>
    <w:rsid w:val="001D22D8"/>
    <w:rsid w:val="001D22DF"/>
    <w:rsid w:val="001D22FA"/>
    <w:rsid w:val="001D231A"/>
    <w:rsid w:val="001D2402"/>
    <w:rsid w:val="001D26EE"/>
    <w:rsid w:val="001D2813"/>
    <w:rsid w:val="001D285C"/>
    <w:rsid w:val="001D28AF"/>
    <w:rsid w:val="001D2947"/>
    <w:rsid w:val="001D2ADC"/>
    <w:rsid w:val="001D2B1E"/>
    <w:rsid w:val="001D2BFE"/>
    <w:rsid w:val="001D2D46"/>
    <w:rsid w:val="001D2E8E"/>
    <w:rsid w:val="001D2EA9"/>
    <w:rsid w:val="001D2F3D"/>
    <w:rsid w:val="001D3031"/>
    <w:rsid w:val="001D30BB"/>
    <w:rsid w:val="001D320D"/>
    <w:rsid w:val="001D33EE"/>
    <w:rsid w:val="001D3489"/>
    <w:rsid w:val="001D35CD"/>
    <w:rsid w:val="001D367D"/>
    <w:rsid w:val="001D37E1"/>
    <w:rsid w:val="001D3904"/>
    <w:rsid w:val="001D3A59"/>
    <w:rsid w:val="001D3AE8"/>
    <w:rsid w:val="001D3BA1"/>
    <w:rsid w:val="001D3C29"/>
    <w:rsid w:val="001D3C52"/>
    <w:rsid w:val="001D3C6A"/>
    <w:rsid w:val="001D3DD2"/>
    <w:rsid w:val="001D3E7A"/>
    <w:rsid w:val="001D4011"/>
    <w:rsid w:val="001D4081"/>
    <w:rsid w:val="001D40C1"/>
    <w:rsid w:val="001D4209"/>
    <w:rsid w:val="001D426F"/>
    <w:rsid w:val="001D4280"/>
    <w:rsid w:val="001D435A"/>
    <w:rsid w:val="001D43B1"/>
    <w:rsid w:val="001D466A"/>
    <w:rsid w:val="001D479A"/>
    <w:rsid w:val="001D488C"/>
    <w:rsid w:val="001D4A62"/>
    <w:rsid w:val="001D4AFB"/>
    <w:rsid w:val="001D4BC6"/>
    <w:rsid w:val="001D4EC5"/>
    <w:rsid w:val="001D4ED3"/>
    <w:rsid w:val="001D500F"/>
    <w:rsid w:val="001D5094"/>
    <w:rsid w:val="001D5178"/>
    <w:rsid w:val="001D525A"/>
    <w:rsid w:val="001D527A"/>
    <w:rsid w:val="001D52F4"/>
    <w:rsid w:val="001D5384"/>
    <w:rsid w:val="001D539A"/>
    <w:rsid w:val="001D53F8"/>
    <w:rsid w:val="001D5485"/>
    <w:rsid w:val="001D54DD"/>
    <w:rsid w:val="001D5673"/>
    <w:rsid w:val="001D5870"/>
    <w:rsid w:val="001D58FD"/>
    <w:rsid w:val="001D5919"/>
    <w:rsid w:val="001D5957"/>
    <w:rsid w:val="001D598E"/>
    <w:rsid w:val="001D59B1"/>
    <w:rsid w:val="001D59CA"/>
    <w:rsid w:val="001D5B1B"/>
    <w:rsid w:val="001D5B67"/>
    <w:rsid w:val="001D5B94"/>
    <w:rsid w:val="001D5CD5"/>
    <w:rsid w:val="001D5DA3"/>
    <w:rsid w:val="001D5E48"/>
    <w:rsid w:val="001D5E4B"/>
    <w:rsid w:val="001D5F68"/>
    <w:rsid w:val="001D60AD"/>
    <w:rsid w:val="001D6126"/>
    <w:rsid w:val="001D61D3"/>
    <w:rsid w:val="001D62AF"/>
    <w:rsid w:val="001D62CC"/>
    <w:rsid w:val="001D62DA"/>
    <w:rsid w:val="001D637E"/>
    <w:rsid w:val="001D63EA"/>
    <w:rsid w:val="001D64EA"/>
    <w:rsid w:val="001D655F"/>
    <w:rsid w:val="001D65D1"/>
    <w:rsid w:val="001D6776"/>
    <w:rsid w:val="001D683D"/>
    <w:rsid w:val="001D6A0F"/>
    <w:rsid w:val="001D6A6C"/>
    <w:rsid w:val="001D6B14"/>
    <w:rsid w:val="001D6B3D"/>
    <w:rsid w:val="001D6C78"/>
    <w:rsid w:val="001D6C82"/>
    <w:rsid w:val="001D6DC2"/>
    <w:rsid w:val="001D6F97"/>
    <w:rsid w:val="001D713F"/>
    <w:rsid w:val="001D715E"/>
    <w:rsid w:val="001D7161"/>
    <w:rsid w:val="001D7208"/>
    <w:rsid w:val="001D729D"/>
    <w:rsid w:val="001D7482"/>
    <w:rsid w:val="001D75D5"/>
    <w:rsid w:val="001D7649"/>
    <w:rsid w:val="001D7883"/>
    <w:rsid w:val="001D7A4F"/>
    <w:rsid w:val="001D7D96"/>
    <w:rsid w:val="001D7E54"/>
    <w:rsid w:val="001D7F33"/>
    <w:rsid w:val="001E001E"/>
    <w:rsid w:val="001E0033"/>
    <w:rsid w:val="001E004B"/>
    <w:rsid w:val="001E006A"/>
    <w:rsid w:val="001E0165"/>
    <w:rsid w:val="001E01E7"/>
    <w:rsid w:val="001E028C"/>
    <w:rsid w:val="001E035F"/>
    <w:rsid w:val="001E051A"/>
    <w:rsid w:val="001E067B"/>
    <w:rsid w:val="001E0777"/>
    <w:rsid w:val="001E0996"/>
    <w:rsid w:val="001E09F3"/>
    <w:rsid w:val="001E0B41"/>
    <w:rsid w:val="001E0CF8"/>
    <w:rsid w:val="001E0DAB"/>
    <w:rsid w:val="001E0DB2"/>
    <w:rsid w:val="001E0DF9"/>
    <w:rsid w:val="001E100D"/>
    <w:rsid w:val="001E101D"/>
    <w:rsid w:val="001E1144"/>
    <w:rsid w:val="001E1170"/>
    <w:rsid w:val="001E12EE"/>
    <w:rsid w:val="001E1384"/>
    <w:rsid w:val="001E138F"/>
    <w:rsid w:val="001E147B"/>
    <w:rsid w:val="001E1639"/>
    <w:rsid w:val="001E1643"/>
    <w:rsid w:val="001E169C"/>
    <w:rsid w:val="001E17AC"/>
    <w:rsid w:val="001E183C"/>
    <w:rsid w:val="001E18A7"/>
    <w:rsid w:val="001E1920"/>
    <w:rsid w:val="001E19A7"/>
    <w:rsid w:val="001E1B7C"/>
    <w:rsid w:val="001E1BCE"/>
    <w:rsid w:val="001E1BF8"/>
    <w:rsid w:val="001E1C22"/>
    <w:rsid w:val="001E1D82"/>
    <w:rsid w:val="001E1F82"/>
    <w:rsid w:val="001E2060"/>
    <w:rsid w:val="001E2064"/>
    <w:rsid w:val="001E224E"/>
    <w:rsid w:val="001E2545"/>
    <w:rsid w:val="001E25D2"/>
    <w:rsid w:val="001E270C"/>
    <w:rsid w:val="001E2799"/>
    <w:rsid w:val="001E28C2"/>
    <w:rsid w:val="001E2983"/>
    <w:rsid w:val="001E2A14"/>
    <w:rsid w:val="001E2A1C"/>
    <w:rsid w:val="001E2A8E"/>
    <w:rsid w:val="001E2AC2"/>
    <w:rsid w:val="001E2AF3"/>
    <w:rsid w:val="001E2B33"/>
    <w:rsid w:val="001E2B7D"/>
    <w:rsid w:val="001E2CB4"/>
    <w:rsid w:val="001E2D5E"/>
    <w:rsid w:val="001E2F05"/>
    <w:rsid w:val="001E2F2F"/>
    <w:rsid w:val="001E2F7D"/>
    <w:rsid w:val="001E307A"/>
    <w:rsid w:val="001E3218"/>
    <w:rsid w:val="001E3222"/>
    <w:rsid w:val="001E3224"/>
    <w:rsid w:val="001E3278"/>
    <w:rsid w:val="001E32A6"/>
    <w:rsid w:val="001E32E7"/>
    <w:rsid w:val="001E3392"/>
    <w:rsid w:val="001E344F"/>
    <w:rsid w:val="001E3475"/>
    <w:rsid w:val="001E36C8"/>
    <w:rsid w:val="001E36CE"/>
    <w:rsid w:val="001E371E"/>
    <w:rsid w:val="001E3773"/>
    <w:rsid w:val="001E37A0"/>
    <w:rsid w:val="001E3910"/>
    <w:rsid w:val="001E3950"/>
    <w:rsid w:val="001E3A44"/>
    <w:rsid w:val="001E3BAF"/>
    <w:rsid w:val="001E3C67"/>
    <w:rsid w:val="001E3D6C"/>
    <w:rsid w:val="001E42A1"/>
    <w:rsid w:val="001E43C6"/>
    <w:rsid w:val="001E44B5"/>
    <w:rsid w:val="001E45DF"/>
    <w:rsid w:val="001E46B4"/>
    <w:rsid w:val="001E46F3"/>
    <w:rsid w:val="001E4782"/>
    <w:rsid w:val="001E47BC"/>
    <w:rsid w:val="001E4BD6"/>
    <w:rsid w:val="001E4BF1"/>
    <w:rsid w:val="001E4D0D"/>
    <w:rsid w:val="001E4E8B"/>
    <w:rsid w:val="001E4F55"/>
    <w:rsid w:val="001E4F5B"/>
    <w:rsid w:val="001E4FC9"/>
    <w:rsid w:val="001E50BC"/>
    <w:rsid w:val="001E5177"/>
    <w:rsid w:val="001E51DC"/>
    <w:rsid w:val="001E5318"/>
    <w:rsid w:val="001E533E"/>
    <w:rsid w:val="001E5385"/>
    <w:rsid w:val="001E54D4"/>
    <w:rsid w:val="001E555D"/>
    <w:rsid w:val="001E55AB"/>
    <w:rsid w:val="001E55DF"/>
    <w:rsid w:val="001E5727"/>
    <w:rsid w:val="001E5771"/>
    <w:rsid w:val="001E583E"/>
    <w:rsid w:val="001E59E8"/>
    <w:rsid w:val="001E5A01"/>
    <w:rsid w:val="001E5A9C"/>
    <w:rsid w:val="001E5BB6"/>
    <w:rsid w:val="001E5BF0"/>
    <w:rsid w:val="001E5C9C"/>
    <w:rsid w:val="001E5E11"/>
    <w:rsid w:val="001E5E3B"/>
    <w:rsid w:val="001E5E4D"/>
    <w:rsid w:val="001E5FA7"/>
    <w:rsid w:val="001E612C"/>
    <w:rsid w:val="001E61A4"/>
    <w:rsid w:val="001E62ED"/>
    <w:rsid w:val="001E62EF"/>
    <w:rsid w:val="001E6543"/>
    <w:rsid w:val="001E6557"/>
    <w:rsid w:val="001E6711"/>
    <w:rsid w:val="001E6737"/>
    <w:rsid w:val="001E6779"/>
    <w:rsid w:val="001E679B"/>
    <w:rsid w:val="001E68D8"/>
    <w:rsid w:val="001E68EC"/>
    <w:rsid w:val="001E6B5B"/>
    <w:rsid w:val="001E6BF3"/>
    <w:rsid w:val="001E6D10"/>
    <w:rsid w:val="001E6D57"/>
    <w:rsid w:val="001E6DAF"/>
    <w:rsid w:val="001E6E0B"/>
    <w:rsid w:val="001E6E85"/>
    <w:rsid w:val="001E6F4E"/>
    <w:rsid w:val="001E6FF3"/>
    <w:rsid w:val="001E6FFA"/>
    <w:rsid w:val="001E73FE"/>
    <w:rsid w:val="001E7436"/>
    <w:rsid w:val="001E74C4"/>
    <w:rsid w:val="001E752A"/>
    <w:rsid w:val="001E761D"/>
    <w:rsid w:val="001E76BC"/>
    <w:rsid w:val="001E797E"/>
    <w:rsid w:val="001E7980"/>
    <w:rsid w:val="001E7BA4"/>
    <w:rsid w:val="001E7CD1"/>
    <w:rsid w:val="001E7DAF"/>
    <w:rsid w:val="001E7E03"/>
    <w:rsid w:val="001E7E91"/>
    <w:rsid w:val="001E7F98"/>
    <w:rsid w:val="001E7FAE"/>
    <w:rsid w:val="001F008E"/>
    <w:rsid w:val="001F00C9"/>
    <w:rsid w:val="001F00CD"/>
    <w:rsid w:val="001F00D9"/>
    <w:rsid w:val="001F00E2"/>
    <w:rsid w:val="001F022A"/>
    <w:rsid w:val="001F029B"/>
    <w:rsid w:val="001F02F6"/>
    <w:rsid w:val="001F0418"/>
    <w:rsid w:val="001F07FB"/>
    <w:rsid w:val="001F0AC9"/>
    <w:rsid w:val="001F10A0"/>
    <w:rsid w:val="001F12FF"/>
    <w:rsid w:val="001F1376"/>
    <w:rsid w:val="001F13BD"/>
    <w:rsid w:val="001F13FE"/>
    <w:rsid w:val="001F15D8"/>
    <w:rsid w:val="001F17A2"/>
    <w:rsid w:val="001F183F"/>
    <w:rsid w:val="001F191E"/>
    <w:rsid w:val="001F1BCE"/>
    <w:rsid w:val="001F1E04"/>
    <w:rsid w:val="001F1F61"/>
    <w:rsid w:val="001F1FD8"/>
    <w:rsid w:val="001F215E"/>
    <w:rsid w:val="001F22A3"/>
    <w:rsid w:val="001F22C5"/>
    <w:rsid w:val="001F230E"/>
    <w:rsid w:val="001F2465"/>
    <w:rsid w:val="001F25F1"/>
    <w:rsid w:val="001F2665"/>
    <w:rsid w:val="001F2679"/>
    <w:rsid w:val="001F26C6"/>
    <w:rsid w:val="001F2720"/>
    <w:rsid w:val="001F2838"/>
    <w:rsid w:val="001F2894"/>
    <w:rsid w:val="001F297B"/>
    <w:rsid w:val="001F2A07"/>
    <w:rsid w:val="001F2B67"/>
    <w:rsid w:val="001F2B88"/>
    <w:rsid w:val="001F2C90"/>
    <w:rsid w:val="001F2CCF"/>
    <w:rsid w:val="001F2E25"/>
    <w:rsid w:val="001F2E33"/>
    <w:rsid w:val="001F2E3F"/>
    <w:rsid w:val="001F30CF"/>
    <w:rsid w:val="001F322E"/>
    <w:rsid w:val="001F32FD"/>
    <w:rsid w:val="001F33FB"/>
    <w:rsid w:val="001F345B"/>
    <w:rsid w:val="001F3645"/>
    <w:rsid w:val="001F3705"/>
    <w:rsid w:val="001F3724"/>
    <w:rsid w:val="001F3847"/>
    <w:rsid w:val="001F3859"/>
    <w:rsid w:val="001F38C0"/>
    <w:rsid w:val="001F396C"/>
    <w:rsid w:val="001F39DE"/>
    <w:rsid w:val="001F3A94"/>
    <w:rsid w:val="001F3B01"/>
    <w:rsid w:val="001F3C74"/>
    <w:rsid w:val="001F3CCF"/>
    <w:rsid w:val="001F3D41"/>
    <w:rsid w:val="001F3DB9"/>
    <w:rsid w:val="001F406C"/>
    <w:rsid w:val="001F4134"/>
    <w:rsid w:val="001F4279"/>
    <w:rsid w:val="001F42BE"/>
    <w:rsid w:val="001F4320"/>
    <w:rsid w:val="001F43C7"/>
    <w:rsid w:val="001F44EE"/>
    <w:rsid w:val="001F4678"/>
    <w:rsid w:val="001F4747"/>
    <w:rsid w:val="001F49A0"/>
    <w:rsid w:val="001F4A93"/>
    <w:rsid w:val="001F4AC7"/>
    <w:rsid w:val="001F4AEC"/>
    <w:rsid w:val="001F4B33"/>
    <w:rsid w:val="001F4B73"/>
    <w:rsid w:val="001F4B83"/>
    <w:rsid w:val="001F4BD6"/>
    <w:rsid w:val="001F4C88"/>
    <w:rsid w:val="001F4CDB"/>
    <w:rsid w:val="001F4CF8"/>
    <w:rsid w:val="001F4D92"/>
    <w:rsid w:val="001F4DC5"/>
    <w:rsid w:val="001F4EB3"/>
    <w:rsid w:val="001F4EFA"/>
    <w:rsid w:val="001F501D"/>
    <w:rsid w:val="001F50B0"/>
    <w:rsid w:val="001F50EF"/>
    <w:rsid w:val="001F5189"/>
    <w:rsid w:val="001F520B"/>
    <w:rsid w:val="001F5325"/>
    <w:rsid w:val="001F538D"/>
    <w:rsid w:val="001F55A5"/>
    <w:rsid w:val="001F55F9"/>
    <w:rsid w:val="001F56B4"/>
    <w:rsid w:val="001F56D3"/>
    <w:rsid w:val="001F5955"/>
    <w:rsid w:val="001F5972"/>
    <w:rsid w:val="001F59B7"/>
    <w:rsid w:val="001F5A96"/>
    <w:rsid w:val="001F5A99"/>
    <w:rsid w:val="001F5AA6"/>
    <w:rsid w:val="001F5C81"/>
    <w:rsid w:val="001F5CC5"/>
    <w:rsid w:val="001F5D83"/>
    <w:rsid w:val="001F5EFD"/>
    <w:rsid w:val="001F6013"/>
    <w:rsid w:val="001F61D3"/>
    <w:rsid w:val="001F62A7"/>
    <w:rsid w:val="001F640B"/>
    <w:rsid w:val="001F650B"/>
    <w:rsid w:val="001F654A"/>
    <w:rsid w:val="001F6570"/>
    <w:rsid w:val="001F662F"/>
    <w:rsid w:val="001F6713"/>
    <w:rsid w:val="001F671C"/>
    <w:rsid w:val="001F67AF"/>
    <w:rsid w:val="001F6924"/>
    <w:rsid w:val="001F6995"/>
    <w:rsid w:val="001F69FD"/>
    <w:rsid w:val="001F6BC5"/>
    <w:rsid w:val="001F6C97"/>
    <w:rsid w:val="001F6D5D"/>
    <w:rsid w:val="001F6D6C"/>
    <w:rsid w:val="001F6F54"/>
    <w:rsid w:val="001F7012"/>
    <w:rsid w:val="001F72D8"/>
    <w:rsid w:val="001F730E"/>
    <w:rsid w:val="001F738E"/>
    <w:rsid w:val="001F7413"/>
    <w:rsid w:val="001F7759"/>
    <w:rsid w:val="001F78A0"/>
    <w:rsid w:val="001F78F6"/>
    <w:rsid w:val="001F7901"/>
    <w:rsid w:val="001F7B05"/>
    <w:rsid w:val="001F7B10"/>
    <w:rsid w:val="001F7B9E"/>
    <w:rsid w:val="001F7BF1"/>
    <w:rsid w:val="001F7F26"/>
    <w:rsid w:val="001F7F9D"/>
    <w:rsid w:val="00200034"/>
    <w:rsid w:val="00200071"/>
    <w:rsid w:val="002000DF"/>
    <w:rsid w:val="00200180"/>
    <w:rsid w:val="00200222"/>
    <w:rsid w:val="002002A5"/>
    <w:rsid w:val="00200311"/>
    <w:rsid w:val="00200316"/>
    <w:rsid w:val="00200325"/>
    <w:rsid w:val="002006B6"/>
    <w:rsid w:val="002007CD"/>
    <w:rsid w:val="002008C4"/>
    <w:rsid w:val="00200999"/>
    <w:rsid w:val="00200AB8"/>
    <w:rsid w:val="00200D1D"/>
    <w:rsid w:val="00200D8A"/>
    <w:rsid w:val="00200DEE"/>
    <w:rsid w:val="00200E0E"/>
    <w:rsid w:val="00200E3D"/>
    <w:rsid w:val="00200FFA"/>
    <w:rsid w:val="0020102C"/>
    <w:rsid w:val="0020111F"/>
    <w:rsid w:val="002012A5"/>
    <w:rsid w:val="0020137A"/>
    <w:rsid w:val="002013A1"/>
    <w:rsid w:val="00201454"/>
    <w:rsid w:val="00201504"/>
    <w:rsid w:val="00201508"/>
    <w:rsid w:val="00201688"/>
    <w:rsid w:val="00201834"/>
    <w:rsid w:val="00201890"/>
    <w:rsid w:val="002018CC"/>
    <w:rsid w:val="00201A84"/>
    <w:rsid w:val="00201BA0"/>
    <w:rsid w:val="00201E95"/>
    <w:rsid w:val="00202005"/>
    <w:rsid w:val="00202092"/>
    <w:rsid w:val="002020D6"/>
    <w:rsid w:val="00202205"/>
    <w:rsid w:val="0020235E"/>
    <w:rsid w:val="0020245F"/>
    <w:rsid w:val="00202496"/>
    <w:rsid w:val="00202524"/>
    <w:rsid w:val="0020273A"/>
    <w:rsid w:val="0020290E"/>
    <w:rsid w:val="00202D3A"/>
    <w:rsid w:val="00202EDD"/>
    <w:rsid w:val="00202F2A"/>
    <w:rsid w:val="00202F83"/>
    <w:rsid w:val="00202F9E"/>
    <w:rsid w:val="00203069"/>
    <w:rsid w:val="0020323D"/>
    <w:rsid w:val="002034C9"/>
    <w:rsid w:val="00203601"/>
    <w:rsid w:val="0020365F"/>
    <w:rsid w:val="002036C6"/>
    <w:rsid w:val="00203780"/>
    <w:rsid w:val="002039A3"/>
    <w:rsid w:val="00203A56"/>
    <w:rsid w:val="00203A67"/>
    <w:rsid w:val="00203A95"/>
    <w:rsid w:val="00203B0D"/>
    <w:rsid w:val="00203B13"/>
    <w:rsid w:val="00203BA0"/>
    <w:rsid w:val="00203C5B"/>
    <w:rsid w:val="00203CA2"/>
    <w:rsid w:val="00203CD8"/>
    <w:rsid w:val="00203D13"/>
    <w:rsid w:val="00203F7D"/>
    <w:rsid w:val="00203FF5"/>
    <w:rsid w:val="00204104"/>
    <w:rsid w:val="002041B0"/>
    <w:rsid w:val="002045DA"/>
    <w:rsid w:val="002045FB"/>
    <w:rsid w:val="00204705"/>
    <w:rsid w:val="002047A7"/>
    <w:rsid w:val="002047BD"/>
    <w:rsid w:val="002051BD"/>
    <w:rsid w:val="002052E6"/>
    <w:rsid w:val="00205332"/>
    <w:rsid w:val="0020567B"/>
    <w:rsid w:val="0020570D"/>
    <w:rsid w:val="00205777"/>
    <w:rsid w:val="0020581B"/>
    <w:rsid w:val="0020593C"/>
    <w:rsid w:val="002059AF"/>
    <w:rsid w:val="002059DA"/>
    <w:rsid w:val="00205A32"/>
    <w:rsid w:val="00205AC5"/>
    <w:rsid w:val="00205B98"/>
    <w:rsid w:val="00205DB9"/>
    <w:rsid w:val="00205EB9"/>
    <w:rsid w:val="00205ED3"/>
    <w:rsid w:val="00205FA8"/>
    <w:rsid w:val="00206714"/>
    <w:rsid w:val="0020680D"/>
    <w:rsid w:val="00206847"/>
    <w:rsid w:val="0020693C"/>
    <w:rsid w:val="00206A5E"/>
    <w:rsid w:val="00206B49"/>
    <w:rsid w:val="00206C21"/>
    <w:rsid w:val="00206D84"/>
    <w:rsid w:val="00206EA9"/>
    <w:rsid w:val="00207055"/>
    <w:rsid w:val="002070A9"/>
    <w:rsid w:val="00207117"/>
    <w:rsid w:val="002071FC"/>
    <w:rsid w:val="00207215"/>
    <w:rsid w:val="002073D1"/>
    <w:rsid w:val="002073F1"/>
    <w:rsid w:val="00207409"/>
    <w:rsid w:val="00207580"/>
    <w:rsid w:val="0020763A"/>
    <w:rsid w:val="0020764F"/>
    <w:rsid w:val="002076BC"/>
    <w:rsid w:val="002077A1"/>
    <w:rsid w:val="002077D4"/>
    <w:rsid w:val="002077F0"/>
    <w:rsid w:val="00207891"/>
    <w:rsid w:val="00207B0C"/>
    <w:rsid w:val="00207DC6"/>
    <w:rsid w:val="00207EEE"/>
    <w:rsid w:val="00207F0F"/>
    <w:rsid w:val="00207FBB"/>
    <w:rsid w:val="00207FE0"/>
    <w:rsid w:val="0021011C"/>
    <w:rsid w:val="0021011D"/>
    <w:rsid w:val="00210151"/>
    <w:rsid w:val="002102D3"/>
    <w:rsid w:val="002102D8"/>
    <w:rsid w:val="0021032D"/>
    <w:rsid w:val="00210357"/>
    <w:rsid w:val="002104EA"/>
    <w:rsid w:val="00210519"/>
    <w:rsid w:val="00210569"/>
    <w:rsid w:val="00210791"/>
    <w:rsid w:val="00210885"/>
    <w:rsid w:val="00210A6C"/>
    <w:rsid w:val="00210B5D"/>
    <w:rsid w:val="00210BD4"/>
    <w:rsid w:val="00210BD9"/>
    <w:rsid w:val="00210CA6"/>
    <w:rsid w:val="00210D9E"/>
    <w:rsid w:val="00210DD7"/>
    <w:rsid w:val="00210E82"/>
    <w:rsid w:val="00211121"/>
    <w:rsid w:val="0021128B"/>
    <w:rsid w:val="002114E2"/>
    <w:rsid w:val="00211516"/>
    <w:rsid w:val="00211669"/>
    <w:rsid w:val="0021166E"/>
    <w:rsid w:val="00211785"/>
    <w:rsid w:val="0021182E"/>
    <w:rsid w:val="00211930"/>
    <w:rsid w:val="00211938"/>
    <w:rsid w:val="00211A0C"/>
    <w:rsid w:val="00211A37"/>
    <w:rsid w:val="00211AA7"/>
    <w:rsid w:val="00211D44"/>
    <w:rsid w:val="00211D9C"/>
    <w:rsid w:val="00212166"/>
    <w:rsid w:val="00212188"/>
    <w:rsid w:val="0021229B"/>
    <w:rsid w:val="00212352"/>
    <w:rsid w:val="00212378"/>
    <w:rsid w:val="002124B2"/>
    <w:rsid w:val="00212518"/>
    <w:rsid w:val="0021252C"/>
    <w:rsid w:val="0021258D"/>
    <w:rsid w:val="0021262C"/>
    <w:rsid w:val="0021263B"/>
    <w:rsid w:val="002126A0"/>
    <w:rsid w:val="00212760"/>
    <w:rsid w:val="002127F1"/>
    <w:rsid w:val="00212823"/>
    <w:rsid w:val="0021288C"/>
    <w:rsid w:val="0021296F"/>
    <w:rsid w:val="00212A31"/>
    <w:rsid w:val="00212B7F"/>
    <w:rsid w:val="00212C1C"/>
    <w:rsid w:val="00212C62"/>
    <w:rsid w:val="00212C8A"/>
    <w:rsid w:val="00212DE3"/>
    <w:rsid w:val="00212E9C"/>
    <w:rsid w:val="0021313D"/>
    <w:rsid w:val="00213388"/>
    <w:rsid w:val="002135DF"/>
    <w:rsid w:val="00213668"/>
    <w:rsid w:val="00213838"/>
    <w:rsid w:val="0021393F"/>
    <w:rsid w:val="00213AEB"/>
    <w:rsid w:val="00213B77"/>
    <w:rsid w:val="00213C39"/>
    <w:rsid w:val="00213D61"/>
    <w:rsid w:val="00213E0D"/>
    <w:rsid w:val="00213E22"/>
    <w:rsid w:val="00213ECD"/>
    <w:rsid w:val="00213F1B"/>
    <w:rsid w:val="00213F4C"/>
    <w:rsid w:val="00213F77"/>
    <w:rsid w:val="00214026"/>
    <w:rsid w:val="002141A0"/>
    <w:rsid w:val="0021432A"/>
    <w:rsid w:val="002148B2"/>
    <w:rsid w:val="002148F9"/>
    <w:rsid w:val="00214948"/>
    <w:rsid w:val="002149E6"/>
    <w:rsid w:val="00214A6A"/>
    <w:rsid w:val="00214B45"/>
    <w:rsid w:val="00214BEE"/>
    <w:rsid w:val="00214C1B"/>
    <w:rsid w:val="00214DEB"/>
    <w:rsid w:val="00214EC6"/>
    <w:rsid w:val="00214FCC"/>
    <w:rsid w:val="00215012"/>
    <w:rsid w:val="00215179"/>
    <w:rsid w:val="00215320"/>
    <w:rsid w:val="002153F0"/>
    <w:rsid w:val="0021543C"/>
    <w:rsid w:val="00215464"/>
    <w:rsid w:val="00215594"/>
    <w:rsid w:val="002155A2"/>
    <w:rsid w:val="002155C7"/>
    <w:rsid w:val="002155EB"/>
    <w:rsid w:val="002158DA"/>
    <w:rsid w:val="0021599E"/>
    <w:rsid w:val="00215BEA"/>
    <w:rsid w:val="00215E69"/>
    <w:rsid w:val="00216122"/>
    <w:rsid w:val="00216270"/>
    <w:rsid w:val="0021633B"/>
    <w:rsid w:val="002163ED"/>
    <w:rsid w:val="00216444"/>
    <w:rsid w:val="00216486"/>
    <w:rsid w:val="00216518"/>
    <w:rsid w:val="00216618"/>
    <w:rsid w:val="00216824"/>
    <w:rsid w:val="00216886"/>
    <w:rsid w:val="0021688C"/>
    <w:rsid w:val="0021689D"/>
    <w:rsid w:val="0021699F"/>
    <w:rsid w:val="00216B91"/>
    <w:rsid w:val="00216E45"/>
    <w:rsid w:val="00216E61"/>
    <w:rsid w:val="00216ECC"/>
    <w:rsid w:val="00216EF1"/>
    <w:rsid w:val="0021713B"/>
    <w:rsid w:val="00217176"/>
    <w:rsid w:val="002171DB"/>
    <w:rsid w:val="0021752B"/>
    <w:rsid w:val="00217646"/>
    <w:rsid w:val="0021791A"/>
    <w:rsid w:val="0021798E"/>
    <w:rsid w:val="00217DBC"/>
    <w:rsid w:val="00217E09"/>
    <w:rsid w:val="00217FF9"/>
    <w:rsid w:val="002200BA"/>
    <w:rsid w:val="002201B8"/>
    <w:rsid w:val="002203C6"/>
    <w:rsid w:val="0022040F"/>
    <w:rsid w:val="0022041E"/>
    <w:rsid w:val="0022049F"/>
    <w:rsid w:val="002205E6"/>
    <w:rsid w:val="00220868"/>
    <w:rsid w:val="0022098C"/>
    <w:rsid w:val="00220AC9"/>
    <w:rsid w:val="00220BB0"/>
    <w:rsid w:val="00221161"/>
    <w:rsid w:val="00221206"/>
    <w:rsid w:val="00221283"/>
    <w:rsid w:val="002212E8"/>
    <w:rsid w:val="002213B1"/>
    <w:rsid w:val="002214A5"/>
    <w:rsid w:val="0022173D"/>
    <w:rsid w:val="002218C0"/>
    <w:rsid w:val="00221900"/>
    <w:rsid w:val="00221A12"/>
    <w:rsid w:val="00221B62"/>
    <w:rsid w:val="00221BC6"/>
    <w:rsid w:val="00221BDD"/>
    <w:rsid w:val="00221C25"/>
    <w:rsid w:val="00221D72"/>
    <w:rsid w:val="00221E84"/>
    <w:rsid w:val="00222055"/>
    <w:rsid w:val="002221D6"/>
    <w:rsid w:val="00222226"/>
    <w:rsid w:val="00222383"/>
    <w:rsid w:val="002223BE"/>
    <w:rsid w:val="0022245E"/>
    <w:rsid w:val="002224E6"/>
    <w:rsid w:val="002225A1"/>
    <w:rsid w:val="0022267D"/>
    <w:rsid w:val="002226F1"/>
    <w:rsid w:val="002227ED"/>
    <w:rsid w:val="00222974"/>
    <w:rsid w:val="002229D8"/>
    <w:rsid w:val="00222ABD"/>
    <w:rsid w:val="00222B2B"/>
    <w:rsid w:val="00222B42"/>
    <w:rsid w:val="00222B77"/>
    <w:rsid w:val="00222BCF"/>
    <w:rsid w:val="00222CF0"/>
    <w:rsid w:val="00222D3D"/>
    <w:rsid w:val="00222D4E"/>
    <w:rsid w:val="00222D67"/>
    <w:rsid w:val="00222E07"/>
    <w:rsid w:val="00222ECE"/>
    <w:rsid w:val="00222F42"/>
    <w:rsid w:val="00222F67"/>
    <w:rsid w:val="00222FFA"/>
    <w:rsid w:val="00223171"/>
    <w:rsid w:val="002231BA"/>
    <w:rsid w:val="0022320F"/>
    <w:rsid w:val="0022338F"/>
    <w:rsid w:val="002233A5"/>
    <w:rsid w:val="002234C1"/>
    <w:rsid w:val="00223503"/>
    <w:rsid w:val="0022351E"/>
    <w:rsid w:val="00223592"/>
    <w:rsid w:val="002235D3"/>
    <w:rsid w:val="0022360B"/>
    <w:rsid w:val="002237CC"/>
    <w:rsid w:val="00223890"/>
    <w:rsid w:val="002238E4"/>
    <w:rsid w:val="00223B5E"/>
    <w:rsid w:val="00223B74"/>
    <w:rsid w:val="00223C00"/>
    <w:rsid w:val="00223C94"/>
    <w:rsid w:val="00223DF4"/>
    <w:rsid w:val="00223FBA"/>
    <w:rsid w:val="00223FC3"/>
    <w:rsid w:val="00224010"/>
    <w:rsid w:val="0022403F"/>
    <w:rsid w:val="00224109"/>
    <w:rsid w:val="0022421C"/>
    <w:rsid w:val="002242BF"/>
    <w:rsid w:val="002242E9"/>
    <w:rsid w:val="00224360"/>
    <w:rsid w:val="00224393"/>
    <w:rsid w:val="0022443B"/>
    <w:rsid w:val="002244C6"/>
    <w:rsid w:val="00224561"/>
    <w:rsid w:val="002248AD"/>
    <w:rsid w:val="002248BD"/>
    <w:rsid w:val="002248C5"/>
    <w:rsid w:val="00224A6E"/>
    <w:rsid w:val="00224AC6"/>
    <w:rsid w:val="00224C90"/>
    <w:rsid w:val="00224CEA"/>
    <w:rsid w:val="00224D7C"/>
    <w:rsid w:val="00224DA7"/>
    <w:rsid w:val="00224DBC"/>
    <w:rsid w:val="00224DD1"/>
    <w:rsid w:val="00224E79"/>
    <w:rsid w:val="00224E97"/>
    <w:rsid w:val="00224F02"/>
    <w:rsid w:val="00224FFB"/>
    <w:rsid w:val="002252B8"/>
    <w:rsid w:val="0022532A"/>
    <w:rsid w:val="00225555"/>
    <w:rsid w:val="002255A2"/>
    <w:rsid w:val="002256EE"/>
    <w:rsid w:val="0022570E"/>
    <w:rsid w:val="00225714"/>
    <w:rsid w:val="002257D3"/>
    <w:rsid w:val="002257FD"/>
    <w:rsid w:val="00225973"/>
    <w:rsid w:val="00225A76"/>
    <w:rsid w:val="00225A78"/>
    <w:rsid w:val="00225ACE"/>
    <w:rsid w:val="00225B10"/>
    <w:rsid w:val="00225E16"/>
    <w:rsid w:val="00225E50"/>
    <w:rsid w:val="00225E86"/>
    <w:rsid w:val="00225EBA"/>
    <w:rsid w:val="00225ECE"/>
    <w:rsid w:val="00225F0E"/>
    <w:rsid w:val="00225FE6"/>
    <w:rsid w:val="00226012"/>
    <w:rsid w:val="0022606E"/>
    <w:rsid w:val="00226117"/>
    <w:rsid w:val="002261A4"/>
    <w:rsid w:val="0022622B"/>
    <w:rsid w:val="00226243"/>
    <w:rsid w:val="00226314"/>
    <w:rsid w:val="0022645F"/>
    <w:rsid w:val="00226508"/>
    <w:rsid w:val="00226540"/>
    <w:rsid w:val="0022684C"/>
    <w:rsid w:val="002269E5"/>
    <w:rsid w:val="00226AC2"/>
    <w:rsid w:val="00226B3F"/>
    <w:rsid w:val="00226BD6"/>
    <w:rsid w:val="00226C2F"/>
    <w:rsid w:val="00226D63"/>
    <w:rsid w:val="00226D67"/>
    <w:rsid w:val="00226DBF"/>
    <w:rsid w:val="00226DDE"/>
    <w:rsid w:val="00226E15"/>
    <w:rsid w:val="00226E7D"/>
    <w:rsid w:val="00226EEB"/>
    <w:rsid w:val="00226EED"/>
    <w:rsid w:val="00226F11"/>
    <w:rsid w:val="00226F55"/>
    <w:rsid w:val="00227248"/>
    <w:rsid w:val="0022726A"/>
    <w:rsid w:val="0022729E"/>
    <w:rsid w:val="002272F0"/>
    <w:rsid w:val="002274C3"/>
    <w:rsid w:val="00227643"/>
    <w:rsid w:val="002276A9"/>
    <w:rsid w:val="002276E8"/>
    <w:rsid w:val="002277A6"/>
    <w:rsid w:val="00227AC2"/>
    <w:rsid w:val="00227B82"/>
    <w:rsid w:val="00227F0A"/>
    <w:rsid w:val="00227FB2"/>
    <w:rsid w:val="00230020"/>
    <w:rsid w:val="0023006A"/>
    <w:rsid w:val="0023028D"/>
    <w:rsid w:val="00230354"/>
    <w:rsid w:val="00230436"/>
    <w:rsid w:val="00230474"/>
    <w:rsid w:val="00230503"/>
    <w:rsid w:val="0023061F"/>
    <w:rsid w:val="00230645"/>
    <w:rsid w:val="002306ED"/>
    <w:rsid w:val="0023089A"/>
    <w:rsid w:val="00230A1E"/>
    <w:rsid w:val="00230A63"/>
    <w:rsid w:val="00230A68"/>
    <w:rsid w:val="00230A9D"/>
    <w:rsid w:val="00230B54"/>
    <w:rsid w:val="00230BF5"/>
    <w:rsid w:val="00230F43"/>
    <w:rsid w:val="0023102D"/>
    <w:rsid w:val="002310D6"/>
    <w:rsid w:val="00231138"/>
    <w:rsid w:val="002311FE"/>
    <w:rsid w:val="0023124A"/>
    <w:rsid w:val="002312F9"/>
    <w:rsid w:val="002313D6"/>
    <w:rsid w:val="002314D7"/>
    <w:rsid w:val="0023156A"/>
    <w:rsid w:val="00231698"/>
    <w:rsid w:val="002317AA"/>
    <w:rsid w:val="002317B7"/>
    <w:rsid w:val="002317F7"/>
    <w:rsid w:val="0023180D"/>
    <w:rsid w:val="0023182A"/>
    <w:rsid w:val="002318F1"/>
    <w:rsid w:val="00231A87"/>
    <w:rsid w:val="00231AA8"/>
    <w:rsid w:val="00231AED"/>
    <w:rsid w:val="00231BFC"/>
    <w:rsid w:val="00231D2B"/>
    <w:rsid w:val="00231D40"/>
    <w:rsid w:val="00231D83"/>
    <w:rsid w:val="00231E21"/>
    <w:rsid w:val="00231F82"/>
    <w:rsid w:val="002320A6"/>
    <w:rsid w:val="00232146"/>
    <w:rsid w:val="0023218F"/>
    <w:rsid w:val="002321F0"/>
    <w:rsid w:val="002322F2"/>
    <w:rsid w:val="00232402"/>
    <w:rsid w:val="00232544"/>
    <w:rsid w:val="0023255C"/>
    <w:rsid w:val="00232621"/>
    <w:rsid w:val="0023266B"/>
    <w:rsid w:val="00232723"/>
    <w:rsid w:val="00232757"/>
    <w:rsid w:val="00232806"/>
    <w:rsid w:val="00232820"/>
    <w:rsid w:val="00232845"/>
    <w:rsid w:val="002329B9"/>
    <w:rsid w:val="00232A4D"/>
    <w:rsid w:val="00232AA9"/>
    <w:rsid w:val="00232B5E"/>
    <w:rsid w:val="00232BBC"/>
    <w:rsid w:val="00232D69"/>
    <w:rsid w:val="00232D97"/>
    <w:rsid w:val="00232E7B"/>
    <w:rsid w:val="00232EB6"/>
    <w:rsid w:val="00232F11"/>
    <w:rsid w:val="00232FCC"/>
    <w:rsid w:val="00233050"/>
    <w:rsid w:val="002330F9"/>
    <w:rsid w:val="00233108"/>
    <w:rsid w:val="00233188"/>
    <w:rsid w:val="0023327D"/>
    <w:rsid w:val="002333B3"/>
    <w:rsid w:val="00233404"/>
    <w:rsid w:val="002334D7"/>
    <w:rsid w:val="002334F5"/>
    <w:rsid w:val="002335F4"/>
    <w:rsid w:val="0023361B"/>
    <w:rsid w:val="0023382D"/>
    <w:rsid w:val="00233914"/>
    <w:rsid w:val="0023398E"/>
    <w:rsid w:val="00233A0D"/>
    <w:rsid w:val="00233A4A"/>
    <w:rsid w:val="00233AAE"/>
    <w:rsid w:val="00233AB0"/>
    <w:rsid w:val="00233B36"/>
    <w:rsid w:val="00233B8B"/>
    <w:rsid w:val="00233D77"/>
    <w:rsid w:val="00233D8E"/>
    <w:rsid w:val="00233E47"/>
    <w:rsid w:val="00233E7C"/>
    <w:rsid w:val="00233ED6"/>
    <w:rsid w:val="00233FFA"/>
    <w:rsid w:val="00234029"/>
    <w:rsid w:val="0023410B"/>
    <w:rsid w:val="002341C2"/>
    <w:rsid w:val="00234220"/>
    <w:rsid w:val="002342B9"/>
    <w:rsid w:val="00234419"/>
    <w:rsid w:val="002344BC"/>
    <w:rsid w:val="0023466F"/>
    <w:rsid w:val="0023478C"/>
    <w:rsid w:val="0023478E"/>
    <w:rsid w:val="00234841"/>
    <w:rsid w:val="0023486A"/>
    <w:rsid w:val="002348AE"/>
    <w:rsid w:val="002348E9"/>
    <w:rsid w:val="00234A23"/>
    <w:rsid w:val="00234A97"/>
    <w:rsid w:val="00234B93"/>
    <w:rsid w:val="00234C19"/>
    <w:rsid w:val="00234C49"/>
    <w:rsid w:val="00234C9D"/>
    <w:rsid w:val="00234E78"/>
    <w:rsid w:val="00234EF6"/>
    <w:rsid w:val="0023510D"/>
    <w:rsid w:val="002352BF"/>
    <w:rsid w:val="002352F1"/>
    <w:rsid w:val="002353CA"/>
    <w:rsid w:val="002354F6"/>
    <w:rsid w:val="00235681"/>
    <w:rsid w:val="0023569E"/>
    <w:rsid w:val="002356FE"/>
    <w:rsid w:val="00235725"/>
    <w:rsid w:val="00235727"/>
    <w:rsid w:val="002357F4"/>
    <w:rsid w:val="002358FD"/>
    <w:rsid w:val="00235A24"/>
    <w:rsid w:val="00235AB2"/>
    <w:rsid w:val="00235B0B"/>
    <w:rsid w:val="00235B17"/>
    <w:rsid w:val="00235C62"/>
    <w:rsid w:val="00235D8D"/>
    <w:rsid w:val="00235EA0"/>
    <w:rsid w:val="00235EF4"/>
    <w:rsid w:val="00235FCF"/>
    <w:rsid w:val="002361DF"/>
    <w:rsid w:val="002361EA"/>
    <w:rsid w:val="0023624A"/>
    <w:rsid w:val="0023636F"/>
    <w:rsid w:val="002363D1"/>
    <w:rsid w:val="0023695B"/>
    <w:rsid w:val="00236B0D"/>
    <w:rsid w:val="00236B5A"/>
    <w:rsid w:val="00236C79"/>
    <w:rsid w:val="00236D2C"/>
    <w:rsid w:val="00236E80"/>
    <w:rsid w:val="00236EA5"/>
    <w:rsid w:val="00236F47"/>
    <w:rsid w:val="00236FC1"/>
    <w:rsid w:val="00236FDA"/>
    <w:rsid w:val="00237063"/>
    <w:rsid w:val="0023738A"/>
    <w:rsid w:val="002373C1"/>
    <w:rsid w:val="002373C6"/>
    <w:rsid w:val="0023753C"/>
    <w:rsid w:val="0023754F"/>
    <w:rsid w:val="00237675"/>
    <w:rsid w:val="00237770"/>
    <w:rsid w:val="0023787D"/>
    <w:rsid w:val="002378A7"/>
    <w:rsid w:val="00237933"/>
    <w:rsid w:val="00237996"/>
    <w:rsid w:val="00237A49"/>
    <w:rsid w:val="00237B37"/>
    <w:rsid w:val="00237D71"/>
    <w:rsid w:val="00237D84"/>
    <w:rsid w:val="00237DD1"/>
    <w:rsid w:val="00237E28"/>
    <w:rsid w:val="00237E49"/>
    <w:rsid w:val="00237ED2"/>
    <w:rsid w:val="002400B0"/>
    <w:rsid w:val="002401A2"/>
    <w:rsid w:val="00240217"/>
    <w:rsid w:val="00240248"/>
    <w:rsid w:val="0024038E"/>
    <w:rsid w:val="00240393"/>
    <w:rsid w:val="0024043C"/>
    <w:rsid w:val="00240471"/>
    <w:rsid w:val="002404B3"/>
    <w:rsid w:val="0024062F"/>
    <w:rsid w:val="00240638"/>
    <w:rsid w:val="00240797"/>
    <w:rsid w:val="0024082D"/>
    <w:rsid w:val="0024085F"/>
    <w:rsid w:val="002408DC"/>
    <w:rsid w:val="00240A05"/>
    <w:rsid w:val="00240ACF"/>
    <w:rsid w:val="00240C42"/>
    <w:rsid w:val="00240CCF"/>
    <w:rsid w:val="00240D54"/>
    <w:rsid w:val="00240DE5"/>
    <w:rsid w:val="00241143"/>
    <w:rsid w:val="00241206"/>
    <w:rsid w:val="00241220"/>
    <w:rsid w:val="002412EC"/>
    <w:rsid w:val="00241374"/>
    <w:rsid w:val="002414A3"/>
    <w:rsid w:val="002415B8"/>
    <w:rsid w:val="002415E7"/>
    <w:rsid w:val="002415F0"/>
    <w:rsid w:val="00241675"/>
    <w:rsid w:val="002417D8"/>
    <w:rsid w:val="00241999"/>
    <w:rsid w:val="002419CF"/>
    <w:rsid w:val="00241AAD"/>
    <w:rsid w:val="00241B2B"/>
    <w:rsid w:val="00241BDD"/>
    <w:rsid w:val="00241D43"/>
    <w:rsid w:val="00241D54"/>
    <w:rsid w:val="00241FAE"/>
    <w:rsid w:val="0024212A"/>
    <w:rsid w:val="002422FD"/>
    <w:rsid w:val="002424BD"/>
    <w:rsid w:val="00242530"/>
    <w:rsid w:val="00242565"/>
    <w:rsid w:val="00242683"/>
    <w:rsid w:val="002426FB"/>
    <w:rsid w:val="0024270F"/>
    <w:rsid w:val="0024273A"/>
    <w:rsid w:val="002429BB"/>
    <w:rsid w:val="00242A36"/>
    <w:rsid w:val="00242A80"/>
    <w:rsid w:val="00242BA6"/>
    <w:rsid w:val="00242C54"/>
    <w:rsid w:val="00242CBA"/>
    <w:rsid w:val="00242DFC"/>
    <w:rsid w:val="00243027"/>
    <w:rsid w:val="0024309F"/>
    <w:rsid w:val="00243190"/>
    <w:rsid w:val="00243271"/>
    <w:rsid w:val="00243290"/>
    <w:rsid w:val="002432DB"/>
    <w:rsid w:val="002434CE"/>
    <w:rsid w:val="00243627"/>
    <w:rsid w:val="002437CD"/>
    <w:rsid w:val="0024385D"/>
    <w:rsid w:val="002438E3"/>
    <w:rsid w:val="00243A7D"/>
    <w:rsid w:val="00243ADB"/>
    <w:rsid w:val="00243AFA"/>
    <w:rsid w:val="00243B30"/>
    <w:rsid w:val="00243B35"/>
    <w:rsid w:val="00243E64"/>
    <w:rsid w:val="00243F33"/>
    <w:rsid w:val="0024406D"/>
    <w:rsid w:val="00244225"/>
    <w:rsid w:val="00244262"/>
    <w:rsid w:val="00244291"/>
    <w:rsid w:val="0024435D"/>
    <w:rsid w:val="002444A5"/>
    <w:rsid w:val="002444B1"/>
    <w:rsid w:val="002444C3"/>
    <w:rsid w:val="002445BE"/>
    <w:rsid w:val="00244742"/>
    <w:rsid w:val="0024488E"/>
    <w:rsid w:val="002448AB"/>
    <w:rsid w:val="002448B4"/>
    <w:rsid w:val="0024492D"/>
    <w:rsid w:val="00244A1D"/>
    <w:rsid w:val="00244B77"/>
    <w:rsid w:val="00244BC1"/>
    <w:rsid w:val="00244C89"/>
    <w:rsid w:val="00244CC4"/>
    <w:rsid w:val="00244DE4"/>
    <w:rsid w:val="00244E78"/>
    <w:rsid w:val="00244E96"/>
    <w:rsid w:val="00244EB9"/>
    <w:rsid w:val="00244F24"/>
    <w:rsid w:val="0024504F"/>
    <w:rsid w:val="002450E3"/>
    <w:rsid w:val="002451A5"/>
    <w:rsid w:val="002451B8"/>
    <w:rsid w:val="002452A6"/>
    <w:rsid w:val="0024530A"/>
    <w:rsid w:val="0024536E"/>
    <w:rsid w:val="002453C1"/>
    <w:rsid w:val="002453D8"/>
    <w:rsid w:val="002454A5"/>
    <w:rsid w:val="002454DF"/>
    <w:rsid w:val="002455FB"/>
    <w:rsid w:val="002456CE"/>
    <w:rsid w:val="0024572E"/>
    <w:rsid w:val="002459AA"/>
    <w:rsid w:val="00245A89"/>
    <w:rsid w:val="00245AD0"/>
    <w:rsid w:val="00245D17"/>
    <w:rsid w:val="00245D1B"/>
    <w:rsid w:val="002460BC"/>
    <w:rsid w:val="00246117"/>
    <w:rsid w:val="002461A1"/>
    <w:rsid w:val="002461BA"/>
    <w:rsid w:val="002461FF"/>
    <w:rsid w:val="0024628E"/>
    <w:rsid w:val="002462EA"/>
    <w:rsid w:val="0024630C"/>
    <w:rsid w:val="0024632C"/>
    <w:rsid w:val="0024646F"/>
    <w:rsid w:val="0024647E"/>
    <w:rsid w:val="00246553"/>
    <w:rsid w:val="00246643"/>
    <w:rsid w:val="00246677"/>
    <w:rsid w:val="0024668F"/>
    <w:rsid w:val="002467DD"/>
    <w:rsid w:val="002469A7"/>
    <w:rsid w:val="00246C83"/>
    <w:rsid w:val="00246C8D"/>
    <w:rsid w:val="00246D63"/>
    <w:rsid w:val="00246EA0"/>
    <w:rsid w:val="00246EE1"/>
    <w:rsid w:val="00247007"/>
    <w:rsid w:val="0024711B"/>
    <w:rsid w:val="00247126"/>
    <w:rsid w:val="00247141"/>
    <w:rsid w:val="00247283"/>
    <w:rsid w:val="002472DE"/>
    <w:rsid w:val="00247319"/>
    <w:rsid w:val="002473F1"/>
    <w:rsid w:val="00247414"/>
    <w:rsid w:val="0024742B"/>
    <w:rsid w:val="00247567"/>
    <w:rsid w:val="00247892"/>
    <w:rsid w:val="00247901"/>
    <w:rsid w:val="00247A10"/>
    <w:rsid w:val="00247A48"/>
    <w:rsid w:val="00247A94"/>
    <w:rsid w:val="00247AAF"/>
    <w:rsid w:val="00247BA3"/>
    <w:rsid w:val="00247BF5"/>
    <w:rsid w:val="00247C42"/>
    <w:rsid w:val="00247D96"/>
    <w:rsid w:val="00247F14"/>
    <w:rsid w:val="00247FE6"/>
    <w:rsid w:val="00250353"/>
    <w:rsid w:val="00250387"/>
    <w:rsid w:val="00250434"/>
    <w:rsid w:val="002504B7"/>
    <w:rsid w:val="0025055A"/>
    <w:rsid w:val="00250864"/>
    <w:rsid w:val="002509AC"/>
    <w:rsid w:val="002509EB"/>
    <w:rsid w:val="00250AB5"/>
    <w:rsid w:val="00250AF3"/>
    <w:rsid w:val="00250B58"/>
    <w:rsid w:val="00250BF0"/>
    <w:rsid w:val="00250CF4"/>
    <w:rsid w:val="00250D8F"/>
    <w:rsid w:val="00250E23"/>
    <w:rsid w:val="00250E82"/>
    <w:rsid w:val="00250EDD"/>
    <w:rsid w:val="00250FB5"/>
    <w:rsid w:val="00251219"/>
    <w:rsid w:val="0025134F"/>
    <w:rsid w:val="00251374"/>
    <w:rsid w:val="0025149C"/>
    <w:rsid w:val="002515A4"/>
    <w:rsid w:val="002517D3"/>
    <w:rsid w:val="0025180D"/>
    <w:rsid w:val="00251940"/>
    <w:rsid w:val="002519D1"/>
    <w:rsid w:val="00251A3F"/>
    <w:rsid w:val="00251A9B"/>
    <w:rsid w:val="00251D7C"/>
    <w:rsid w:val="00251E39"/>
    <w:rsid w:val="00251EE8"/>
    <w:rsid w:val="00251FF6"/>
    <w:rsid w:val="00252131"/>
    <w:rsid w:val="002521BE"/>
    <w:rsid w:val="0025229B"/>
    <w:rsid w:val="002524D5"/>
    <w:rsid w:val="00252596"/>
    <w:rsid w:val="00252668"/>
    <w:rsid w:val="0025268C"/>
    <w:rsid w:val="00252807"/>
    <w:rsid w:val="0025287F"/>
    <w:rsid w:val="00252888"/>
    <w:rsid w:val="002529FF"/>
    <w:rsid w:val="00252A58"/>
    <w:rsid w:val="00252BA0"/>
    <w:rsid w:val="00252BD0"/>
    <w:rsid w:val="00252C72"/>
    <w:rsid w:val="00252C94"/>
    <w:rsid w:val="00252CC3"/>
    <w:rsid w:val="00252D3A"/>
    <w:rsid w:val="00252E0F"/>
    <w:rsid w:val="00252E7A"/>
    <w:rsid w:val="00252EB1"/>
    <w:rsid w:val="00252F5E"/>
    <w:rsid w:val="00252F83"/>
    <w:rsid w:val="00253031"/>
    <w:rsid w:val="00253231"/>
    <w:rsid w:val="00253294"/>
    <w:rsid w:val="002532CB"/>
    <w:rsid w:val="002534B1"/>
    <w:rsid w:val="002534FC"/>
    <w:rsid w:val="00253530"/>
    <w:rsid w:val="002535AC"/>
    <w:rsid w:val="002536F6"/>
    <w:rsid w:val="0025374E"/>
    <w:rsid w:val="002538CB"/>
    <w:rsid w:val="002538EB"/>
    <w:rsid w:val="002539C2"/>
    <w:rsid w:val="00253ADF"/>
    <w:rsid w:val="00253B48"/>
    <w:rsid w:val="00253C93"/>
    <w:rsid w:val="00253D04"/>
    <w:rsid w:val="00253D5E"/>
    <w:rsid w:val="00253E91"/>
    <w:rsid w:val="00253ED5"/>
    <w:rsid w:val="00253ED6"/>
    <w:rsid w:val="00253FC8"/>
    <w:rsid w:val="0025445D"/>
    <w:rsid w:val="0025458C"/>
    <w:rsid w:val="002546A2"/>
    <w:rsid w:val="00254A47"/>
    <w:rsid w:val="00254B4F"/>
    <w:rsid w:val="00254D0B"/>
    <w:rsid w:val="00254F59"/>
    <w:rsid w:val="00255014"/>
    <w:rsid w:val="002550F0"/>
    <w:rsid w:val="00255139"/>
    <w:rsid w:val="0025513D"/>
    <w:rsid w:val="0025520E"/>
    <w:rsid w:val="002552EC"/>
    <w:rsid w:val="00255538"/>
    <w:rsid w:val="00255608"/>
    <w:rsid w:val="00255770"/>
    <w:rsid w:val="00255899"/>
    <w:rsid w:val="002558D4"/>
    <w:rsid w:val="002559A9"/>
    <w:rsid w:val="00255C7B"/>
    <w:rsid w:val="00255D0E"/>
    <w:rsid w:val="00255D74"/>
    <w:rsid w:val="00256270"/>
    <w:rsid w:val="0025632F"/>
    <w:rsid w:val="002563B2"/>
    <w:rsid w:val="0025640C"/>
    <w:rsid w:val="0025648C"/>
    <w:rsid w:val="002565BB"/>
    <w:rsid w:val="00256698"/>
    <w:rsid w:val="00256730"/>
    <w:rsid w:val="002569F5"/>
    <w:rsid w:val="00256A0E"/>
    <w:rsid w:val="00256B06"/>
    <w:rsid w:val="00256B75"/>
    <w:rsid w:val="00256BB7"/>
    <w:rsid w:val="00256C07"/>
    <w:rsid w:val="00256C1A"/>
    <w:rsid w:val="00256CB9"/>
    <w:rsid w:val="00256FB5"/>
    <w:rsid w:val="0025706A"/>
    <w:rsid w:val="00257138"/>
    <w:rsid w:val="002571CB"/>
    <w:rsid w:val="002571D9"/>
    <w:rsid w:val="002571E1"/>
    <w:rsid w:val="00257223"/>
    <w:rsid w:val="0025728A"/>
    <w:rsid w:val="002572EF"/>
    <w:rsid w:val="002573B8"/>
    <w:rsid w:val="0025746B"/>
    <w:rsid w:val="00257505"/>
    <w:rsid w:val="00257732"/>
    <w:rsid w:val="00257778"/>
    <w:rsid w:val="00257844"/>
    <w:rsid w:val="00257882"/>
    <w:rsid w:val="002578E1"/>
    <w:rsid w:val="00257A96"/>
    <w:rsid w:val="00257C00"/>
    <w:rsid w:val="00257C0E"/>
    <w:rsid w:val="00257C69"/>
    <w:rsid w:val="00257CF8"/>
    <w:rsid w:val="00257D8B"/>
    <w:rsid w:val="00257DBB"/>
    <w:rsid w:val="00257E53"/>
    <w:rsid w:val="00257FCE"/>
    <w:rsid w:val="0026009A"/>
    <w:rsid w:val="002602BF"/>
    <w:rsid w:val="002603F5"/>
    <w:rsid w:val="0026042A"/>
    <w:rsid w:val="00260464"/>
    <w:rsid w:val="002604BD"/>
    <w:rsid w:val="002606B7"/>
    <w:rsid w:val="0026092B"/>
    <w:rsid w:val="00260944"/>
    <w:rsid w:val="0026098C"/>
    <w:rsid w:val="00260AB9"/>
    <w:rsid w:val="00260C83"/>
    <w:rsid w:val="00260CA8"/>
    <w:rsid w:val="00260CB4"/>
    <w:rsid w:val="00260E4F"/>
    <w:rsid w:val="00260F20"/>
    <w:rsid w:val="00261054"/>
    <w:rsid w:val="00261081"/>
    <w:rsid w:val="002610A2"/>
    <w:rsid w:val="002610C8"/>
    <w:rsid w:val="00261163"/>
    <w:rsid w:val="0026118E"/>
    <w:rsid w:val="002611B9"/>
    <w:rsid w:val="00261247"/>
    <w:rsid w:val="0026126A"/>
    <w:rsid w:val="0026130D"/>
    <w:rsid w:val="0026133A"/>
    <w:rsid w:val="00261455"/>
    <w:rsid w:val="002614BC"/>
    <w:rsid w:val="002614F1"/>
    <w:rsid w:val="0026163F"/>
    <w:rsid w:val="00261682"/>
    <w:rsid w:val="0026169F"/>
    <w:rsid w:val="002616B8"/>
    <w:rsid w:val="002616D3"/>
    <w:rsid w:val="0026172B"/>
    <w:rsid w:val="0026188F"/>
    <w:rsid w:val="00261A59"/>
    <w:rsid w:val="00261ACC"/>
    <w:rsid w:val="00261B32"/>
    <w:rsid w:val="00261C10"/>
    <w:rsid w:val="00261C9B"/>
    <w:rsid w:val="00261EDF"/>
    <w:rsid w:val="00261FC3"/>
    <w:rsid w:val="00261FCD"/>
    <w:rsid w:val="00262132"/>
    <w:rsid w:val="00262158"/>
    <w:rsid w:val="00262285"/>
    <w:rsid w:val="0026231C"/>
    <w:rsid w:val="0026260B"/>
    <w:rsid w:val="002626EF"/>
    <w:rsid w:val="00262900"/>
    <w:rsid w:val="00262911"/>
    <w:rsid w:val="002629E2"/>
    <w:rsid w:val="00262B14"/>
    <w:rsid w:val="00262B87"/>
    <w:rsid w:val="00262B92"/>
    <w:rsid w:val="00262C77"/>
    <w:rsid w:val="00262CAD"/>
    <w:rsid w:val="00262ED8"/>
    <w:rsid w:val="00262F1C"/>
    <w:rsid w:val="00262F1D"/>
    <w:rsid w:val="00263254"/>
    <w:rsid w:val="00263261"/>
    <w:rsid w:val="0026326C"/>
    <w:rsid w:val="002632A5"/>
    <w:rsid w:val="002633C1"/>
    <w:rsid w:val="002633FB"/>
    <w:rsid w:val="002636B0"/>
    <w:rsid w:val="00263766"/>
    <w:rsid w:val="00263772"/>
    <w:rsid w:val="0026378F"/>
    <w:rsid w:val="0026398F"/>
    <w:rsid w:val="00263CFD"/>
    <w:rsid w:val="00263FDE"/>
    <w:rsid w:val="002641C1"/>
    <w:rsid w:val="002641DF"/>
    <w:rsid w:val="002643A7"/>
    <w:rsid w:val="002644C3"/>
    <w:rsid w:val="002644CB"/>
    <w:rsid w:val="00264569"/>
    <w:rsid w:val="002645A2"/>
    <w:rsid w:val="002646A3"/>
    <w:rsid w:val="00264708"/>
    <w:rsid w:val="00264733"/>
    <w:rsid w:val="00264762"/>
    <w:rsid w:val="002647A3"/>
    <w:rsid w:val="00264888"/>
    <w:rsid w:val="00264941"/>
    <w:rsid w:val="00264E58"/>
    <w:rsid w:val="00264E5D"/>
    <w:rsid w:val="00264EE8"/>
    <w:rsid w:val="00264FF8"/>
    <w:rsid w:val="002650BD"/>
    <w:rsid w:val="002650C3"/>
    <w:rsid w:val="00265259"/>
    <w:rsid w:val="0026532C"/>
    <w:rsid w:val="0026534C"/>
    <w:rsid w:val="00265476"/>
    <w:rsid w:val="00265882"/>
    <w:rsid w:val="00265A09"/>
    <w:rsid w:val="00265A89"/>
    <w:rsid w:val="00265AB0"/>
    <w:rsid w:val="00265B15"/>
    <w:rsid w:val="00265BB2"/>
    <w:rsid w:val="00265BEA"/>
    <w:rsid w:val="00265C6F"/>
    <w:rsid w:val="00265D7D"/>
    <w:rsid w:val="00265DD0"/>
    <w:rsid w:val="00266073"/>
    <w:rsid w:val="002660CF"/>
    <w:rsid w:val="0026658A"/>
    <w:rsid w:val="00266659"/>
    <w:rsid w:val="002666E4"/>
    <w:rsid w:val="002667D2"/>
    <w:rsid w:val="00266808"/>
    <w:rsid w:val="00266812"/>
    <w:rsid w:val="00266894"/>
    <w:rsid w:val="002668A5"/>
    <w:rsid w:val="00266A1B"/>
    <w:rsid w:val="00266B0F"/>
    <w:rsid w:val="00266CAC"/>
    <w:rsid w:val="00266D7E"/>
    <w:rsid w:val="00266DAB"/>
    <w:rsid w:val="00266DE6"/>
    <w:rsid w:val="00266DF9"/>
    <w:rsid w:val="00266E00"/>
    <w:rsid w:val="00266EDC"/>
    <w:rsid w:val="00266F19"/>
    <w:rsid w:val="00267016"/>
    <w:rsid w:val="002671A2"/>
    <w:rsid w:val="0026736C"/>
    <w:rsid w:val="0026742F"/>
    <w:rsid w:val="00267441"/>
    <w:rsid w:val="002674BA"/>
    <w:rsid w:val="0026754C"/>
    <w:rsid w:val="0026762E"/>
    <w:rsid w:val="0026768A"/>
    <w:rsid w:val="0026775D"/>
    <w:rsid w:val="002677B3"/>
    <w:rsid w:val="002677E8"/>
    <w:rsid w:val="00267846"/>
    <w:rsid w:val="00267866"/>
    <w:rsid w:val="002679A5"/>
    <w:rsid w:val="002679AE"/>
    <w:rsid w:val="00267A3E"/>
    <w:rsid w:val="00267A84"/>
    <w:rsid w:val="00267CFD"/>
    <w:rsid w:val="00267DE2"/>
    <w:rsid w:val="00267E72"/>
    <w:rsid w:val="00267F29"/>
    <w:rsid w:val="002700CB"/>
    <w:rsid w:val="002700CD"/>
    <w:rsid w:val="00270325"/>
    <w:rsid w:val="00270513"/>
    <w:rsid w:val="0027060D"/>
    <w:rsid w:val="002706BE"/>
    <w:rsid w:val="00270760"/>
    <w:rsid w:val="002709EF"/>
    <w:rsid w:val="00270A8B"/>
    <w:rsid w:val="00270AE9"/>
    <w:rsid w:val="00270B2A"/>
    <w:rsid w:val="00270D55"/>
    <w:rsid w:val="00270EB3"/>
    <w:rsid w:val="00270F65"/>
    <w:rsid w:val="00270F98"/>
    <w:rsid w:val="00271030"/>
    <w:rsid w:val="0027114A"/>
    <w:rsid w:val="0027118D"/>
    <w:rsid w:val="002711F4"/>
    <w:rsid w:val="0027140D"/>
    <w:rsid w:val="002714D5"/>
    <w:rsid w:val="002714DB"/>
    <w:rsid w:val="00271574"/>
    <w:rsid w:val="002715F8"/>
    <w:rsid w:val="0027162C"/>
    <w:rsid w:val="0027186F"/>
    <w:rsid w:val="00271982"/>
    <w:rsid w:val="00271B9A"/>
    <w:rsid w:val="00271C0C"/>
    <w:rsid w:val="00271DD5"/>
    <w:rsid w:val="0027201D"/>
    <w:rsid w:val="00272111"/>
    <w:rsid w:val="00272369"/>
    <w:rsid w:val="00272377"/>
    <w:rsid w:val="002723C0"/>
    <w:rsid w:val="00272414"/>
    <w:rsid w:val="00272417"/>
    <w:rsid w:val="00272516"/>
    <w:rsid w:val="00272529"/>
    <w:rsid w:val="002726A2"/>
    <w:rsid w:val="002726F4"/>
    <w:rsid w:val="0027272B"/>
    <w:rsid w:val="0027279E"/>
    <w:rsid w:val="00272803"/>
    <w:rsid w:val="002729BD"/>
    <w:rsid w:val="002729F1"/>
    <w:rsid w:val="00272A3A"/>
    <w:rsid w:val="00272BC5"/>
    <w:rsid w:val="00272CD2"/>
    <w:rsid w:val="00272D1F"/>
    <w:rsid w:val="00272E3A"/>
    <w:rsid w:val="00272FE5"/>
    <w:rsid w:val="002730E2"/>
    <w:rsid w:val="0027313C"/>
    <w:rsid w:val="00273187"/>
    <w:rsid w:val="002731FA"/>
    <w:rsid w:val="00273243"/>
    <w:rsid w:val="00273310"/>
    <w:rsid w:val="00273379"/>
    <w:rsid w:val="002733C1"/>
    <w:rsid w:val="0027359D"/>
    <w:rsid w:val="002735F7"/>
    <w:rsid w:val="0027369A"/>
    <w:rsid w:val="0027377C"/>
    <w:rsid w:val="0027380F"/>
    <w:rsid w:val="002738A8"/>
    <w:rsid w:val="002739FE"/>
    <w:rsid w:val="00273A23"/>
    <w:rsid w:val="00273AE5"/>
    <w:rsid w:val="00273B8F"/>
    <w:rsid w:val="00273C52"/>
    <w:rsid w:val="00273FAB"/>
    <w:rsid w:val="0027404D"/>
    <w:rsid w:val="00274052"/>
    <w:rsid w:val="00274068"/>
    <w:rsid w:val="002740E8"/>
    <w:rsid w:val="002741A3"/>
    <w:rsid w:val="002741BD"/>
    <w:rsid w:val="00274293"/>
    <w:rsid w:val="002742FB"/>
    <w:rsid w:val="0027440C"/>
    <w:rsid w:val="0027442F"/>
    <w:rsid w:val="002744A3"/>
    <w:rsid w:val="00274684"/>
    <w:rsid w:val="002746FA"/>
    <w:rsid w:val="0027478F"/>
    <w:rsid w:val="002747C1"/>
    <w:rsid w:val="00274817"/>
    <w:rsid w:val="0027491B"/>
    <w:rsid w:val="00274983"/>
    <w:rsid w:val="00274A4E"/>
    <w:rsid w:val="00274B59"/>
    <w:rsid w:val="00274BCA"/>
    <w:rsid w:val="00274C6F"/>
    <w:rsid w:val="00274DB2"/>
    <w:rsid w:val="00274EA6"/>
    <w:rsid w:val="002753A2"/>
    <w:rsid w:val="0027556F"/>
    <w:rsid w:val="002756AB"/>
    <w:rsid w:val="00275B7D"/>
    <w:rsid w:val="00275BE3"/>
    <w:rsid w:val="00275BEE"/>
    <w:rsid w:val="00275C13"/>
    <w:rsid w:val="00275E0A"/>
    <w:rsid w:val="0027610D"/>
    <w:rsid w:val="002761C2"/>
    <w:rsid w:val="002761D0"/>
    <w:rsid w:val="0027640E"/>
    <w:rsid w:val="00276516"/>
    <w:rsid w:val="00276693"/>
    <w:rsid w:val="002766C2"/>
    <w:rsid w:val="00276716"/>
    <w:rsid w:val="00276793"/>
    <w:rsid w:val="0027681F"/>
    <w:rsid w:val="002768CB"/>
    <w:rsid w:val="00276911"/>
    <w:rsid w:val="00276B2A"/>
    <w:rsid w:val="00276C56"/>
    <w:rsid w:val="00276D36"/>
    <w:rsid w:val="00276D42"/>
    <w:rsid w:val="00276D8E"/>
    <w:rsid w:val="00277080"/>
    <w:rsid w:val="0027727A"/>
    <w:rsid w:val="0027735A"/>
    <w:rsid w:val="002773B5"/>
    <w:rsid w:val="00277408"/>
    <w:rsid w:val="00277472"/>
    <w:rsid w:val="00277781"/>
    <w:rsid w:val="002779C1"/>
    <w:rsid w:val="00277A0E"/>
    <w:rsid w:val="00277ADA"/>
    <w:rsid w:val="00277C96"/>
    <w:rsid w:val="00277CBB"/>
    <w:rsid w:val="00277D33"/>
    <w:rsid w:val="00277D4D"/>
    <w:rsid w:val="00277DA6"/>
    <w:rsid w:val="00280000"/>
    <w:rsid w:val="00280229"/>
    <w:rsid w:val="002802B7"/>
    <w:rsid w:val="00280320"/>
    <w:rsid w:val="002804EC"/>
    <w:rsid w:val="00280573"/>
    <w:rsid w:val="002807F3"/>
    <w:rsid w:val="0028081A"/>
    <w:rsid w:val="00280B18"/>
    <w:rsid w:val="00280B44"/>
    <w:rsid w:val="00280BB8"/>
    <w:rsid w:val="00280C32"/>
    <w:rsid w:val="00280C85"/>
    <w:rsid w:val="00280E0A"/>
    <w:rsid w:val="00280E19"/>
    <w:rsid w:val="00280E45"/>
    <w:rsid w:val="00280F6B"/>
    <w:rsid w:val="00280FCE"/>
    <w:rsid w:val="0028106C"/>
    <w:rsid w:val="002810FB"/>
    <w:rsid w:val="002812D1"/>
    <w:rsid w:val="0028132A"/>
    <w:rsid w:val="00281464"/>
    <w:rsid w:val="002815D5"/>
    <w:rsid w:val="002815F0"/>
    <w:rsid w:val="00281840"/>
    <w:rsid w:val="00281A68"/>
    <w:rsid w:val="00281B0B"/>
    <w:rsid w:val="00281B55"/>
    <w:rsid w:val="00281C0C"/>
    <w:rsid w:val="00281CEA"/>
    <w:rsid w:val="00281E3F"/>
    <w:rsid w:val="00281EA0"/>
    <w:rsid w:val="00281EE5"/>
    <w:rsid w:val="00281F12"/>
    <w:rsid w:val="00282057"/>
    <w:rsid w:val="00282087"/>
    <w:rsid w:val="00282155"/>
    <w:rsid w:val="0028223C"/>
    <w:rsid w:val="00282630"/>
    <w:rsid w:val="00282654"/>
    <w:rsid w:val="0028265E"/>
    <w:rsid w:val="00282773"/>
    <w:rsid w:val="00282774"/>
    <w:rsid w:val="002827A8"/>
    <w:rsid w:val="00282840"/>
    <w:rsid w:val="002828BC"/>
    <w:rsid w:val="002828E5"/>
    <w:rsid w:val="00282975"/>
    <w:rsid w:val="0028298D"/>
    <w:rsid w:val="002829DB"/>
    <w:rsid w:val="002829F6"/>
    <w:rsid w:val="00282D7A"/>
    <w:rsid w:val="00282DA6"/>
    <w:rsid w:val="00282DFB"/>
    <w:rsid w:val="00282E21"/>
    <w:rsid w:val="00282E39"/>
    <w:rsid w:val="00282E44"/>
    <w:rsid w:val="00282E81"/>
    <w:rsid w:val="00282F13"/>
    <w:rsid w:val="00282F93"/>
    <w:rsid w:val="00283352"/>
    <w:rsid w:val="00283812"/>
    <w:rsid w:val="00283972"/>
    <w:rsid w:val="002839CC"/>
    <w:rsid w:val="00283CED"/>
    <w:rsid w:val="00283E07"/>
    <w:rsid w:val="002840F5"/>
    <w:rsid w:val="00284342"/>
    <w:rsid w:val="0028437B"/>
    <w:rsid w:val="002843CE"/>
    <w:rsid w:val="0028441B"/>
    <w:rsid w:val="0028467A"/>
    <w:rsid w:val="00284752"/>
    <w:rsid w:val="00284A83"/>
    <w:rsid w:val="00284CE7"/>
    <w:rsid w:val="00284DD7"/>
    <w:rsid w:val="00284E88"/>
    <w:rsid w:val="00284EBB"/>
    <w:rsid w:val="00284F70"/>
    <w:rsid w:val="00284F9E"/>
    <w:rsid w:val="00284FC1"/>
    <w:rsid w:val="002850A8"/>
    <w:rsid w:val="0028526B"/>
    <w:rsid w:val="0028526D"/>
    <w:rsid w:val="002852BB"/>
    <w:rsid w:val="0028532D"/>
    <w:rsid w:val="002853E1"/>
    <w:rsid w:val="00285615"/>
    <w:rsid w:val="00285692"/>
    <w:rsid w:val="002856BE"/>
    <w:rsid w:val="00285722"/>
    <w:rsid w:val="002857DC"/>
    <w:rsid w:val="00285B60"/>
    <w:rsid w:val="00285BCE"/>
    <w:rsid w:val="00285C8F"/>
    <w:rsid w:val="00285F10"/>
    <w:rsid w:val="00285F1F"/>
    <w:rsid w:val="00285FC1"/>
    <w:rsid w:val="00286007"/>
    <w:rsid w:val="00286043"/>
    <w:rsid w:val="00286078"/>
    <w:rsid w:val="00286108"/>
    <w:rsid w:val="0028613A"/>
    <w:rsid w:val="002861AD"/>
    <w:rsid w:val="00286223"/>
    <w:rsid w:val="002862F8"/>
    <w:rsid w:val="002862FA"/>
    <w:rsid w:val="002863B0"/>
    <w:rsid w:val="00286466"/>
    <w:rsid w:val="0028646F"/>
    <w:rsid w:val="002865E0"/>
    <w:rsid w:val="0028684D"/>
    <w:rsid w:val="00286956"/>
    <w:rsid w:val="002869D1"/>
    <w:rsid w:val="00286BEB"/>
    <w:rsid w:val="00286C20"/>
    <w:rsid w:val="00286EC5"/>
    <w:rsid w:val="00286F3A"/>
    <w:rsid w:val="00286F9E"/>
    <w:rsid w:val="00286FBD"/>
    <w:rsid w:val="00287025"/>
    <w:rsid w:val="00287070"/>
    <w:rsid w:val="0028716F"/>
    <w:rsid w:val="002871AC"/>
    <w:rsid w:val="00287211"/>
    <w:rsid w:val="00287294"/>
    <w:rsid w:val="002873C3"/>
    <w:rsid w:val="002874C4"/>
    <w:rsid w:val="002875A3"/>
    <w:rsid w:val="00287644"/>
    <w:rsid w:val="00287662"/>
    <w:rsid w:val="00287796"/>
    <w:rsid w:val="002877DA"/>
    <w:rsid w:val="002877F4"/>
    <w:rsid w:val="00287817"/>
    <w:rsid w:val="0028786A"/>
    <w:rsid w:val="00287951"/>
    <w:rsid w:val="00287960"/>
    <w:rsid w:val="0028796F"/>
    <w:rsid w:val="002879FA"/>
    <w:rsid w:val="00287A85"/>
    <w:rsid w:val="00287A8E"/>
    <w:rsid w:val="00287B1F"/>
    <w:rsid w:val="00287BAC"/>
    <w:rsid w:val="00287BCA"/>
    <w:rsid w:val="00287C48"/>
    <w:rsid w:val="00287C73"/>
    <w:rsid w:val="00287C99"/>
    <w:rsid w:val="00287E89"/>
    <w:rsid w:val="00287EF1"/>
    <w:rsid w:val="00287FC8"/>
    <w:rsid w:val="00290125"/>
    <w:rsid w:val="0029014C"/>
    <w:rsid w:val="00290267"/>
    <w:rsid w:val="002902ED"/>
    <w:rsid w:val="0029030F"/>
    <w:rsid w:val="0029031D"/>
    <w:rsid w:val="002903BA"/>
    <w:rsid w:val="0029040F"/>
    <w:rsid w:val="00290443"/>
    <w:rsid w:val="00290476"/>
    <w:rsid w:val="002904F2"/>
    <w:rsid w:val="0029065D"/>
    <w:rsid w:val="00290833"/>
    <w:rsid w:val="0029093F"/>
    <w:rsid w:val="00290972"/>
    <w:rsid w:val="00290A3B"/>
    <w:rsid w:val="00290AFD"/>
    <w:rsid w:val="00290BBA"/>
    <w:rsid w:val="00290D08"/>
    <w:rsid w:val="00290D70"/>
    <w:rsid w:val="00290E92"/>
    <w:rsid w:val="00290F95"/>
    <w:rsid w:val="00291079"/>
    <w:rsid w:val="0029121C"/>
    <w:rsid w:val="0029136E"/>
    <w:rsid w:val="002913A8"/>
    <w:rsid w:val="0029149E"/>
    <w:rsid w:val="002915C6"/>
    <w:rsid w:val="002915CD"/>
    <w:rsid w:val="002915F8"/>
    <w:rsid w:val="00291609"/>
    <w:rsid w:val="0029164C"/>
    <w:rsid w:val="00291918"/>
    <w:rsid w:val="002919CF"/>
    <w:rsid w:val="00291D8A"/>
    <w:rsid w:val="00291EC9"/>
    <w:rsid w:val="0029206E"/>
    <w:rsid w:val="00292148"/>
    <w:rsid w:val="00292150"/>
    <w:rsid w:val="0029253E"/>
    <w:rsid w:val="00292667"/>
    <w:rsid w:val="002926F1"/>
    <w:rsid w:val="00292715"/>
    <w:rsid w:val="0029286A"/>
    <w:rsid w:val="00292BD2"/>
    <w:rsid w:val="00292CDB"/>
    <w:rsid w:val="00292D62"/>
    <w:rsid w:val="00292E28"/>
    <w:rsid w:val="00292F3E"/>
    <w:rsid w:val="00293270"/>
    <w:rsid w:val="00293352"/>
    <w:rsid w:val="00293540"/>
    <w:rsid w:val="00293840"/>
    <w:rsid w:val="00293A4F"/>
    <w:rsid w:val="00293AA8"/>
    <w:rsid w:val="00293AF3"/>
    <w:rsid w:val="00293B07"/>
    <w:rsid w:val="00293C05"/>
    <w:rsid w:val="00293D4E"/>
    <w:rsid w:val="00293D82"/>
    <w:rsid w:val="00293E62"/>
    <w:rsid w:val="00293EEE"/>
    <w:rsid w:val="0029426B"/>
    <w:rsid w:val="0029444A"/>
    <w:rsid w:val="002944F1"/>
    <w:rsid w:val="00294583"/>
    <w:rsid w:val="002945D4"/>
    <w:rsid w:val="002946CF"/>
    <w:rsid w:val="00294811"/>
    <w:rsid w:val="002948AA"/>
    <w:rsid w:val="002948BC"/>
    <w:rsid w:val="0029491B"/>
    <w:rsid w:val="0029492B"/>
    <w:rsid w:val="00294A39"/>
    <w:rsid w:val="00294B8E"/>
    <w:rsid w:val="00294BF2"/>
    <w:rsid w:val="00294EFD"/>
    <w:rsid w:val="00294F0F"/>
    <w:rsid w:val="00294F76"/>
    <w:rsid w:val="0029501A"/>
    <w:rsid w:val="00295035"/>
    <w:rsid w:val="002950AD"/>
    <w:rsid w:val="0029518A"/>
    <w:rsid w:val="002951A9"/>
    <w:rsid w:val="00295280"/>
    <w:rsid w:val="0029551A"/>
    <w:rsid w:val="00295579"/>
    <w:rsid w:val="0029557A"/>
    <w:rsid w:val="0029574B"/>
    <w:rsid w:val="00295752"/>
    <w:rsid w:val="00295823"/>
    <w:rsid w:val="00295901"/>
    <w:rsid w:val="002959C2"/>
    <w:rsid w:val="00295A96"/>
    <w:rsid w:val="00295CF2"/>
    <w:rsid w:val="00295D37"/>
    <w:rsid w:val="00295DDA"/>
    <w:rsid w:val="00295EC2"/>
    <w:rsid w:val="00295F17"/>
    <w:rsid w:val="0029619F"/>
    <w:rsid w:val="00296261"/>
    <w:rsid w:val="002962EE"/>
    <w:rsid w:val="00296364"/>
    <w:rsid w:val="00296472"/>
    <w:rsid w:val="002964A8"/>
    <w:rsid w:val="002964C7"/>
    <w:rsid w:val="0029663C"/>
    <w:rsid w:val="002966C0"/>
    <w:rsid w:val="00296768"/>
    <w:rsid w:val="002968E7"/>
    <w:rsid w:val="0029697F"/>
    <w:rsid w:val="00296A14"/>
    <w:rsid w:val="00296A9F"/>
    <w:rsid w:val="00296AD4"/>
    <w:rsid w:val="00296B04"/>
    <w:rsid w:val="00296B0C"/>
    <w:rsid w:val="00296C80"/>
    <w:rsid w:val="00296CDD"/>
    <w:rsid w:val="00296D15"/>
    <w:rsid w:val="00296D39"/>
    <w:rsid w:val="00296F4D"/>
    <w:rsid w:val="00296FC5"/>
    <w:rsid w:val="002970B1"/>
    <w:rsid w:val="00297193"/>
    <w:rsid w:val="002971A3"/>
    <w:rsid w:val="002974B7"/>
    <w:rsid w:val="0029750C"/>
    <w:rsid w:val="0029754B"/>
    <w:rsid w:val="00297577"/>
    <w:rsid w:val="00297675"/>
    <w:rsid w:val="002976E2"/>
    <w:rsid w:val="002977A1"/>
    <w:rsid w:val="00297889"/>
    <w:rsid w:val="002979AF"/>
    <w:rsid w:val="002979B5"/>
    <w:rsid w:val="00297B1D"/>
    <w:rsid w:val="00297C2F"/>
    <w:rsid w:val="00297C5E"/>
    <w:rsid w:val="002A001B"/>
    <w:rsid w:val="002A018D"/>
    <w:rsid w:val="002A021E"/>
    <w:rsid w:val="002A0394"/>
    <w:rsid w:val="002A03BB"/>
    <w:rsid w:val="002A042B"/>
    <w:rsid w:val="002A042D"/>
    <w:rsid w:val="002A0524"/>
    <w:rsid w:val="002A06AF"/>
    <w:rsid w:val="002A0729"/>
    <w:rsid w:val="002A0808"/>
    <w:rsid w:val="002A0828"/>
    <w:rsid w:val="002A0BED"/>
    <w:rsid w:val="002A0C28"/>
    <w:rsid w:val="002A0FA3"/>
    <w:rsid w:val="002A0FD7"/>
    <w:rsid w:val="002A10D8"/>
    <w:rsid w:val="002A1200"/>
    <w:rsid w:val="002A1376"/>
    <w:rsid w:val="002A1433"/>
    <w:rsid w:val="002A160C"/>
    <w:rsid w:val="002A1625"/>
    <w:rsid w:val="002A162D"/>
    <w:rsid w:val="002A1642"/>
    <w:rsid w:val="002A16A6"/>
    <w:rsid w:val="002A17D5"/>
    <w:rsid w:val="002A17F3"/>
    <w:rsid w:val="002A1802"/>
    <w:rsid w:val="002A187D"/>
    <w:rsid w:val="002A1882"/>
    <w:rsid w:val="002A1CA7"/>
    <w:rsid w:val="002A1DE5"/>
    <w:rsid w:val="002A1DF7"/>
    <w:rsid w:val="002A1EA4"/>
    <w:rsid w:val="002A20A5"/>
    <w:rsid w:val="002A212F"/>
    <w:rsid w:val="002A21F2"/>
    <w:rsid w:val="002A226C"/>
    <w:rsid w:val="002A22D9"/>
    <w:rsid w:val="002A22DC"/>
    <w:rsid w:val="002A2386"/>
    <w:rsid w:val="002A23A9"/>
    <w:rsid w:val="002A23E7"/>
    <w:rsid w:val="002A2513"/>
    <w:rsid w:val="002A2602"/>
    <w:rsid w:val="002A26F6"/>
    <w:rsid w:val="002A2716"/>
    <w:rsid w:val="002A2746"/>
    <w:rsid w:val="002A282B"/>
    <w:rsid w:val="002A285A"/>
    <w:rsid w:val="002A2890"/>
    <w:rsid w:val="002A289F"/>
    <w:rsid w:val="002A2901"/>
    <w:rsid w:val="002A29A6"/>
    <w:rsid w:val="002A2C22"/>
    <w:rsid w:val="002A2C4D"/>
    <w:rsid w:val="002A2D1E"/>
    <w:rsid w:val="002A2DD6"/>
    <w:rsid w:val="002A2E32"/>
    <w:rsid w:val="002A2E64"/>
    <w:rsid w:val="002A2E8D"/>
    <w:rsid w:val="002A2F13"/>
    <w:rsid w:val="002A305E"/>
    <w:rsid w:val="002A309A"/>
    <w:rsid w:val="002A3104"/>
    <w:rsid w:val="002A3184"/>
    <w:rsid w:val="002A3259"/>
    <w:rsid w:val="002A333F"/>
    <w:rsid w:val="002A3505"/>
    <w:rsid w:val="002A3636"/>
    <w:rsid w:val="002A3665"/>
    <w:rsid w:val="002A3789"/>
    <w:rsid w:val="002A386F"/>
    <w:rsid w:val="002A390A"/>
    <w:rsid w:val="002A3937"/>
    <w:rsid w:val="002A39BB"/>
    <w:rsid w:val="002A3A5B"/>
    <w:rsid w:val="002A3BA1"/>
    <w:rsid w:val="002A3CF1"/>
    <w:rsid w:val="002A3D39"/>
    <w:rsid w:val="002A3E09"/>
    <w:rsid w:val="002A3E4D"/>
    <w:rsid w:val="002A3EDB"/>
    <w:rsid w:val="002A3F40"/>
    <w:rsid w:val="002A3F5B"/>
    <w:rsid w:val="002A41A3"/>
    <w:rsid w:val="002A4490"/>
    <w:rsid w:val="002A45A2"/>
    <w:rsid w:val="002A45FB"/>
    <w:rsid w:val="002A46A7"/>
    <w:rsid w:val="002A48AE"/>
    <w:rsid w:val="002A491B"/>
    <w:rsid w:val="002A4B59"/>
    <w:rsid w:val="002A4C62"/>
    <w:rsid w:val="002A4D92"/>
    <w:rsid w:val="002A4DE6"/>
    <w:rsid w:val="002A4F6B"/>
    <w:rsid w:val="002A4FFB"/>
    <w:rsid w:val="002A5016"/>
    <w:rsid w:val="002A5075"/>
    <w:rsid w:val="002A50CA"/>
    <w:rsid w:val="002A514C"/>
    <w:rsid w:val="002A51FF"/>
    <w:rsid w:val="002A5265"/>
    <w:rsid w:val="002A5405"/>
    <w:rsid w:val="002A54C4"/>
    <w:rsid w:val="002A54EA"/>
    <w:rsid w:val="002A5508"/>
    <w:rsid w:val="002A554B"/>
    <w:rsid w:val="002A5638"/>
    <w:rsid w:val="002A5681"/>
    <w:rsid w:val="002A56CF"/>
    <w:rsid w:val="002A572B"/>
    <w:rsid w:val="002A5806"/>
    <w:rsid w:val="002A598D"/>
    <w:rsid w:val="002A5A63"/>
    <w:rsid w:val="002A5B0D"/>
    <w:rsid w:val="002A5B5B"/>
    <w:rsid w:val="002A5C42"/>
    <w:rsid w:val="002A5CC6"/>
    <w:rsid w:val="002A5CE1"/>
    <w:rsid w:val="002A5E4E"/>
    <w:rsid w:val="002A5E91"/>
    <w:rsid w:val="002A5F28"/>
    <w:rsid w:val="002A5F8E"/>
    <w:rsid w:val="002A5FA5"/>
    <w:rsid w:val="002A60A6"/>
    <w:rsid w:val="002A60D4"/>
    <w:rsid w:val="002A6116"/>
    <w:rsid w:val="002A61E8"/>
    <w:rsid w:val="002A61F3"/>
    <w:rsid w:val="002A6569"/>
    <w:rsid w:val="002A671B"/>
    <w:rsid w:val="002A685F"/>
    <w:rsid w:val="002A68A5"/>
    <w:rsid w:val="002A6BF5"/>
    <w:rsid w:val="002A6CB8"/>
    <w:rsid w:val="002A6E20"/>
    <w:rsid w:val="002A70F3"/>
    <w:rsid w:val="002A7181"/>
    <w:rsid w:val="002A71FD"/>
    <w:rsid w:val="002A7229"/>
    <w:rsid w:val="002A748A"/>
    <w:rsid w:val="002A74B1"/>
    <w:rsid w:val="002A74D3"/>
    <w:rsid w:val="002A74D8"/>
    <w:rsid w:val="002A75D7"/>
    <w:rsid w:val="002A7604"/>
    <w:rsid w:val="002A7652"/>
    <w:rsid w:val="002A76EA"/>
    <w:rsid w:val="002A7929"/>
    <w:rsid w:val="002A7967"/>
    <w:rsid w:val="002A79A9"/>
    <w:rsid w:val="002A7A36"/>
    <w:rsid w:val="002A7B97"/>
    <w:rsid w:val="002A7C63"/>
    <w:rsid w:val="002A7DD5"/>
    <w:rsid w:val="002A7E0C"/>
    <w:rsid w:val="002A7E10"/>
    <w:rsid w:val="002A7EA4"/>
    <w:rsid w:val="002A7EAF"/>
    <w:rsid w:val="002B005C"/>
    <w:rsid w:val="002B007E"/>
    <w:rsid w:val="002B01CC"/>
    <w:rsid w:val="002B0457"/>
    <w:rsid w:val="002B051F"/>
    <w:rsid w:val="002B069A"/>
    <w:rsid w:val="002B06CA"/>
    <w:rsid w:val="002B06F3"/>
    <w:rsid w:val="002B0723"/>
    <w:rsid w:val="002B0944"/>
    <w:rsid w:val="002B0AB3"/>
    <w:rsid w:val="002B0AEC"/>
    <w:rsid w:val="002B0B47"/>
    <w:rsid w:val="002B0B8A"/>
    <w:rsid w:val="002B0BA4"/>
    <w:rsid w:val="002B0C0B"/>
    <w:rsid w:val="002B0CBA"/>
    <w:rsid w:val="002B0DC9"/>
    <w:rsid w:val="002B0E8A"/>
    <w:rsid w:val="002B0EA2"/>
    <w:rsid w:val="002B1075"/>
    <w:rsid w:val="002B10CB"/>
    <w:rsid w:val="002B1318"/>
    <w:rsid w:val="002B1392"/>
    <w:rsid w:val="002B1455"/>
    <w:rsid w:val="002B1491"/>
    <w:rsid w:val="002B149F"/>
    <w:rsid w:val="002B14AB"/>
    <w:rsid w:val="002B14CF"/>
    <w:rsid w:val="002B156A"/>
    <w:rsid w:val="002B1674"/>
    <w:rsid w:val="002B171C"/>
    <w:rsid w:val="002B1BC9"/>
    <w:rsid w:val="002B1C27"/>
    <w:rsid w:val="002B1D5B"/>
    <w:rsid w:val="002B1D92"/>
    <w:rsid w:val="002B2006"/>
    <w:rsid w:val="002B2225"/>
    <w:rsid w:val="002B2456"/>
    <w:rsid w:val="002B24EA"/>
    <w:rsid w:val="002B26C9"/>
    <w:rsid w:val="002B2748"/>
    <w:rsid w:val="002B2936"/>
    <w:rsid w:val="002B2C07"/>
    <w:rsid w:val="002B2CF2"/>
    <w:rsid w:val="002B2D40"/>
    <w:rsid w:val="002B2D72"/>
    <w:rsid w:val="002B2E64"/>
    <w:rsid w:val="002B2EC0"/>
    <w:rsid w:val="002B2EC9"/>
    <w:rsid w:val="002B2F54"/>
    <w:rsid w:val="002B3282"/>
    <w:rsid w:val="002B32DF"/>
    <w:rsid w:val="002B34AE"/>
    <w:rsid w:val="002B34DF"/>
    <w:rsid w:val="002B34F1"/>
    <w:rsid w:val="002B353B"/>
    <w:rsid w:val="002B3611"/>
    <w:rsid w:val="002B3780"/>
    <w:rsid w:val="002B37E5"/>
    <w:rsid w:val="002B3848"/>
    <w:rsid w:val="002B38FA"/>
    <w:rsid w:val="002B3914"/>
    <w:rsid w:val="002B3924"/>
    <w:rsid w:val="002B393C"/>
    <w:rsid w:val="002B3AC2"/>
    <w:rsid w:val="002B3C14"/>
    <w:rsid w:val="002B3CB3"/>
    <w:rsid w:val="002B3CE6"/>
    <w:rsid w:val="002B3CEF"/>
    <w:rsid w:val="002B3D3E"/>
    <w:rsid w:val="002B3DAC"/>
    <w:rsid w:val="002B3ECC"/>
    <w:rsid w:val="002B3F76"/>
    <w:rsid w:val="002B407F"/>
    <w:rsid w:val="002B40AA"/>
    <w:rsid w:val="002B412D"/>
    <w:rsid w:val="002B4435"/>
    <w:rsid w:val="002B4466"/>
    <w:rsid w:val="002B45B9"/>
    <w:rsid w:val="002B45E9"/>
    <w:rsid w:val="002B475F"/>
    <w:rsid w:val="002B4834"/>
    <w:rsid w:val="002B48A0"/>
    <w:rsid w:val="002B4985"/>
    <w:rsid w:val="002B4AF9"/>
    <w:rsid w:val="002B4BDD"/>
    <w:rsid w:val="002B4BED"/>
    <w:rsid w:val="002B4BEE"/>
    <w:rsid w:val="002B4D6F"/>
    <w:rsid w:val="002B4DC1"/>
    <w:rsid w:val="002B4EF6"/>
    <w:rsid w:val="002B5157"/>
    <w:rsid w:val="002B52D0"/>
    <w:rsid w:val="002B5398"/>
    <w:rsid w:val="002B5540"/>
    <w:rsid w:val="002B55CC"/>
    <w:rsid w:val="002B55D2"/>
    <w:rsid w:val="002B572C"/>
    <w:rsid w:val="002B5795"/>
    <w:rsid w:val="002B5855"/>
    <w:rsid w:val="002B5859"/>
    <w:rsid w:val="002B5864"/>
    <w:rsid w:val="002B588B"/>
    <w:rsid w:val="002B5916"/>
    <w:rsid w:val="002B59C3"/>
    <w:rsid w:val="002B5BD9"/>
    <w:rsid w:val="002B5D09"/>
    <w:rsid w:val="002B5D18"/>
    <w:rsid w:val="002B5E31"/>
    <w:rsid w:val="002B5ECD"/>
    <w:rsid w:val="002B5ED3"/>
    <w:rsid w:val="002B5FBC"/>
    <w:rsid w:val="002B607D"/>
    <w:rsid w:val="002B609F"/>
    <w:rsid w:val="002B60BD"/>
    <w:rsid w:val="002B61BF"/>
    <w:rsid w:val="002B6207"/>
    <w:rsid w:val="002B6246"/>
    <w:rsid w:val="002B65DA"/>
    <w:rsid w:val="002B66EA"/>
    <w:rsid w:val="002B6852"/>
    <w:rsid w:val="002B6951"/>
    <w:rsid w:val="002B696F"/>
    <w:rsid w:val="002B6BC2"/>
    <w:rsid w:val="002B6D10"/>
    <w:rsid w:val="002B6E11"/>
    <w:rsid w:val="002B6EFF"/>
    <w:rsid w:val="002B7473"/>
    <w:rsid w:val="002B75C5"/>
    <w:rsid w:val="002B7620"/>
    <w:rsid w:val="002B7658"/>
    <w:rsid w:val="002B7776"/>
    <w:rsid w:val="002B7865"/>
    <w:rsid w:val="002B794E"/>
    <w:rsid w:val="002B795F"/>
    <w:rsid w:val="002B7A19"/>
    <w:rsid w:val="002B7AB1"/>
    <w:rsid w:val="002B7B2B"/>
    <w:rsid w:val="002B7B31"/>
    <w:rsid w:val="002B7B3A"/>
    <w:rsid w:val="002B7C02"/>
    <w:rsid w:val="002B7C3F"/>
    <w:rsid w:val="002C0113"/>
    <w:rsid w:val="002C0147"/>
    <w:rsid w:val="002C0199"/>
    <w:rsid w:val="002C0369"/>
    <w:rsid w:val="002C06C4"/>
    <w:rsid w:val="002C092D"/>
    <w:rsid w:val="002C0A70"/>
    <w:rsid w:val="002C0B38"/>
    <w:rsid w:val="002C0BC0"/>
    <w:rsid w:val="002C0C4E"/>
    <w:rsid w:val="002C0CFF"/>
    <w:rsid w:val="002C0E7F"/>
    <w:rsid w:val="002C0F1D"/>
    <w:rsid w:val="002C1147"/>
    <w:rsid w:val="002C11CE"/>
    <w:rsid w:val="002C150C"/>
    <w:rsid w:val="002C1529"/>
    <w:rsid w:val="002C1556"/>
    <w:rsid w:val="002C1618"/>
    <w:rsid w:val="002C16B1"/>
    <w:rsid w:val="002C18C4"/>
    <w:rsid w:val="002C1A41"/>
    <w:rsid w:val="002C1AC1"/>
    <w:rsid w:val="002C1B52"/>
    <w:rsid w:val="002C1B69"/>
    <w:rsid w:val="002C1B73"/>
    <w:rsid w:val="002C1F33"/>
    <w:rsid w:val="002C1FC2"/>
    <w:rsid w:val="002C21E0"/>
    <w:rsid w:val="002C2224"/>
    <w:rsid w:val="002C232A"/>
    <w:rsid w:val="002C238C"/>
    <w:rsid w:val="002C2472"/>
    <w:rsid w:val="002C248B"/>
    <w:rsid w:val="002C252B"/>
    <w:rsid w:val="002C2559"/>
    <w:rsid w:val="002C2788"/>
    <w:rsid w:val="002C28C9"/>
    <w:rsid w:val="002C29B3"/>
    <w:rsid w:val="002C29C0"/>
    <w:rsid w:val="002C2A03"/>
    <w:rsid w:val="002C2A2F"/>
    <w:rsid w:val="002C2B1D"/>
    <w:rsid w:val="002C2E50"/>
    <w:rsid w:val="002C2ECC"/>
    <w:rsid w:val="002C3077"/>
    <w:rsid w:val="002C3166"/>
    <w:rsid w:val="002C3185"/>
    <w:rsid w:val="002C323F"/>
    <w:rsid w:val="002C33C3"/>
    <w:rsid w:val="002C34EA"/>
    <w:rsid w:val="002C357C"/>
    <w:rsid w:val="002C379C"/>
    <w:rsid w:val="002C396A"/>
    <w:rsid w:val="002C39F3"/>
    <w:rsid w:val="002C3B2E"/>
    <w:rsid w:val="002C3B7E"/>
    <w:rsid w:val="002C3BB2"/>
    <w:rsid w:val="002C3BD9"/>
    <w:rsid w:val="002C3D2B"/>
    <w:rsid w:val="002C3D53"/>
    <w:rsid w:val="002C3D9B"/>
    <w:rsid w:val="002C3DD2"/>
    <w:rsid w:val="002C4023"/>
    <w:rsid w:val="002C43A8"/>
    <w:rsid w:val="002C43FF"/>
    <w:rsid w:val="002C4404"/>
    <w:rsid w:val="002C4488"/>
    <w:rsid w:val="002C44B0"/>
    <w:rsid w:val="002C44E5"/>
    <w:rsid w:val="002C44FA"/>
    <w:rsid w:val="002C4516"/>
    <w:rsid w:val="002C47A2"/>
    <w:rsid w:val="002C47F7"/>
    <w:rsid w:val="002C4854"/>
    <w:rsid w:val="002C4A92"/>
    <w:rsid w:val="002C4BD9"/>
    <w:rsid w:val="002C4C56"/>
    <w:rsid w:val="002C4E6C"/>
    <w:rsid w:val="002C4EE7"/>
    <w:rsid w:val="002C4F3E"/>
    <w:rsid w:val="002C4F78"/>
    <w:rsid w:val="002C4F9A"/>
    <w:rsid w:val="002C525A"/>
    <w:rsid w:val="002C52BE"/>
    <w:rsid w:val="002C5486"/>
    <w:rsid w:val="002C5676"/>
    <w:rsid w:val="002C56C5"/>
    <w:rsid w:val="002C58AF"/>
    <w:rsid w:val="002C5968"/>
    <w:rsid w:val="002C5969"/>
    <w:rsid w:val="002C5A29"/>
    <w:rsid w:val="002C5A9C"/>
    <w:rsid w:val="002C5B2B"/>
    <w:rsid w:val="002C5BBF"/>
    <w:rsid w:val="002C5BDF"/>
    <w:rsid w:val="002C5C26"/>
    <w:rsid w:val="002C5C8E"/>
    <w:rsid w:val="002C5D3A"/>
    <w:rsid w:val="002C5D54"/>
    <w:rsid w:val="002C5DAC"/>
    <w:rsid w:val="002C5DD3"/>
    <w:rsid w:val="002C5DD9"/>
    <w:rsid w:val="002C5E40"/>
    <w:rsid w:val="002C5EEA"/>
    <w:rsid w:val="002C5F89"/>
    <w:rsid w:val="002C5F93"/>
    <w:rsid w:val="002C606C"/>
    <w:rsid w:val="002C609A"/>
    <w:rsid w:val="002C60B5"/>
    <w:rsid w:val="002C60D9"/>
    <w:rsid w:val="002C62C0"/>
    <w:rsid w:val="002C650E"/>
    <w:rsid w:val="002C65B1"/>
    <w:rsid w:val="002C66F3"/>
    <w:rsid w:val="002C6719"/>
    <w:rsid w:val="002C6907"/>
    <w:rsid w:val="002C6A40"/>
    <w:rsid w:val="002C6FF7"/>
    <w:rsid w:val="002C7046"/>
    <w:rsid w:val="002C7381"/>
    <w:rsid w:val="002C7612"/>
    <w:rsid w:val="002C775C"/>
    <w:rsid w:val="002C77C7"/>
    <w:rsid w:val="002C7800"/>
    <w:rsid w:val="002C7822"/>
    <w:rsid w:val="002C78C8"/>
    <w:rsid w:val="002C7901"/>
    <w:rsid w:val="002C796C"/>
    <w:rsid w:val="002C7AE8"/>
    <w:rsid w:val="002C7BAA"/>
    <w:rsid w:val="002C7BAE"/>
    <w:rsid w:val="002C7BF7"/>
    <w:rsid w:val="002C7C46"/>
    <w:rsid w:val="002C7C4E"/>
    <w:rsid w:val="002C7D65"/>
    <w:rsid w:val="002C7DDE"/>
    <w:rsid w:val="002C7F17"/>
    <w:rsid w:val="002C7FC5"/>
    <w:rsid w:val="002D0180"/>
    <w:rsid w:val="002D0315"/>
    <w:rsid w:val="002D040D"/>
    <w:rsid w:val="002D0459"/>
    <w:rsid w:val="002D062C"/>
    <w:rsid w:val="002D07F1"/>
    <w:rsid w:val="002D09B5"/>
    <w:rsid w:val="002D0AC3"/>
    <w:rsid w:val="002D0AFE"/>
    <w:rsid w:val="002D0B7A"/>
    <w:rsid w:val="002D0E12"/>
    <w:rsid w:val="002D0E88"/>
    <w:rsid w:val="002D1024"/>
    <w:rsid w:val="002D1149"/>
    <w:rsid w:val="002D1158"/>
    <w:rsid w:val="002D1224"/>
    <w:rsid w:val="002D12D8"/>
    <w:rsid w:val="002D1451"/>
    <w:rsid w:val="002D1483"/>
    <w:rsid w:val="002D153C"/>
    <w:rsid w:val="002D1573"/>
    <w:rsid w:val="002D1634"/>
    <w:rsid w:val="002D16B7"/>
    <w:rsid w:val="002D16B8"/>
    <w:rsid w:val="002D1806"/>
    <w:rsid w:val="002D19A1"/>
    <w:rsid w:val="002D1A78"/>
    <w:rsid w:val="002D1B8E"/>
    <w:rsid w:val="002D1D12"/>
    <w:rsid w:val="002D1D8F"/>
    <w:rsid w:val="002D1DC9"/>
    <w:rsid w:val="002D1E0B"/>
    <w:rsid w:val="002D1E99"/>
    <w:rsid w:val="002D21C1"/>
    <w:rsid w:val="002D231B"/>
    <w:rsid w:val="002D23B9"/>
    <w:rsid w:val="002D23C6"/>
    <w:rsid w:val="002D2681"/>
    <w:rsid w:val="002D28A0"/>
    <w:rsid w:val="002D28EF"/>
    <w:rsid w:val="002D2A73"/>
    <w:rsid w:val="002D2C04"/>
    <w:rsid w:val="002D2C28"/>
    <w:rsid w:val="002D2C63"/>
    <w:rsid w:val="002D2CC5"/>
    <w:rsid w:val="002D2E34"/>
    <w:rsid w:val="002D2EE7"/>
    <w:rsid w:val="002D2EEA"/>
    <w:rsid w:val="002D2F7F"/>
    <w:rsid w:val="002D3002"/>
    <w:rsid w:val="002D30FD"/>
    <w:rsid w:val="002D32BF"/>
    <w:rsid w:val="002D350A"/>
    <w:rsid w:val="002D3513"/>
    <w:rsid w:val="002D35A7"/>
    <w:rsid w:val="002D368E"/>
    <w:rsid w:val="002D3823"/>
    <w:rsid w:val="002D390E"/>
    <w:rsid w:val="002D3941"/>
    <w:rsid w:val="002D3990"/>
    <w:rsid w:val="002D3B8F"/>
    <w:rsid w:val="002D3C06"/>
    <w:rsid w:val="002D3C33"/>
    <w:rsid w:val="002D3CB0"/>
    <w:rsid w:val="002D3CC0"/>
    <w:rsid w:val="002D3CE7"/>
    <w:rsid w:val="002D3F04"/>
    <w:rsid w:val="002D3FA5"/>
    <w:rsid w:val="002D3FB4"/>
    <w:rsid w:val="002D3FFD"/>
    <w:rsid w:val="002D4006"/>
    <w:rsid w:val="002D4106"/>
    <w:rsid w:val="002D4115"/>
    <w:rsid w:val="002D419D"/>
    <w:rsid w:val="002D41F4"/>
    <w:rsid w:val="002D421D"/>
    <w:rsid w:val="002D45FF"/>
    <w:rsid w:val="002D476F"/>
    <w:rsid w:val="002D4779"/>
    <w:rsid w:val="002D479D"/>
    <w:rsid w:val="002D480C"/>
    <w:rsid w:val="002D4836"/>
    <w:rsid w:val="002D490B"/>
    <w:rsid w:val="002D4954"/>
    <w:rsid w:val="002D4B7C"/>
    <w:rsid w:val="002D4BA5"/>
    <w:rsid w:val="002D4CE2"/>
    <w:rsid w:val="002D4D7E"/>
    <w:rsid w:val="002D4E45"/>
    <w:rsid w:val="002D4F46"/>
    <w:rsid w:val="002D4FC5"/>
    <w:rsid w:val="002D4FDE"/>
    <w:rsid w:val="002D511E"/>
    <w:rsid w:val="002D519D"/>
    <w:rsid w:val="002D557C"/>
    <w:rsid w:val="002D55A7"/>
    <w:rsid w:val="002D562B"/>
    <w:rsid w:val="002D565D"/>
    <w:rsid w:val="002D56B4"/>
    <w:rsid w:val="002D5794"/>
    <w:rsid w:val="002D579D"/>
    <w:rsid w:val="002D5A3E"/>
    <w:rsid w:val="002D5D25"/>
    <w:rsid w:val="002D5D62"/>
    <w:rsid w:val="002D5E1C"/>
    <w:rsid w:val="002D5F2B"/>
    <w:rsid w:val="002D5FA7"/>
    <w:rsid w:val="002D604E"/>
    <w:rsid w:val="002D61DF"/>
    <w:rsid w:val="002D63CD"/>
    <w:rsid w:val="002D6438"/>
    <w:rsid w:val="002D661B"/>
    <w:rsid w:val="002D6749"/>
    <w:rsid w:val="002D67D8"/>
    <w:rsid w:val="002D68C7"/>
    <w:rsid w:val="002D68E3"/>
    <w:rsid w:val="002D6B80"/>
    <w:rsid w:val="002D6C6B"/>
    <w:rsid w:val="002D6D28"/>
    <w:rsid w:val="002D6EE7"/>
    <w:rsid w:val="002D6FD8"/>
    <w:rsid w:val="002D71DC"/>
    <w:rsid w:val="002D7275"/>
    <w:rsid w:val="002D7347"/>
    <w:rsid w:val="002D739D"/>
    <w:rsid w:val="002D742B"/>
    <w:rsid w:val="002D746F"/>
    <w:rsid w:val="002D74E0"/>
    <w:rsid w:val="002D76AE"/>
    <w:rsid w:val="002D776F"/>
    <w:rsid w:val="002D78F9"/>
    <w:rsid w:val="002D7945"/>
    <w:rsid w:val="002D7993"/>
    <w:rsid w:val="002D7997"/>
    <w:rsid w:val="002D7C5F"/>
    <w:rsid w:val="002D7F39"/>
    <w:rsid w:val="002D7F5E"/>
    <w:rsid w:val="002D7FD6"/>
    <w:rsid w:val="002E019E"/>
    <w:rsid w:val="002E0485"/>
    <w:rsid w:val="002E04F9"/>
    <w:rsid w:val="002E051D"/>
    <w:rsid w:val="002E0751"/>
    <w:rsid w:val="002E07E6"/>
    <w:rsid w:val="002E08D6"/>
    <w:rsid w:val="002E0AE6"/>
    <w:rsid w:val="002E0AFA"/>
    <w:rsid w:val="002E0CC5"/>
    <w:rsid w:val="002E0D41"/>
    <w:rsid w:val="002E0E45"/>
    <w:rsid w:val="002E0E46"/>
    <w:rsid w:val="002E103D"/>
    <w:rsid w:val="002E139D"/>
    <w:rsid w:val="002E1475"/>
    <w:rsid w:val="002E1476"/>
    <w:rsid w:val="002E15C2"/>
    <w:rsid w:val="002E15F2"/>
    <w:rsid w:val="002E1637"/>
    <w:rsid w:val="002E169E"/>
    <w:rsid w:val="002E17E8"/>
    <w:rsid w:val="002E18A4"/>
    <w:rsid w:val="002E1A68"/>
    <w:rsid w:val="002E1BF7"/>
    <w:rsid w:val="002E1C3B"/>
    <w:rsid w:val="002E1CFF"/>
    <w:rsid w:val="002E1D50"/>
    <w:rsid w:val="002E1DEB"/>
    <w:rsid w:val="002E1EF3"/>
    <w:rsid w:val="002E20C9"/>
    <w:rsid w:val="002E20E3"/>
    <w:rsid w:val="002E2249"/>
    <w:rsid w:val="002E2397"/>
    <w:rsid w:val="002E2446"/>
    <w:rsid w:val="002E2499"/>
    <w:rsid w:val="002E25FC"/>
    <w:rsid w:val="002E2654"/>
    <w:rsid w:val="002E2669"/>
    <w:rsid w:val="002E274B"/>
    <w:rsid w:val="002E2823"/>
    <w:rsid w:val="002E28E0"/>
    <w:rsid w:val="002E2AEA"/>
    <w:rsid w:val="002E2DD0"/>
    <w:rsid w:val="002E2E41"/>
    <w:rsid w:val="002E2E53"/>
    <w:rsid w:val="002E2F16"/>
    <w:rsid w:val="002E2F3D"/>
    <w:rsid w:val="002E2F86"/>
    <w:rsid w:val="002E301E"/>
    <w:rsid w:val="002E302A"/>
    <w:rsid w:val="002E31D4"/>
    <w:rsid w:val="002E329D"/>
    <w:rsid w:val="002E3448"/>
    <w:rsid w:val="002E34D4"/>
    <w:rsid w:val="002E34DC"/>
    <w:rsid w:val="002E3757"/>
    <w:rsid w:val="002E3892"/>
    <w:rsid w:val="002E38E2"/>
    <w:rsid w:val="002E3A48"/>
    <w:rsid w:val="002E3A5F"/>
    <w:rsid w:val="002E3AB3"/>
    <w:rsid w:val="002E3B65"/>
    <w:rsid w:val="002E3DE9"/>
    <w:rsid w:val="002E3DF6"/>
    <w:rsid w:val="002E3E53"/>
    <w:rsid w:val="002E3ED4"/>
    <w:rsid w:val="002E3F37"/>
    <w:rsid w:val="002E3F98"/>
    <w:rsid w:val="002E3FED"/>
    <w:rsid w:val="002E40B9"/>
    <w:rsid w:val="002E4163"/>
    <w:rsid w:val="002E423B"/>
    <w:rsid w:val="002E425C"/>
    <w:rsid w:val="002E4303"/>
    <w:rsid w:val="002E44B9"/>
    <w:rsid w:val="002E459B"/>
    <w:rsid w:val="002E4A2D"/>
    <w:rsid w:val="002E4AC6"/>
    <w:rsid w:val="002E4B22"/>
    <w:rsid w:val="002E4B6B"/>
    <w:rsid w:val="002E4F61"/>
    <w:rsid w:val="002E5008"/>
    <w:rsid w:val="002E502E"/>
    <w:rsid w:val="002E504B"/>
    <w:rsid w:val="002E5191"/>
    <w:rsid w:val="002E577E"/>
    <w:rsid w:val="002E57DC"/>
    <w:rsid w:val="002E592D"/>
    <w:rsid w:val="002E5C7A"/>
    <w:rsid w:val="002E5C89"/>
    <w:rsid w:val="002E5CDA"/>
    <w:rsid w:val="002E5D20"/>
    <w:rsid w:val="002E5EC3"/>
    <w:rsid w:val="002E605C"/>
    <w:rsid w:val="002E618E"/>
    <w:rsid w:val="002E61BD"/>
    <w:rsid w:val="002E62B5"/>
    <w:rsid w:val="002E6373"/>
    <w:rsid w:val="002E63BB"/>
    <w:rsid w:val="002E64E5"/>
    <w:rsid w:val="002E651D"/>
    <w:rsid w:val="002E652D"/>
    <w:rsid w:val="002E65D8"/>
    <w:rsid w:val="002E676A"/>
    <w:rsid w:val="002E684E"/>
    <w:rsid w:val="002E68A5"/>
    <w:rsid w:val="002E6907"/>
    <w:rsid w:val="002E699A"/>
    <w:rsid w:val="002E6B44"/>
    <w:rsid w:val="002E6DB6"/>
    <w:rsid w:val="002E6E76"/>
    <w:rsid w:val="002E6F34"/>
    <w:rsid w:val="002E6FEF"/>
    <w:rsid w:val="002E700C"/>
    <w:rsid w:val="002E730D"/>
    <w:rsid w:val="002E7402"/>
    <w:rsid w:val="002E74B9"/>
    <w:rsid w:val="002E74FA"/>
    <w:rsid w:val="002E74FE"/>
    <w:rsid w:val="002E76C6"/>
    <w:rsid w:val="002E7707"/>
    <w:rsid w:val="002E773E"/>
    <w:rsid w:val="002E782F"/>
    <w:rsid w:val="002E78F7"/>
    <w:rsid w:val="002E7A6F"/>
    <w:rsid w:val="002E7B12"/>
    <w:rsid w:val="002E7CF6"/>
    <w:rsid w:val="002E7D28"/>
    <w:rsid w:val="002E7D47"/>
    <w:rsid w:val="002E7DBC"/>
    <w:rsid w:val="002E7E0B"/>
    <w:rsid w:val="002E7E50"/>
    <w:rsid w:val="002E7EEA"/>
    <w:rsid w:val="002E7F65"/>
    <w:rsid w:val="002E7FD2"/>
    <w:rsid w:val="002E7FDA"/>
    <w:rsid w:val="002F034B"/>
    <w:rsid w:val="002F03EA"/>
    <w:rsid w:val="002F0444"/>
    <w:rsid w:val="002F047B"/>
    <w:rsid w:val="002F0549"/>
    <w:rsid w:val="002F0574"/>
    <w:rsid w:val="002F060B"/>
    <w:rsid w:val="002F06F3"/>
    <w:rsid w:val="002F0774"/>
    <w:rsid w:val="002F08C4"/>
    <w:rsid w:val="002F0A2A"/>
    <w:rsid w:val="002F0AF6"/>
    <w:rsid w:val="002F0B29"/>
    <w:rsid w:val="002F0CDE"/>
    <w:rsid w:val="002F0D52"/>
    <w:rsid w:val="002F0E07"/>
    <w:rsid w:val="002F0F30"/>
    <w:rsid w:val="002F1197"/>
    <w:rsid w:val="002F1385"/>
    <w:rsid w:val="002F13F1"/>
    <w:rsid w:val="002F1450"/>
    <w:rsid w:val="002F1459"/>
    <w:rsid w:val="002F1569"/>
    <w:rsid w:val="002F1610"/>
    <w:rsid w:val="002F18CC"/>
    <w:rsid w:val="002F1B59"/>
    <w:rsid w:val="002F1C8E"/>
    <w:rsid w:val="002F1C96"/>
    <w:rsid w:val="002F1D77"/>
    <w:rsid w:val="002F1D9E"/>
    <w:rsid w:val="002F1E06"/>
    <w:rsid w:val="002F1F24"/>
    <w:rsid w:val="002F1F55"/>
    <w:rsid w:val="002F2026"/>
    <w:rsid w:val="002F22DF"/>
    <w:rsid w:val="002F23D8"/>
    <w:rsid w:val="002F2553"/>
    <w:rsid w:val="002F2650"/>
    <w:rsid w:val="002F2676"/>
    <w:rsid w:val="002F26E1"/>
    <w:rsid w:val="002F28BA"/>
    <w:rsid w:val="002F28C2"/>
    <w:rsid w:val="002F297A"/>
    <w:rsid w:val="002F2A96"/>
    <w:rsid w:val="002F2B33"/>
    <w:rsid w:val="002F2C44"/>
    <w:rsid w:val="002F2D47"/>
    <w:rsid w:val="002F2F15"/>
    <w:rsid w:val="002F3161"/>
    <w:rsid w:val="002F3250"/>
    <w:rsid w:val="002F3272"/>
    <w:rsid w:val="002F3372"/>
    <w:rsid w:val="002F3374"/>
    <w:rsid w:val="002F3448"/>
    <w:rsid w:val="002F349B"/>
    <w:rsid w:val="002F3507"/>
    <w:rsid w:val="002F36B7"/>
    <w:rsid w:val="002F3A89"/>
    <w:rsid w:val="002F3B1E"/>
    <w:rsid w:val="002F3BF4"/>
    <w:rsid w:val="002F3CF9"/>
    <w:rsid w:val="002F3F6B"/>
    <w:rsid w:val="002F400B"/>
    <w:rsid w:val="002F400E"/>
    <w:rsid w:val="002F40EB"/>
    <w:rsid w:val="002F410C"/>
    <w:rsid w:val="002F423C"/>
    <w:rsid w:val="002F4405"/>
    <w:rsid w:val="002F44FC"/>
    <w:rsid w:val="002F463D"/>
    <w:rsid w:val="002F46B3"/>
    <w:rsid w:val="002F4752"/>
    <w:rsid w:val="002F4801"/>
    <w:rsid w:val="002F49C8"/>
    <w:rsid w:val="002F4AA9"/>
    <w:rsid w:val="002F4AE1"/>
    <w:rsid w:val="002F4E4F"/>
    <w:rsid w:val="002F4E87"/>
    <w:rsid w:val="002F4E9C"/>
    <w:rsid w:val="002F4EA8"/>
    <w:rsid w:val="002F4EAD"/>
    <w:rsid w:val="002F4F74"/>
    <w:rsid w:val="002F50ED"/>
    <w:rsid w:val="002F516E"/>
    <w:rsid w:val="002F529E"/>
    <w:rsid w:val="002F52E0"/>
    <w:rsid w:val="002F5426"/>
    <w:rsid w:val="002F54B2"/>
    <w:rsid w:val="002F54F7"/>
    <w:rsid w:val="002F56D1"/>
    <w:rsid w:val="002F572F"/>
    <w:rsid w:val="002F5764"/>
    <w:rsid w:val="002F57BC"/>
    <w:rsid w:val="002F58B2"/>
    <w:rsid w:val="002F58C2"/>
    <w:rsid w:val="002F5D85"/>
    <w:rsid w:val="002F6093"/>
    <w:rsid w:val="002F609D"/>
    <w:rsid w:val="002F618F"/>
    <w:rsid w:val="002F633E"/>
    <w:rsid w:val="002F6475"/>
    <w:rsid w:val="002F6551"/>
    <w:rsid w:val="002F66A1"/>
    <w:rsid w:val="002F67DE"/>
    <w:rsid w:val="002F6A1D"/>
    <w:rsid w:val="002F6A6E"/>
    <w:rsid w:val="002F6B2D"/>
    <w:rsid w:val="002F6B64"/>
    <w:rsid w:val="002F6C53"/>
    <w:rsid w:val="002F6DE7"/>
    <w:rsid w:val="002F6E63"/>
    <w:rsid w:val="002F6EE4"/>
    <w:rsid w:val="002F70A6"/>
    <w:rsid w:val="002F70D4"/>
    <w:rsid w:val="002F714B"/>
    <w:rsid w:val="002F72DF"/>
    <w:rsid w:val="002F7381"/>
    <w:rsid w:val="002F73B0"/>
    <w:rsid w:val="002F73B4"/>
    <w:rsid w:val="002F740A"/>
    <w:rsid w:val="002F7661"/>
    <w:rsid w:val="002F76DA"/>
    <w:rsid w:val="002F77BA"/>
    <w:rsid w:val="002F77C5"/>
    <w:rsid w:val="002F7853"/>
    <w:rsid w:val="002F794D"/>
    <w:rsid w:val="002F79BE"/>
    <w:rsid w:val="002F79FA"/>
    <w:rsid w:val="002F7B18"/>
    <w:rsid w:val="002F7B6E"/>
    <w:rsid w:val="002F7B8F"/>
    <w:rsid w:val="002F7BB8"/>
    <w:rsid w:val="002F7E6C"/>
    <w:rsid w:val="002F7F6C"/>
    <w:rsid w:val="0030016C"/>
    <w:rsid w:val="0030031A"/>
    <w:rsid w:val="0030043C"/>
    <w:rsid w:val="003005E6"/>
    <w:rsid w:val="00300626"/>
    <w:rsid w:val="0030066F"/>
    <w:rsid w:val="00300684"/>
    <w:rsid w:val="0030073A"/>
    <w:rsid w:val="00300851"/>
    <w:rsid w:val="003009ED"/>
    <w:rsid w:val="00300C4C"/>
    <w:rsid w:val="00300C5F"/>
    <w:rsid w:val="00300CA0"/>
    <w:rsid w:val="00300CD7"/>
    <w:rsid w:val="00300DB9"/>
    <w:rsid w:val="00300E85"/>
    <w:rsid w:val="00300ED5"/>
    <w:rsid w:val="00300F09"/>
    <w:rsid w:val="00300F51"/>
    <w:rsid w:val="00301098"/>
    <w:rsid w:val="00301162"/>
    <w:rsid w:val="0030141D"/>
    <w:rsid w:val="003015A0"/>
    <w:rsid w:val="00301717"/>
    <w:rsid w:val="0030178D"/>
    <w:rsid w:val="003017D8"/>
    <w:rsid w:val="003017FB"/>
    <w:rsid w:val="00301837"/>
    <w:rsid w:val="003018D3"/>
    <w:rsid w:val="00301C28"/>
    <w:rsid w:val="00301D0F"/>
    <w:rsid w:val="00301D31"/>
    <w:rsid w:val="00302010"/>
    <w:rsid w:val="00302069"/>
    <w:rsid w:val="003020E2"/>
    <w:rsid w:val="00302169"/>
    <w:rsid w:val="0030248D"/>
    <w:rsid w:val="003024D8"/>
    <w:rsid w:val="00302620"/>
    <w:rsid w:val="00302665"/>
    <w:rsid w:val="00302807"/>
    <w:rsid w:val="00302850"/>
    <w:rsid w:val="00302903"/>
    <w:rsid w:val="00302924"/>
    <w:rsid w:val="00302952"/>
    <w:rsid w:val="00302998"/>
    <w:rsid w:val="00302AEE"/>
    <w:rsid w:val="00302B73"/>
    <w:rsid w:val="00302BA9"/>
    <w:rsid w:val="00302BD4"/>
    <w:rsid w:val="00302C1C"/>
    <w:rsid w:val="00302CB8"/>
    <w:rsid w:val="00302D9A"/>
    <w:rsid w:val="00302DB2"/>
    <w:rsid w:val="00302EEF"/>
    <w:rsid w:val="0030307C"/>
    <w:rsid w:val="00303169"/>
    <w:rsid w:val="003031D7"/>
    <w:rsid w:val="0030320D"/>
    <w:rsid w:val="00303287"/>
    <w:rsid w:val="003034DF"/>
    <w:rsid w:val="00303685"/>
    <w:rsid w:val="00303775"/>
    <w:rsid w:val="00303A61"/>
    <w:rsid w:val="00303A66"/>
    <w:rsid w:val="00303A89"/>
    <w:rsid w:val="00303AA8"/>
    <w:rsid w:val="00303AB7"/>
    <w:rsid w:val="00303BE4"/>
    <w:rsid w:val="00303C10"/>
    <w:rsid w:val="0030400D"/>
    <w:rsid w:val="003041FF"/>
    <w:rsid w:val="00304216"/>
    <w:rsid w:val="0030422C"/>
    <w:rsid w:val="003042D7"/>
    <w:rsid w:val="003043D2"/>
    <w:rsid w:val="00304497"/>
    <w:rsid w:val="0030459C"/>
    <w:rsid w:val="003045B6"/>
    <w:rsid w:val="003045BB"/>
    <w:rsid w:val="003045D6"/>
    <w:rsid w:val="00304622"/>
    <w:rsid w:val="0030468E"/>
    <w:rsid w:val="003047E7"/>
    <w:rsid w:val="0030482C"/>
    <w:rsid w:val="003048D9"/>
    <w:rsid w:val="00304A14"/>
    <w:rsid w:val="00304A80"/>
    <w:rsid w:val="00304AA8"/>
    <w:rsid w:val="00304AE4"/>
    <w:rsid w:val="00304CC0"/>
    <w:rsid w:val="00304CD2"/>
    <w:rsid w:val="00304CFB"/>
    <w:rsid w:val="00304E3F"/>
    <w:rsid w:val="00305123"/>
    <w:rsid w:val="003051D6"/>
    <w:rsid w:val="0030522A"/>
    <w:rsid w:val="00305271"/>
    <w:rsid w:val="00305369"/>
    <w:rsid w:val="0030545E"/>
    <w:rsid w:val="003055BE"/>
    <w:rsid w:val="003055E6"/>
    <w:rsid w:val="0030561B"/>
    <w:rsid w:val="00305802"/>
    <w:rsid w:val="00305A19"/>
    <w:rsid w:val="00305A6F"/>
    <w:rsid w:val="00305B43"/>
    <w:rsid w:val="00305C74"/>
    <w:rsid w:val="00305C7A"/>
    <w:rsid w:val="00305CC3"/>
    <w:rsid w:val="00305D6C"/>
    <w:rsid w:val="00305EB3"/>
    <w:rsid w:val="00305ED8"/>
    <w:rsid w:val="00305F4A"/>
    <w:rsid w:val="003061D9"/>
    <w:rsid w:val="003061DB"/>
    <w:rsid w:val="00306232"/>
    <w:rsid w:val="003062B1"/>
    <w:rsid w:val="00306591"/>
    <w:rsid w:val="00306690"/>
    <w:rsid w:val="003067F3"/>
    <w:rsid w:val="00306869"/>
    <w:rsid w:val="00306884"/>
    <w:rsid w:val="003069BE"/>
    <w:rsid w:val="00306B44"/>
    <w:rsid w:val="00306B92"/>
    <w:rsid w:val="00306BD2"/>
    <w:rsid w:val="00306D1C"/>
    <w:rsid w:val="00306D65"/>
    <w:rsid w:val="00306DD2"/>
    <w:rsid w:val="00306E03"/>
    <w:rsid w:val="00306EC8"/>
    <w:rsid w:val="00306F60"/>
    <w:rsid w:val="00306F67"/>
    <w:rsid w:val="00306FD1"/>
    <w:rsid w:val="00306FE7"/>
    <w:rsid w:val="003070AC"/>
    <w:rsid w:val="0030722E"/>
    <w:rsid w:val="00307279"/>
    <w:rsid w:val="00307557"/>
    <w:rsid w:val="003075EF"/>
    <w:rsid w:val="0030766E"/>
    <w:rsid w:val="003077A6"/>
    <w:rsid w:val="003077A8"/>
    <w:rsid w:val="0030783B"/>
    <w:rsid w:val="003078A3"/>
    <w:rsid w:val="00307973"/>
    <w:rsid w:val="00307B32"/>
    <w:rsid w:val="00307BD0"/>
    <w:rsid w:val="00307C9A"/>
    <w:rsid w:val="00307DFE"/>
    <w:rsid w:val="00307E7C"/>
    <w:rsid w:val="00307EDD"/>
    <w:rsid w:val="0031000C"/>
    <w:rsid w:val="00310064"/>
    <w:rsid w:val="0031015D"/>
    <w:rsid w:val="00310221"/>
    <w:rsid w:val="00310237"/>
    <w:rsid w:val="00310263"/>
    <w:rsid w:val="00310280"/>
    <w:rsid w:val="003102DE"/>
    <w:rsid w:val="00310345"/>
    <w:rsid w:val="0031038F"/>
    <w:rsid w:val="00310390"/>
    <w:rsid w:val="003103B1"/>
    <w:rsid w:val="00310419"/>
    <w:rsid w:val="00310440"/>
    <w:rsid w:val="003104C5"/>
    <w:rsid w:val="003104D0"/>
    <w:rsid w:val="0031055B"/>
    <w:rsid w:val="00310579"/>
    <w:rsid w:val="003105E4"/>
    <w:rsid w:val="003105EF"/>
    <w:rsid w:val="00310650"/>
    <w:rsid w:val="00310940"/>
    <w:rsid w:val="00310B40"/>
    <w:rsid w:val="00310B48"/>
    <w:rsid w:val="00310BD7"/>
    <w:rsid w:val="00310BF6"/>
    <w:rsid w:val="00310C0E"/>
    <w:rsid w:val="00310C42"/>
    <w:rsid w:val="00310C4F"/>
    <w:rsid w:val="00310D14"/>
    <w:rsid w:val="00310D52"/>
    <w:rsid w:val="00310D64"/>
    <w:rsid w:val="00310ECB"/>
    <w:rsid w:val="00310FA8"/>
    <w:rsid w:val="00310FB8"/>
    <w:rsid w:val="003112CB"/>
    <w:rsid w:val="003113EB"/>
    <w:rsid w:val="0031142E"/>
    <w:rsid w:val="00311490"/>
    <w:rsid w:val="0031170F"/>
    <w:rsid w:val="003119F1"/>
    <w:rsid w:val="00311AD5"/>
    <w:rsid w:val="00311F00"/>
    <w:rsid w:val="00311F2C"/>
    <w:rsid w:val="00312012"/>
    <w:rsid w:val="0031219C"/>
    <w:rsid w:val="00312290"/>
    <w:rsid w:val="0031246D"/>
    <w:rsid w:val="0031248C"/>
    <w:rsid w:val="0031254C"/>
    <w:rsid w:val="0031292E"/>
    <w:rsid w:val="003129F1"/>
    <w:rsid w:val="00312A8F"/>
    <w:rsid w:val="00312ABF"/>
    <w:rsid w:val="00312C57"/>
    <w:rsid w:val="00312C5B"/>
    <w:rsid w:val="00312C67"/>
    <w:rsid w:val="00312CC7"/>
    <w:rsid w:val="00312D98"/>
    <w:rsid w:val="00312F85"/>
    <w:rsid w:val="00313003"/>
    <w:rsid w:val="0031300C"/>
    <w:rsid w:val="0031302E"/>
    <w:rsid w:val="00313032"/>
    <w:rsid w:val="0031311C"/>
    <w:rsid w:val="00313676"/>
    <w:rsid w:val="00313744"/>
    <w:rsid w:val="00313809"/>
    <w:rsid w:val="0031386A"/>
    <w:rsid w:val="00313872"/>
    <w:rsid w:val="003138B4"/>
    <w:rsid w:val="003138FC"/>
    <w:rsid w:val="003139DD"/>
    <w:rsid w:val="00313AC2"/>
    <w:rsid w:val="00313B16"/>
    <w:rsid w:val="00313B84"/>
    <w:rsid w:val="00313C5D"/>
    <w:rsid w:val="00313CC3"/>
    <w:rsid w:val="00313CEF"/>
    <w:rsid w:val="00313FDE"/>
    <w:rsid w:val="00313FE1"/>
    <w:rsid w:val="00314086"/>
    <w:rsid w:val="003140C8"/>
    <w:rsid w:val="003140D7"/>
    <w:rsid w:val="003140F8"/>
    <w:rsid w:val="003143CA"/>
    <w:rsid w:val="003144BD"/>
    <w:rsid w:val="0031460A"/>
    <w:rsid w:val="0031461B"/>
    <w:rsid w:val="0031486A"/>
    <w:rsid w:val="003148D9"/>
    <w:rsid w:val="00314901"/>
    <w:rsid w:val="003149CD"/>
    <w:rsid w:val="00314A19"/>
    <w:rsid w:val="00314A8D"/>
    <w:rsid w:val="00314C10"/>
    <w:rsid w:val="00314C97"/>
    <w:rsid w:val="00314E26"/>
    <w:rsid w:val="00314E55"/>
    <w:rsid w:val="00314F90"/>
    <w:rsid w:val="0031501C"/>
    <w:rsid w:val="00315089"/>
    <w:rsid w:val="003150E7"/>
    <w:rsid w:val="003151E1"/>
    <w:rsid w:val="003151F9"/>
    <w:rsid w:val="00315463"/>
    <w:rsid w:val="00315588"/>
    <w:rsid w:val="0031569B"/>
    <w:rsid w:val="003156AC"/>
    <w:rsid w:val="003156CB"/>
    <w:rsid w:val="0031578F"/>
    <w:rsid w:val="003158BA"/>
    <w:rsid w:val="003158C6"/>
    <w:rsid w:val="00315978"/>
    <w:rsid w:val="003159D5"/>
    <w:rsid w:val="00315A25"/>
    <w:rsid w:val="00315ABA"/>
    <w:rsid w:val="00315B15"/>
    <w:rsid w:val="00315B7D"/>
    <w:rsid w:val="00315B93"/>
    <w:rsid w:val="00315C45"/>
    <w:rsid w:val="00315D78"/>
    <w:rsid w:val="00315EF7"/>
    <w:rsid w:val="0031613E"/>
    <w:rsid w:val="003161EF"/>
    <w:rsid w:val="0031620D"/>
    <w:rsid w:val="0031621E"/>
    <w:rsid w:val="0031634B"/>
    <w:rsid w:val="00316382"/>
    <w:rsid w:val="00316436"/>
    <w:rsid w:val="0031644A"/>
    <w:rsid w:val="003165A2"/>
    <w:rsid w:val="003165AE"/>
    <w:rsid w:val="0031670B"/>
    <w:rsid w:val="0031687F"/>
    <w:rsid w:val="003168A2"/>
    <w:rsid w:val="003168E7"/>
    <w:rsid w:val="00316A8E"/>
    <w:rsid w:val="00316BDE"/>
    <w:rsid w:val="00316C5D"/>
    <w:rsid w:val="00316C69"/>
    <w:rsid w:val="00316CA4"/>
    <w:rsid w:val="00316CB8"/>
    <w:rsid w:val="00316E53"/>
    <w:rsid w:val="00317056"/>
    <w:rsid w:val="00317067"/>
    <w:rsid w:val="00317157"/>
    <w:rsid w:val="003172D7"/>
    <w:rsid w:val="003175E6"/>
    <w:rsid w:val="00317601"/>
    <w:rsid w:val="00317699"/>
    <w:rsid w:val="003176CD"/>
    <w:rsid w:val="00317726"/>
    <w:rsid w:val="003179B5"/>
    <w:rsid w:val="003179F7"/>
    <w:rsid w:val="00317BD3"/>
    <w:rsid w:val="00317CCA"/>
    <w:rsid w:val="00317D62"/>
    <w:rsid w:val="00317DD2"/>
    <w:rsid w:val="0032002D"/>
    <w:rsid w:val="003201B2"/>
    <w:rsid w:val="00320366"/>
    <w:rsid w:val="0032044E"/>
    <w:rsid w:val="00320680"/>
    <w:rsid w:val="003207F2"/>
    <w:rsid w:val="0032080D"/>
    <w:rsid w:val="00320856"/>
    <w:rsid w:val="00320893"/>
    <w:rsid w:val="00320897"/>
    <w:rsid w:val="003208F1"/>
    <w:rsid w:val="00320BCA"/>
    <w:rsid w:val="00320C6D"/>
    <w:rsid w:val="00320E55"/>
    <w:rsid w:val="00320E62"/>
    <w:rsid w:val="00320F33"/>
    <w:rsid w:val="00320F83"/>
    <w:rsid w:val="00320FB9"/>
    <w:rsid w:val="00321186"/>
    <w:rsid w:val="00321219"/>
    <w:rsid w:val="003213D1"/>
    <w:rsid w:val="003215D7"/>
    <w:rsid w:val="0032161E"/>
    <w:rsid w:val="00321621"/>
    <w:rsid w:val="0032170A"/>
    <w:rsid w:val="0032191D"/>
    <w:rsid w:val="003219AC"/>
    <w:rsid w:val="00321A0B"/>
    <w:rsid w:val="00321A7E"/>
    <w:rsid w:val="00321AA8"/>
    <w:rsid w:val="00321AEF"/>
    <w:rsid w:val="00321BC5"/>
    <w:rsid w:val="00321DBC"/>
    <w:rsid w:val="0032216C"/>
    <w:rsid w:val="003221D1"/>
    <w:rsid w:val="003221F6"/>
    <w:rsid w:val="0032225A"/>
    <w:rsid w:val="003223AF"/>
    <w:rsid w:val="0032245F"/>
    <w:rsid w:val="003224F6"/>
    <w:rsid w:val="0032259F"/>
    <w:rsid w:val="003225B5"/>
    <w:rsid w:val="003225CC"/>
    <w:rsid w:val="0032264D"/>
    <w:rsid w:val="0032265C"/>
    <w:rsid w:val="00322892"/>
    <w:rsid w:val="0032295E"/>
    <w:rsid w:val="00322A3C"/>
    <w:rsid w:val="00322A8B"/>
    <w:rsid w:val="00322AA0"/>
    <w:rsid w:val="00322ABA"/>
    <w:rsid w:val="00322B5D"/>
    <w:rsid w:val="00322C10"/>
    <w:rsid w:val="00322DC0"/>
    <w:rsid w:val="00322E0E"/>
    <w:rsid w:val="00322F60"/>
    <w:rsid w:val="00323201"/>
    <w:rsid w:val="00323422"/>
    <w:rsid w:val="00323451"/>
    <w:rsid w:val="00323476"/>
    <w:rsid w:val="003234BF"/>
    <w:rsid w:val="003234E5"/>
    <w:rsid w:val="003234ED"/>
    <w:rsid w:val="00323539"/>
    <w:rsid w:val="003235BE"/>
    <w:rsid w:val="003236B5"/>
    <w:rsid w:val="00323719"/>
    <w:rsid w:val="003237E2"/>
    <w:rsid w:val="003238C4"/>
    <w:rsid w:val="00323988"/>
    <w:rsid w:val="00323B18"/>
    <w:rsid w:val="00323B28"/>
    <w:rsid w:val="00323B40"/>
    <w:rsid w:val="00323BB4"/>
    <w:rsid w:val="00323BD8"/>
    <w:rsid w:val="00323C7B"/>
    <w:rsid w:val="00323CCC"/>
    <w:rsid w:val="00323D8E"/>
    <w:rsid w:val="00323DC3"/>
    <w:rsid w:val="00323EA8"/>
    <w:rsid w:val="00324034"/>
    <w:rsid w:val="003240D9"/>
    <w:rsid w:val="003240E0"/>
    <w:rsid w:val="00324100"/>
    <w:rsid w:val="00324141"/>
    <w:rsid w:val="00324321"/>
    <w:rsid w:val="0032439D"/>
    <w:rsid w:val="00324445"/>
    <w:rsid w:val="00324671"/>
    <w:rsid w:val="003247A4"/>
    <w:rsid w:val="00324870"/>
    <w:rsid w:val="00324971"/>
    <w:rsid w:val="003249F7"/>
    <w:rsid w:val="00324E5D"/>
    <w:rsid w:val="00324F32"/>
    <w:rsid w:val="00324F3B"/>
    <w:rsid w:val="00324F72"/>
    <w:rsid w:val="00324FD6"/>
    <w:rsid w:val="00325142"/>
    <w:rsid w:val="00325403"/>
    <w:rsid w:val="003254DF"/>
    <w:rsid w:val="00325633"/>
    <w:rsid w:val="00325C7E"/>
    <w:rsid w:val="00325E7C"/>
    <w:rsid w:val="00325EA4"/>
    <w:rsid w:val="00325EBC"/>
    <w:rsid w:val="00325EDE"/>
    <w:rsid w:val="00325FAA"/>
    <w:rsid w:val="00326016"/>
    <w:rsid w:val="00326086"/>
    <w:rsid w:val="00326212"/>
    <w:rsid w:val="0032626B"/>
    <w:rsid w:val="003262C4"/>
    <w:rsid w:val="00326354"/>
    <w:rsid w:val="003263CB"/>
    <w:rsid w:val="0032651D"/>
    <w:rsid w:val="00326598"/>
    <w:rsid w:val="003266B1"/>
    <w:rsid w:val="003266EF"/>
    <w:rsid w:val="003266F4"/>
    <w:rsid w:val="00326A2A"/>
    <w:rsid w:val="00326A4F"/>
    <w:rsid w:val="00326BA2"/>
    <w:rsid w:val="00326BAF"/>
    <w:rsid w:val="00326CE1"/>
    <w:rsid w:val="00326DE6"/>
    <w:rsid w:val="00326E3F"/>
    <w:rsid w:val="00326EBF"/>
    <w:rsid w:val="00326F26"/>
    <w:rsid w:val="0032735B"/>
    <w:rsid w:val="00327364"/>
    <w:rsid w:val="00327577"/>
    <w:rsid w:val="0032767B"/>
    <w:rsid w:val="00327698"/>
    <w:rsid w:val="00327881"/>
    <w:rsid w:val="00327A04"/>
    <w:rsid w:val="00327A71"/>
    <w:rsid w:val="00327AB6"/>
    <w:rsid w:val="00327AD7"/>
    <w:rsid w:val="00327AE8"/>
    <w:rsid w:val="00327B82"/>
    <w:rsid w:val="00327F0B"/>
    <w:rsid w:val="003300C0"/>
    <w:rsid w:val="00330276"/>
    <w:rsid w:val="00330374"/>
    <w:rsid w:val="003303EA"/>
    <w:rsid w:val="0033044C"/>
    <w:rsid w:val="0033051F"/>
    <w:rsid w:val="00330581"/>
    <w:rsid w:val="003305E6"/>
    <w:rsid w:val="00330657"/>
    <w:rsid w:val="0033077B"/>
    <w:rsid w:val="0033083E"/>
    <w:rsid w:val="003308C1"/>
    <w:rsid w:val="003308E6"/>
    <w:rsid w:val="003309CD"/>
    <w:rsid w:val="00330A2C"/>
    <w:rsid w:val="00330B0B"/>
    <w:rsid w:val="00330BD7"/>
    <w:rsid w:val="00330D26"/>
    <w:rsid w:val="003310D1"/>
    <w:rsid w:val="003311EB"/>
    <w:rsid w:val="00331317"/>
    <w:rsid w:val="00331393"/>
    <w:rsid w:val="003314A7"/>
    <w:rsid w:val="003314BE"/>
    <w:rsid w:val="003314D1"/>
    <w:rsid w:val="0033151D"/>
    <w:rsid w:val="00331528"/>
    <w:rsid w:val="00331599"/>
    <w:rsid w:val="003315CC"/>
    <w:rsid w:val="00331620"/>
    <w:rsid w:val="00331649"/>
    <w:rsid w:val="0033172A"/>
    <w:rsid w:val="003318AC"/>
    <w:rsid w:val="003318F8"/>
    <w:rsid w:val="00331A18"/>
    <w:rsid w:val="00331C51"/>
    <w:rsid w:val="00331D44"/>
    <w:rsid w:val="00331DAC"/>
    <w:rsid w:val="00331DB3"/>
    <w:rsid w:val="00331F24"/>
    <w:rsid w:val="0033205A"/>
    <w:rsid w:val="00332296"/>
    <w:rsid w:val="003322F0"/>
    <w:rsid w:val="00332425"/>
    <w:rsid w:val="00332440"/>
    <w:rsid w:val="003324D7"/>
    <w:rsid w:val="003326FA"/>
    <w:rsid w:val="0033272A"/>
    <w:rsid w:val="003327DE"/>
    <w:rsid w:val="0033286F"/>
    <w:rsid w:val="0033288D"/>
    <w:rsid w:val="00332A81"/>
    <w:rsid w:val="00332C2C"/>
    <w:rsid w:val="00332D54"/>
    <w:rsid w:val="00332EE7"/>
    <w:rsid w:val="00332F8B"/>
    <w:rsid w:val="00333128"/>
    <w:rsid w:val="0033313A"/>
    <w:rsid w:val="00333197"/>
    <w:rsid w:val="0033320B"/>
    <w:rsid w:val="003332EA"/>
    <w:rsid w:val="003333B9"/>
    <w:rsid w:val="003337AD"/>
    <w:rsid w:val="00333867"/>
    <w:rsid w:val="003338D8"/>
    <w:rsid w:val="003338F3"/>
    <w:rsid w:val="003338F4"/>
    <w:rsid w:val="003339E9"/>
    <w:rsid w:val="00333A09"/>
    <w:rsid w:val="00333A6A"/>
    <w:rsid w:val="00333C10"/>
    <w:rsid w:val="00333E20"/>
    <w:rsid w:val="00333F74"/>
    <w:rsid w:val="00333FB4"/>
    <w:rsid w:val="00333FF5"/>
    <w:rsid w:val="0033403F"/>
    <w:rsid w:val="003340C4"/>
    <w:rsid w:val="003340D5"/>
    <w:rsid w:val="00334158"/>
    <w:rsid w:val="0033429E"/>
    <w:rsid w:val="00334504"/>
    <w:rsid w:val="00334622"/>
    <w:rsid w:val="003346E2"/>
    <w:rsid w:val="003347AD"/>
    <w:rsid w:val="003349DC"/>
    <w:rsid w:val="00334A0A"/>
    <w:rsid w:val="00334AE6"/>
    <w:rsid w:val="00334C06"/>
    <w:rsid w:val="00334D0E"/>
    <w:rsid w:val="00334E65"/>
    <w:rsid w:val="00334EDE"/>
    <w:rsid w:val="00334F2A"/>
    <w:rsid w:val="003350E6"/>
    <w:rsid w:val="0033515E"/>
    <w:rsid w:val="0033545A"/>
    <w:rsid w:val="0033548D"/>
    <w:rsid w:val="003356BF"/>
    <w:rsid w:val="00335830"/>
    <w:rsid w:val="00335A6D"/>
    <w:rsid w:val="00335B35"/>
    <w:rsid w:val="00335CC5"/>
    <w:rsid w:val="00335CC7"/>
    <w:rsid w:val="00335D4D"/>
    <w:rsid w:val="00335D8D"/>
    <w:rsid w:val="00335E5C"/>
    <w:rsid w:val="00335F55"/>
    <w:rsid w:val="00335F90"/>
    <w:rsid w:val="00336105"/>
    <w:rsid w:val="00336266"/>
    <w:rsid w:val="003362B6"/>
    <w:rsid w:val="00336300"/>
    <w:rsid w:val="00336445"/>
    <w:rsid w:val="003364A6"/>
    <w:rsid w:val="00336605"/>
    <w:rsid w:val="00336613"/>
    <w:rsid w:val="00336744"/>
    <w:rsid w:val="00336782"/>
    <w:rsid w:val="00336C60"/>
    <w:rsid w:val="00336E88"/>
    <w:rsid w:val="00336EBB"/>
    <w:rsid w:val="00336EF4"/>
    <w:rsid w:val="00336F99"/>
    <w:rsid w:val="003374C3"/>
    <w:rsid w:val="00337580"/>
    <w:rsid w:val="00337953"/>
    <w:rsid w:val="00337C39"/>
    <w:rsid w:val="00337C6B"/>
    <w:rsid w:val="00337CAF"/>
    <w:rsid w:val="00337D93"/>
    <w:rsid w:val="00337E1B"/>
    <w:rsid w:val="00337E92"/>
    <w:rsid w:val="00337FA1"/>
    <w:rsid w:val="00340120"/>
    <w:rsid w:val="00340194"/>
    <w:rsid w:val="003405E1"/>
    <w:rsid w:val="003405EE"/>
    <w:rsid w:val="003405F2"/>
    <w:rsid w:val="003406A0"/>
    <w:rsid w:val="00340716"/>
    <w:rsid w:val="00340858"/>
    <w:rsid w:val="0034092C"/>
    <w:rsid w:val="0034099E"/>
    <w:rsid w:val="00340A5F"/>
    <w:rsid w:val="00340AAB"/>
    <w:rsid w:val="00340C21"/>
    <w:rsid w:val="00340F4F"/>
    <w:rsid w:val="00340F61"/>
    <w:rsid w:val="00340F80"/>
    <w:rsid w:val="00340FB0"/>
    <w:rsid w:val="00340FD2"/>
    <w:rsid w:val="0034101E"/>
    <w:rsid w:val="0034125C"/>
    <w:rsid w:val="00341450"/>
    <w:rsid w:val="003414CA"/>
    <w:rsid w:val="003417BE"/>
    <w:rsid w:val="00341804"/>
    <w:rsid w:val="003418C0"/>
    <w:rsid w:val="00341AA2"/>
    <w:rsid w:val="00341AC8"/>
    <w:rsid w:val="00341D84"/>
    <w:rsid w:val="00341E0A"/>
    <w:rsid w:val="00341EFC"/>
    <w:rsid w:val="00341FF0"/>
    <w:rsid w:val="0034212B"/>
    <w:rsid w:val="00342166"/>
    <w:rsid w:val="0034218A"/>
    <w:rsid w:val="003421B2"/>
    <w:rsid w:val="00342210"/>
    <w:rsid w:val="00342382"/>
    <w:rsid w:val="0034269A"/>
    <w:rsid w:val="003426A6"/>
    <w:rsid w:val="00342888"/>
    <w:rsid w:val="003429CC"/>
    <w:rsid w:val="00342A36"/>
    <w:rsid w:val="00342B6E"/>
    <w:rsid w:val="00342C71"/>
    <w:rsid w:val="00342C7C"/>
    <w:rsid w:val="00342CAF"/>
    <w:rsid w:val="00342CDD"/>
    <w:rsid w:val="00342E1E"/>
    <w:rsid w:val="00342E8C"/>
    <w:rsid w:val="003430C0"/>
    <w:rsid w:val="003432C0"/>
    <w:rsid w:val="003432ED"/>
    <w:rsid w:val="0034330A"/>
    <w:rsid w:val="003434EA"/>
    <w:rsid w:val="00343689"/>
    <w:rsid w:val="003436E0"/>
    <w:rsid w:val="0034375F"/>
    <w:rsid w:val="0034388C"/>
    <w:rsid w:val="003438B5"/>
    <w:rsid w:val="003438C3"/>
    <w:rsid w:val="00343AB5"/>
    <w:rsid w:val="00343BD5"/>
    <w:rsid w:val="00343C04"/>
    <w:rsid w:val="00343C5B"/>
    <w:rsid w:val="00343E68"/>
    <w:rsid w:val="00343EB0"/>
    <w:rsid w:val="00343F4E"/>
    <w:rsid w:val="00344073"/>
    <w:rsid w:val="003440FF"/>
    <w:rsid w:val="00344182"/>
    <w:rsid w:val="00344194"/>
    <w:rsid w:val="003442B5"/>
    <w:rsid w:val="003442BD"/>
    <w:rsid w:val="003442FD"/>
    <w:rsid w:val="0034435C"/>
    <w:rsid w:val="003443B7"/>
    <w:rsid w:val="00344553"/>
    <w:rsid w:val="003445F7"/>
    <w:rsid w:val="003446C5"/>
    <w:rsid w:val="00344793"/>
    <w:rsid w:val="003448CD"/>
    <w:rsid w:val="003449A6"/>
    <w:rsid w:val="003449F3"/>
    <w:rsid w:val="00344A07"/>
    <w:rsid w:val="00344A10"/>
    <w:rsid w:val="00344EB6"/>
    <w:rsid w:val="00344FEE"/>
    <w:rsid w:val="003450D3"/>
    <w:rsid w:val="003451EA"/>
    <w:rsid w:val="003452DE"/>
    <w:rsid w:val="0034532D"/>
    <w:rsid w:val="003455DF"/>
    <w:rsid w:val="0034563F"/>
    <w:rsid w:val="00345645"/>
    <w:rsid w:val="003456AD"/>
    <w:rsid w:val="00345932"/>
    <w:rsid w:val="00345948"/>
    <w:rsid w:val="00345A53"/>
    <w:rsid w:val="00345A5F"/>
    <w:rsid w:val="00345AE6"/>
    <w:rsid w:val="00345BB4"/>
    <w:rsid w:val="00345D3D"/>
    <w:rsid w:val="00345D6B"/>
    <w:rsid w:val="00345DE8"/>
    <w:rsid w:val="00345DEE"/>
    <w:rsid w:val="00345E95"/>
    <w:rsid w:val="00345EC4"/>
    <w:rsid w:val="00345F4F"/>
    <w:rsid w:val="00345FDF"/>
    <w:rsid w:val="0034606D"/>
    <w:rsid w:val="00346071"/>
    <w:rsid w:val="003461AE"/>
    <w:rsid w:val="003461D4"/>
    <w:rsid w:val="00346259"/>
    <w:rsid w:val="003464AD"/>
    <w:rsid w:val="0034668E"/>
    <w:rsid w:val="003466BB"/>
    <w:rsid w:val="003466BF"/>
    <w:rsid w:val="003466C5"/>
    <w:rsid w:val="0034682B"/>
    <w:rsid w:val="0034685B"/>
    <w:rsid w:val="00346869"/>
    <w:rsid w:val="00346898"/>
    <w:rsid w:val="0034699D"/>
    <w:rsid w:val="003469CC"/>
    <w:rsid w:val="00346B8C"/>
    <w:rsid w:val="00346D24"/>
    <w:rsid w:val="0034700F"/>
    <w:rsid w:val="00347072"/>
    <w:rsid w:val="0034711A"/>
    <w:rsid w:val="0034711D"/>
    <w:rsid w:val="00347310"/>
    <w:rsid w:val="0034741B"/>
    <w:rsid w:val="003475CF"/>
    <w:rsid w:val="00347726"/>
    <w:rsid w:val="003478AD"/>
    <w:rsid w:val="003478D5"/>
    <w:rsid w:val="003478F9"/>
    <w:rsid w:val="00347941"/>
    <w:rsid w:val="00347951"/>
    <w:rsid w:val="00347A09"/>
    <w:rsid w:val="00347A1C"/>
    <w:rsid w:val="00347C25"/>
    <w:rsid w:val="00347C46"/>
    <w:rsid w:val="00347C66"/>
    <w:rsid w:val="00347CE6"/>
    <w:rsid w:val="00347EC3"/>
    <w:rsid w:val="00347EEB"/>
    <w:rsid w:val="00347F97"/>
    <w:rsid w:val="003500FE"/>
    <w:rsid w:val="00350239"/>
    <w:rsid w:val="0035037D"/>
    <w:rsid w:val="003503EC"/>
    <w:rsid w:val="003503EF"/>
    <w:rsid w:val="00350419"/>
    <w:rsid w:val="00350443"/>
    <w:rsid w:val="00350587"/>
    <w:rsid w:val="0035058D"/>
    <w:rsid w:val="003505AD"/>
    <w:rsid w:val="00350617"/>
    <w:rsid w:val="003507C8"/>
    <w:rsid w:val="003507DC"/>
    <w:rsid w:val="00350924"/>
    <w:rsid w:val="00350925"/>
    <w:rsid w:val="003509B1"/>
    <w:rsid w:val="00350B43"/>
    <w:rsid w:val="00350B7C"/>
    <w:rsid w:val="00350CBE"/>
    <w:rsid w:val="00350CD8"/>
    <w:rsid w:val="00350D4B"/>
    <w:rsid w:val="00350D73"/>
    <w:rsid w:val="00350DC5"/>
    <w:rsid w:val="00350DC9"/>
    <w:rsid w:val="00350E46"/>
    <w:rsid w:val="00350E71"/>
    <w:rsid w:val="00350EC1"/>
    <w:rsid w:val="00350FD3"/>
    <w:rsid w:val="00351045"/>
    <w:rsid w:val="00351610"/>
    <w:rsid w:val="0035187F"/>
    <w:rsid w:val="00351898"/>
    <w:rsid w:val="00351969"/>
    <w:rsid w:val="00351A49"/>
    <w:rsid w:val="00351B1F"/>
    <w:rsid w:val="00351DCF"/>
    <w:rsid w:val="00351E1F"/>
    <w:rsid w:val="00351E3A"/>
    <w:rsid w:val="00351E44"/>
    <w:rsid w:val="0035200B"/>
    <w:rsid w:val="0035210C"/>
    <w:rsid w:val="00352147"/>
    <w:rsid w:val="003523E1"/>
    <w:rsid w:val="0035249B"/>
    <w:rsid w:val="003525B8"/>
    <w:rsid w:val="00352638"/>
    <w:rsid w:val="00352694"/>
    <w:rsid w:val="003526BF"/>
    <w:rsid w:val="003526DD"/>
    <w:rsid w:val="00352726"/>
    <w:rsid w:val="0035276E"/>
    <w:rsid w:val="00352776"/>
    <w:rsid w:val="0035291F"/>
    <w:rsid w:val="0035293E"/>
    <w:rsid w:val="00352AEB"/>
    <w:rsid w:val="00352C23"/>
    <w:rsid w:val="00352C57"/>
    <w:rsid w:val="00352C72"/>
    <w:rsid w:val="00352C75"/>
    <w:rsid w:val="00352CAA"/>
    <w:rsid w:val="00352CC9"/>
    <w:rsid w:val="00352D87"/>
    <w:rsid w:val="00352D91"/>
    <w:rsid w:val="00352E95"/>
    <w:rsid w:val="00352F92"/>
    <w:rsid w:val="00353020"/>
    <w:rsid w:val="0035302A"/>
    <w:rsid w:val="0035308F"/>
    <w:rsid w:val="0035327A"/>
    <w:rsid w:val="00353292"/>
    <w:rsid w:val="003532C8"/>
    <w:rsid w:val="003532FB"/>
    <w:rsid w:val="00353311"/>
    <w:rsid w:val="0035331A"/>
    <w:rsid w:val="0035356E"/>
    <w:rsid w:val="00353578"/>
    <w:rsid w:val="00353665"/>
    <w:rsid w:val="003537C3"/>
    <w:rsid w:val="00353807"/>
    <w:rsid w:val="00353A05"/>
    <w:rsid w:val="00353A37"/>
    <w:rsid w:val="00353A3D"/>
    <w:rsid w:val="00353AA5"/>
    <w:rsid w:val="00353CA1"/>
    <w:rsid w:val="00353E56"/>
    <w:rsid w:val="00353ED7"/>
    <w:rsid w:val="00353FBE"/>
    <w:rsid w:val="00354086"/>
    <w:rsid w:val="003541DC"/>
    <w:rsid w:val="00354321"/>
    <w:rsid w:val="003543FA"/>
    <w:rsid w:val="0035444A"/>
    <w:rsid w:val="003544C9"/>
    <w:rsid w:val="00354527"/>
    <w:rsid w:val="00354557"/>
    <w:rsid w:val="003545C0"/>
    <w:rsid w:val="003546E6"/>
    <w:rsid w:val="0035475D"/>
    <w:rsid w:val="00354828"/>
    <w:rsid w:val="003548D9"/>
    <w:rsid w:val="003549AD"/>
    <w:rsid w:val="00354A46"/>
    <w:rsid w:val="00354BE5"/>
    <w:rsid w:val="00354CF6"/>
    <w:rsid w:val="00354D34"/>
    <w:rsid w:val="00354D84"/>
    <w:rsid w:val="00354DFC"/>
    <w:rsid w:val="00354EED"/>
    <w:rsid w:val="00354FD0"/>
    <w:rsid w:val="0035510A"/>
    <w:rsid w:val="0035515E"/>
    <w:rsid w:val="003551F3"/>
    <w:rsid w:val="0035538A"/>
    <w:rsid w:val="003553FF"/>
    <w:rsid w:val="0035543E"/>
    <w:rsid w:val="00355491"/>
    <w:rsid w:val="003555E2"/>
    <w:rsid w:val="0035561A"/>
    <w:rsid w:val="003556B8"/>
    <w:rsid w:val="00355749"/>
    <w:rsid w:val="003557B8"/>
    <w:rsid w:val="003559D5"/>
    <w:rsid w:val="00355A6F"/>
    <w:rsid w:val="00355AAF"/>
    <w:rsid w:val="00355B46"/>
    <w:rsid w:val="00355B6E"/>
    <w:rsid w:val="00355B7C"/>
    <w:rsid w:val="00355BF8"/>
    <w:rsid w:val="00355C10"/>
    <w:rsid w:val="00355CEF"/>
    <w:rsid w:val="00355D51"/>
    <w:rsid w:val="00355D97"/>
    <w:rsid w:val="00355DDB"/>
    <w:rsid w:val="0035609A"/>
    <w:rsid w:val="003561C6"/>
    <w:rsid w:val="003562AA"/>
    <w:rsid w:val="003562C3"/>
    <w:rsid w:val="003562DE"/>
    <w:rsid w:val="00356543"/>
    <w:rsid w:val="003566BB"/>
    <w:rsid w:val="00356878"/>
    <w:rsid w:val="00356935"/>
    <w:rsid w:val="00356A99"/>
    <w:rsid w:val="00356BB9"/>
    <w:rsid w:val="00356D0A"/>
    <w:rsid w:val="00356D70"/>
    <w:rsid w:val="00356D7D"/>
    <w:rsid w:val="00356D99"/>
    <w:rsid w:val="00356DD0"/>
    <w:rsid w:val="00356EFB"/>
    <w:rsid w:val="00356F9A"/>
    <w:rsid w:val="00356FFC"/>
    <w:rsid w:val="00357079"/>
    <w:rsid w:val="003571B3"/>
    <w:rsid w:val="003571D0"/>
    <w:rsid w:val="0035725D"/>
    <w:rsid w:val="0035727A"/>
    <w:rsid w:val="003572CE"/>
    <w:rsid w:val="0035737F"/>
    <w:rsid w:val="003573B9"/>
    <w:rsid w:val="00357541"/>
    <w:rsid w:val="00357709"/>
    <w:rsid w:val="00357887"/>
    <w:rsid w:val="00357AC8"/>
    <w:rsid w:val="00357B18"/>
    <w:rsid w:val="00357B29"/>
    <w:rsid w:val="00357B33"/>
    <w:rsid w:val="00357CCB"/>
    <w:rsid w:val="00357D51"/>
    <w:rsid w:val="00357DB6"/>
    <w:rsid w:val="00357E0F"/>
    <w:rsid w:val="00357E94"/>
    <w:rsid w:val="00357F43"/>
    <w:rsid w:val="0036007B"/>
    <w:rsid w:val="0036016F"/>
    <w:rsid w:val="00360248"/>
    <w:rsid w:val="00360321"/>
    <w:rsid w:val="003603F5"/>
    <w:rsid w:val="003604FC"/>
    <w:rsid w:val="00360614"/>
    <w:rsid w:val="0036069C"/>
    <w:rsid w:val="003606AE"/>
    <w:rsid w:val="00360774"/>
    <w:rsid w:val="00360829"/>
    <w:rsid w:val="003608B4"/>
    <w:rsid w:val="003608ED"/>
    <w:rsid w:val="003609F7"/>
    <w:rsid w:val="00360A96"/>
    <w:rsid w:val="00360C3C"/>
    <w:rsid w:val="00360C51"/>
    <w:rsid w:val="00360DAA"/>
    <w:rsid w:val="00360DD8"/>
    <w:rsid w:val="00360EF0"/>
    <w:rsid w:val="00361061"/>
    <w:rsid w:val="003611DE"/>
    <w:rsid w:val="00361379"/>
    <w:rsid w:val="0036149B"/>
    <w:rsid w:val="00361563"/>
    <w:rsid w:val="003615B9"/>
    <w:rsid w:val="00361645"/>
    <w:rsid w:val="0036166B"/>
    <w:rsid w:val="00361713"/>
    <w:rsid w:val="003617A0"/>
    <w:rsid w:val="0036181F"/>
    <w:rsid w:val="0036183E"/>
    <w:rsid w:val="00361A0D"/>
    <w:rsid w:val="00361A1D"/>
    <w:rsid w:val="00361A4C"/>
    <w:rsid w:val="00361AFD"/>
    <w:rsid w:val="00361B16"/>
    <w:rsid w:val="00361B24"/>
    <w:rsid w:val="00361CB0"/>
    <w:rsid w:val="00361CC4"/>
    <w:rsid w:val="00361E5F"/>
    <w:rsid w:val="00361FF8"/>
    <w:rsid w:val="003620A2"/>
    <w:rsid w:val="003621C1"/>
    <w:rsid w:val="003621FE"/>
    <w:rsid w:val="003622FD"/>
    <w:rsid w:val="00362520"/>
    <w:rsid w:val="003625EB"/>
    <w:rsid w:val="00362613"/>
    <w:rsid w:val="003627DD"/>
    <w:rsid w:val="00362AAD"/>
    <w:rsid w:val="00362ACA"/>
    <w:rsid w:val="00362F04"/>
    <w:rsid w:val="00362F3A"/>
    <w:rsid w:val="00362FDB"/>
    <w:rsid w:val="00362FFD"/>
    <w:rsid w:val="0036310D"/>
    <w:rsid w:val="0036320F"/>
    <w:rsid w:val="00363428"/>
    <w:rsid w:val="0036343A"/>
    <w:rsid w:val="003634D8"/>
    <w:rsid w:val="00363620"/>
    <w:rsid w:val="0036365C"/>
    <w:rsid w:val="003637ED"/>
    <w:rsid w:val="00363951"/>
    <w:rsid w:val="00363995"/>
    <w:rsid w:val="003639DB"/>
    <w:rsid w:val="00363BA9"/>
    <w:rsid w:val="00363C6C"/>
    <w:rsid w:val="00363C87"/>
    <w:rsid w:val="00363D8F"/>
    <w:rsid w:val="00363E32"/>
    <w:rsid w:val="00363EFF"/>
    <w:rsid w:val="00364076"/>
    <w:rsid w:val="0036420C"/>
    <w:rsid w:val="0036427E"/>
    <w:rsid w:val="003642BC"/>
    <w:rsid w:val="003643AF"/>
    <w:rsid w:val="00364484"/>
    <w:rsid w:val="00364588"/>
    <w:rsid w:val="003645E9"/>
    <w:rsid w:val="003646B1"/>
    <w:rsid w:val="0036475A"/>
    <w:rsid w:val="00364850"/>
    <w:rsid w:val="00364D96"/>
    <w:rsid w:val="00364E38"/>
    <w:rsid w:val="00364EC9"/>
    <w:rsid w:val="00364EFB"/>
    <w:rsid w:val="003650CB"/>
    <w:rsid w:val="00365124"/>
    <w:rsid w:val="003651E2"/>
    <w:rsid w:val="00365211"/>
    <w:rsid w:val="0036539C"/>
    <w:rsid w:val="00365529"/>
    <w:rsid w:val="00365611"/>
    <w:rsid w:val="00365686"/>
    <w:rsid w:val="003657C2"/>
    <w:rsid w:val="0036596C"/>
    <w:rsid w:val="00365AAE"/>
    <w:rsid w:val="00365C8F"/>
    <w:rsid w:val="00365CF8"/>
    <w:rsid w:val="00365D81"/>
    <w:rsid w:val="00365DBF"/>
    <w:rsid w:val="00365EA9"/>
    <w:rsid w:val="00365EFE"/>
    <w:rsid w:val="00366117"/>
    <w:rsid w:val="00366460"/>
    <w:rsid w:val="0036646A"/>
    <w:rsid w:val="00366485"/>
    <w:rsid w:val="003664AA"/>
    <w:rsid w:val="003665AB"/>
    <w:rsid w:val="003665BF"/>
    <w:rsid w:val="00366651"/>
    <w:rsid w:val="00366805"/>
    <w:rsid w:val="00366837"/>
    <w:rsid w:val="003668C2"/>
    <w:rsid w:val="003668F4"/>
    <w:rsid w:val="00366965"/>
    <w:rsid w:val="00366B32"/>
    <w:rsid w:val="00366B88"/>
    <w:rsid w:val="00366BA5"/>
    <w:rsid w:val="00366D16"/>
    <w:rsid w:val="00366D7A"/>
    <w:rsid w:val="00366F00"/>
    <w:rsid w:val="00366F57"/>
    <w:rsid w:val="00367006"/>
    <w:rsid w:val="003670DA"/>
    <w:rsid w:val="0036717C"/>
    <w:rsid w:val="00367245"/>
    <w:rsid w:val="0036725D"/>
    <w:rsid w:val="00367610"/>
    <w:rsid w:val="00367783"/>
    <w:rsid w:val="00367AA8"/>
    <w:rsid w:val="00367AD1"/>
    <w:rsid w:val="00367B6F"/>
    <w:rsid w:val="00367D09"/>
    <w:rsid w:val="00367D0A"/>
    <w:rsid w:val="00367ED5"/>
    <w:rsid w:val="00367F28"/>
    <w:rsid w:val="00367F73"/>
    <w:rsid w:val="00370107"/>
    <w:rsid w:val="00370127"/>
    <w:rsid w:val="0037045B"/>
    <w:rsid w:val="0037047A"/>
    <w:rsid w:val="00370493"/>
    <w:rsid w:val="003706A3"/>
    <w:rsid w:val="00370922"/>
    <w:rsid w:val="003709E2"/>
    <w:rsid w:val="00370A70"/>
    <w:rsid w:val="00370A92"/>
    <w:rsid w:val="00370CB6"/>
    <w:rsid w:val="00370CC8"/>
    <w:rsid w:val="00370D7C"/>
    <w:rsid w:val="00370E29"/>
    <w:rsid w:val="00370E90"/>
    <w:rsid w:val="00370F0C"/>
    <w:rsid w:val="00371059"/>
    <w:rsid w:val="00371213"/>
    <w:rsid w:val="00371276"/>
    <w:rsid w:val="0037133D"/>
    <w:rsid w:val="00371435"/>
    <w:rsid w:val="003714A1"/>
    <w:rsid w:val="0037165D"/>
    <w:rsid w:val="0037173C"/>
    <w:rsid w:val="0037176C"/>
    <w:rsid w:val="0037187D"/>
    <w:rsid w:val="003719B1"/>
    <w:rsid w:val="00371A81"/>
    <w:rsid w:val="00371D95"/>
    <w:rsid w:val="00371EB3"/>
    <w:rsid w:val="00371EE6"/>
    <w:rsid w:val="00371F7E"/>
    <w:rsid w:val="00371FCE"/>
    <w:rsid w:val="00372296"/>
    <w:rsid w:val="003723E4"/>
    <w:rsid w:val="00372424"/>
    <w:rsid w:val="00372428"/>
    <w:rsid w:val="003726E3"/>
    <w:rsid w:val="0037273B"/>
    <w:rsid w:val="00372897"/>
    <w:rsid w:val="00372BFB"/>
    <w:rsid w:val="00372C26"/>
    <w:rsid w:val="00372C60"/>
    <w:rsid w:val="00372D2B"/>
    <w:rsid w:val="00372DD9"/>
    <w:rsid w:val="00372EF4"/>
    <w:rsid w:val="00373005"/>
    <w:rsid w:val="003730AB"/>
    <w:rsid w:val="00373192"/>
    <w:rsid w:val="003731F2"/>
    <w:rsid w:val="00373439"/>
    <w:rsid w:val="00373466"/>
    <w:rsid w:val="003734B5"/>
    <w:rsid w:val="003734C7"/>
    <w:rsid w:val="00373538"/>
    <w:rsid w:val="0037368D"/>
    <w:rsid w:val="003738D5"/>
    <w:rsid w:val="003739DB"/>
    <w:rsid w:val="00373B6A"/>
    <w:rsid w:val="00373BAE"/>
    <w:rsid w:val="00373BB8"/>
    <w:rsid w:val="00373BF0"/>
    <w:rsid w:val="00373CAE"/>
    <w:rsid w:val="00373D19"/>
    <w:rsid w:val="00373D3D"/>
    <w:rsid w:val="00373D99"/>
    <w:rsid w:val="00373D9F"/>
    <w:rsid w:val="00373E50"/>
    <w:rsid w:val="00373FBA"/>
    <w:rsid w:val="003740A9"/>
    <w:rsid w:val="0037422A"/>
    <w:rsid w:val="003744C7"/>
    <w:rsid w:val="00374587"/>
    <w:rsid w:val="00374594"/>
    <w:rsid w:val="003745E5"/>
    <w:rsid w:val="00374806"/>
    <w:rsid w:val="0037485B"/>
    <w:rsid w:val="00374912"/>
    <w:rsid w:val="0037492C"/>
    <w:rsid w:val="00374C43"/>
    <w:rsid w:val="00374DA5"/>
    <w:rsid w:val="00374DB4"/>
    <w:rsid w:val="00374DD6"/>
    <w:rsid w:val="00374E33"/>
    <w:rsid w:val="00374E8B"/>
    <w:rsid w:val="00374F19"/>
    <w:rsid w:val="00374FD7"/>
    <w:rsid w:val="0037513C"/>
    <w:rsid w:val="00375189"/>
    <w:rsid w:val="0037529A"/>
    <w:rsid w:val="003752C8"/>
    <w:rsid w:val="00375382"/>
    <w:rsid w:val="00375401"/>
    <w:rsid w:val="003754F6"/>
    <w:rsid w:val="00375747"/>
    <w:rsid w:val="0037579F"/>
    <w:rsid w:val="0037593F"/>
    <w:rsid w:val="00375AC9"/>
    <w:rsid w:val="00375B52"/>
    <w:rsid w:val="00375BEA"/>
    <w:rsid w:val="00376042"/>
    <w:rsid w:val="00376106"/>
    <w:rsid w:val="00376114"/>
    <w:rsid w:val="003764FD"/>
    <w:rsid w:val="00376842"/>
    <w:rsid w:val="003768D3"/>
    <w:rsid w:val="00376B8E"/>
    <w:rsid w:val="00376BCB"/>
    <w:rsid w:val="00376C4B"/>
    <w:rsid w:val="00376CBA"/>
    <w:rsid w:val="00376CF6"/>
    <w:rsid w:val="00376F4B"/>
    <w:rsid w:val="00376F7F"/>
    <w:rsid w:val="00376F81"/>
    <w:rsid w:val="00376FF8"/>
    <w:rsid w:val="00377010"/>
    <w:rsid w:val="00377035"/>
    <w:rsid w:val="0037703A"/>
    <w:rsid w:val="00377113"/>
    <w:rsid w:val="003771E1"/>
    <w:rsid w:val="003771FF"/>
    <w:rsid w:val="003772BD"/>
    <w:rsid w:val="003773B7"/>
    <w:rsid w:val="003775E6"/>
    <w:rsid w:val="003776C0"/>
    <w:rsid w:val="0037774B"/>
    <w:rsid w:val="00377971"/>
    <w:rsid w:val="00377A1A"/>
    <w:rsid w:val="00377C94"/>
    <w:rsid w:val="00377D99"/>
    <w:rsid w:val="00377E8A"/>
    <w:rsid w:val="00377EA2"/>
    <w:rsid w:val="00380022"/>
    <w:rsid w:val="003801FA"/>
    <w:rsid w:val="00380257"/>
    <w:rsid w:val="00380312"/>
    <w:rsid w:val="00380411"/>
    <w:rsid w:val="0038043C"/>
    <w:rsid w:val="00380453"/>
    <w:rsid w:val="00380518"/>
    <w:rsid w:val="00380596"/>
    <w:rsid w:val="00380681"/>
    <w:rsid w:val="003806AA"/>
    <w:rsid w:val="0038080C"/>
    <w:rsid w:val="003808E0"/>
    <w:rsid w:val="00380A56"/>
    <w:rsid w:val="00380BAC"/>
    <w:rsid w:val="00380C5C"/>
    <w:rsid w:val="00380DF9"/>
    <w:rsid w:val="00381027"/>
    <w:rsid w:val="00381109"/>
    <w:rsid w:val="0038157C"/>
    <w:rsid w:val="00381694"/>
    <w:rsid w:val="003817AE"/>
    <w:rsid w:val="003817B2"/>
    <w:rsid w:val="00381881"/>
    <w:rsid w:val="0038190B"/>
    <w:rsid w:val="00381952"/>
    <w:rsid w:val="0038196C"/>
    <w:rsid w:val="00381A47"/>
    <w:rsid w:val="00381C45"/>
    <w:rsid w:val="00381D21"/>
    <w:rsid w:val="00382025"/>
    <w:rsid w:val="0038215D"/>
    <w:rsid w:val="003821C7"/>
    <w:rsid w:val="00382295"/>
    <w:rsid w:val="003822D4"/>
    <w:rsid w:val="003823E7"/>
    <w:rsid w:val="003823F4"/>
    <w:rsid w:val="003825E9"/>
    <w:rsid w:val="00382618"/>
    <w:rsid w:val="00382871"/>
    <w:rsid w:val="00382998"/>
    <w:rsid w:val="00382A30"/>
    <w:rsid w:val="00382B90"/>
    <w:rsid w:val="00382C00"/>
    <w:rsid w:val="00382CB9"/>
    <w:rsid w:val="00382DC4"/>
    <w:rsid w:val="00382DE4"/>
    <w:rsid w:val="00382F29"/>
    <w:rsid w:val="0038306E"/>
    <w:rsid w:val="003831B4"/>
    <w:rsid w:val="00383406"/>
    <w:rsid w:val="0038340D"/>
    <w:rsid w:val="00383589"/>
    <w:rsid w:val="00383600"/>
    <w:rsid w:val="00383638"/>
    <w:rsid w:val="0038364E"/>
    <w:rsid w:val="00383769"/>
    <w:rsid w:val="003837B2"/>
    <w:rsid w:val="003837BA"/>
    <w:rsid w:val="003837D4"/>
    <w:rsid w:val="00383AC4"/>
    <w:rsid w:val="00383BD7"/>
    <w:rsid w:val="00383CA9"/>
    <w:rsid w:val="00383EF2"/>
    <w:rsid w:val="00383F06"/>
    <w:rsid w:val="0038401B"/>
    <w:rsid w:val="00384368"/>
    <w:rsid w:val="0038453F"/>
    <w:rsid w:val="0038464F"/>
    <w:rsid w:val="003846CC"/>
    <w:rsid w:val="00384837"/>
    <w:rsid w:val="00384874"/>
    <w:rsid w:val="0038489F"/>
    <w:rsid w:val="00384A3A"/>
    <w:rsid w:val="00384B32"/>
    <w:rsid w:val="00384CB6"/>
    <w:rsid w:val="00384E1C"/>
    <w:rsid w:val="00384E80"/>
    <w:rsid w:val="00384EA1"/>
    <w:rsid w:val="00385026"/>
    <w:rsid w:val="003850A1"/>
    <w:rsid w:val="003851BB"/>
    <w:rsid w:val="003852C6"/>
    <w:rsid w:val="00385493"/>
    <w:rsid w:val="00385506"/>
    <w:rsid w:val="0038556F"/>
    <w:rsid w:val="00385693"/>
    <w:rsid w:val="003856E7"/>
    <w:rsid w:val="003857CB"/>
    <w:rsid w:val="00385821"/>
    <w:rsid w:val="003858B2"/>
    <w:rsid w:val="0038590A"/>
    <w:rsid w:val="00385A30"/>
    <w:rsid w:val="00385A89"/>
    <w:rsid w:val="00385AD2"/>
    <w:rsid w:val="00385B0B"/>
    <w:rsid w:val="00385B22"/>
    <w:rsid w:val="00385B8C"/>
    <w:rsid w:val="00385BD2"/>
    <w:rsid w:val="00385D61"/>
    <w:rsid w:val="00385DFB"/>
    <w:rsid w:val="00385F00"/>
    <w:rsid w:val="00386067"/>
    <w:rsid w:val="00386165"/>
    <w:rsid w:val="00386183"/>
    <w:rsid w:val="0038620A"/>
    <w:rsid w:val="00386472"/>
    <w:rsid w:val="00386505"/>
    <w:rsid w:val="00386510"/>
    <w:rsid w:val="0038651D"/>
    <w:rsid w:val="00386535"/>
    <w:rsid w:val="003865B6"/>
    <w:rsid w:val="00386612"/>
    <w:rsid w:val="00386678"/>
    <w:rsid w:val="00386854"/>
    <w:rsid w:val="003868E5"/>
    <w:rsid w:val="00386944"/>
    <w:rsid w:val="0038698B"/>
    <w:rsid w:val="003869E8"/>
    <w:rsid w:val="003869EF"/>
    <w:rsid w:val="00386B80"/>
    <w:rsid w:val="00386B8A"/>
    <w:rsid w:val="00386CED"/>
    <w:rsid w:val="00386E2D"/>
    <w:rsid w:val="00386ECC"/>
    <w:rsid w:val="0038715E"/>
    <w:rsid w:val="003871C1"/>
    <w:rsid w:val="003871FB"/>
    <w:rsid w:val="0038726B"/>
    <w:rsid w:val="00387418"/>
    <w:rsid w:val="00387607"/>
    <w:rsid w:val="003876FA"/>
    <w:rsid w:val="003877A5"/>
    <w:rsid w:val="00387838"/>
    <w:rsid w:val="00387878"/>
    <w:rsid w:val="0038789D"/>
    <w:rsid w:val="003878D8"/>
    <w:rsid w:val="00387957"/>
    <w:rsid w:val="003879A1"/>
    <w:rsid w:val="003879FF"/>
    <w:rsid w:val="00387AF0"/>
    <w:rsid w:val="00387C79"/>
    <w:rsid w:val="00387E25"/>
    <w:rsid w:val="00387E77"/>
    <w:rsid w:val="00387F38"/>
    <w:rsid w:val="00387F53"/>
    <w:rsid w:val="00387F66"/>
    <w:rsid w:val="00387F77"/>
    <w:rsid w:val="00390027"/>
    <w:rsid w:val="00390143"/>
    <w:rsid w:val="00390148"/>
    <w:rsid w:val="003901B3"/>
    <w:rsid w:val="003901DD"/>
    <w:rsid w:val="003901E8"/>
    <w:rsid w:val="003901ED"/>
    <w:rsid w:val="003903EF"/>
    <w:rsid w:val="00390441"/>
    <w:rsid w:val="00390511"/>
    <w:rsid w:val="00390545"/>
    <w:rsid w:val="003905C3"/>
    <w:rsid w:val="003907B6"/>
    <w:rsid w:val="00390943"/>
    <w:rsid w:val="00390A55"/>
    <w:rsid w:val="00390A66"/>
    <w:rsid w:val="00390B16"/>
    <w:rsid w:val="00390D20"/>
    <w:rsid w:val="00390D53"/>
    <w:rsid w:val="00390D54"/>
    <w:rsid w:val="00390DA3"/>
    <w:rsid w:val="00390E05"/>
    <w:rsid w:val="00390E95"/>
    <w:rsid w:val="00390F50"/>
    <w:rsid w:val="003910FA"/>
    <w:rsid w:val="00391154"/>
    <w:rsid w:val="00391249"/>
    <w:rsid w:val="00391272"/>
    <w:rsid w:val="00391413"/>
    <w:rsid w:val="00391440"/>
    <w:rsid w:val="00391472"/>
    <w:rsid w:val="003914D3"/>
    <w:rsid w:val="0039151E"/>
    <w:rsid w:val="00391683"/>
    <w:rsid w:val="00391756"/>
    <w:rsid w:val="003917F7"/>
    <w:rsid w:val="00391AB7"/>
    <w:rsid w:val="00391B2E"/>
    <w:rsid w:val="00391C6A"/>
    <w:rsid w:val="00391D73"/>
    <w:rsid w:val="00391DA3"/>
    <w:rsid w:val="00391F4E"/>
    <w:rsid w:val="00391F6C"/>
    <w:rsid w:val="00392098"/>
    <w:rsid w:val="0039211B"/>
    <w:rsid w:val="0039220E"/>
    <w:rsid w:val="0039297B"/>
    <w:rsid w:val="00392A1E"/>
    <w:rsid w:val="00392BFE"/>
    <w:rsid w:val="00392C35"/>
    <w:rsid w:val="00392D1F"/>
    <w:rsid w:val="00392D99"/>
    <w:rsid w:val="00392E81"/>
    <w:rsid w:val="00392F1D"/>
    <w:rsid w:val="0039323F"/>
    <w:rsid w:val="0039344E"/>
    <w:rsid w:val="00393480"/>
    <w:rsid w:val="00393492"/>
    <w:rsid w:val="00393544"/>
    <w:rsid w:val="0039358F"/>
    <w:rsid w:val="003935DA"/>
    <w:rsid w:val="0039366B"/>
    <w:rsid w:val="00393725"/>
    <w:rsid w:val="00393738"/>
    <w:rsid w:val="00393A6B"/>
    <w:rsid w:val="00393B53"/>
    <w:rsid w:val="00393B72"/>
    <w:rsid w:val="00393BCA"/>
    <w:rsid w:val="00393C1E"/>
    <w:rsid w:val="00393CC9"/>
    <w:rsid w:val="00393D15"/>
    <w:rsid w:val="00393DC9"/>
    <w:rsid w:val="00393FE4"/>
    <w:rsid w:val="00394046"/>
    <w:rsid w:val="00394081"/>
    <w:rsid w:val="0039426F"/>
    <w:rsid w:val="003942D9"/>
    <w:rsid w:val="0039443B"/>
    <w:rsid w:val="00394444"/>
    <w:rsid w:val="003944D6"/>
    <w:rsid w:val="00394535"/>
    <w:rsid w:val="00394640"/>
    <w:rsid w:val="00394709"/>
    <w:rsid w:val="00394764"/>
    <w:rsid w:val="00394786"/>
    <w:rsid w:val="00394796"/>
    <w:rsid w:val="00394856"/>
    <w:rsid w:val="00394C3F"/>
    <w:rsid w:val="00394CB9"/>
    <w:rsid w:val="00394CEC"/>
    <w:rsid w:val="00394D5C"/>
    <w:rsid w:val="00394E04"/>
    <w:rsid w:val="00394EAB"/>
    <w:rsid w:val="00394F2F"/>
    <w:rsid w:val="00394F96"/>
    <w:rsid w:val="003953EB"/>
    <w:rsid w:val="003955C5"/>
    <w:rsid w:val="003957A1"/>
    <w:rsid w:val="003957D0"/>
    <w:rsid w:val="003957DA"/>
    <w:rsid w:val="00395980"/>
    <w:rsid w:val="003959BA"/>
    <w:rsid w:val="00395C6D"/>
    <w:rsid w:val="00395E27"/>
    <w:rsid w:val="00395E87"/>
    <w:rsid w:val="00395F1C"/>
    <w:rsid w:val="00395F7B"/>
    <w:rsid w:val="00396071"/>
    <w:rsid w:val="00396177"/>
    <w:rsid w:val="00396190"/>
    <w:rsid w:val="003961F9"/>
    <w:rsid w:val="003962A8"/>
    <w:rsid w:val="003962FD"/>
    <w:rsid w:val="003964C1"/>
    <w:rsid w:val="003966A0"/>
    <w:rsid w:val="003966A2"/>
    <w:rsid w:val="0039678F"/>
    <w:rsid w:val="003967F9"/>
    <w:rsid w:val="00396874"/>
    <w:rsid w:val="00396AFB"/>
    <w:rsid w:val="00396B26"/>
    <w:rsid w:val="00396C66"/>
    <w:rsid w:val="00396F0B"/>
    <w:rsid w:val="00396F94"/>
    <w:rsid w:val="00396FBA"/>
    <w:rsid w:val="003971BF"/>
    <w:rsid w:val="003971F5"/>
    <w:rsid w:val="00397415"/>
    <w:rsid w:val="00397490"/>
    <w:rsid w:val="0039759B"/>
    <w:rsid w:val="003975C4"/>
    <w:rsid w:val="003975E1"/>
    <w:rsid w:val="003976C2"/>
    <w:rsid w:val="003977B7"/>
    <w:rsid w:val="0039784B"/>
    <w:rsid w:val="0039787D"/>
    <w:rsid w:val="00397888"/>
    <w:rsid w:val="003979DF"/>
    <w:rsid w:val="00397A19"/>
    <w:rsid w:val="00397A21"/>
    <w:rsid w:val="00397A2B"/>
    <w:rsid w:val="00397A47"/>
    <w:rsid w:val="00397B4A"/>
    <w:rsid w:val="00397B72"/>
    <w:rsid w:val="00397D7F"/>
    <w:rsid w:val="00397E29"/>
    <w:rsid w:val="00397E39"/>
    <w:rsid w:val="00397EAE"/>
    <w:rsid w:val="00397EC5"/>
    <w:rsid w:val="00397F88"/>
    <w:rsid w:val="003A0013"/>
    <w:rsid w:val="003A01F6"/>
    <w:rsid w:val="003A0409"/>
    <w:rsid w:val="003A04C4"/>
    <w:rsid w:val="003A0550"/>
    <w:rsid w:val="003A05F9"/>
    <w:rsid w:val="003A0635"/>
    <w:rsid w:val="003A063A"/>
    <w:rsid w:val="003A0666"/>
    <w:rsid w:val="003A073B"/>
    <w:rsid w:val="003A075B"/>
    <w:rsid w:val="003A07EC"/>
    <w:rsid w:val="003A08C0"/>
    <w:rsid w:val="003A0A1A"/>
    <w:rsid w:val="003A0B4F"/>
    <w:rsid w:val="003A0CF3"/>
    <w:rsid w:val="003A0D19"/>
    <w:rsid w:val="003A0DFA"/>
    <w:rsid w:val="003A0E7E"/>
    <w:rsid w:val="003A0F3C"/>
    <w:rsid w:val="003A10D3"/>
    <w:rsid w:val="003A1128"/>
    <w:rsid w:val="003A1142"/>
    <w:rsid w:val="003A1145"/>
    <w:rsid w:val="003A1148"/>
    <w:rsid w:val="003A1169"/>
    <w:rsid w:val="003A122F"/>
    <w:rsid w:val="003A12CE"/>
    <w:rsid w:val="003A1319"/>
    <w:rsid w:val="003A141D"/>
    <w:rsid w:val="003A16B5"/>
    <w:rsid w:val="003A1880"/>
    <w:rsid w:val="003A1988"/>
    <w:rsid w:val="003A1A46"/>
    <w:rsid w:val="003A1AE0"/>
    <w:rsid w:val="003A1BA1"/>
    <w:rsid w:val="003A1CF6"/>
    <w:rsid w:val="003A1E37"/>
    <w:rsid w:val="003A20CE"/>
    <w:rsid w:val="003A20DA"/>
    <w:rsid w:val="003A210D"/>
    <w:rsid w:val="003A224D"/>
    <w:rsid w:val="003A228E"/>
    <w:rsid w:val="003A22BF"/>
    <w:rsid w:val="003A22F5"/>
    <w:rsid w:val="003A232A"/>
    <w:rsid w:val="003A2341"/>
    <w:rsid w:val="003A2355"/>
    <w:rsid w:val="003A2474"/>
    <w:rsid w:val="003A25AD"/>
    <w:rsid w:val="003A2886"/>
    <w:rsid w:val="003A28F9"/>
    <w:rsid w:val="003A290B"/>
    <w:rsid w:val="003A2918"/>
    <w:rsid w:val="003A29C2"/>
    <w:rsid w:val="003A29D7"/>
    <w:rsid w:val="003A29FC"/>
    <w:rsid w:val="003A2B90"/>
    <w:rsid w:val="003A2E35"/>
    <w:rsid w:val="003A2EE1"/>
    <w:rsid w:val="003A2F03"/>
    <w:rsid w:val="003A2F04"/>
    <w:rsid w:val="003A2FE4"/>
    <w:rsid w:val="003A2FFE"/>
    <w:rsid w:val="003A3168"/>
    <w:rsid w:val="003A32F6"/>
    <w:rsid w:val="003A3349"/>
    <w:rsid w:val="003A3378"/>
    <w:rsid w:val="003A3649"/>
    <w:rsid w:val="003A3710"/>
    <w:rsid w:val="003A378A"/>
    <w:rsid w:val="003A3849"/>
    <w:rsid w:val="003A3911"/>
    <w:rsid w:val="003A3B6D"/>
    <w:rsid w:val="003A3D13"/>
    <w:rsid w:val="003A3D4C"/>
    <w:rsid w:val="003A3D56"/>
    <w:rsid w:val="003A3F99"/>
    <w:rsid w:val="003A3FD7"/>
    <w:rsid w:val="003A40E1"/>
    <w:rsid w:val="003A4121"/>
    <w:rsid w:val="003A426E"/>
    <w:rsid w:val="003A430B"/>
    <w:rsid w:val="003A438A"/>
    <w:rsid w:val="003A44CE"/>
    <w:rsid w:val="003A4586"/>
    <w:rsid w:val="003A468F"/>
    <w:rsid w:val="003A47A3"/>
    <w:rsid w:val="003A4838"/>
    <w:rsid w:val="003A4886"/>
    <w:rsid w:val="003A489F"/>
    <w:rsid w:val="003A493A"/>
    <w:rsid w:val="003A49AD"/>
    <w:rsid w:val="003A49F3"/>
    <w:rsid w:val="003A4A45"/>
    <w:rsid w:val="003A4A8B"/>
    <w:rsid w:val="003A4AA5"/>
    <w:rsid w:val="003A4B12"/>
    <w:rsid w:val="003A4BB2"/>
    <w:rsid w:val="003A4BEF"/>
    <w:rsid w:val="003A4DCB"/>
    <w:rsid w:val="003A4F8A"/>
    <w:rsid w:val="003A5002"/>
    <w:rsid w:val="003A50DE"/>
    <w:rsid w:val="003A5209"/>
    <w:rsid w:val="003A524C"/>
    <w:rsid w:val="003A5292"/>
    <w:rsid w:val="003A52B8"/>
    <w:rsid w:val="003A52FF"/>
    <w:rsid w:val="003A539F"/>
    <w:rsid w:val="003A53F8"/>
    <w:rsid w:val="003A5495"/>
    <w:rsid w:val="003A54BC"/>
    <w:rsid w:val="003A5502"/>
    <w:rsid w:val="003A55D5"/>
    <w:rsid w:val="003A5632"/>
    <w:rsid w:val="003A5774"/>
    <w:rsid w:val="003A57CA"/>
    <w:rsid w:val="003A57DA"/>
    <w:rsid w:val="003A58B8"/>
    <w:rsid w:val="003A5901"/>
    <w:rsid w:val="003A59A2"/>
    <w:rsid w:val="003A59CE"/>
    <w:rsid w:val="003A5A33"/>
    <w:rsid w:val="003A5A42"/>
    <w:rsid w:val="003A5A43"/>
    <w:rsid w:val="003A5AC3"/>
    <w:rsid w:val="003A5AE3"/>
    <w:rsid w:val="003A5AF1"/>
    <w:rsid w:val="003A5BDB"/>
    <w:rsid w:val="003A5BED"/>
    <w:rsid w:val="003A5C03"/>
    <w:rsid w:val="003A5C9F"/>
    <w:rsid w:val="003A5CF7"/>
    <w:rsid w:val="003A5DA2"/>
    <w:rsid w:val="003A5E38"/>
    <w:rsid w:val="003A5EE3"/>
    <w:rsid w:val="003A6114"/>
    <w:rsid w:val="003A6129"/>
    <w:rsid w:val="003A63D0"/>
    <w:rsid w:val="003A64A0"/>
    <w:rsid w:val="003A6582"/>
    <w:rsid w:val="003A6632"/>
    <w:rsid w:val="003A66E9"/>
    <w:rsid w:val="003A66FE"/>
    <w:rsid w:val="003A6726"/>
    <w:rsid w:val="003A674C"/>
    <w:rsid w:val="003A6840"/>
    <w:rsid w:val="003A6948"/>
    <w:rsid w:val="003A69B4"/>
    <w:rsid w:val="003A6C59"/>
    <w:rsid w:val="003A6E10"/>
    <w:rsid w:val="003A6F38"/>
    <w:rsid w:val="003A6FF2"/>
    <w:rsid w:val="003A705D"/>
    <w:rsid w:val="003A70FF"/>
    <w:rsid w:val="003A7627"/>
    <w:rsid w:val="003A7739"/>
    <w:rsid w:val="003A77C0"/>
    <w:rsid w:val="003A781E"/>
    <w:rsid w:val="003A782E"/>
    <w:rsid w:val="003A7912"/>
    <w:rsid w:val="003A794E"/>
    <w:rsid w:val="003A795E"/>
    <w:rsid w:val="003A7AE5"/>
    <w:rsid w:val="003A7AF7"/>
    <w:rsid w:val="003A7BDA"/>
    <w:rsid w:val="003A7CE9"/>
    <w:rsid w:val="003A7D09"/>
    <w:rsid w:val="003A7DF7"/>
    <w:rsid w:val="003A7EDD"/>
    <w:rsid w:val="003A7EF4"/>
    <w:rsid w:val="003B00C3"/>
    <w:rsid w:val="003B01B8"/>
    <w:rsid w:val="003B06B5"/>
    <w:rsid w:val="003B0771"/>
    <w:rsid w:val="003B0775"/>
    <w:rsid w:val="003B081B"/>
    <w:rsid w:val="003B0A6D"/>
    <w:rsid w:val="003B0C27"/>
    <w:rsid w:val="003B0D81"/>
    <w:rsid w:val="003B0D91"/>
    <w:rsid w:val="003B0E49"/>
    <w:rsid w:val="003B0F2D"/>
    <w:rsid w:val="003B11EF"/>
    <w:rsid w:val="003B1272"/>
    <w:rsid w:val="003B1333"/>
    <w:rsid w:val="003B135D"/>
    <w:rsid w:val="003B1475"/>
    <w:rsid w:val="003B14A6"/>
    <w:rsid w:val="003B154D"/>
    <w:rsid w:val="003B15F6"/>
    <w:rsid w:val="003B169D"/>
    <w:rsid w:val="003B18D0"/>
    <w:rsid w:val="003B1A00"/>
    <w:rsid w:val="003B1C14"/>
    <w:rsid w:val="003B1C7A"/>
    <w:rsid w:val="003B1F69"/>
    <w:rsid w:val="003B210E"/>
    <w:rsid w:val="003B21C5"/>
    <w:rsid w:val="003B23DE"/>
    <w:rsid w:val="003B240D"/>
    <w:rsid w:val="003B2481"/>
    <w:rsid w:val="003B25A0"/>
    <w:rsid w:val="003B265B"/>
    <w:rsid w:val="003B275F"/>
    <w:rsid w:val="003B2790"/>
    <w:rsid w:val="003B27BC"/>
    <w:rsid w:val="003B29CA"/>
    <w:rsid w:val="003B2A71"/>
    <w:rsid w:val="003B2ACD"/>
    <w:rsid w:val="003B2B6F"/>
    <w:rsid w:val="003B2C4F"/>
    <w:rsid w:val="003B2D57"/>
    <w:rsid w:val="003B2DE5"/>
    <w:rsid w:val="003B2EF2"/>
    <w:rsid w:val="003B2F51"/>
    <w:rsid w:val="003B30A7"/>
    <w:rsid w:val="003B32BC"/>
    <w:rsid w:val="003B32E9"/>
    <w:rsid w:val="003B331C"/>
    <w:rsid w:val="003B34D3"/>
    <w:rsid w:val="003B3612"/>
    <w:rsid w:val="003B37F4"/>
    <w:rsid w:val="003B38A0"/>
    <w:rsid w:val="003B38CB"/>
    <w:rsid w:val="003B38E9"/>
    <w:rsid w:val="003B390F"/>
    <w:rsid w:val="003B3A5B"/>
    <w:rsid w:val="003B3A97"/>
    <w:rsid w:val="003B3BAE"/>
    <w:rsid w:val="003B3D0C"/>
    <w:rsid w:val="003B3D16"/>
    <w:rsid w:val="003B3D84"/>
    <w:rsid w:val="003B41B4"/>
    <w:rsid w:val="003B41E5"/>
    <w:rsid w:val="003B4717"/>
    <w:rsid w:val="003B4731"/>
    <w:rsid w:val="003B4769"/>
    <w:rsid w:val="003B47CB"/>
    <w:rsid w:val="003B4A90"/>
    <w:rsid w:val="003B4C70"/>
    <w:rsid w:val="003B4C84"/>
    <w:rsid w:val="003B4DE1"/>
    <w:rsid w:val="003B4E93"/>
    <w:rsid w:val="003B4EAF"/>
    <w:rsid w:val="003B4F3C"/>
    <w:rsid w:val="003B4F7F"/>
    <w:rsid w:val="003B4F81"/>
    <w:rsid w:val="003B4FBA"/>
    <w:rsid w:val="003B4FEC"/>
    <w:rsid w:val="003B5014"/>
    <w:rsid w:val="003B509E"/>
    <w:rsid w:val="003B50B9"/>
    <w:rsid w:val="003B5185"/>
    <w:rsid w:val="003B518D"/>
    <w:rsid w:val="003B51EA"/>
    <w:rsid w:val="003B5280"/>
    <w:rsid w:val="003B52AF"/>
    <w:rsid w:val="003B52EC"/>
    <w:rsid w:val="003B5316"/>
    <w:rsid w:val="003B53E6"/>
    <w:rsid w:val="003B544A"/>
    <w:rsid w:val="003B5563"/>
    <w:rsid w:val="003B559B"/>
    <w:rsid w:val="003B5725"/>
    <w:rsid w:val="003B5748"/>
    <w:rsid w:val="003B5905"/>
    <w:rsid w:val="003B599F"/>
    <w:rsid w:val="003B59A5"/>
    <w:rsid w:val="003B5B94"/>
    <w:rsid w:val="003B5CC4"/>
    <w:rsid w:val="003B5D4D"/>
    <w:rsid w:val="003B5D74"/>
    <w:rsid w:val="003B5FB7"/>
    <w:rsid w:val="003B6025"/>
    <w:rsid w:val="003B640F"/>
    <w:rsid w:val="003B64A7"/>
    <w:rsid w:val="003B64D5"/>
    <w:rsid w:val="003B652A"/>
    <w:rsid w:val="003B6624"/>
    <w:rsid w:val="003B688A"/>
    <w:rsid w:val="003B699A"/>
    <w:rsid w:val="003B69C5"/>
    <w:rsid w:val="003B6A63"/>
    <w:rsid w:val="003B6B9D"/>
    <w:rsid w:val="003B6D34"/>
    <w:rsid w:val="003B6E3F"/>
    <w:rsid w:val="003B6F89"/>
    <w:rsid w:val="003B725E"/>
    <w:rsid w:val="003B7487"/>
    <w:rsid w:val="003B76B3"/>
    <w:rsid w:val="003B7753"/>
    <w:rsid w:val="003B77E8"/>
    <w:rsid w:val="003B7850"/>
    <w:rsid w:val="003B7854"/>
    <w:rsid w:val="003B7912"/>
    <w:rsid w:val="003B791F"/>
    <w:rsid w:val="003B7929"/>
    <w:rsid w:val="003B793B"/>
    <w:rsid w:val="003B7A21"/>
    <w:rsid w:val="003B7B1C"/>
    <w:rsid w:val="003B7BE2"/>
    <w:rsid w:val="003B7CBF"/>
    <w:rsid w:val="003B7F8A"/>
    <w:rsid w:val="003C0252"/>
    <w:rsid w:val="003C02AE"/>
    <w:rsid w:val="003C065D"/>
    <w:rsid w:val="003C0674"/>
    <w:rsid w:val="003C0868"/>
    <w:rsid w:val="003C0920"/>
    <w:rsid w:val="003C0927"/>
    <w:rsid w:val="003C09EA"/>
    <w:rsid w:val="003C0A4B"/>
    <w:rsid w:val="003C0A75"/>
    <w:rsid w:val="003C0AD6"/>
    <w:rsid w:val="003C0B48"/>
    <w:rsid w:val="003C0BFD"/>
    <w:rsid w:val="003C0D58"/>
    <w:rsid w:val="003C0E27"/>
    <w:rsid w:val="003C0E5B"/>
    <w:rsid w:val="003C0FDF"/>
    <w:rsid w:val="003C0FF8"/>
    <w:rsid w:val="003C1126"/>
    <w:rsid w:val="003C117B"/>
    <w:rsid w:val="003C129B"/>
    <w:rsid w:val="003C14DA"/>
    <w:rsid w:val="003C1687"/>
    <w:rsid w:val="003C16D3"/>
    <w:rsid w:val="003C18E9"/>
    <w:rsid w:val="003C1AD0"/>
    <w:rsid w:val="003C1AE3"/>
    <w:rsid w:val="003C1BF4"/>
    <w:rsid w:val="003C1CFD"/>
    <w:rsid w:val="003C1D5F"/>
    <w:rsid w:val="003C2060"/>
    <w:rsid w:val="003C20F1"/>
    <w:rsid w:val="003C2313"/>
    <w:rsid w:val="003C234E"/>
    <w:rsid w:val="003C24F2"/>
    <w:rsid w:val="003C2550"/>
    <w:rsid w:val="003C25A9"/>
    <w:rsid w:val="003C25F4"/>
    <w:rsid w:val="003C2759"/>
    <w:rsid w:val="003C28DA"/>
    <w:rsid w:val="003C28F5"/>
    <w:rsid w:val="003C2959"/>
    <w:rsid w:val="003C2B37"/>
    <w:rsid w:val="003C2BC6"/>
    <w:rsid w:val="003C2D00"/>
    <w:rsid w:val="003C2D2C"/>
    <w:rsid w:val="003C2E8D"/>
    <w:rsid w:val="003C2EC3"/>
    <w:rsid w:val="003C2F3E"/>
    <w:rsid w:val="003C30BB"/>
    <w:rsid w:val="003C3105"/>
    <w:rsid w:val="003C330A"/>
    <w:rsid w:val="003C3329"/>
    <w:rsid w:val="003C3363"/>
    <w:rsid w:val="003C33AC"/>
    <w:rsid w:val="003C33CE"/>
    <w:rsid w:val="003C33D6"/>
    <w:rsid w:val="003C346C"/>
    <w:rsid w:val="003C360C"/>
    <w:rsid w:val="003C37AF"/>
    <w:rsid w:val="003C37B0"/>
    <w:rsid w:val="003C3988"/>
    <w:rsid w:val="003C3AFB"/>
    <w:rsid w:val="003C3CDF"/>
    <w:rsid w:val="003C3CE0"/>
    <w:rsid w:val="003C3DC5"/>
    <w:rsid w:val="003C3FF6"/>
    <w:rsid w:val="003C4279"/>
    <w:rsid w:val="003C4606"/>
    <w:rsid w:val="003C4A34"/>
    <w:rsid w:val="003C4A57"/>
    <w:rsid w:val="003C4AA0"/>
    <w:rsid w:val="003C4AAB"/>
    <w:rsid w:val="003C4CDF"/>
    <w:rsid w:val="003C4D66"/>
    <w:rsid w:val="003C4E88"/>
    <w:rsid w:val="003C4EB8"/>
    <w:rsid w:val="003C5011"/>
    <w:rsid w:val="003C507E"/>
    <w:rsid w:val="003C50E7"/>
    <w:rsid w:val="003C5122"/>
    <w:rsid w:val="003C51CE"/>
    <w:rsid w:val="003C5327"/>
    <w:rsid w:val="003C5390"/>
    <w:rsid w:val="003C53A0"/>
    <w:rsid w:val="003C53DD"/>
    <w:rsid w:val="003C53E2"/>
    <w:rsid w:val="003C53EE"/>
    <w:rsid w:val="003C5450"/>
    <w:rsid w:val="003C55B1"/>
    <w:rsid w:val="003C572A"/>
    <w:rsid w:val="003C57BA"/>
    <w:rsid w:val="003C583B"/>
    <w:rsid w:val="003C59AD"/>
    <w:rsid w:val="003C59C4"/>
    <w:rsid w:val="003C5A25"/>
    <w:rsid w:val="003C5ABF"/>
    <w:rsid w:val="003C5B7D"/>
    <w:rsid w:val="003C5DB4"/>
    <w:rsid w:val="003C5DEB"/>
    <w:rsid w:val="003C5EBA"/>
    <w:rsid w:val="003C5F63"/>
    <w:rsid w:val="003C5FAB"/>
    <w:rsid w:val="003C5FCF"/>
    <w:rsid w:val="003C5FDC"/>
    <w:rsid w:val="003C5FE0"/>
    <w:rsid w:val="003C5FF9"/>
    <w:rsid w:val="003C6023"/>
    <w:rsid w:val="003C61C7"/>
    <w:rsid w:val="003C63BF"/>
    <w:rsid w:val="003C63F8"/>
    <w:rsid w:val="003C646F"/>
    <w:rsid w:val="003C64D5"/>
    <w:rsid w:val="003C6570"/>
    <w:rsid w:val="003C6578"/>
    <w:rsid w:val="003C6612"/>
    <w:rsid w:val="003C6656"/>
    <w:rsid w:val="003C6735"/>
    <w:rsid w:val="003C67F7"/>
    <w:rsid w:val="003C6983"/>
    <w:rsid w:val="003C69DF"/>
    <w:rsid w:val="003C6A53"/>
    <w:rsid w:val="003C6BE5"/>
    <w:rsid w:val="003C6CC1"/>
    <w:rsid w:val="003C6D2C"/>
    <w:rsid w:val="003C701E"/>
    <w:rsid w:val="003C71AD"/>
    <w:rsid w:val="003C71C1"/>
    <w:rsid w:val="003C7238"/>
    <w:rsid w:val="003C724A"/>
    <w:rsid w:val="003C7280"/>
    <w:rsid w:val="003C72BB"/>
    <w:rsid w:val="003C744F"/>
    <w:rsid w:val="003C74D8"/>
    <w:rsid w:val="003C74F3"/>
    <w:rsid w:val="003C7524"/>
    <w:rsid w:val="003C7662"/>
    <w:rsid w:val="003C76B5"/>
    <w:rsid w:val="003C76F5"/>
    <w:rsid w:val="003C76F6"/>
    <w:rsid w:val="003C7727"/>
    <w:rsid w:val="003C783A"/>
    <w:rsid w:val="003C78C5"/>
    <w:rsid w:val="003C7A46"/>
    <w:rsid w:val="003C7C2A"/>
    <w:rsid w:val="003C7C7B"/>
    <w:rsid w:val="003C7DF4"/>
    <w:rsid w:val="003C7E26"/>
    <w:rsid w:val="003D0076"/>
    <w:rsid w:val="003D00A8"/>
    <w:rsid w:val="003D01E2"/>
    <w:rsid w:val="003D0244"/>
    <w:rsid w:val="003D0321"/>
    <w:rsid w:val="003D03B9"/>
    <w:rsid w:val="003D03ED"/>
    <w:rsid w:val="003D04F2"/>
    <w:rsid w:val="003D04F7"/>
    <w:rsid w:val="003D05D7"/>
    <w:rsid w:val="003D0687"/>
    <w:rsid w:val="003D069C"/>
    <w:rsid w:val="003D069F"/>
    <w:rsid w:val="003D0A6A"/>
    <w:rsid w:val="003D0ADF"/>
    <w:rsid w:val="003D0C20"/>
    <w:rsid w:val="003D0DDA"/>
    <w:rsid w:val="003D0E30"/>
    <w:rsid w:val="003D0E6B"/>
    <w:rsid w:val="003D0EBB"/>
    <w:rsid w:val="003D0F59"/>
    <w:rsid w:val="003D0F93"/>
    <w:rsid w:val="003D1023"/>
    <w:rsid w:val="003D1067"/>
    <w:rsid w:val="003D10AE"/>
    <w:rsid w:val="003D11A0"/>
    <w:rsid w:val="003D11F6"/>
    <w:rsid w:val="003D1300"/>
    <w:rsid w:val="003D137F"/>
    <w:rsid w:val="003D13BD"/>
    <w:rsid w:val="003D14E4"/>
    <w:rsid w:val="003D14EC"/>
    <w:rsid w:val="003D1535"/>
    <w:rsid w:val="003D158A"/>
    <w:rsid w:val="003D15A7"/>
    <w:rsid w:val="003D164E"/>
    <w:rsid w:val="003D16A2"/>
    <w:rsid w:val="003D17B5"/>
    <w:rsid w:val="003D18FD"/>
    <w:rsid w:val="003D1987"/>
    <w:rsid w:val="003D198D"/>
    <w:rsid w:val="003D1A3E"/>
    <w:rsid w:val="003D1BE5"/>
    <w:rsid w:val="003D1BED"/>
    <w:rsid w:val="003D1CDB"/>
    <w:rsid w:val="003D1E06"/>
    <w:rsid w:val="003D1ED5"/>
    <w:rsid w:val="003D1F6B"/>
    <w:rsid w:val="003D207A"/>
    <w:rsid w:val="003D21D9"/>
    <w:rsid w:val="003D2400"/>
    <w:rsid w:val="003D248C"/>
    <w:rsid w:val="003D2532"/>
    <w:rsid w:val="003D253C"/>
    <w:rsid w:val="003D25AD"/>
    <w:rsid w:val="003D28AC"/>
    <w:rsid w:val="003D28B4"/>
    <w:rsid w:val="003D293A"/>
    <w:rsid w:val="003D2B2A"/>
    <w:rsid w:val="003D2C9F"/>
    <w:rsid w:val="003D2D11"/>
    <w:rsid w:val="003D2D7D"/>
    <w:rsid w:val="003D2DB3"/>
    <w:rsid w:val="003D2E8E"/>
    <w:rsid w:val="003D2F9F"/>
    <w:rsid w:val="003D3075"/>
    <w:rsid w:val="003D3117"/>
    <w:rsid w:val="003D3193"/>
    <w:rsid w:val="003D335E"/>
    <w:rsid w:val="003D33E5"/>
    <w:rsid w:val="003D346E"/>
    <w:rsid w:val="003D34E1"/>
    <w:rsid w:val="003D34F2"/>
    <w:rsid w:val="003D3556"/>
    <w:rsid w:val="003D3577"/>
    <w:rsid w:val="003D37EC"/>
    <w:rsid w:val="003D38DD"/>
    <w:rsid w:val="003D3987"/>
    <w:rsid w:val="003D3A23"/>
    <w:rsid w:val="003D3B24"/>
    <w:rsid w:val="003D3B5A"/>
    <w:rsid w:val="003D3B82"/>
    <w:rsid w:val="003D3BDE"/>
    <w:rsid w:val="003D3D38"/>
    <w:rsid w:val="003D3D7A"/>
    <w:rsid w:val="003D3DE4"/>
    <w:rsid w:val="003D4112"/>
    <w:rsid w:val="003D4302"/>
    <w:rsid w:val="003D4337"/>
    <w:rsid w:val="003D434E"/>
    <w:rsid w:val="003D43D2"/>
    <w:rsid w:val="003D43E7"/>
    <w:rsid w:val="003D4438"/>
    <w:rsid w:val="003D46FF"/>
    <w:rsid w:val="003D49D2"/>
    <w:rsid w:val="003D4A16"/>
    <w:rsid w:val="003D4AAB"/>
    <w:rsid w:val="003D4CC6"/>
    <w:rsid w:val="003D4CD0"/>
    <w:rsid w:val="003D4CD2"/>
    <w:rsid w:val="003D4D12"/>
    <w:rsid w:val="003D4D7F"/>
    <w:rsid w:val="003D4E8E"/>
    <w:rsid w:val="003D500C"/>
    <w:rsid w:val="003D51CF"/>
    <w:rsid w:val="003D52E9"/>
    <w:rsid w:val="003D53FA"/>
    <w:rsid w:val="003D543A"/>
    <w:rsid w:val="003D5546"/>
    <w:rsid w:val="003D559B"/>
    <w:rsid w:val="003D56D5"/>
    <w:rsid w:val="003D586E"/>
    <w:rsid w:val="003D59D5"/>
    <w:rsid w:val="003D5A36"/>
    <w:rsid w:val="003D5B0E"/>
    <w:rsid w:val="003D5C81"/>
    <w:rsid w:val="003D5E23"/>
    <w:rsid w:val="003D5E2E"/>
    <w:rsid w:val="003D5E7D"/>
    <w:rsid w:val="003D5EB3"/>
    <w:rsid w:val="003D5F07"/>
    <w:rsid w:val="003D5F5B"/>
    <w:rsid w:val="003D5F9F"/>
    <w:rsid w:val="003D5FD8"/>
    <w:rsid w:val="003D6097"/>
    <w:rsid w:val="003D60DF"/>
    <w:rsid w:val="003D60EC"/>
    <w:rsid w:val="003D61A4"/>
    <w:rsid w:val="003D6214"/>
    <w:rsid w:val="003D63E8"/>
    <w:rsid w:val="003D6452"/>
    <w:rsid w:val="003D64D2"/>
    <w:rsid w:val="003D65A7"/>
    <w:rsid w:val="003D671E"/>
    <w:rsid w:val="003D6769"/>
    <w:rsid w:val="003D686E"/>
    <w:rsid w:val="003D68B1"/>
    <w:rsid w:val="003D690B"/>
    <w:rsid w:val="003D69B1"/>
    <w:rsid w:val="003D69C6"/>
    <w:rsid w:val="003D69E0"/>
    <w:rsid w:val="003D6A67"/>
    <w:rsid w:val="003D6A79"/>
    <w:rsid w:val="003D6B75"/>
    <w:rsid w:val="003D6BC4"/>
    <w:rsid w:val="003D6C12"/>
    <w:rsid w:val="003D6C24"/>
    <w:rsid w:val="003D6CA0"/>
    <w:rsid w:val="003D6D16"/>
    <w:rsid w:val="003D6E84"/>
    <w:rsid w:val="003D6EDA"/>
    <w:rsid w:val="003D6F19"/>
    <w:rsid w:val="003D7125"/>
    <w:rsid w:val="003D7139"/>
    <w:rsid w:val="003D713D"/>
    <w:rsid w:val="003D71E8"/>
    <w:rsid w:val="003D7372"/>
    <w:rsid w:val="003D73BA"/>
    <w:rsid w:val="003D74E6"/>
    <w:rsid w:val="003D76E1"/>
    <w:rsid w:val="003D7709"/>
    <w:rsid w:val="003D79F4"/>
    <w:rsid w:val="003D7C58"/>
    <w:rsid w:val="003D7CC3"/>
    <w:rsid w:val="003D7CE0"/>
    <w:rsid w:val="003D7D39"/>
    <w:rsid w:val="003D7E26"/>
    <w:rsid w:val="003D7E55"/>
    <w:rsid w:val="003D7FEF"/>
    <w:rsid w:val="003E0461"/>
    <w:rsid w:val="003E04F4"/>
    <w:rsid w:val="003E05EE"/>
    <w:rsid w:val="003E068E"/>
    <w:rsid w:val="003E0694"/>
    <w:rsid w:val="003E0751"/>
    <w:rsid w:val="003E0925"/>
    <w:rsid w:val="003E0AD5"/>
    <w:rsid w:val="003E0B3F"/>
    <w:rsid w:val="003E0BF5"/>
    <w:rsid w:val="003E0C01"/>
    <w:rsid w:val="003E0C43"/>
    <w:rsid w:val="003E0C64"/>
    <w:rsid w:val="003E0CF8"/>
    <w:rsid w:val="003E0F54"/>
    <w:rsid w:val="003E10A0"/>
    <w:rsid w:val="003E10A2"/>
    <w:rsid w:val="003E1276"/>
    <w:rsid w:val="003E13FA"/>
    <w:rsid w:val="003E1441"/>
    <w:rsid w:val="003E15F9"/>
    <w:rsid w:val="003E1651"/>
    <w:rsid w:val="003E177C"/>
    <w:rsid w:val="003E17EA"/>
    <w:rsid w:val="003E183E"/>
    <w:rsid w:val="003E1999"/>
    <w:rsid w:val="003E1A2D"/>
    <w:rsid w:val="003E1A4B"/>
    <w:rsid w:val="003E1A8A"/>
    <w:rsid w:val="003E1D65"/>
    <w:rsid w:val="003E1DA9"/>
    <w:rsid w:val="003E1E78"/>
    <w:rsid w:val="003E1E81"/>
    <w:rsid w:val="003E1EB2"/>
    <w:rsid w:val="003E1F13"/>
    <w:rsid w:val="003E1FCE"/>
    <w:rsid w:val="003E1FD4"/>
    <w:rsid w:val="003E1FEC"/>
    <w:rsid w:val="003E23A7"/>
    <w:rsid w:val="003E251D"/>
    <w:rsid w:val="003E2573"/>
    <w:rsid w:val="003E257A"/>
    <w:rsid w:val="003E28A3"/>
    <w:rsid w:val="003E292C"/>
    <w:rsid w:val="003E293B"/>
    <w:rsid w:val="003E2996"/>
    <w:rsid w:val="003E2B6A"/>
    <w:rsid w:val="003E2BBE"/>
    <w:rsid w:val="003E2BDE"/>
    <w:rsid w:val="003E2CFA"/>
    <w:rsid w:val="003E2D69"/>
    <w:rsid w:val="003E2D7D"/>
    <w:rsid w:val="003E2E9D"/>
    <w:rsid w:val="003E2FAF"/>
    <w:rsid w:val="003E308A"/>
    <w:rsid w:val="003E3114"/>
    <w:rsid w:val="003E3166"/>
    <w:rsid w:val="003E33DE"/>
    <w:rsid w:val="003E3444"/>
    <w:rsid w:val="003E3545"/>
    <w:rsid w:val="003E36F0"/>
    <w:rsid w:val="003E371C"/>
    <w:rsid w:val="003E3867"/>
    <w:rsid w:val="003E3903"/>
    <w:rsid w:val="003E390A"/>
    <w:rsid w:val="003E3AE5"/>
    <w:rsid w:val="003E3BD4"/>
    <w:rsid w:val="003E3D7F"/>
    <w:rsid w:val="003E3DD1"/>
    <w:rsid w:val="003E3DDD"/>
    <w:rsid w:val="003E3DE7"/>
    <w:rsid w:val="003E3E37"/>
    <w:rsid w:val="003E3E79"/>
    <w:rsid w:val="003E3E9B"/>
    <w:rsid w:val="003E4017"/>
    <w:rsid w:val="003E4073"/>
    <w:rsid w:val="003E4079"/>
    <w:rsid w:val="003E42B6"/>
    <w:rsid w:val="003E42DB"/>
    <w:rsid w:val="003E43D3"/>
    <w:rsid w:val="003E452E"/>
    <w:rsid w:val="003E45AE"/>
    <w:rsid w:val="003E4715"/>
    <w:rsid w:val="003E47C8"/>
    <w:rsid w:val="003E49E7"/>
    <w:rsid w:val="003E4BA7"/>
    <w:rsid w:val="003E4DC5"/>
    <w:rsid w:val="003E4FB4"/>
    <w:rsid w:val="003E501E"/>
    <w:rsid w:val="003E5059"/>
    <w:rsid w:val="003E50C9"/>
    <w:rsid w:val="003E532E"/>
    <w:rsid w:val="003E5388"/>
    <w:rsid w:val="003E54D6"/>
    <w:rsid w:val="003E54EB"/>
    <w:rsid w:val="003E54FE"/>
    <w:rsid w:val="003E5532"/>
    <w:rsid w:val="003E5554"/>
    <w:rsid w:val="003E577E"/>
    <w:rsid w:val="003E57A2"/>
    <w:rsid w:val="003E5843"/>
    <w:rsid w:val="003E5A77"/>
    <w:rsid w:val="003E5BAD"/>
    <w:rsid w:val="003E5CC9"/>
    <w:rsid w:val="003E5D8E"/>
    <w:rsid w:val="003E5DC2"/>
    <w:rsid w:val="003E5E94"/>
    <w:rsid w:val="003E5F23"/>
    <w:rsid w:val="003E5F35"/>
    <w:rsid w:val="003E5F39"/>
    <w:rsid w:val="003E6208"/>
    <w:rsid w:val="003E62BA"/>
    <w:rsid w:val="003E630D"/>
    <w:rsid w:val="003E6408"/>
    <w:rsid w:val="003E6452"/>
    <w:rsid w:val="003E64ED"/>
    <w:rsid w:val="003E66AC"/>
    <w:rsid w:val="003E66F5"/>
    <w:rsid w:val="003E66FC"/>
    <w:rsid w:val="003E6941"/>
    <w:rsid w:val="003E6965"/>
    <w:rsid w:val="003E6BD3"/>
    <w:rsid w:val="003E6CD0"/>
    <w:rsid w:val="003E6D13"/>
    <w:rsid w:val="003E6DA6"/>
    <w:rsid w:val="003E6DCC"/>
    <w:rsid w:val="003E6DE7"/>
    <w:rsid w:val="003E6DEF"/>
    <w:rsid w:val="003E6E65"/>
    <w:rsid w:val="003E6FF0"/>
    <w:rsid w:val="003E70F3"/>
    <w:rsid w:val="003E75A0"/>
    <w:rsid w:val="003E7A70"/>
    <w:rsid w:val="003E7AEB"/>
    <w:rsid w:val="003E7DC5"/>
    <w:rsid w:val="003E7E5F"/>
    <w:rsid w:val="003E7EED"/>
    <w:rsid w:val="003E7F09"/>
    <w:rsid w:val="003F00EA"/>
    <w:rsid w:val="003F011E"/>
    <w:rsid w:val="003F05B7"/>
    <w:rsid w:val="003F0600"/>
    <w:rsid w:val="003F064E"/>
    <w:rsid w:val="003F07A4"/>
    <w:rsid w:val="003F07F4"/>
    <w:rsid w:val="003F0863"/>
    <w:rsid w:val="003F089F"/>
    <w:rsid w:val="003F08B2"/>
    <w:rsid w:val="003F0AC6"/>
    <w:rsid w:val="003F0D34"/>
    <w:rsid w:val="003F0E35"/>
    <w:rsid w:val="003F0F69"/>
    <w:rsid w:val="003F1086"/>
    <w:rsid w:val="003F10B2"/>
    <w:rsid w:val="003F12FC"/>
    <w:rsid w:val="003F13B0"/>
    <w:rsid w:val="003F1533"/>
    <w:rsid w:val="003F1596"/>
    <w:rsid w:val="003F15FD"/>
    <w:rsid w:val="003F1603"/>
    <w:rsid w:val="003F1891"/>
    <w:rsid w:val="003F19A5"/>
    <w:rsid w:val="003F1C16"/>
    <w:rsid w:val="003F1F66"/>
    <w:rsid w:val="003F2059"/>
    <w:rsid w:val="003F20CD"/>
    <w:rsid w:val="003F2176"/>
    <w:rsid w:val="003F2205"/>
    <w:rsid w:val="003F23AA"/>
    <w:rsid w:val="003F2493"/>
    <w:rsid w:val="003F24A5"/>
    <w:rsid w:val="003F24AB"/>
    <w:rsid w:val="003F279A"/>
    <w:rsid w:val="003F27A9"/>
    <w:rsid w:val="003F27D5"/>
    <w:rsid w:val="003F2B06"/>
    <w:rsid w:val="003F2BDF"/>
    <w:rsid w:val="003F2BE7"/>
    <w:rsid w:val="003F2C02"/>
    <w:rsid w:val="003F2DA1"/>
    <w:rsid w:val="003F2E0F"/>
    <w:rsid w:val="003F2E4E"/>
    <w:rsid w:val="003F2ED1"/>
    <w:rsid w:val="003F308C"/>
    <w:rsid w:val="003F3162"/>
    <w:rsid w:val="003F31F9"/>
    <w:rsid w:val="003F32DB"/>
    <w:rsid w:val="003F335D"/>
    <w:rsid w:val="003F3509"/>
    <w:rsid w:val="003F355E"/>
    <w:rsid w:val="003F35AE"/>
    <w:rsid w:val="003F360F"/>
    <w:rsid w:val="003F3614"/>
    <w:rsid w:val="003F3621"/>
    <w:rsid w:val="003F3635"/>
    <w:rsid w:val="003F36A9"/>
    <w:rsid w:val="003F36DF"/>
    <w:rsid w:val="003F379E"/>
    <w:rsid w:val="003F38A9"/>
    <w:rsid w:val="003F3958"/>
    <w:rsid w:val="003F3B87"/>
    <w:rsid w:val="003F3C01"/>
    <w:rsid w:val="003F3DEB"/>
    <w:rsid w:val="003F404A"/>
    <w:rsid w:val="003F4384"/>
    <w:rsid w:val="003F4396"/>
    <w:rsid w:val="003F44B0"/>
    <w:rsid w:val="003F44C0"/>
    <w:rsid w:val="003F45B9"/>
    <w:rsid w:val="003F4621"/>
    <w:rsid w:val="003F462E"/>
    <w:rsid w:val="003F4750"/>
    <w:rsid w:val="003F4763"/>
    <w:rsid w:val="003F48CB"/>
    <w:rsid w:val="003F4A57"/>
    <w:rsid w:val="003F4AD7"/>
    <w:rsid w:val="003F4AE3"/>
    <w:rsid w:val="003F4F29"/>
    <w:rsid w:val="003F4FA3"/>
    <w:rsid w:val="003F508D"/>
    <w:rsid w:val="003F50B1"/>
    <w:rsid w:val="003F50D2"/>
    <w:rsid w:val="003F5237"/>
    <w:rsid w:val="003F5265"/>
    <w:rsid w:val="003F5519"/>
    <w:rsid w:val="003F55BA"/>
    <w:rsid w:val="003F562F"/>
    <w:rsid w:val="003F5678"/>
    <w:rsid w:val="003F591D"/>
    <w:rsid w:val="003F59A6"/>
    <w:rsid w:val="003F59D0"/>
    <w:rsid w:val="003F5B6B"/>
    <w:rsid w:val="003F5BA2"/>
    <w:rsid w:val="003F5BD3"/>
    <w:rsid w:val="003F5BF3"/>
    <w:rsid w:val="003F5C97"/>
    <w:rsid w:val="003F5D7B"/>
    <w:rsid w:val="003F5EAF"/>
    <w:rsid w:val="003F5ECD"/>
    <w:rsid w:val="003F5F45"/>
    <w:rsid w:val="003F6035"/>
    <w:rsid w:val="003F6126"/>
    <w:rsid w:val="003F6189"/>
    <w:rsid w:val="003F6241"/>
    <w:rsid w:val="003F6259"/>
    <w:rsid w:val="003F637C"/>
    <w:rsid w:val="003F641C"/>
    <w:rsid w:val="003F6422"/>
    <w:rsid w:val="003F6704"/>
    <w:rsid w:val="003F67D7"/>
    <w:rsid w:val="003F6901"/>
    <w:rsid w:val="003F69B5"/>
    <w:rsid w:val="003F6A21"/>
    <w:rsid w:val="003F6B23"/>
    <w:rsid w:val="003F6D7B"/>
    <w:rsid w:val="003F6DE4"/>
    <w:rsid w:val="003F6E47"/>
    <w:rsid w:val="003F6F4B"/>
    <w:rsid w:val="003F71A9"/>
    <w:rsid w:val="003F7582"/>
    <w:rsid w:val="003F794F"/>
    <w:rsid w:val="003F7B72"/>
    <w:rsid w:val="003F7CB8"/>
    <w:rsid w:val="003F7EF0"/>
    <w:rsid w:val="003F7F13"/>
    <w:rsid w:val="0040017A"/>
    <w:rsid w:val="00400300"/>
    <w:rsid w:val="00400395"/>
    <w:rsid w:val="004003BD"/>
    <w:rsid w:val="00400577"/>
    <w:rsid w:val="00400679"/>
    <w:rsid w:val="004008F2"/>
    <w:rsid w:val="0040091A"/>
    <w:rsid w:val="00400A38"/>
    <w:rsid w:val="00400A8E"/>
    <w:rsid w:val="00400AE8"/>
    <w:rsid w:val="00400BE1"/>
    <w:rsid w:val="00400D05"/>
    <w:rsid w:val="00400DAD"/>
    <w:rsid w:val="00400DDC"/>
    <w:rsid w:val="00400F15"/>
    <w:rsid w:val="00400F37"/>
    <w:rsid w:val="004010AB"/>
    <w:rsid w:val="0040118E"/>
    <w:rsid w:val="00401399"/>
    <w:rsid w:val="004013DA"/>
    <w:rsid w:val="00401400"/>
    <w:rsid w:val="004014C5"/>
    <w:rsid w:val="00401529"/>
    <w:rsid w:val="0040175A"/>
    <w:rsid w:val="0040180A"/>
    <w:rsid w:val="00401862"/>
    <w:rsid w:val="00401963"/>
    <w:rsid w:val="00401B74"/>
    <w:rsid w:val="00401BDE"/>
    <w:rsid w:val="00401BE7"/>
    <w:rsid w:val="00401C1F"/>
    <w:rsid w:val="00401D34"/>
    <w:rsid w:val="00401F2C"/>
    <w:rsid w:val="004023D3"/>
    <w:rsid w:val="00402403"/>
    <w:rsid w:val="00402460"/>
    <w:rsid w:val="004025B0"/>
    <w:rsid w:val="004026C0"/>
    <w:rsid w:val="004026E1"/>
    <w:rsid w:val="0040275B"/>
    <w:rsid w:val="00402A42"/>
    <w:rsid w:val="00402A4D"/>
    <w:rsid w:val="00402B71"/>
    <w:rsid w:val="0040303C"/>
    <w:rsid w:val="0040305C"/>
    <w:rsid w:val="0040307F"/>
    <w:rsid w:val="0040317A"/>
    <w:rsid w:val="00403223"/>
    <w:rsid w:val="00403364"/>
    <w:rsid w:val="004033A4"/>
    <w:rsid w:val="004034E6"/>
    <w:rsid w:val="00403532"/>
    <w:rsid w:val="0040366B"/>
    <w:rsid w:val="00403701"/>
    <w:rsid w:val="0040379C"/>
    <w:rsid w:val="00403802"/>
    <w:rsid w:val="00403812"/>
    <w:rsid w:val="004038F8"/>
    <w:rsid w:val="004039DF"/>
    <w:rsid w:val="00403A68"/>
    <w:rsid w:val="00403C64"/>
    <w:rsid w:val="00403CCC"/>
    <w:rsid w:val="00403EBE"/>
    <w:rsid w:val="00403FFA"/>
    <w:rsid w:val="0040408C"/>
    <w:rsid w:val="004040D3"/>
    <w:rsid w:val="004042F2"/>
    <w:rsid w:val="0040436E"/>
    <w:rsid w:val="00404402"/>
    <w:rsid w:val="00404515"/>
    <w:rsid w:val="00404531"/>
    <w:rsid w:val="004045E7"/>
    <w:rsid w:val="004046A2"/>
    <w:rsid w:val="004046B2"/>
    <w:rsid w:val="004047FD"/>
    <w:rsid w:val="0040483C"/>
    <w:rsid w:val="004048C0"/>
    <w:rsid w:val="0040498A"/>
    <w:rsid w:val="004049DC"/>
    <w:rsid w:val="00404B98"/>
    <w:rsid w:val="00404C33"/>
    <w:rsid w:val="00404D36"/>
    <w:rsid w:val="00404E0A"/>
    <w:rsid w:val="004050E3"/>
    <w:rsid w:val="004050F3"/>
    <w:rsid w:val="0040510C"/>
    <w:rsid w:val="0040536D"/>
    <w:rsid w:val="004054EB"/>
    <w:rsid w:val="00405596"/>
    <w:rsid w:val="00405621"/>
    <w:rsid w:val="0040569F"/>
    <w:rsid w:val="00405893"/>
    <w:rsid w:val="00405A46"/>
    <w:rsid w:val="00405B81"/>
    <w:rsid w:val="00405C53"/>
    <w:rsid w:val="00405C7D"/>
    <w:rsid w:val="00405C99"/>
    <w:rsid w:val="00405D3A"/>
    <w:rsid w:val="00405E20"/>
    <w:rsid w:val="00405FFD"/>
    <w:rsid w:val="00406040"/>
    <w:rsid w:val="00406049"/>
    <w:rsid w:val="0040610D"/>
    <w:rsid w:val="0040613B"/>
    <w:rsid w:val="004061BF"/>
    <w:rsid w:val="004061DA"/>
    <w:rsid w:val="004063EA"/>
    <w:rsid w:val="00406437"/>
    <w:rsid w:val="0040644A"/>
    <w:rsid w:val="00406524"/>
    <w:rsid w:val="004066D0"/>
    <w:rsid w:val="00406755"/>
    <w:rsid w:val="0040675F"/>
    <w:rsid w:val="004069A3"/>
    <w:rsid w:val="00406AD6"/>
    <w:rsid w:val="00406B12"/>
    <w:rsid w:val="00406B49"/>
    <w:rsid w:val="00406B88"/>
    <w:rsid w:val="00406C2A"/>
    <w:rsid w:val="00406D75"/>
    <w:rsid w:val="00406E0F"/>
    <w:rsid w:val="00406EFE"/>
    <w:rsid w:val="00406F1A"/>
    <w:rsid w:val="00406F29"/>
    <w:rsid w:val="00406F69"/>
    <w:rsid w:val="00406F7A"/>
    <w:rsid w:val="00406F8C"/>
    <w:rsid w:val="00407085"/>
    <w:rsid w:val="0040710F"/>
    <w:rsid w:val="0040717E"/>
    <w:rsid w:val="004071B8"/>
    <w:rsid w:val="004071D9"/>
    <w:rsid w:val="0040724E"/>
    <w:rsid w:val="00407513"/>
    <w:rsid w:val="004075B7"/>
    <w:rsid w:val="004077DD"/>
    <w:rsid w:val="00407803"/>
    <w:rsid w:val="00407949"/>
    <w:rsid w:val="0040795D"/>
    <w:rsid w:val="00407DF1"/>
    <w:rsid w:val="00407EDB"/>
    <w:rsid w:val="00407EF9"/>
    <w:rsid w:val="00407F12"/>
    <w:rsid w:val="00407F70"/>
    <w:rsid w:val="004100ED"/>
    <w:rsid w:val="0041010D"/>
    <w:rsid w:val="0041011B"/>
    <w:rsid w:val="0041028C"/>
    <w:rsid w:val="004102CD"/>
    <w:rsid w:val="004102D5"/>
    <w:rsid w:val="00410447"/>
    <w:rsid w:val="00410590"/>
    <w:rsid w:val="00410627"/>
    <w:rsid w:val="004106E2"/>
    <w:rsid w:val="0041083F"/>
    <w:rsid w:val="0041084E"/>
    <w:rsid w:val="0041090A"/>
    <w:rsid w:val="0041091B"/>
    <w:rsid w:val="00410977"/>
    <w:rsid w:val="00410985"/>
    <w:rsid w:val="00410BDC"/>
    <w:rsid w:val="00410D81"/>
    <w:rsid w:val="00410DBA"/>
    <w:rsid w:val="00410F2F"/>
    <w:rsid w:val="00411028"/>
    <w:rsid w:val="0041106B"/>
    <w:rsid w:val="004112B9"/>
    <w:rsid w:val="00411300"/>
    <w:rsid w:val="00411375"/>
    <w:rsid w:val="004113B8"/>
    <w:rsid w:val="004113D4"/>
    <w:rsid w:val="00411630"/>
    <w:rsid w:val="004116E2"/>
    <w:rsid w:val="00411992"/>
    <w:rsid w:val="00411C0B"/>
    <w:rsid w:val="00411CAE"/>
    <w:rsid w:val="00411D05"/>
    <w:rsid w:val="00411D0D"/>
    <w:rsid w:val="00411DB0"/>
    <w:rsid w:val="00411E0A"/>
    <w:rsid w:val="004123A1"/>
    <w:rsid w:val="004123C8"/>
    <w:rsid w:val="0041271D"/>
    <w:rsid w:val="0041278E"/>
    <w:rsid w:val="00412832"/>
    <w:rsid w:val="004128DF"/>
    <w:rsid w:val="00412AF2"/>
    <w:rsid w:val="00412BF3"/>
    <w:rsid w:val="00412D4A"/>
    <w:rsid w:val="00412E9E"/>
    <w:rsid w:val="004130FB"/>
    <w:rsid w:val="0041319A"/>
    <w:rsid w:val="00413272"/>
    <w:rsid w:val="004132B7"/>
    <w:rsid w:val="004132D1"/>
    <w:rsid w:val="004134C7"/>
    <w:rsid w:val="00413560"/>
    <w:rsid w:val="0041357C"/>
    <w:rsid w:val="00413673"/>
    <w:rsid w:val="00413730"/>
    <w:rsid w:val="004138FF"/>
    <w:rsid w:val="00413904"/>
    <w:rsid w:val="0041397C"/>
    <w:rsid w:val="00413A4E"/>
    <w:rsid w:val="00413A7F"/>
    <w:rsid w:val="00413B34"/>
    <w:rsid w:val="00413B72"/>
    <w:rsid w:val="00413BA1"/>
    <w:rsid w:val="00413BC5"/>
    <w:rsid w:val="00413BFA"/>
    <w:rsid w:val="00413C03"/>
    <w:rsid w:val="00413C7C"/>
    <w:rsid w:val="00413D1C"/>
    <w:rsid w:val="00413E34"/>
    <w:rsid w:val="00413E39"/>
    <w:rsid w:val="00414015"/>
    <w:rsid w:val="00414104"/>
    <w:rsid w:val="00414126"/>
    <w:rsid w:val="0041426C"/>
    <w:rsid w:val="004142EB"/>
    <w:rsid w:val="0041440F"/>
    <w:rsid w:val="00414455"/>
    <w:rsid w:val="0041445A"/>
    <w:rsid w:val="00414586"/>
    <w:rsid w:val="00414621"/>
    <w:rsid w:val="0041462F"/>
    <w:rsid w:val="004147A5"/>
    <w:rsid w:val="00414808"/>
    <w:rsid w:val="00414975"/>
    <w:rsid w:val="00414985"/>
    <w:rsid w:val="00414B17"/>
    <w:rsid w:val="00414BC7"/>
    <w:rsid w:val="00414C5E"/>
    <w:rsid w:val="00414D2F"/>
    <w:rsid w:val="00414F75"/>
    <w:rsid w:val="00414FB6"/>
    <w:rsid w:val="00415224"/>
    <w:rsid w:val="0041530C"/>
    <w:rsid w:val="00415477"/>
    <w:rsid w:val="00415710"/>
    <w:rsid w:val="0041575C"/>
    <w:rsid w:val="004157A3"/>
    <w:rsid w:val="004157B5"/>
    <w:rsid w:val="00415A4E"/>
    <w:rsid w:val="00415BF8"/>
    <w:rsid w:val="00415C3B"/>
    <w:rsid w:val="00415D93"/>
    <w:rsid w:val="00415E4A"/>
    <w:rsid w:val="00415F0F"/>
    <w:rsid w:val="00415F53"/>
    <w:rsid w:val="00415F57"/>
    <w:rsid w:val="00415FBC"/>
    <w:rsid w:val="004160D7"/>
    <w:rsid w:val="00416172"/>
    <w:rsid w:val="0041627A"/>
    <w:rsid w:val="00416340"/>
    <w:rsid w:val="00416343"/>
    <w:rsid w:val="0041675A"/>
    <w:rsid w:val="004167C0"/>
    <w:rsid w:val="0041687E"/>
    <w:rsid w:val="004168A4"/>
    <w:rsid w:val="00416AB6"/>
    <w:rsid w:val="00416AF5"/>
    <w:rsid w:val="00416C49"/>
    <w:rsid w:val="00416F2D"/>
    <w:rsid w:val="0041700B"/>
    <w:rsid w:val="004170C4"/>
    <w:rsid w:val="0041716D"/>
    <w:rsid w:val="0041724F"/>
    <w:rsid w:val="004173B7"/>
    <w:rsid w:val="004173D3"/>
    <w:rsid w:val="004174F8"/>
    <w:rsid w:val="00417623"/>
    <w:rsid w:val="00417716"/>
    <w:rsid w:val="0041774D"/>
    <w:rsid w:val="004178CF"/>
    <w:rsid w:val="00417912"/>
    <w:rsid w:val="004179FC"/>
    <w:rsid w:val="00417AC9"/>
    <w:rsid w:val="00417B2E"/>
    <w:rsid w:val="00417B71"/>
    <w:rsid w:val="00417B8B"/>
    <w:rsid w:val="00417BE6"/>
    <w:rsid w:val="00417C28"/>
    <w:rsid w:val="00417D9E"/>
    <w:rsid w:val="00420014"/>
    <w:rsid w:val="00420577"/>
    <w:rsid w:val="0042064D"/>
    <w:rsid w:val="00420A2A"/>
    <w:rsid w:val="00420A97"/>
    <w:rsid w:val="00420D39"/>
    <w:rsid w:val="00420DA2"/>
    <w:rsid w:val="00420DF8"/>
    <w:rsid w:val="0042104D"/>
    <w:rsid w:val="0042111C"/>
    <w:rsid w:val="00421193"/>
    <w:rsid w:val="004212D0"/>
    <w:rsid w:val="004212E4"/>
    <w:rsid w:val="00421377"/>
    <w:rsid w:val="004213C0"/>
    <w:rsid w:val="004213E1"/>
    <w:rsid w:val="00421432"/>
    <w:rsid w:val="00421481"/>
    <w:rsid w:val="00421582"/>
    <w:rsid w:val="00421620"/>
    <w:rsid w:val="0042163B"/>
    <w:rsid w:val="00421670"/>
    <w:rsid w:val="004216B2"/>
    <w:rsid w:val="004216C1"/>
    <w:rsid w:val="00421772"/>
    <w:rsid w:val="004217BE"/>
    <w:rsid w:val="004217F2"/>
    <w:rsid w:val="00421865"/>
    <w:rsid w:val="0042189C"/>
    <w:rsid w:val="00421915"/>
    <w:rsid w:val="004219AB"/>
    <w:rsid w:val="00421A12"/>
    <w:rsid w:val="00421A17"/>
    <w:rsid w:val="00421B74"/>
    <w:rsid w:val="00421D10"/>
    <w:rsid w:val="00421D9D"/>
    <w:rsid w:val="00421E79"/>
    <w:rsid w:val="00421E97"/>
    <w:rsid w:val="0042203C"/>
    <w:rsid w:val="00422076"/>
    <w:rsid w:val="004220C8"/>
    <w:rsid w:val="004220CF"/>
    <w:rsid w:val="00422104"/>
    <w:rsid w:val="00422193"/>
    <w:rsid w:val="004221F9"/>
    <w:rsid w:val="0042244C"/>
    <w:rsid w:val="004224E2"/>
    <w:rsid w:val="00422622"/>
    <w:rsid w:val="004226A4"/>
    <w:rsid w:val="004226D6"/>
    <w:rsid w:val="00422787"/>
    <w:rsid w:val="004227E2"/>
    <w:rsid w:val="0042298D"/>
    <w:rsid w:val="00422AE0"/>
    <w:rsid w:val="00422B3C"/>
    <w:rsid w:val="00422C43"/>
    <w:rsid w:val="00422CC0"/>
    <w:rsid w:val="00422CD2"/>
    <w:rsid w:val="00422CE5"/>
    <w:rsid w:val="00423046"/>
    <w:rsid w:val="0042328E"/>
    <w:rsid w:val="0042336B"/>
    <w:rsid w:val="0042344E"/>
    <w:rsid w:val="00423509"/>
    <w:rsid w:val="0042356F"/>
    <w:rsid w:val="00423677"/>
    <w:rsid w:val="004236C1"/>
    <w:rsid w:val="00423979"/>
    <w:rsid w:val="00423AC0"/>
    <w:rsid w:val="00423B47"/>
    <w:rsid w:val="00423BF8"/>
    <w:rsid w:val="00423CDB"/>
    <w:rsid w:val="00423D98"/>
    <w:rsid w:val="00423EA2"/>
    <w:rsid w:val="004241D3"/>
    <w:rsid w:val="00424477"/>
    <w:rsid w:val="00424496"/>
    <w:rsid w:val="004244D9"/>
    <w:rsid w:val="00424506"/>
    <w:rsid w:val="0042471A"/>
    <w:rsid w:val="004247E6"/>
    <w:rsid w:val="00424824"/>
    <w:rsid w:val="00424A99"/>
    <w:rsid w:val="00424C4E"/>
    <w:rsid w:val="00424DF6"/>
    <w:rsid w:val="00424E00"/>
    <w:rsid w:val="00424E3E"/>
    <w:rsid w:val="0042500B"/>
    <w:rsid w:val="0042516F"/>
    <w:rsid w:val="004251FC"/>
    <w:rsid w:val="004253D3"/>
    <w:rsid w:val="004255B9"/>
    <w:rsid w:val="00425675"/>
    <w:rsid w:val="004256AE"/>
    <w:rsid w:val="00425747"/>
    <w:rsid w:val="00425779"/>
    <w:rsid w:val="004257BD"/>
    <w:rsid w:val="0042581F"/>
    <w:rsid w:val="00425852"/>
    <w:rsid w:val="004258AE"/>
    <w:rsid w:val="004258F6"/>
    <w:rsid w:val="00425AB8"/>
    <w:rsid w:val="00425B05"/>
    <w:rsid w:val="00425BF4"/>
    <w:rsid w:val="00425CCA"/>
    <w:rsid w:val="00425E8C"/>
    <w:rsid w:val="00425EFE"/>
    <w:rsid w:val="00426043"/>
    <w:rsid w:val="0042610E"/>
    <w:rsid w:val="00426212"/>
    <w:rsid w:val="00426247"/>
    <w:rsid w:val="00426319"/>
    <w:rsid w:val="00426358"/>
    <w:rsid w:val="00426375"/>
    <w:rsid w:val="0042663D"/>
    <w:rsid w:val="004267A8"/>
    <w:rsid w:val="00426838"/>
    <w:rsid w:val="004269F7"/>
    <w:rsid w:val="00426ACC"/>
    <w:rsid w:val="00426B23"/>
    <w:rsid w:val="00426DEA"/>
    <w:rsid w:val="00427304"/>
    <w:rsid w:val="00427381"/>
    <w:rsid w:val="004273A2"/>
    <w:rsid w:val="004273BE"/>
    <w:rsid w:val="00427437"/>
    <w:rsid w:val="0042745C"/>
    <w:rsid w:val="004274DB"/>
    <w:rsid w:val="0042752A"/>
    <w:rsid w:val="00427536"/>
    <w:rsid w:val="0042770F"/>
    <w:rsid w:val="0042776C"/>
    <w:rsid w:val="00427789"/>
    <w:rsid w:val="0042782D"/>
    <w:rsid w:val="00427A3C"/>
    <w:rsid w:val="00427AC2"/>
    <w:rsid w:val="00427B37"/>
    <w:rsid w:val="00427C00"/>
    <w:rsid w:val="00427CFC"/>
    <w:rsid w:val="00427D00"/>
    <w:rsid w:val="00427E80"/>
    <w:rsid w:val="00427EE0"/>
    <w:rsid w:val="00430032"/>
    <w:rsid w:val="00430033"/>
    <w:rsid w:val="0043006D"/>
    <w:rsid w:val="00430095"/>
    <w:rsid w:val="00430195"/>
    <w:rsid w:val="0043024D"/>
    <w:rsid w:val="00430347"/>
    <w:rsid w:val="00430397"/>
    <w:rsid w:val="00430467"/>
    <w:rsid w:val="0043067A"/>
    <w:rsid w:val="004307F1"/>
    <w:rsid w:val="00430823"/>
    <w:rsid w:val="00430842"/>
    <w:rsid w:val="00430895"/>
    <w:rsid w:val="00430907"/>
    <w:rsid w:val="00430AAC"/>
    <w:rsid w:val="00430C7E"/>
    <w:rsid w:val="00430D89"/>
    <w:rsid w:val="00430E3A"/>
    <w:rsid w:val="00430E65"/>
    <w:rsid w:val="00430E81"/>
    <w:rsid w:val="00430F6C"/>
    <w:rsid w:val="00431080"/>
    <w:rsid w:val="00431082"/>
    <w:rsid w:val="004310F1"/>
    <w:rsid w:val="00431143"/>
    <w:rsid w:val="004311E0"/>
    <w:rsid w:val="004312B1"/>
    <w:rsid w:val="004315F6"/>
    <w:rsid w:val="004316BD"/>
    <w:rsid w:val="0043170B"/>
    <w:rsid w:val="004317CE"/>
    <w:rsid w:val="00431817"/>
    <w:rsid w:val="00431AC3"/>
    <w:rsid w:val="00431B81"/>
    <w:rsid w:val="00431C01"/>
    <w:rsid w:val="00431C0B"/>
    <w:rsid w:val="00431D6D"/>
    <w:rsid w:val="00431DA7"/>
    <w:rsid w:val="00431F70"/>
    <w:rsid w:val="004321B0"/>
    <w:rsid w:val="00432218"/>
    <w:rsid w:val="00432243"/>
    <w:rsid w:val="004322EB"/>
    <w:rsid w:val="004323DB"/>
    <w:rsid w:val="0043242B"/>
    <w:rsid w:val="004324F5"/>
    <w:rsid w:val="00432509"/>
    <w:rsid w:val="00432517"/>
    <w:rsid w:val="004325BF"/>
    <w:rsid w:val="004325C6"/>
    <w:rsid w:val="0043263D"/>
    <w:rsid w:val="00432826"/>
    <w:rsid w:val="00432873"/>
    <w:rsid w:val="004329B3"/>
    <w:rsid w:val="00432AD4"/>
    <w:rsid w:val="00432BC2"/>
    <w:rsid w:val="00432BE0"/>
    <w:rsid w:val="00432D06"/>
    <w:rsid w:val="00432D87"/>
    <w:rsid w:val="00432EF7"/>
    <w:rsid w:val="004330B0"/>
    <w:rsid w:val="00433193"/>
    <w:rsid w:val="004331E5"/>
    <w:rsid w:val="004331EB"/>
    <w:rsid w:val="0043325E"/>
    <w:rsid w:val="0043332B"/>
    <w:rsid w:val="004333F9"/>
    <w:rsid w:val="004333FD"/>
    <w:rsid w:val="00433484"/>
    <w:rsid w:val="004334A6"/>
    <w:rsid w:val="00433526"/>
    <w:rsid w:val="00433597"/>
    <w:rsid w:val="0043361E"/>
    <w:rsid w:val="004336A5"/>
    <w:rsid w:val="00433722"/>
    <w:rsid w:val="00433AC9"/>
    <w:rsid w:val="00433AD5"/>
    <w:rsid w:val="00433C00"/>
    <w:rsid w:val="00433CF1"/>
    <w:rsid w:val="00433DCE"/>
    <w:rsid w:val="00433E03"/>
    <w:rsid w:val="00434188"/>
    <w:rsid w:val="004341FC"/>
    <w:rsid w:val="00434459"/>
    <w:rsid w:val="0043445A"/>
    <w:rsid w:val="0043481D"/>
    <w:rsid w:val="00434875"/>
    <w:rsid w:val="004348DD"/>
    <w:rsid w:val="0043492B"/>
    <w:rsid w:val="00434B10"/>
    <w:rsid w:val="00434B5D"/>
    <w:rsid w:val="00434B65"/>
    <w:rsid w:val="00434D89"/>
    <w:rsid w:val="00434E05"/>
    <w:rsid w:val="004351B5"/>
    <w:rsid w:val="004351CF"/>
    <w:rsid w:val="00435290"/>
    <w:rsid w:val="00435341"/>
    <w:rsid w:val="004353F5"/>
    <w:rsid w:val="004354AA"/>
    <w:rsid w:val="004356E0"/>
    <w:rsid w:val="0043571D"/>
    <w:rsid w:val="00435B07"/>
    <w:rsid w:val="00435C4C"/>
    <w:rsid w:val="00435CB6"/>
    <w:rsid w:val="00435CFB"/>
    <w:rsid w:val="00435D97"/>
    <w:rsid w:val="00435DB8"/>
    <w:rsid w:val="0043628B"/>
    <w:rsid w:val="0043632F"/>
    <w:rsid w:val="0043639D"/>
    <w:rsid w:val="004363EC"/>
    <w:rsid w:val="00436485"/>
    <w:rsid w:val="004364C7"/>
    <w:rsid w:val="004364E4"/>
    <w:rsid w:val="00436596"/>
    <w:rsid w:val="0043668B"/>
    <w:rsid w:val="004366F3"/>
    <w:rsid w:val="00436729"/>
    <w:rsid w:val="004369F7"/>
    <w:rsid w:val="00436B85"/>
    <w:rsid w:val="00436BDB"/>
    <w:rsid w:val="00436D1A"/>
    <w:rsid w:val="00436D8F"/>
    <w:rsid w:val="00436DE4"/>
    <w:rsid w:val="00436E00"/>
    <w:rsid w:val="00436E3A"/>
    <w:rsid w:val="00436E4D"/>
    <w:rsid w:val="00436FAB"/>
    <w:rsid w:val="0043739B"/>
    <w:rsid w:val="00437409"/>
    <w:rsid w:val="00437475"/>
    <w:rsid w:val="004374B3"/>
    <w:rsid w:val="0043752B"/>
    <w:rsid w:val="0043754F"/>
    <w:rsid w:val="00437599"/>
    <w:rsid w:val="004375B6"/>
    <w:rsid w:val="004376BE"/>
    <w:rsid w:val="0043776F"/>
    <w:rsid w:val="004379F0"/>
    <w:rsid w:val="00437AE4"/>
    <w:rsid w:val="00437AF9"/>
    <w:rsid w:val="00437B10"/>
    <w:rsid w:val="00437C3A"/>
    <w:rsid w:val="00437E6D"/>
    <w:rsid w:val="00437E90"/>
    <w:rsid w:val="00437EA5"/>
    <w:rsid w:val="0044045C"/>
    <w:rsid w:val="0044063B"/>
    <w:rsid w:val="0044088D"/>
    <w:rsid w:val="0044088F"/>
    <w:rsid w:val="0044098D"/>
    <w:rsid w:val="0044099D"/>
    <w:rsid w:val="00440A0A"/>
    <w:rsid w:val="00440BBC"/>
    <w:rsid w:val="00440BFF"/>
    <w:rsid w:val="00440C4F"/>
    <w:rsid w:val="00440C60"/>
    <w:rsid w:val="00440DC0"/>
    <w:rsid w:val="00440DE1"/>
    <w:rsid w:val="00440ED8"/>
    <w:rsid w:val="00440F69"/>
    <w:rsid w:val="00440FA4"/>
    <w:rsid w:val="0044104F"/>
    <w:rsid w:val="004410DF"/>
    <w:rsid w:val="004410FE"/>
    <w:rsid w:val="004411D7"/>
    <w:rsid w:val="00441294"/>
    <w:rsid w:val="004414E6"/>
    <w:rsid w:val="0044155B"/>
    <w:rsid w:val="00441590"/>
    <w:rsid w:val="00441615"/>
    <w:rsid w:val="0044167B"/>
    <w:rsid w:val="00441684"/>
    <w:rsid w:val="004416D4"/>
    <w:rsid w:val="004417B2"/>
    <w:rsid w:val="004417C8"/>
    <w:rsid w:val="0044182D"/>
    <w:rsid w:val="0044183F"/>
    <w:rsid w:val="00441930"/>
    <w:rsid w:val="0044198E"/>
    <w:rsid w:val="00441A40"/>
    <w:rsid w:val="00441A48"/>
    <w:rsid w:val="00441CEE"/>
    <w:rsid w:val="00441DE4"/>
    <w:rsid w:val="00441E5D"/>
    <w:rsid w:val="00441EDA"/>
    <w:rsid w:val="004420F2"/>
    <w:rsid w:val="00442118"/>
    <w:rsid w:val="00442203"/>
    <w:rsid w:val="00442402"/>
    <w:rsid w:val="004425B5"/>
    <w:rsid w:val="004425F0"/>
    <w:rsid w:val="0044269C"/>
    <w:rsid w:val="004426BE"/>
    <w:rsid w:val="00442709"/>
    <w:rsid w:val="0044272A"/>
    <w:rsid w:val="004427DA"/>
    <w:rsid w:val="00442A0D"/>
    <w:rsid w:val="00442AD6"/>
    <w:rsid w:val="00442B5B"/>
    <w:rsid w:val="00442BD8"/>
    <w:rsid w:val="00442CEA"/>
    <w:rsid w:val="00442DD2"/>
    <w:rsid w:val="00442DFD"/>
    <w:rsid w:val="00442E93"/>
    <w:rsid w:val="00442F43"/>
    <w:rsid w:val="00442FFD"/>
    <w:rsid w:val="004430AB"/>
    <w:rsid w:val="004430B5"/>
    <w:rsid w:val="004430F3"/>
    <w:rsid w:val="004433FE"/>
    <w:rsid w:val="0044345B"/>
    <w:rsid w:val="004435F6"/>
    <w:rsid w:val="00443716"/>
    <w:rsid w:val="00443790"/>
    <w:rsid w:val="00443924"/>
    <w:rsid w:val="00443A02"/>
    <w:rsid w:val="00443A0B"/>
    <w:rsid w:val="00443A46"/>
    <w:rsid w:val="00443AC7"/>
    <w:rsid w:val="00443BA7"/>
    <w:rsid w:val="00443C08"/>
    <w:rsid w:val="00443D65"/>
    <w:rsid w:val="00443E23"/>
    <w:rsid w:val="00443F0C"/>
    <w:rsid w:val="0044409E"/>
    <w:rsid w:val="004440A7"/>
    <w:rsid w:val="004441E6"/>
    <w:rsid w:val="0044420A"/>
    <w:rsid w:val="00444210"/>
    <w:rsid w:val="00444250"/>
    <w:rsid w:val="004443AA"/>
    <w:rsid w:val="00444408"/>
    <w:rsid w:val="00444480"/>
    <w:rsid w:val="004444F5"/>
    <w:rsid w:val="004446A8"/>
    <w:rsid w:val="00444811"/>
    <w:rsid w:val="0044486C"/>
    <w:rsid w:val="004448B0"/>
    <w:rsid w:val="00444A89"/>
    <w:rsid w:val="00444ACA"/>
    <w:rsid w:val="00444B39"/>
    <w:rsid w:val="00444B66"/>
    <w:rsid w:val="00444BAE"/>
    <w:rsid w:val="00444CFC"/>
    <w:rsid w:val="00444ED7"/>
    <w:rsid w:val="00444EFB"/>
    <w:rsid w:val="00444F18"/>
    <w:rsid w:val="00444F6B"/>
    <w:rsid w:val="004451BF"/>
    <w:rsid w:val="0044521C"/>
    <w:rsid w:val="0044523D"/>
    <w:rsid w:val="00445240"/>
    <w:rsid w:val="0044532D"/>
    <w:rsid w:val="00445557"/>
    <w:rsid w:val="0044558F"/>
    <w:rsid w:val="004455B7"/>
    <w:rsid w:val="004456C1"/>
    <w:rsid w:val="004457BE"/>
    <w:rsid w:val="0044582B"/>
    <w:rsid w:val="00445A59"/>
    <w:rsid w:val="00445B00"/>
    <w:rsid w:val="00445D4F"/>
    <w:rsid w:val="00446166"/>
    <w:rsid w:val="00446286"/>
    <w:rsid w:val="0044639C"/>
    <w:rsid w:val="004463BE"/>
    <w:rsid w:val="0044642A"/>
    <w:rsid w:val="00446509"/>
    <w:rsid w:val="004465F4"/>
    <w:rsid w:val="0044661A"/>
    <w:rsid w:val="00446656"/>
    <w:rsid w:val="004467C6"/>
    <w:rsid w:val="0044685A"/>
    <w:rsid w:val="0044692D"/>
    <w:rsid w:val="0044698F"/>
    <w:rsid w:val="00446A0B"/>
    <w:rsid w:val="00446B6A"/>
    <w:rsid w:val="00446B71"/>
    <w:rsid w:val="00446BD9"/>
    <w:rsid w:val="00446CEA"/>
    <w:rsid w:val="00446FB3"/>
    <w:rsid w:val="004470C8"/>
    <w:rsid w:val="004471F2"/>
    <w:rsid w:val="0044723C"/>
    <w:rsid w:val="00447275"/>
    <w:rsid w:val="004472A5"/>
    <w:rsid w:val="004472BA"/>
    <w:rsid w:val="00447508"/>
    <w:rsid w:val="0044763A"/>
    <w:rsid w:val="00447932"/>
    <w:rsid w:val="00447967"/>
    <w:rsid w:val="004479B8"/>
    <w:rsid w:val="00447AD0"/>
    <w:rsid w:val="00447B09"/>
    <w:rsid w:val="00447B52"/>
    <w:rsid w:val="00447D98"/>
    <w:rsid w:val="00447DBA"/>
    <w:rsid w:val="00447E0B"/>
    <w:rsid w:val="00447EF0"/>
    <w:rsid w:val="00447FE8"/>
    <w:rsid w:val="004503E9"/>
    <w:rsid w:val="004504E5"/>
    <w:rsid w:val="00450555"/>
    <w:rsid w:val="00450592"/>
    <w:rsid w:val="0045059A"/>
    <w:rsid w:val="004506AF"/>
    <w:rsid w:val="00450841"/>
    <w:rsid w:val="00450A1E"/>
    <w:rsid w:val="00450C4A"/>
    <w:rsid w:val="00450D4E"/>
    <w:rsid w:val="00450DFD"/>
    <w:rsid w:val="00450F22"/>
    <w:rsid w:val="00450F74"/>
    <w:rsid w:val="00451096"/>
    <w:rsid w:val="00451150"/>
    <w:rsid w:val="0045117F"/>
    <w:rsid w:val="004511BC"/>
    <w:rsid w:val="004512C7"/>
    <w:rsid w:val="00451496"/>
    <w:rsid w:val="0045149D"/>
    <w:rsid w:val="004514B0"/>
    <w:rsid w:val="004516E2"/>
    <w:rsid w:val="004518EA"/>
    <w:rsid w:val="00451901"/>
    <w:rsid w:val="0045190D"/>
    <w:rsid w:val="004519A0"/>
    <w:rsid w:val="004519A8"/>
    <w:rsid w:val="004519FC"/>
    <w:rsid w:val="00451A42"/>
    <w:rsid w:val="00451A44"/>
    <w:rsid w:val="00451E12"/>
    <w:rsid w:val="00451E76"/>
    <w:rsid w:val="00451F7F"/>
    <w:rsid w:val="00452272"/>
    <w:rsid w:val="0045231F"/>
    <w:rsid w:val="004523A8"/>
    <w:rsid w:val="00452417"/>
    <w:rsid w:val="004524CD"/>
    <w:rsid w:val="004524D1"/>
    <w:rsid w:val="004525E5"/>
    <w:rsid w:val="00452740"/>
    <w:rsid w:val="00452746"/>
    <w:rsid w:val="004528EA"/>
    <w:rsid w:val="004528F4"/>
    <w:rsid w:val="00452973"/>
    <w:rsid w:val="00452A6E"/>
    <w:rsid w:val="00452AE7"/>
    <w:rsid w:val="00452BDA"/>
    <w:rsid w:val="00452CCD"/>
    <w:rsid w:val="00452DD8"/>
    <w:rsid w:val="00452E1D"/>
    <w:rsid w:val="00452EF9"/>
    <w:rsid w:val="00452F09"/>
    <w:rsid w:val="00452F4F"/>
    <w:rsid w:val="00452F63"/>
    <w:rsid w:val="00453016"/>
    <w:rsid w:val="00453081"/>
    <w:rsid w:val="004530A3"/>
    <w:rsid w:val="004533E7"/>
    <w:rsid w:val="0045346F"/>
    <w:rsid w:val="0045354E"/>
    <w:rsid w:val="00453557"/>
    <w:rsid w:val="00453742"/>
    <w:rsid w:val="0045375D"/>
    <w:rsid w:val="004537EA"/>
    <w:rsid w:val="0045383C"/>
    <w:rsid w:val="0045384A"/>
    <w:rsid w:val="004538D1"/>
    <w:rsid w:val="00453A1B"/>
    <w:rsid w:val="00453A33"/>
    <w:rsid w:val="00453A58"/>
    <w:rsid w:val="00453B61"/>
    <w:rsid w:val="00453B9F"/>
    <w:rsid w:val="00453D86"/>
    <w:rsid w:val="00453DB7"/>
    <w:rsid w:val="00453F64"/>
    <w:rsid w:val="00453F96"/>
    <w:rsid w:val="00454022"/>
    <w:rsid w:val="00454038"/>
    <w:rsid w:val="0045430E"/>
    <w:rsid w:val="004543D6"/>
    <w:rsid w:val="00454438"/>
    <w:rsid w:val="00454449"/>
    <w:rsid w:val="0045447C"/>
    <w:rsid w:val="00454633"/>
    <w:rsid w:val="00454965"/>
    <w:rsid w:val="00454BED"/>
    <w:rsid w:val="00454BF1"/>
    <w:rsid w:val="00454C13"/>
    <w:rsid w:val="00454C88"/>
    <w:rsid w:val="00454D3A"/>
    <w:rsid w:val="00454E79"/>
    <w:rsid w:val="00454EF2"/>
    <w:rsid w:val="00454EF3"/>
    <w:rsid w:val="004550BD"/>
    <w:rsid w:val="00455107"/>
    <w:rsid w:val="004552A7"/>
    <w:rsid w:val="00455464"/>
    <w:rsid w:val="0045549F"/>
    <w:rsid w:val="004554B1"/>
    <w:rsid w:val="004556AE"/>
    <w:rsid w:val="00455778"/>
    <w:rsid w:val="004558BB"/>
    <w:rsid w:val="00455919"/>
    <w:rsid w:val="004559BE"/>
    <w:rsid w:val="00455A5F"/>
    <w:rsid w:val="00455C48"/>
    <w:rsid w:val="00455CDF"/>
    <w:rsid w:val="00455D91"/>
    <w:rsid w:val="00455DEE"/>
    <w:rsid w:val="00455E75"/>
    <w:rsid w:val="00455E77"/>
    <w:rsid w:val="00455E96"/>
    <w:rsid w:val="004562EC"/>
    <w:rsid w:val="004562FF"/>
    <w:rsid w:val="00456335"/>
    <w:rsid w:val="00456351"/>
    <w:rsid w:val="00456548"/>
    <w:rsid w:val="0045695B"/>
    <w:rsid w:val="00456A15"/>
    <w:rsid w:val="00456A3F"/>
    <w:rsid w:val="00456B15"/>
    <w:rsid w:val="00456B1C"/>
    <w:rsid w:val="00456C05"/>
    <w:rsid w:val="00456CEB"/>
    <w:rsid w:val="00456FFB"/>
    <w:rsid w:val="00457223"/>
    <w:rsid w:val="004572B8"/>
    <w:rsid w:val="004572EC"/>
    <w:rsid w:val="00457369"/>
    <w:rsid w:val="004573F9"/>
    <w:rsid w:val="0045745F"/>
    <w:rsid w:val="004575A7"/>
    <w:rsid w:val="00457681"/>
    <w:rsid w:val="004576F2"/>
    <w:rsid w:val="00457B3D"/>
    <w:rsid w:val="00457B6E"/>
    <w:rsid w:val="00457B90"/>
    <w:rsid w:val="00457CE3"/>
    <w:rsid w:val="00457E51"/>
    <w:rsid w:val="00457EA9"/>
    <w:rsid w:val="00457F90"/>
    <w:rsid w:val="00460094"/>
    <w:rsid w:val="0046012F"/>
    <w:rsid w:val="0046015B"/>
    <w:rsid w:val="004604D0"/>
    <w:rsid w:val="004604D8"/>
    <w:rsid w:val="00460567"/>
    <w:rsid w:val="00460612"/>
    <w:rsid w:val="0046066A"/>
    <w:rsid w:val="0046087D"/>
    <w:rsid w:val="004608F7"/>
    <w:rsid w:val="00460B0F"/>
    <w:rsid w:val="00460EA7"/>
    <w:rsid w:val="00460F4D"/>
    <w:rsid w:val="00461062"/>
    <w:rsid w:val="00461074"/>
    <w:rsid w:val="004611F3"/>
    <w:rsid w:val="00461240"/>
    <w:rsid w:val="00461399"/>
    <w:rsid w:val="0046160B"/>
    <w:rsid w:val="00461709"/>
    <w:rsid w:val="00461839"/>
    <w:rsid w:val="00461844"/>
    <w:rsid w:val="00461978"/>
    <w:rsid w:val="004619B2"/>
    <w:rsid w:val="00461A26"/>
    <w:rsid w:val="00461A2A"/>
    <w:rsid w:val="00461ADF"/>
    <w:rsid w:val="00461B4A"/>
    <w:rsid w:val="00461BE9"/>
    <w:rsid w:val="00461C79"/>
    <w:rsid w:val="00462171"/>
    <w:rsid w:val="004623E7"/>
    <w:rsid w:val="00462528"/>
    <w:rsid w:val="00462611"/>
    <w:rsid w:val="004626BA"/>
    <w:rsid w:val="00462781"/>
    <w:rsid w:val="004627D7"/>
    <w:rsid w:val="00462866"/>
    <w:rsid w:val="00462A2A"/>
    <w:rsid w:val="00462B6B"/>
    <w:rsid w:val="00462B8B"/>
    <w:rsid w:val="00462BCC"/>
    <w:rsid w:val="00462BD5"/>
    <w:rsid w:val="00462BF6"/>
    <w:rsid w:val="00462E21"/>
    <w:rsid w:val="00462F51"/>
    <w:rsid w:val="0046321B"/>
    <w:rsid w:val="0046336E"/>
    <w:rsid w:val="0046346E"/>
    <w:rsid w:val="00463551"/>
    <w:rsid w:val="00463683"/>
    <w:rsid w:val="004636F2"/>
    <w:rsid w:val="0046379D"/>
    <w:rsid w:val="00463822"/>
    <w:rsid w:val="00463865"/>
    <w:rsid w:val="004638FA"/>
    <w:rsid w:val="0046395C"/>
    <w:rsid w:val="0046396E"/>
    <w:rsid w:val="00463A1E"/>
    <w:rsid w:val="00463A56"/>
    <w:rsid w:val="00463ABE"/>
    <w:rsid w:val="00463B0B"/>
    <w:rsid w:val="00463B52"/>
    <w:rsid w:val="00463B57"/>
    <w:rsid w:val="00463C13"/>
    <w:rsid w:val="00463C8D"/>
    <w:rsid w:val="00463DC8"/>
    <w:rsid w:val="00463EBD"/>
    <w:rsid w:val="00463F1D"/>
    <w:rsid w:val="00463F58"/>
    <w:rsid w:val="004641FD"/>
    <w:rsid w:val="00464263"/>
    <w:rsid w:val="0046429B"/>
    <w:rsid w:val="00464331"/>
    <w:rsid w:val="00464480"/>
    <w:rsid w:val="00464540"/>
    <w:rsid w:val="0046454C"/>
    <w:rsid w:val="0046465A"/>
    <w:rsid w:val="0046466F"/>
    <w:rsid w:val="00464718"/>
    <w:rsid w:val="0046486C"/>
    <w:rsid w:val="004648C8"/>
    <w:rsid w:val="004648CA"/>
    <w:rsid w:val="00464966"/>
    <w:rsid w:val="00464AAC"/>
    <w:rsid w:val="00464B5C"/>
    <w:rsid w:val="00464C9E"/>
    <w:rsid w:val="00464D02"/>
    <w:rsid w:val="00464D60"/>
    <w:rsid w:val="00464F0F"/>
    <w:rsid w:val="00464FC8"/>
    <w:rsid w:val="004650CA"/>
    <w:rsid w:val="0046516A"/>
    <w:rsid w:val="00465224"/>
    <w:rsid w:val="00465255"/>
    <w:rsid w:val="00465267"/>
    <w:rsid w:val="004653F9"/>
    <w:rsid w:val="00465565"/>
    <w:rsid w:val="0046564D"/>
    <w:rsid w:val="00465668"/>
    <w:rsid w:val="004657C5"/>
    <w:rsid w:val="0046581D"/>
    <w:rsid w:val="004658F7"/>
    <w:rsid w:val="00465915"/>
    <w:rsid w:val="00465970"/>
    <w:rsid w:val="00465B32"/>
    <w:rsid w:val="00465BB4"/>
    <w:rsid w:val="00465D09"/>
    <w:rsid w:val="00465DC7"/>
    <w:rsid w:val="00465E2F"/>
    <w:rsid w:val="00465E95"/>
    <w:rsid w:val="00465EC9"/>
    <w:rsid w:val="00466204"/>
    <w:rsid w:val="004662B7"/>
    <w:rsid w:val="00466402"/>
    <w:rsid w:val="00466697"/>
    <w:rsid w:val="004666B0"/>
    <w:rsid w:val="00466733"/>
    <w:rsid w:val="004667F8"/>
    <w:rsid w:val="0046697B"/>
    <w:rsid w:val="004669A5"/>
    <w:rsid w:val="00466A55"/>
    <w:rsid w:val="00466A5E"/>
    <w:rsid w:val="00466B19"/>
    <w:rsid w:val="00466BC4"/>
    <w:rsid w:val="00466C19"/>
    <w:rsid w:val="00466C47"/>
    <w:rsid w:val="00466E21"/>
    <w:rsid w:val="004670B8"/>
    <w:rsid w:val="0046710E"/>
    <w:rsid w:val="00467182"/>
    <w:rsid w:val="00467194"/>
    <w:rsid w:val="0046725D"/>
    <w:rsid w:val="004672B0"/>
    <w:rsid w:val="004672E7"/>
    <w:rsid w:val="0046774F"/>
    <w:rsid w:val="004677D2"/>
    <w:rsid w:val="00467810"/>
    <w:rsid w:val="00467834"/>
    <w:rsid w:val="00467D22"/>
    <w:rsid w:val="00467D79"/>
    <w:rsid w:val="00467DC3"/>
    <w:rsid w:val="0047011D"/>
    <w:rsid w:val="0047013A"/>
    <w:rsid w:val="0047021E"/>
    <w:rsid w:val="0047026F"/>
    <w:rsid w:val="00470270"/>
    <w:rsid w:val="004702F4"/>
    <w:rsid w:val="004703FC"/>
    <w:rsid w:val="00470442"/>
    <w:rsid w:val="004707CA"/>
    <w:rsid w:val="004708A0"/>
    <w:rsid w:val="00470932"/>
    <w:rsid w:val="004709A4"/>
    <w:rsid w:val="00470A4F"/>
    <w:rsid w:val="00470CA3"/>
    <w:rsid w:val="00470D32"/>
    <w:rsid w:val="00470DEB"/>
    <w:rsid w:val="00470F26"/>
    <w:rsid w:val="004710EE"/>
    <w:rsid w:val="004710F2"/>
    <w:rsid w:val="0047128F"/>
    <w:rsid w:val="00471390"/>
    <w:rsid w:val="004713AD"/>
    <w:rsid w:val="004715DF"/>
    <w:rsid w:val="004717EE"/>
    <w:rsid w:val="0047181F"/>
    <w:rsid w:val="0047199D"/>
    <w:rsid w:val="004719B8"/>
    <w:rsid w:val="00471A43"/>
    <w:rsid w:val="00471AF9"/>
    <w:rsid w:val="00471BE5"/>
    <w:rsid w:val="00471CC9"/>
    <w:rsid w:val="00471E28"/>
    <w:rsid w:val="00471E40"/>
    <w:rsid w:val="004720F5"/>
    <w:rsid w:val="0047210D"/>
    <w:rsid w:val="0047214C"/>
    <w:rsid w:val="0047216A"/>
    <w:rsid w:val="0047219E"/>
    <w:rsid w:val="004721E8"/>
    <w:rsid w:val="00472208"/>
    <w:rsid w:val="004723B2"/>
    <w:rsid w:val="004723D1"/>
    <w:rsid w:val="0047240C"/>
    <w:rsid w:val="0047245E"/>
    <w:rsid w:val="004724DC"/>
    <w:rsid w:val="00472633"/>
    <w:rsid w:val="004727C1"/>
    <w:rsid w:val="00472854"/>
    <w:rsid w:val="00472BCD"/>
    <w:rsid w:val="00472BEE"/>
    <w:rsid w:val="00472DB3"/>
    <w:rsid w:val="00472E14"/>
    <w:rsid w:val="00472EE3"/>
    <w:rsid w:val="00472FCC"/>
    <w:rsid w:val="00473002"/>
    <w:rsid w:val="0047347B"/>
    <w:rsid w:val="00473517"/>
    <w:rsid w:val="00473686"/>
    <w:rsid w:val="0047369C"/>
    <w:rsid w:val="004736CA"/>
    <w:rsid w:val="004737F5"/>
    <w:rsid w:val="00473804"/>
    <w:rsid w:val="00473A2E"/>
    <w:rsid w:val="00473A58"/>
    <w:rsid w:val="00473AA9"/>
    <w:rsid w:val="00473ABF"/>
    <w:rsid w:val="00473BA3"/>
    <w:rsid w:val="00473C16"/>
    <w:rsid w:val="00473C99"/>
    <w:rsid w:val="00473FF5"/>
    <w:rsid w:val="00474042"/>
    <w:rsid w:val="00474088"/>
    <w:rsid w:val="00474089"/>
    <w:rsid w:val="0047415D"/>
    <w:rsid w:val="004742D1"/>
    <w:rsid w:val="0047435D"/>
    <w:rsid w:val="00474502"/>
    <w:rsid w:val="00474575"/>
    <w:rsid w:val="004745AB"/>
    <w:rsid w:val="004746E2"/>
    <w:rsid w:val="00474789"/>
    <w:rsid w:val="004747C6"/>
    <w:rsid w:val="00474813"/>
    <w:rsid w:val="0047496F"/>
    <w:rsid w:val="00474AF5"/>
    <w:rsid w:val="00474B25"/>
    <w:rsid w:val="00474B3E"/>
    <w:rsid w:val="00474B45"/>
    <w:rsid w:val="00474C80"/>
    <w:rsid w:val="00474CD6"/>
    <w:rsid w:val="00474DFF"/>
    <w:rsid w:val="00474E4C"/>
    <w:rsid w:val="00474E73"/>
    <w:rsid w:val="00474E7D"/>
    <w:rsid w:val="00475135"/>
    <w:rsid w:val="00475184"/>
    <w:rsid w:val="00475204"/>
    <w:rsid w:val="0047526E"/>
    <w:rsid w:val="004752FA"/>
    <w:rsid w:val="00475335"/>
    <w:rsid w:val="0047546F"/>
    <w:rsid w:val="00475475"/>
    <w:rsid w:val="004755E9"/>
    <w:rsid w:val="0047574C"/>
    <w:rsid w:val="00475796"/>
    <w:rsid w:val="004757C9"/>
    <w:rsid w:val="004758FF"/>
    <w:rsid w:val="00475905"/>
    <w:rsid w:val="00475CB7"/>
    <w:rsid w:val="00475CE0"/>
    <w:rsid w:val="00475D20"/>
    <w:rsid w:val="00475EC1"/>
    <w:rsid w:val="00475EC5"/>
    <w:rsid w:val="00475FF1"/>
    <w:rsid w:val="00476183"/>
    <w:rsid w:val="004761CD"/>
    <w:rsid w:val="00476282"/>
    <w:rsid w:val="004762A6"/>
    <w:rsid w:val="004764A9"/>
    <w:rsid w:val="00476544"/>
    <w:rsid w:val="0047656A"/>
    <w:rsid w:val="0047677F"/>
    <w:rsid w:val="0047685D"/>
    <w:rsid w:val="004768AA"/>
    <w:rsid w:val="004769CD"/>
    <w:rsid w:val="00476B32"/>
    <w:rsid w:val="00476D29"/>
    <w:rsid w:val="00476D59"/>
    <w:rsid w:val="0047712E"/>
    <w:rsid w:val="0047723A"/>
    <w:rsid w:val="004772F6"/>
    <w:rsid w:val="00477442"/>
    <w:rsid w:val="004774D0"/>
    <w:rsid w:val="0047754F"/>
    <w:rsid w:val="004776F6"/>
    <w:rsid w:val="00477700"/>
    <w:rsid w:val="004778AA"/>
    <w:rsid w:val="004779D6"/>
    <w:rsid w:val="00477C1C"/>
    <w:rsid w:val="00477C64"/>
    <w:rsid w:val="00477D00"/>
    <w:rsid w:val="00477E1C"/>
    <w:rsid w:val="00477E99"/>
    <w:rsid w:val="004800F4"/>
    <w:rsid w:val="004801C5"/>
    <w:rsid w:val="0048049C"/>
    <w:rsid w:val="004804EC"/>
    <w:rsid w:val="004805C9"/>
    <w:rsid w:val="004808FA"/>
    <w:rsid w:val="00480946"/>
    <w:rsid w:val="004809A8"/>
    <w:rsid w:val="00480CC9"/>
    <w:rsid w:val="00480E15"/>
    <w:rsid w:val="00480EBA"/>
    <w:rsid w:val="00480FDE"/>
    <w:rsid w:val="00481168"/>
    <w:rsid w:val="00481283"/>
    <w:rsid w:val="004812AF"/>
    <w:rsid w:val="004812F7"/>
    <w:rsid w:val="0048136A"/>
    <w:rsid w:val="00481492"/>
    <w:rsid w:val="0048153F"/>
    <w:rsid w:val="004815DC"/>
    <w:rsid w:val="00481610"/>
    <w:rsid w:val="004816FF"/>
    <w:rsid w:val="00481824"/>
    <w:rsid w:val="004819DF"/>
    <w:rsid w:val="00481A33"/>
    <w:rsid w:val="00481CCB"/>
    <w:rsid w:val="00481D86"/>
    <w:rsid w:val="00481DC4"/>
    <w:rsid w:val="00481DCB"/>
    <w:rsid w:val="00482004"/>
    <w:rsid w:val="004820D9"/>
    <w:rsid w:val="004821B3"/>
    <w:rsid w:val="00482228"/>
    <w:rsid w:val="004822FF"/>
    <w:rsid w:val="0048248C"/>
    <w:rsid w:val="00482541"/>
    <w:rsid w:val="0048266A"/>
    <w:rsid w:val="00482685"/>
    <w:rsid w:val="00482729"/>
    <w:rsid w:val="00482809"/>
    <w:rsid w:val="0048296B"/>
    <w:rsid w:val="00482A89"/>
    <w:rsid w:val="00482CD9"/>
    <w:rsid w:val="00482D4B"/>
    <w:rsid w:val="00483062"/>
    <w:rsid w:val="00483315"/>
    <w:rsid w:val="004833B4"/>
    <w:rsid w:val="0048351D"/>
    <w:rsid w:val="0048370F"/>
    <w:rsid w:val="004837D2"/>
    <w:rsid w:val="00483969"/>
    <w:rsid w:val="004839B9"/>
    <w:rsid w:val="00483A37"/>
    <w:rsid w:val="00483B81"/>
    <w:rsid w:val="00484123"/>
    <w:rsid w:val="00484257"/>
    <w:rsid w:val="0048428C"/>
    <w:rsid w:val="004842E6"/>
    <w:rsid w:val="0048435C"/>
    <w:rsid w:val="00484449"/>
    <w:rsid w:val="0048450A"/>
    <w:rsid w:val="00484603"/>
    <w:rsid w:val="004846A1"/>
    <w:rsid w:val="004846EC"/>
    <w:rsid w:val="004846F4"/>
    <w:rsid w:val="0048485E"/>
    <w:rsid w:val="00484AD6"/>
    <w:rsid w:val="00484BE2"/>
    <w:rsid w:val="00484D31"/>
    <w:rsid w:val="004850C3"/>
    <w:rsid w:val="0048526D"/>
    <w:rsid w:val="004852EA"/>
    <w:rsid w:val="004852EB"/>
    <w:rsid w:val="00485401"/>
    <w:rsid w:val="00485448"/>
    <w:rsid w:val="00485573"/>
    <w:rsid w:val="004855DC"/>
    <w:rsid w:val="004855EC"/>
    <w:rsid w:val="00485648"/>
    <w:rsid w:val="004856B3"/>
    <w:rsid w:val="00485730"/>
    <w:rsid w:val="004857BE"/>
    <w:rsid w:val="004857FA"/>
    <w:rsid w:val="00485812"/>
    <w:rsid w:val="00485B58"/>
    <w:rsid w:val="00485BBA"/>
    <w:rsid w:val="00485CCD"/>
    <w:rsid w:val="00485CD4"/>
    <w:rsid w:val="00485DE2"/>
    <w:rsid w:val="00485F15"/>
    <w:rsid w:val="004860C2"/>
    <w:rsid w:val="00486144"/>
    <w:rsid w:val="004863AC"/>
    <w:rsid w:val="00486437"/>
    <w:rsid w:val="004864E6"/>
    <w:rsid w:val="00486507"/>
    <w:rsid w:val="00486526"/>
    <w:rsid w:val="00486565"/>
    <w:rsid w:val="004867E5"/>
    <w:rsid w:val="00486917"/>
    <w:rsid w:val="00486AE8"/>
    <w:rsid w:val="00486B03"/>
    <w:rsid w:val="00486B74"/>
    <w:rsid w:val="00486B90"/>
    <w:rsid w:val="00486B9F"/>
    <w:rsid w:val="00486C5B"/>
    <w:rsid w:val="00486C97"/>
    <w:rsid w:val="00486CA9"/>
    <w:rsid w:val="00486CB0"/>
    <w:rsid w:val="00486DB8"/>
    <w:rsid w:val="00486EB3"/>
    <w:rsid w:val="00486F32"/>
    <w:rsid w:val="00487031"/>
    <w:rsid w:val="0048709F"/>
    <w:rsid w:val="004870C6"/>
    <w:rsid w:val="00487132"/>
    <w:rsid w:val="00487143"/>
    <w:rsid w:val="004871F6"/>
    <w:rsid w:val="004872A0"/>
    <w:rsid w:val="004872EC"/>
    <w:rsid w:val="0048735B"/>
    <w:rsid w:val="004874E2"/>
    <w:rsid w:val="00487582"/>
    <w:rsid w:val="00487684"/>
    <w:rsid w:val="00487690"/>
    <w:rsid w:val="00487746"/>
    <w:rsid w:val="004877EE"/>
    <w:rsid w:val="00487900"/>
    <w:rsid w:val="00487B46"/>
    <w:rsid w:val="00487BCE"/>
    <w:rsid w:val="00487C32"/>
    <w:rsid w:val="00487C97"/>
    <w:rsid w:val="00487D69"/>
    <w:rsid w:val="004900EC"/>
    <w:rsid w:val="004901AB"/>
    <w:rsid w:val="00490267"/>
    <w:rsid w:val="00490271"/>
    <w:rsid w:val="00490391"/>
    <w:rsid w:val="00490447"/>
    <w:rsid w:val="0049058C"/>
    <w:rsid w:val="004905E2"/>
    <w:rsid w:val="0049082A"/>
    <w:rsid w:val="00490880"/>
    <w:rsid w:val="00490A07"/>
    <w:rsid w:val="00490D3A"/>
    <w:rsid w:val="00490D9F"/>
    <w:rsid w:val="00490E38"/>
    <w:rsid w:val="00490F11"/>
    <w:rsid w:val="0049142B"/>
    <w:rsid w:val="0049147F"/>
    <w:rsid w:val="0049176B"/>
    <w:rsid w:val="004917E2"/>
    <w:rsid w:val="004919DA"/>
    <w:rsid w:val="00491AD2"/>
    <w:rsid w:val="00491AE8"/>
    <w:rsid w:val="00491CD9"/>
    <w:rsid w:val="00491D0A"/>
    <w:rsid w:val="00491DE9"/>
    <w:rsid w:val="00491F0D"/>
    <w:rsid w:val="00492203"/>
    <w:rsid w:val="0049221D"/>
    <w:rsid w:val="004922FE"/>
    <w:rsid w:val="00492466"/>
    <w:rsid w:val="00492491"/>
    <w:rsid w:val="0049249A"/>
    <w:rsid w:val="00492606"/>
    <w:rsid w:val="0049266A"/>
    <w:rsid w:val="00492732"/>
    <w:rsid w:val="00492847"/>
    <w:rsid w:val="004928AA"/>
    <w:rsid w:val="00492A08"/>
    <w:rsid w:val="00492A0D"/>
    <w:rsid w:val="00492BB8"/>
    <w:rsid w:val="00492BC7"/>
    <w:rsid w:val="00492BE5"/>
    <w:rsid w:val="00492BEB"/>
    <w:rsid w:val="00492DBE"/>
    <w:rsid w:val="00492DD8"/>
    <w:rsid w:val="004931F4"/>
    <w:rsid w:val="00493283"/>
    <w:rsid w:val="00493284"/>
    <w:rsid w:val="004932A4"/>
    <w:rsid w:val="00493364"/>
    <w:rsid w:val="004933B9"/>
    <w:rsid w:val="00493597"/>
    <w:rsid w:val="004935A0"/>
    <w:rsid w:val="00493613"/>
    <w:rsid w:val="00493742"/>
    <w:rsid w:val="00493825"/>
    <w:rsid w:val="004938AB"/>
    <w:rsid w:val="0049394C"/>
    <w:rsid w:val="00493BA5"/>
    <w:rsid w:val="00493BD0"/>
    <w:rsid w:val="00493C73"/>
    <w:rsid w:val="00493D35"/>
    <w:rsid w:val="00493E82"/>
    <w:rsid w:val="0049405C"/>
    <w:rsid w:val="0049417D"/>
    <w:rsid w:val="0049425D"/>
    <w:rsid w:val="004942B1"/>
    <w:rsid w:val="004944B8"/>
    <w:rsid w:val="00494577"/>
    <w:rsid w:val="0049468C"/>
    <w:rsid w:val="00494753"/>
    <w:rsid w:val="0049483F"/>
    <w:rsid w:val="0049488D"/>
    <w:rsid w:val="004948A0"/>
    <w:rsid w:val="00494914"/>
    <w:rsid w:val="00494AB0"/>
    <w:rsid w:val="00494D2B"/>
    <w:rsid w:val="00494DAF"/>
    <w:rsid w:val="00494DF1"/>
    <w:rsid w:val="0049503C"/>
    <w:rsid w:val="0049518A"/>
    <w:rsid w:val="004951B9"/>
    <w:rsid w:val="004951EB"/>
    <w:rsid w:val="004953BC"/>
    <w:rsid w:val="004955EE"/>
    <w:rsid w:val="004958F5"/>
    <w:rsid w:val="00495B83"/>
    <w:rsid w:val="00495CAA"/>
    <w:rsid w:val="00495DF5"/>
    <w:rsid w:val="00495E59"/>
    <w:rsid w:val="00495F01"/>
    <w:rsid w:val="00495F2F"/>
    <w:rsid w:val="00496004"/>
    <w:rsid w:val="00496012"/>
    <w:rsid w:val="00496249"/>
    <w:rsid w:val="0049630A"/>
    <w:rsid w:val="004965A9"/>
    <w:rsid w:val="00496648"/>
    <w:rsid w:val="004966AE"/>
    <w:rsid w:val="0049673C"/>
    <w:rsid w:val="004967A2"/>
    <w:rsid w:val="00496A6F"/>
    <w:rsid w:val="00496CD8"/>
    <w:rsid w:val="00496D03"/>
    <w:rsid w:val="00496D29"/>
    <w:rsid w:val="00496DBE"/>
    <w:rsid w:val="00496EA1"/>
    <w:rsid w:val="004970D5"/>
    <w:rsid w:val="0049711C"/>
    <w:rsid w:val="00497162"/>
    <w:rsid w:val="0049721B"/>
    <w:rsid w:val="00497262"/>
    <w:rsid w:val="004973CF"/>
    <w:rsid w:val="004974FB"/>
    <w:rsid w:val="0049758C"/>
    <w:rsid w:val="00497603"/>
    <w:rsid w:val="00497655"/>
    <w:rsid w:val="0049772F"/>
    <w:rsid w:val="00497760"/>
    <w:rsid w:val="0049788A"/>
    <w:rsid w:val="004978F6"/>
    <w:rsid w:val="00497A35"/>
    <w:rsid w:val="00497C16"/>
    <w:rsid w:val="00497CB0"/>
    <w:rsid w:val="00497D7D"/>
    <w:rsid w:val="00497D8D"/>
    <w:rsid w:val="00497DFE"/>
    <w:rsid w:val="00497E82"/>
    <w:rsid w:val="00497F16"/>
    <w:rsid w:val="004A0156"/>
    <w:rsid w:val="004A0189"/>
    <w:rsid w:val="004A019E"/>
    <w:rsid w:val="004A01BF"/>
    <w:rsid w:val="004A02B4"/>
    <w:rsid w:val="004A02F4"/>
    <w:rsid w:val="004A03B2"/>
    <w:rsid w:val="004A03B6"/>
    <w:rsid w:val="004A03DA"/>
    <w:rsid w:val="004A0484"/>
    <w:rsid w:val="004A05D4"/>
    <w:rsid w:val="004A0758"/>
    <w:rsid w:val="004A0791"/>
    <w:rsid w:val="004A0792"/>
    <w:rsid w:val="004A079A"/>
    <w:rsid w:val="004A08E6"/>
    <w:rsid w:val="004A0A86"/>
    <w:rsid w:val="004A0AC2"/>
    <w:rsid w:val="004A0ACE"/>
    <w:rsid w:val="004A0B37"/>
    <w:rsid w:val="004A0BD5"/>
    <w:rsid w:val="004A0D66"/>
    <w:rsid w:val="004A0EC9"/>
    <w:rsid w:val="004A0EE8"/>
    <w:rsid w:val="004A0F3D"/>
    <w:rsid w:val="004A11FC"/>
    <w:rsid w:val="004A1260"/>
    <w:rsid w:val="004A129F"/>
    <w:rsid w:val="004A1341"/>
    <w:rsid w:val="004A134F"/>
    <w:rsid w:val="004A13B1"/>
    <w:rsid w:val="004A13E8"/>
    <w:rsid w:val="004A1412"/>
    <w:rsid w:val="004A1505"/>
    <w:rsid w:val="004A1512"/>
    <w:rsid w:val="004A17F0"/>
    <w:rsid w:val="004A1AB6"/>
    <w:rsid w:val="004A1C32"/>
    <w:rsid w:val="004A1D59"/>
    <w:rsid w:val="004A1D73"/>
    <w:rsid w:val="004A1E2F"/>
    <w:rsid w:val="004A1E71"/>
    <w:rsid w:val="004A1F25"/>
    <w:rsid w:val="004A1F26"/>
    <w:rsid w:val="004A21C8"/>
    <w:rsid w:val="004A2258"/>
    <w:rsid w:val="004A2289"/>
    <w:rsid w:val="004A2301"/>
    <w:rsid w:val="004A23B8"/>
    <w:rsid w:val="004A23E4"/>
    <w:rsid w:val="004A24CE"/>
    <w:rsid w:val="004A2523"/>
    <w:rsid w:val="004A25EB"/>
    <w:rsid w:val="004A2806"/>
    <w:rsid w:val="004A28D0"/>
    <w:rsid w:val="004A2B28"/>
    <w:rsid w:val="004A2B50"/>
    <w:rsid w:val="004A2BDD"/>
    <w:rsid w:val="004A2C15"/>
    <w:rsid w:val="004A2C2D"/>
    <w:rsid w:val="004A2D32"/>
    <w:rsid w:val="004A2E3B"/>
    <w:rsid w:val="004A2F0C"/>
    <w:rsid w:val="004A2FF1"/>
    <w:rsid w:val="004A300E"/>
    <w:rsid w:val="004A30EC"/>
    <w:rsid w:val="004A317D"/>
    <w:rsid w:val="004A333E"/>
    <w:rsid w:val="004A3349"/>
    <w:rsid w:val="004A3691"/>
    <w:rsid w:val="004A3750"/>
    <w:rsid w:val="004A376C"/>
    <w:rsid w:val="004A3861"/>
    <w:rsid w:val="004A391C"/>
    <w:rsid w:val="004A39C3"/>
    <w:rsid w:val="004A3C25"/>
    <w:rsid w:val="004A3C84"/>
    <w:rsid w:val="004A3C90"/>
    <w:rsid w:val="004A3CCB"/>
    <w:rsid w:val="004A3D3A"/>
    <w:rsid w:val="004A3D4A"/>
    <w:rsid w:val="004A3D61"/>
    <w:rsid w:val="004A3D7C"/>
    <w:rsid w:val="004A3DEE"/>
    <w:rsid w:val="004A3E22"/>
    <w:rsid w:val="004A3EA3"/>
    <w:rsid w:val="004A3EA5"/>
    <w:rsid w:val="004A3F98"/>
    <w:rsid w:val="004A406F"/>
    <w:rsid w:val="004A410F"/>
    <w:rsid w:val="004A418F"/>
    <w:rsid w:val="004A42DA"/>
    <w:rsid w:val="004A42DC"/>
    <w:rsid w:val="004A43C7"/>
    <w:rsid w:val="004A442E"/>
    <w:rsid w:val="004A45D7"/>
    <w:rsid w:val="004A4962"/>
    <w:rsid w:val="004A49B5"/>
    <w:rsid w:val="004A4A79"/>
    <w:rsid w:val="004A4AFB"/>
    <w:rsid w:val="004A4D7C"/>
    <w:rsid w:val="004A4F83"/>
    <w:rsid w:val="004A51BA"/>
    <w:rsid w:val="004A5335"/>
    <w:rsid w:val="004A53D0"/>
    <w:rsid w:val="004A542A"/>
    <w:rsid w:val="004A5474"/>
    <w:rsid w:val="004A54A3"/>
    <w:rsid w:val="004A551E"/>
    <w:rsid w:val="004A560D"/>
    <w:rsid w:val="004A59E7"/>
    <w:rsid w:val="004A5A62"/>
    <w:rsid w:val="004A5AF0"/>
    <w:rsid w:val="004A5B0C"/>
    <w:rsid w:val="004A5B49"/>
    <w:rsid w:val="004A5B67"/>
    <w:rsid w:val="004A5BC3"/>
    <w:rsid w:val="004A5BCB"/>
    <w:rsid w:val="004A5BE9"/>
    <w:rsid w:val="004A5BED"/>
    <w:rsid w:val="004A5C38"/>
    <w:rsid w:val="004A5CBC"/>
    <w:rsid w:val="004A5E15"/>
    <w:rsid w:val="004A5E79"/>
    <w:rsid w:val="004A5E88"/>
    <w:rsid w:val="004A6045"/>
    <w:rsid w:val="004A6048"/>
    <w:rsid w:val="004A6122"/>
    <w:rsid w:val="004A6141"/>
    <w:rsid w:val="004A6471"/>
    <w:rsid w:val="004A649F"/>
    <w:rsid w:val="004A65BE"/>
    <w:rsid w:val="004A6608"/>
    <w:rsid w:val="004A6828"/>
    <w:rsid w:val="004A688C"/>
    <w:rsid w:val="004A6909"/>
    <w:rsid w:val="004A69B1"/>
    <w:rsid w:val="004A6BF5"/>
    <w:rsid w:val="004A6D6C"/>
    <w:rsid w:val="004A6DCD"/>
    <w:rsid w:val="004A6EFE"/>
    <w:rsid w:val="004A7079"/>
    <w:rsid w:val="004A7080"/>
    <w:rsid w:val="004A71A1"/>
    <w:rsid w:val="004A72F6"/>
    <w:rsid w:val="004A73C4"/>
    <w:rsid w:val="004A74F2"/>
    <w:rsid w:val="004A7671"/>
    <w:rsid w:val="004A76F2"/>
    <w:rsid w:val="004A76FC"/>
    <w:rsid w:val="004A7723"/>
    <w:rsid w:val="004A772B"/>
    <w:rsid w:val="004A773C"/>
    <w:rsid w:val="004A78D7"/>
    <w:rsid w:val="004A7B68"/>
    <w:rsid w:val="004A7B70"/>
    <w:rsid w:val="004A7B97"/>
    <w:rsid w:val="004A7CE7"/>
    <w:rsid w:val="004A7E04"/>
    <w:rsid w:val="004A7EBA"/>
    <w:rsid w:val="004A7EEF"/>
    <w:rsid w:val="004B00D2"/>
    <w:rsid w:val="004B03A4"/>
    <w:rsid w:val="004B0547"/>
    <w:rsid w:val="004B0583"/>
    <w:rsid w:val="004B06AE"/>
    <w:rsid w:val="004B06B6"/>
    <w:rsid w:val="004B0783"/>
    <w:rsid w:val="004B07FC"/>
    <w:rsid w:val="004B0804"/>
    <w:rsid w:val="004B0833"/>
    <w:rsid w:val="004B0A77"/>
    <w:rsid w:val="004B0BC6"/>
    <w:rsid w:val="004B0BCF"/>
    <w:rsid w:val="004B0CBC"/>
    <w:rsid w:val="004B0CF8"/>
    <w:rsid w:val="004B0DBD"/>
    <w:rsid w:val="004B0EE5"/>
    <w:rsid w:val="004B1261"/>
    <w:rsid w:val="004B1453"/>
    <w:rsid w:val="004B14A0"/>
    <w:rsid w:val="004B15D6"/>
    <w:rsid w:val="004B1611"/>
    <w:rsid w:val="004B16C0"/>
    <w:rsid w:val="004B19CD"/>
    <w:rsid w:val="004B19EF"/>
    <w:rsid w:val="004B19FB"/>
    <w:rsid w:val="004B1C63"/>
    <w:rsid w:val="004B1E2B"/>
    <w:rsid w:val="004B1E8C"/>
    <w:rsid w:val="004B2089"/>
    <w:rsid w:val="004B21B2"/>
    <w:rsid w:val="004B21D1"/>
    <w:rsid w:val="004B2304"/>
    <w:rsid w:val="004B237E"/>
    <w:rsid w:val="004B2391"/>
    <w:rsid w:val="004B2679"/>
    <w:rsid w:val="004B281B"/>
    <w:rsid w:val="004B293C"/>
    <w:rsid w:val="004B2A91"/>
    <w:rsid w:val="004B2C28"/>
    <w:rsid w:val="004B2C3A"/>
    <w:rsid w:val="004B2E25"/>
    <w:rsid w:val="004B2EA3"/>
    <w:rsid w:val="004B2EB9"/>
    <w:rsid w:val="004B2F2A"/>
    <w:rsid w:val="004B2F6C"/>
    <w:rsid w:val="004B2FFA"/>
    <w:rsid w:val="004B3036"/>
    <w:rsid w:val="004B3079"/>
    <w:rsid w:val="004B3122"/>
    <w:rsid w:val="004B3126"/>
    <w:rsid w:val="004B312D"/>
    <w:rsid w:val="004B3160"/>
    <w:rsid w:val="004B31AE"/>
    <w:rsid w:val="004B31B2"/>
    <w:rsid w:val="004B32A1"/>
    <w:rsid w:val="004B34C4"/>
    <w:rsid w:val="004B34ED"/>
    <w:rsid w:val="004B366C"/>
    <w:rsid w:val="004B37C1"/>
    <w:rsid w:val="004B3B7A"/>
    <w:rsid w:val="004B3BC5"/>
    <w:rsid w:val="004B3CE9"/>
    <w:rsid w:val="004B3D93"/>
    <w:rsid w:val="004B3F04"/>
    <w:rsid w:val="004B3F25"/>
    <w:rsid w:val="004B3FA7"/>
    <w:rsid w:val="004B3FFC"/>
    <w:rsid w:val="004B418F"/>
    <w:rsid w:val="004B41AE"/>
    <w:rsid w:val="004B426C"/>
    <w:rsid w:val="004B42D2"/>
    <w:rsid w:val="004B4371"/>
    <w:rsid w:val="004B43B3"/>
    <w:rsid w:val="004B44D8"/>
    <w:rsid w:val="004B45F3"/>
    <w:rsid w:val="004B46E4"/>
    <w:rsid w:val="004B47A7"/>
    <w:rsid w:val="004B491C"/>
    <w:rsid w:val="004B4938"/>
    <w:rsid w:val="004B4957"/>
    <w:rsid w:val="004B4A2D"/>
    <w:rsid w:val="004B4BD4"/>
    <w:rsid w:val="004B4CD6"/>
    <w:rsid w:val="004B4D49"/>
    <w:rsid w:val="004B4E74"/>
    <w:rsid w:val="004B4F91"/>
    <w:rsid w:val="004B5084"/>
    <w:rsid w:val="004B50A6"/>
    <w:rsid w:val="004B512C"/>
    <w:rsid w:val="004B519C"/>
    <w:rsid w:val="004B54C5"/>
    <w:rsid w:val="004B5537"/>
    <w:rsid w:val="004B5546"/>
    <w:rsid w:val="004B5554"/>
    <w:rsid w:val="004B55AF"/>
    <w:rsid w:val="004B55F5"/>
    <w:rsid w:val="004B562A"/>
    <w:rsid w:val="004B572C"/>
    <w:rsid w:val="004B58DB"/>
    <w:rsid w:val="004B5A2E"/>
    <w:rsid w:val="004B5B80"/>
    <w:rsid w:val="004B5BAD"/>
    <w:rsid w:val="004B5CA5"/>
    <w:rsid w:val="004B5CF0"/>
    <w:rsid w:val="004B5D8B"/>
    <w:rsid w:val="004B5ED7"/>
    <w:rsid w:val="004B5FBF"/>
    <w:rsid w:val="004B6057"/>
    <w:rsid w:val="004B617E"/>
    <w:rsid w:val="004B6446"/>
    <w:rsid w:val="004B645F"/>
    <w:rsid w:val="004B651C"/>
    <w:rsid w:val="004B6524"/>
    <w:rsid w:val="004B6539"/>
    <w:rsid w:val="004B681C"/>
    <w:rsid w:val="004B694D"/>
    <w:rsid w:val="004B698E"/>
    <w:rsid w:val="004B69BD"/>
    <w:rsid w:val="004B6AFE"/>
    <w:rsid w:val="004B6B64"/>
    <w:rsid w:val="004B6BE1"/>
    <w:rsid w:val="004B6C08"/>
    <w:rsid w:val="004B6E8B"/>
    <w:rsid w:val="004B6F0A"/>
    <w:rsid w:val="004B6F61"/>
    <w:rsid w:val="004B6FFC"/>
    <w:rsid w:val="004B706B"/>
    <w:rsid w:val="004B7083"/>
    <w:rsid w:val="004B72D5"/>
    <w:rsid w:val="004B73C5"/>
    <w:rsid w:val="004B73DA"/>
    <w:rsid w:val="004B7431"/>
    <w:rsid w:val="004B74E3"/>
    <w:rsid w:val="004B75A8"/>
    <w:rsid w:val="004B778A"/>
    <w:rsid w:val="004B77E4"/>
    <w:rsid w:val="004B79C2"/>
    <w:rsid w:val="004B7A34"/>
    <w:rsid w:val="004B7AE4"/>
    <w:rsid w:val="004B7BFC"/>
    <w:rsid w:val="004B7CDD"/>
    <w:rsid w:val="004B7DF3"/>
    <w:rsid w:val="004B7EE6"/>
    <w:rsid w:val="004B7F05"/>
    <w:rsid w:val="004B7F61"/>
    <w:rsid w:val="004C004E"/>
    <w:rsid w:val="004C03EB"/>
    <w:rsid w:val="004C04EA"/>
    <w:rsid w:val="004C055E"/>
    <w:rsid w:val="004C0560"/>
    <w:rsid w:val="004C05F0"/>
    <w:rsid w:val="004C08D8"/>
    <w:rsid w:val="004C08FA"/>
    <w:rsid w:val="004C092E"/>
    <w:rsid w:val="004C0957"/>
    <w:rsid w:val="004C09F3"/>
    <w:rsid w:val="004C0A46"/>
    <w:rsid w:val="004C0D64"/>
    <w:rsid w:val="004C0DD1"/>
    <w:rsid w:val="004C0E1C"/>
    <w:rsid w:val="004C0F19"/>
    <w:rsid w:val="004C1021"/>
    <w:rsid w:val="004C111A"/>
    <w:rsid w:val="004C1439"/>
    <w:rsid w:val="004C1455"/>
    <w:rsid w:val="004C15A6"/>
    <w:rsid w:val="004C15BC"/>
    <w:rsid w:val="004C15D2"/>
    <w:rsid w:val="004C1707"/>
    <w:rsid w:val="004C1740"/>
    <w:rsid w:val="004C1746"/>
    <w:rsid w:val="004C18A2"/>
    <w:rsid w:val="004C1D4C"/>
    <w:rsid w:val="004C2092"/>
    <w:rsid w:val="004C211C"/>
    <w:rsid w:val="004C218A"/>
    <w:rsid w:val="004C21CA"/>
    <w:rsid w:val="004C21CB"/>
    <w:rsid w:val="004C2253"/>
    <w:rsid w:val="004C22F0"/>
    <w:rsid w:val="004C23C9"/>
    <w:rsid w:val="004C25D0"/>
    <w:rsid w:val="004C287E"/>
    <w:rsid w:val="004C2970"/>
    <w:rsid w:val="004C2B03"/>
    <w:rsid w:val="004C2B2B"/>
    <w:rsid w:val="004C2D71"/>
    <w:rsid w:val="004C2DA8"/>
    <w:rsid w:val="004C2E0F"/>
    <w:rsid w:val="004C2FE4"/>
    <w:rsid w:val="004C3161"/>
    <w:rsid w:val="004C3186"/>
    <w:rsid w:val="004C3262"/>
    <w:rsid w:val="004C327F"/>
    <w:rsid w:val="004C32BB"/>
    <w:rsid w:val="004C33C4"/>
    <w:rsid w:val="004C33DA"/>
    <w:rsid w:val="004C34C3"/>
    <w:rsid w:val="004C35D9"/>
    <w:rsid w:val="004C3691"/>
    <w:rsid w:val="004C36F1"/>
    <w:rsid w:val="004C36F5"/>
    <w:rsid w:val="004C36F9"/>
    <w:rsid w:val="004C372C"/>
    <w:rsid w:val="004C38A9"/>
    <w:rsid w:val="004C38F1"/>
    <w:rsid w:val="004C39E5"/>
    <w:rsid w:val="004C3AD7"/>
    <w:rsid w:val="004C3B28"/>
    <w:rsid w:val="004C3BAA"/>
    <w:rsid w:val="004C3BFD"/>
    <w:rsid w:val="004C3C3E"/>
    <w:rsid w:val="004C3C49"/>
    <w:rsid w:val="004C3CD9"/>
    <w:rsid w:val="004C3CF0"/>
    <w:rsid w:val="004C3D14"/>
    <w:rsid w:val="004C3EEC"/>
    <w:rsid w:val="004C3FEC"/>
    <w:rsid w:val="004C417A"/>
    <w:rsid w:val="004C41AE"/>
    <w:rsid w:val="004C41C8"/>
    <w:rsid w:val="004C42A3"/>
    <w:rsid w:val="004C43BB"/>
    <w:rsid w:val="004C4498"/>
    <w:rsid w:val="004C4569"/>
    <w:rsid w:val="004C45B6"/>
    <w:rsid w:val="004C4755"/>
    <w:rsid w:val="004C47CD"/>
    <w:rsid w:val="004C47D5"/>
    <w:rsid w:val="004C4A2C"/>
    <w:rsid w:val="004C4C1B"/>
    <w:rsid w:val="004C4E00"/>
    <w:rsid w:val="004C4F52"/>
    <w:rsid w:val="004C4FDD"/>
    <w:rsid w:val="004C53AB"/>
    <w:rsid w:val="004C544E"/>
    <w:rsid w:val="004C5562"/>
    <w:rsid w:val="004C557A"/>
    <w:rsid w:val="004C55BB"/>
    <w:rsid w:val="004C55D3"/>
    <w:rsid w:val="004C5619"/>
    <w:rsid w:val="004C5748"/>
    <w:rsid w:val="004C57BE"/>
    <w:rsid w:val="004C586F"/>
    <w:rsid w:val="004C599F"/>
    <w:rsid w:val="004C5B5E"/>
    <w:rsid w:val="004C5BB7"/>
    <w:rsid w:val="004C5BC2"/>
    <w:rsid w:val="004C5BEB"/>
    <w:rsid w:val="004C5C46"/>
    <w:rsid w:val="004C5C60"/>
    <w:rsid w:val="004C5C86"/>
    <w:rsid w:val="004C5CE5"/>
    <w:rsid w:val="004C5CEB"/>
    <w:rsid w:val="004C5E45"/>
    <w:rsid w:val="004C6045"/>
    <w:rsid w:val="004C6094"/>
    <w:rsid w:val="004C6169"/>
    <w:rsid w:val="004C61AF"/>
    <w:rsid w:val="004C61B1"/>
    <w:rsid w:val="004C6245"/>
    <w:rsid w:val="004C6328"/>
    <w:rsid w:val="004C6365"/>
    <w:rsid w:val="004C640C"/>
    <w:rsid w:val="004C6575"/>
    <w:rsid w:val="004C66E4"/>
    <w:rsid w:val="004C674E"/>
    <w:rsid w:val="004C67A3"/>
    <w:rsid w:val="004C67CC"/>
    <w:rsid w:val="004C6828"/>
    <w:rsid w:val="004C6884"/>
    <w:rsid w:val="004C688D"/>
    <w:rsid w:val="004C689C"/>
    <w:rsid w:val="004C6940"/>
    <w:rsid w:val="004C6ADB"/>
    <w:rsid w:val="004C6C5B"/>
    <w:rsid w:val="004C6E1E"/>
    <w:rsid w:val="004C6F04"/>
    <w:rsid w:val="004C6FE3"/>
    <w:rsid w:val="004C70E3"/>
    <w:rsid w:val="004C7146"/>
    <w:rsid w:val="004C7268"/>
    <w:rsid w:val="004C739A"/>
    <w:rsid w:val="004C7435"/>
    <w:rsid w:val="004C7678"/>
    <w:rsid w:val="004C7928"/>
    <w:rsid w:val="004C7A57"/>
    <w:rsid w:val="004C7BF7"/>
    <w:rsid w:val="004C7C41"/>
    <w:rsid w:val="004C7C45"/>
    <w:rsid w:val="004C7D5A"/>
    <w:rsid w:val="004C7DEB"/>
    <w:rsid w:val="004C7E05"/>
    <w:rsid w:val="004C7FA3"/>
    <w:rsid w:val="004D000D"/>
    <w:rsid w:val="004D00F3"/>
    <w:rsid w:val="004D0174"/>
    <w:rsid w:val="004D0290"/>
    <w:rsid w:val="004D039D"/>
    <w:rsid w:val="004D03E7"/>
    <w:rsid w:val="004D057F"/>
    <w:rsid w:val="004D0796"/>
    <w:rsid w:val="004D07D1"/>
    <w:rsid w:val="004D07D8"/>
    <w:rsid w:val="004D083D"/>
    <w:rsid w:val="004D097E"/>
    <w:rsid w:val="004D09AE"/>
    <w:rsid w:val="004D0A49"/>
    <w:rsid w:val="004D0AC3"/>
    <w:rsid w:val="004D0B26"/>
    <w:rsid w:val="004D0DD4"/>
    <w:rsid w:val="004D0F3F"/>
    <w:rsid w:val="004D102C"/>
    <w:rsid w:val="004D11F1"/>
    <w:rsid w:val="004D120D"/>
    <w:rsid w:val="004D1287"/>
    <w:rsid w:val="004D12AA"/>
    <w:rsid w:val="004D12F4"/>
    <w:rsid w:val="004D1459"/>
    <w:rsid w:val="004D1469"/>
    <w:rsid w:val="004D1577"/>
    <w:rsid w:val="004D1643"/>
    <w:rsid w:val="004D1A33"/>
    <w:rsid w:val="004D1B0E"/>
    <w:rsid w:val="004D1C45"/>
    <w:rsid w:val="004D1E8D"/>
    <w:rsid w:val="004D1F95"/>
    <w:rsid w:val="004D1F9F"/>
    <w:rsid w:val="004D2021"/>
    <w:rsid w:val="004D208A"/>
    <w:rsid w:val="004D20DB"/>
    <w:rsid w:val="004D2470"/>
    <w:rsid w:val="004D2473"/>
    <w:rsid w:val="004D25B7"/>
    <w:rsid w:val="004D25C5"/>
    <w:rsid w:val="004D2658"/>
    <w:rsid w:val="004D2694"/>
    <w:rsid w:val="004D2826"/>
    <w:rsid w:val="004D284C"/>
    <w:rsid w:val="004D2911"/>
    <w:rsid w:val="004D2921"/>
    <w:rsid w:val="004D29FC"/>
    <w:rsid w:val="004D2AF8"/>
    <w:rsid w:val="004D2B4A"/>
    <w:rsid w:val="004D2C0C"/>
    <w:rsid w:val="004D2C55"/>
    <w:rsid w:val="004D2C66"/>
    <w:rsid w:val="004D2CB1"/>
    <w:rsid w:val="004D2E44"/>
    <w:rsid w:val="004D31B2"/>
    <w:rsid w:val="004D3336"/>
    <w:rsid w:val="004D34FE"/>
    <w:rsid w:val="004D360F"/>
    <w:rsid w:val="004D3667"/>
    <w:rsid w:val="004D3681"/>
    <w:rsid w:val="004D3711"/>
    <w:rsid w:val="004D3BC8"/>
    <w:rsid w:val="004D3BE6"/>
    <w:rsid w:val="004D3C3A"/>
    <w:rsid w:val="004D3D52"/>
    <w:rsid w:val="004D3D79"/>
    <w:rsid w:val="004D3DE8"/>
    <w:rsid w:val="004D3DEE"/>
    <w:rsid w:val="004D3E1D"/>
    <w:rsid w:val="004D415B"/>
    <w:rsid w:val="004D41A2"/>
    <w:rsid w:val="004D41E5"/>
    <w:rsid w:val="004D4311"/>
    <w:rsid w:val="004D4381"/>
    <w:rsid w:val="004D43FE"/>
    <w:rsid w:val="004D4512"/>
    <w:rsid w:val="004D4555"/>
    <w:rsid w:val="004D45FF"/>
    <w:rsid w:val="004D4653"/>
    <w:rsid w:val="004D4720"/>
    <w:rsid w:val="004D487F"/>
    <w:rsid w:val="004D4A80"/>
    <w:rsid w:val="004D4C15"/>
    <w:rsid w:val="004D4C60"/>
    <w:rsid w:val="004D4C6A"/>
    <w:rsid w:val="004D4CAB"/>
    <w:rsid w:val="004D4D07"/>
    <w:rsid w:val="004D4E64"/>
    <w:rsid w:val="004D4E67"/>
    <w:rsid w:val="004D4EC3"/>
    <w:rsid w:val="004D4F1A"/>
    <w:rsid w:val="004D4FC9"/>
    <w:rsid w:val="004D4FDC"/>
    <w:rsid w:val="004D516F"/>
    <w:rsid w:val="004D528D"/>
    <w:rsid w:val="004D55EF"/>
    <w:rsid w:val="004D55FC"/>
    <w:rsid w:val="004D5621"/>
    <w:rsid w:val="004D56D3"/>
    <w:rsid w:val="004D5727"/>
    <w:rsid w:val="004D57A2"/>
    <w:rsid w:val="004D57D8"/>
    <w:rsid w:val="004D58A2"/>
    <w:rsid w:val="004D59B5"/>
    <w:rsid w:val="004D5A70"/>
    <w:rsid w:val="004D5C4C"/>
    <w:rsid w:val="004D5E0C"/>
    <w:rsid w:val="004D5E73"/>
    <w:rsid w:val="004D5EA5"/>
    <w:rsid w:val="004D6107"/>
    <w:rsid w:val="004D61C2"/>
    <w:rsid w:val="004D62D9"/>
    <w:rsid w:val="004D648D"/>
    <w:rsid w:val="004D65BE"/>
    <w:rsid w:val="004D6837"/>
    <w:rsid w:val="004D688E"/>
    <w:rsid w:val="004D69CB"/>
    <w:rsid w:val="004D6A29"/>
    <w:rsid w:val="004D6AFC"/>
    <w:rsid w:val="004D6C9B"/>
    <w:rsid w:val="004D6D05"/>
    <w:rsid w:val="004D6D25"/>
    <w:rsid w:val="004D70B7"/>
    <w:rsid w:val="004D70D1"/>
    <w:rsid w:val="004D71BC"/>
    <w:rsid w:val="004D7269"/>
    <w:rsid w:val="004D73B7"/>
    <w:rsid w:val="004D74BD"/>
    <w:rsid w:val="004D76EB"/>
    <w:rsid w:val="004D7904"/>
    <w:rsid w:val="004D7C29"/>
    <w:rsid w:val="004D7CF9"/>
    <w:rsid w:val="004D7D21"/>
    <w:rsid w:val="004D7D96"/>
    <w:rsid w:val="004D7F23"/>
    <w:rsid w:val="004D7F58"/>
    <w:rsid w:val="004D7FB2"/>
    <w:rsid w:val="004E0013"/>
    <w:rsid w:val="004E0118"/>
    <w:rsid w:val="004E0132"/>
    <w:rsid w:val="004E0143"/>
    <w:rsid w:val="004E01B8"/>
    <w:rsid w:val="004E02E4"/>
    <w:rsid w:val="004E0340"/>
    <w:rsid w:val="004E0364"/>
    <w:rsid w:val="004E03BD"/>
    <w:rsid w:val="004E03FD"/>
    <w:rsid w:val="004E052B"/>
    <w:rsid w:val="004E05CC"/>
    <w:rsid w:val="004E0607"/>
    <w:rsid w:val="004E0632"/>
    <w:rsid w:val="004E06BB"/>
    <w:rsid w:val="004E0741"/>
    <w:rsid w:val="004E074C"/>
    <w:rsid w:val="004E0A67"/>
    <w:rsid w:val="004E0AD6"/>
    <w:rsid w:val="004E0AE3"/>
    <w:rsid w:val="004E0BCE"/>
    <w:rsid w:val="004E0CCF"/>
    <w:rsid w:val="004E0D89"/>
    <w:rsid w:val="004E0F1A"/>
    <w:rsid w:val="004E1024"/>
    <w:rsid w:val="004E1157"/>
    <w:rsid w:val="004E11B5"/>
    <w:rsid w:val="004E12BA"/>
    <w:rsid w:val="004E14AC"/>
    <w:rsid w:val="004E14D7"/>
    <w:rsid w:val="004E1630"/>
    <w:rsid w:val="004E1641"/>
    <w:rsid w:val="004E1683"/>
    <w:rsid w:val="004E1740"/>
    <w:rsid w:val="004E1858"/>
    <w:rsid w:val="004E18E7"/>
    <w:rsid w:val="004E190C"/>
    <w:rsid w:val="004E1A61"/>
    <w:rsid w:val="004E1A70"/>
    <w:rsid w:val="004E1B33"/>
    <w:rsid w:val="004E1B39"/>
    <w:rsid w:val="004E1D1E"/>
    <w:rsid w:val="004E1F12"/>
    <w:rsid w:val="004E1F1E"/>
    <w:rsid w:val="004E212E"/>
    <w:rsid w:val="004E25C3"/>
    <w:rsid w:val="004E265F"/>
    <w:rsid w:val="004E267D"/>
    <w:rsid w:val="004E26C7"/>
    <w:rsid w:val="004E27DB"/>
    <w:rsid w:val="004E2839"/>
    <w:rsid w:val="004E291B"/>
    <w:rsid w:val="004E292E"/>
    <w:rsid w:val="004E2AFB"/>
    <w:rsid w:val="004E2C92"/>
    <w:rsid w:val="004E2C9E"/>
    <w:rsid w:val="004E2F03"/>
    <w:rsid w:val="004E3087"/>
    <w:rsid w:val="004E310C"/>
    <w:rsid w:val="004E3294"/>
    <w:rsid w:val="004E32BD"/>
    <w:rsid w:val="004E3610"/>
    <w:rsid w:val="004E3838"/>
    <w:rsid w:val="004E3840"/>
    <w:rsid w:val="004E3A48"/>
    <w:rsid w:val="004E3B63"/>
    <w:rsid w:val="004E3C53"/>
    <w:rsid w:val="004E3D0C"/>
    <w:rsid w:val="004E3EDB"/>
    <w:rsid w:val="004E3F1C"/>
    <w:rsid w:val="004E4069"/>
    <w:rsid w:val="004E40C2"/>
    <w:rsid w:val="004E4219"/>
    <w:rsid w:val="004E431D"/>
    <w:rsid w:val="004E438B"/>
    <w:rsid w:val="004E447F"/>
    <w:rsid w:val="004E44D5"/>
    <w:rsid w:val="004E459E"/>
    <w:rsid w:val="004E45A2"/>
    <w:rsid w:val="004E45F3"/>
    <w:rsid w:val="004E478D"/>
    <w:rsid w:val="004E47A7"/>
    <w:rsid w:val="004E48F2"/>
    <w:rsid w:val="004E4A6B"/>
    <w:rsid w:val="004E4C0A"/>
    <w:rsid w:val="004E4CFC"/>
    <w:rsid w:val="004E4D4C"/>
    <w:rsid w:val="004E4DB6"/>
    <w:rsid w:val="004E4DC9"/>
    <w:rsid w:val="004E4DF0"/>
    <w:rsid w:val="004E4F4C"/>
    <w:rsid w:val="004E5071"/>
    <w:rsid w:val="004E50A0"/>
    <w:rsid w:val="004E516C"/>
    <w:rsid w:val="004E51ED"/>
    <w:rsid w:val="004E5211"/>
    <w:rsid w:val="004E5214"/>
    <w:rsid w:val="004E523F"/>
    <w:rsid w:val="004E5258"/>
    <w:rsid w:val="004E5271"/>
    <w:rsid w:val="004E53A1"/>
    <w:rsid w:val="004E56A2"/>
    <w:rsid w:val="004E595C"/>
    <w:rsid w:val="004E59C0"/>
    <w:rsid w:val="004E5DC5"/>
    <w:rsid w:val="004E5E9B"/>
    <w:rsid w:val="004E5F50"/>
    <w:rsid w:val="004E5F7F"/>
    <w:rsid w:val="004E5FFC"/>
    <w:rsid w:val="004E6040"/>
    <w:rsid w:val="004E6504"/>
    <w:rsid w:val="004E65DE"/>
    <w:rsid w:val="004E6604"/>
    <w:rsid w:val="004E6649"/>
    <w:rsid w:val="004E666A"/>
    <w:rsid w:val="004E66B0"/>
    <w:rsid w:val="004E66FE"/>
    <w:rsid w:val="004E67BA"/>
    <w:rsid w:val="004E68AD"/>
    <w:rsid w:val="004E6986"/>
    <w:rsid w:val="004E6AA7"/>
    <w:rsid w:val="004E6BAB"/>
    <w:rsid w:val="004E6BEB"/>
    <w:rsid w:val="004E6CC4"/>
    <w:rsid w:val="004E6CDF"/>
    <w:rsid w:val="004E6CFA"/>
    <w:rsid w:val="004E6E15"/>
    <w:rsid w:val="004E6E61"/>
    <w:rsid w:val="004E6E96"/>
    <w:rsid w:val="004E702B"/>
    <w:rsid w:val="004E70AD"/>
    <w:rsid w:val="004E723F"/>
    <w:rsid w:val="004E7412"/>
    <w:rsid w:val="004E7557"/>
    <w:rsid w:val="004E7582"/>
    <w:rsid w:val="004E7656"/>
    <w:rsid w:val="004E7681"/>
    <w:rsid w:val="004E76BB"/>
    <w:rsid w:val="004E77E0"/>
    <w:rsid w:val="004E7833"/>
    <w:rsid w:val="004E7B4E"/>
    <w:rsid w:val="004E7B8D"/>
    <w:rsid w:val="004E7D42"/>
    <w:rsid w:val="004E7E93"/>
    <w:rsid w:val="004E7F43"/>
    <w:rsid w:val="004F002D"/>
    <w:rsid w:val="004F01D5"/>
    <w:rsid w:val="004F01F3"/>
    <w:rsid w:val="004F0352"/>
    <w:rsid w:val="004F0354"/>
    <w:rsid w:val="004F0363"/>
    <w:rsid w:val="004F0559"/>
    <w:rsid w:val="004F05C4"/>
    <w:rsid w:val="004F05D7"/>
    <w:rsid w:val="004F08A7"/>
    <w:rsid w:val="004F09A8"/>
    <w:rsid w:val="004F0A17"/>
    <w:rsid w:val="004F0A32"/>
    <w:rsid w:val="004F0A80"/>
    <w:rsid w:val="004F0B44"/>
    <w:rsid w:val="004F0BAF"/>
    <w:rsid w:val="004F0C72"/>
    <w:rsid w:val="004F0D94"/>
    <w:rsid w:val="004F0E49"/>
    <w:rsid w:val="004F0E4F"/>
    <w:rsid w:val="004F0E92"/>
    <w:rsid w:val="004F0FEA"/>
    <w:rsid w:val="004F10AA"/>
    <w:rsid w:val="004F1184"/>
    <w:rsid w:val="004F11EC"/>
    <w:rsid w:val="004F14FF"/>
    <w:rsid w:val="004F1514"/>
    <w:rsid w:val="004F15E8"/>
    <w:rsid w:val="004F168F"/>
    <w:rsid w:val="004F17A1"/>
    <w:rsid w:val="004F17A4"/>
    <w:rsid w:val="004F18DA"/>
    <w:rsid w:val="004F1B42"/>
    <w:rsid w:val="004F1F23"/>
    <w:rsid w:val="004F1FB9"/>
    <w:rsid w:val="004F1FF4"/>
    <w:rsid w:val="004F2022"/>
    <w:rsid w:val="004F22EB"/>
    <w:rsid w:val="004F24EB"/>
    <w:rsid w:val="004F2633"/>
    <w:rsid w:val="004F2744"/>
    <w:rsid w:val="004F2896"/>
    <w:rsid w:val="004F291C"/>
    <w:rsid w:val="004F2AE3"/>
    <w:rsid w:val="004F2BB9"/>
    <w:rsid w:val="004F2C3D"/>
    <w:rsid w:val="004F2D2E"/>
    <w:rsid w:val="004F301D"/>
    <w:rsid w:val="004F3054"/>
    <w:rsid w:val="004F324C"/>
    <w:rsid w:val="004F32A9"/>
    <w:rsid w:val="004F3444"/>
    <w:rsid w:val="004F34A8"/>
    <w:rsid w:val="004F3532"/>
    <w:rsid w:val="004F3626"/>
    <w:rsid w:val="004F3721"/>
    <w:rsid w:val="004F38C9"/>
    <w:rsid w:val="004F38D7"/>
    <w:rsid w:val="004F38FF"/>
    <w:rsid w:val="004F39B6"/>
    <w:rsid w:val="004F3A8E"/>
    <w:rsid w:val="004F3AAF"/>
    <w:rsid w:val="004F3B25"/>
    <w:rsid w:val="004F3B9F"/>
    <w:rsid w:val="004F3C4D"/>
    <w:rsid w:val="004F3CCA"/>
    <w:rsid w:val="004F3E39"/>
    <w:rsid w:val="004F3E41"/>
    <w:rsid w:val="004F3EC5"/>
    <w:rsid w:val="004F3FF6"/>
    <w:rsid w:val="004F4126"/>
    <w:rsid w:val="004F4165"/>
    <w:rsid w:val="004F4178"/>
    <w:rsid w:val="004F431A"/>
    <w:rsid w:val="004F4384"/>
    <w:rsid w:val="004F4392"/>
    <w:rsid w:val="004F43A5"/>
    <w:rsid w:val="004F4459"/>
    <w:rsid w:val="004F45B9"/>
    <w:rsid w:val="004F4613"/>
    <w:rsid w:val="004F4640"/>
    <w:rsid w:val="004F4689"/>
    <w:rsid w:val="004F4786"/>
    <w:rsid w:val="004F47B4"/>
    <w:rsid w:val="004F49C3"/>
    <w:rsid w:val="004F4A5E"/>
    <w:rsid w:val="004F4CE4"/>
    <w:rsid w:val="004F4DB8"/>
    <w:rsid w:val="004F4DD7"/>
    <w:rsid w:val="004F4DEB"/>
    <w:rsid w:val="004F4F30"/>
    <w:rsid w:val="004F50E0"/>
    <w:rsid w:val="004F5142"/>
    <w:rsid w:val="004F523B"/>
    <w:rsid w:val="004F52AC"/>
    <w:rsid w:val="004F552D"/>
    <w:rsid w:val="004F5534"/>
    <w:rsid w:val="004F5727"/>
    <w:rsid w:val="004F5788"/>
    <w:rsid w:val="004F57E1"/>
    <w:rsid w:val="004F580D"/>
    <w:rsid w:val="004F580E"/>
    <w:rsid w:val="004F5896"/>
    <w:rsid w:val="004F58F7"/>
    <w:rsid w:val="004F5908"/>
    <w:rsid w:val="004F592F"/>
    <w:rsid w:val="004F5955"/>
    <w:rsid w:val="004F5960"/>
    <w:rsid w:val="004F5A93"/>
    <w:rsid w:val="004F5AD3"/>
    <w:rsid w:val="004F5B0F"/>
    <w:rsid w:val="004F5BEA"/>
    <w:rsid w:val="004F5C52"/>
    <w:rsid w:val="004F5DBF"/>
    <w:rsid w:val="004F5E07"/>
    <w:rsid w:val="004F5F69"/>
    <w:rsid w:val="004F600E"/>
    <w:rsid w:val="004F605C"/>
    <w:rsid w:val="004F61B9"/>
    <w:rsid w:val="004F62FF"/>
    <w:rsid w:val="004F6334"/>
    <w:rsid w:val="004F653D"/>
    <w:rsid w:val="004F6544"/>
    <w:rsid w:val="004F6558"/>
    <w:rsid w:val="004F6683"/>
    <w:rsid w:val="004F6704"/>
    <w:rsid w:val="004F69D2"/>
    <w:rsid w:val="004F69EC"/>
    <w:rsid w:val="004F6A24"/>
    <w:rsid w:val="004F6A3A"/>
    <w:rsid w:val="004F6A80"/>
    <w:rsid w:val="004F6AA6"/>
    <w:rsid w:val="004F6B52"/>
    <w:rsid w:val="004F6B79"/>
    <w:rsid w:val="004F6C09"/>
    <w:rsid w:val="004F6E7E"/>
    <w:rsid w:val="004F6F21"/>
    <w:rsid w:val="004F735A"/>
    <w:rsid w:val="004F73BD"/>
    <w:rsid w:val="004F7539"/>
    <w:rsid w:val="004F759B"/>
    <w:rsid w:val="004F7613"/>
    <w:rsid w:val="004F7691"/>
    <w:rsid w:val="004F76BA"/>
    <w:rsid w:val="004F77A1"/>
    <w:rsid w:val="004F7D96"/>
    <w:rsid w:val="004F7E0A"/>
    <w:rsid w:val="004F7E97"/>
    <w:rsid w:val="004F7EF9"/>
    <w:rsid w:val="0050009D"/>
    <w:rsid w:val="0050011C"/>
    <w:rsid w:val="005001E3"/>
    <w:rsid w:val="00500353"/>
    <w:rsid w:val="0050038C"/>
    <w:rsid w:val="005003F3"/>
    <w:rsid w:val="00500483"/>
    <w:rsid w:val="005004D9"/>
    <w:rsid w:val="00500638"/>
    <w:rsid w:val="00500822"/>
    <w:rsid w:val="005009AD"/>
    <w:rsid w:val="00500A87"/>
    <w:rsid w:val="00500A9D"/>
    <w:rsid w:val="00500C0A"/>
    <w:rsid w:val="00500C5B"/>
    <w:rsid w:val="00500CD2"/>
    <w:rsid w:val="00500D2F"/>
    <w:rsid w:val="00500F34"/>
    <w:rsid w:val="005010E5"/>
    <w:rsid w:val="00501173"/>
    <w:rsid w:val="00501238"/>
    <w:rsid w:val="0050125D"/>
    <w:rsid w:val="0050140F"/>
    <w:rsid w:val="005014A0"/>
    <w:rsid w:val="00501660"/>
    <w:rsid w:val="005016BA"/>
    <w:rsid w:val="00501805"/>
    <w:rsid w:val="0050184D"/>
    <w:rsid w:val="00501B46"/>
    <w:rsid w:val="00501BD1"/>
    <w:rsid w:val="00501FBC"/>
    <w:rsid w:val="0050209B"/>
    <w:rsid w:val="005020DA"/>
    <w:rsid w:val="00502257"/>
    <w:rsid w:val="0050246D"/>
    <w:rsid w:val="005025B7"/>
    <w:rsid w:val="00502610"/>
    <w:rsid w:val="005027CC"/>
    <w:rsid w:val="00502828"/>
    <w:rsid w:val="00502AEE"/>
    <w:rsid w:val="00502BF2"/>
    <w:rsid w:val="00502C7D"/>
    <w:rsid w:val="00502CCD"/>
    <w:rsid w:val="00502D41"/>
    <w:rsid w:val="00502D5A"/>
    <w:rsid w:val="00502E7C"/>
    <w:rsid w:val="00502FB3"/>
    <w:rsid w:val="00503168"/>
    <w:rsid w:val="005031CA"/>
    <w:rsid w:val="0050320D"/>
    <w:rsid w:val="005032F5"/>
    <w:rsid w:val="0050340D"/>
    <w:rsid w:val="005034E1"/>
    <w:rsid w:val="005034FA"/>
    <w:rsid w:val="00503519"/>
    <w:rsid w:val="005035D0"/>
    <w:rsid w:val="00503651"/>
    <w:rsid w:val="0050377E"/>
    <w:rsid w:val="005037A5"/>
    <w:rsid w:val="00503858"/>
    <w:rsid w:val="0050392D"/>
    <w:rsid w:val="00503996"/>
    <w:rsid w:val="00503C86"/>
    <w:rsid w:val="00503D27"/>
    <w:rsid w:val="00503F0F"/>
    <w:rsid w:val="00503F8D"/>
    <w:rsid w:val="00503FDA"/>
    <w:rsid w:val="0050400A"/>
    <w:rsid w:val="00504070"/>
    <w:rsid w:val="00504381"/>
    <w:rsid w:val="00504395"/>
    <w:rsid w:val="005043AD"/>
    <w:rsid w:val="005043CB"/>
    <w:rsid w:val="005043D4"/>
    <w:rsid w:val="0050447B"/>
    <w:rsid w:val="005046BC"/>
    <w:rsid w:val="005046E8"/>
    <w:rsid w:val="0050472E"/>
    <w:rsid w:val="005047D9"/>
    <w:rsid w:val="005048F9"/>
    <w:rsid w:val="005049AD"/>
    <w:rsid w:val="00504AEA"/>
    <w:rsid w:val="00504B41"/>
    <w:rsid w:val="00504B5B"/>
    <w:rsid w:val="00504BFB"/>
    <w:rsid w:val="00504E5F"/>
    <w:rsid w:val="00504E8A"/>
    <w:rsid w:val="00504E9E"/>
    <w:rsid w:val="0050507B"/>
    <w:rsid w:val="005051E0"/>
    <w:rsid w:val="0050528A"/>
    <w:rsid w:val="0050529E"/>
    <w:rsid w:val="005053D7"/>
    <w:rsid w:val="0050543E"/>
    <w:rsid w:val="0050545C"/>
    <w:rsid w:val="005054C4"/>
    <w:rsid w:val="00505590"/>
    <w:rsid w:val="00505593"/>
    <w:rsid w:val="00505616"/>
    <w:rsid w:val="005056FD"/>
    <w:rsid w:val="005058FF"/>
    <w:rsid w:val="00505930"/>
    <w:rsid w:val="00505A66"/>
    <w:rsid w:val="00505BFB"/>
    <w:rsid w:val="00505D31"/>
    <w:rsid w:val="00505E43"/>
    <w:rsid w:val="00505EC4"/>
    <w:rsid w:val="00505EC7"/>
    <w:rsid w:val="00505EF2"/>
    <w:rsid w:val="005061D4"/>
    <w:rsid w:val="005062CD"/>
    <w:rsid w:val="00506369"/>
    <w:rsid w:val="005063C6"/>
    <w:rsid w:val="00506411"/>
    <w:rsid w:val="0050643A"/>
    <w:rsid w:val="00506512"/>
    <w:rsid w:val="0050651F"/>
    <w:rsid w:val="00506675"/>
    <w:rsid w:val="0050669C"/>
    <w:rsid w:val="0050669D"/>
    <w:rsid w:val="005067A1"/>
    <w:rsid w:val="005067AD"/>
    <w:rsid w:val="005067C1"/>
    <w:rsid w:val="00506817"/>
    <w:rsid w:val="0050682A"/>
    <w:rsid w:val="00506857"/>
    <w:rsid w:val="0050699D"/>
    <w:rsid w:val="00506AE8"/>
    <w:rsid w:val="00506D25"/>
    <w:rsid w:val="00506DEC"/>
    <w:rsid w:val="00506F67"/>
    <w:rsid w:val="00506FC9"/>
    <w:rsid w:val="00507189"/>
    <w:rsid w:val="0050738E"/>
    <w:rsid w:val="005073BB"/>
    <w:rsid w:val="0050745D"/>
    <w:rsid w:val="00507710"/>
    <w:rsid w:val="0050773E"/>
    <w:rsid w:val="005077A3"/>
    <w:rsid w:val="005077BF"/>
    <w:rsid w:val="005078FB"/>
    <w:rsid w:val="0050792A"/>
    <w:rsid w:val="0050796C"/>
    <w:rsid w:val="00507A66"/>
    <w:rsid w:val="00507A83"/>
    <w:rsid w:val="00507AF0"/>
    <w:rsid w:val="00507B8E"/>
    <w:rsid w:val="00507D6F"/>
    <w:rsid w:val="00507E3C"/>
    <w:rsid w:val="00507E98"/>
    <w:rsid w:val="00507EA0"/>
    <w:rsid w:val="00507F74"/>
    <w:rsid w:val="00507F75"/>
    <w:rsid w:val="005100A0"/>
    <w:rsid w:val="005102C0"/>
    <w:rsid w:val="0051033E"/>
    <w:rsid w:val="0051049B"/>
    <w:rsid w:val="005106DC"/>
    <w:rsid w:val="00510868"/>
    <w:rsid w:val="00510952"/>
    <w:rsid w:val="005109C8"/>
    <w:rsid w:val="00510B1A"/>
    <w:rsid w:val="00510C55"/>
    <w:rsid w:val="00510CCE"/>
    <w:rsid w:val="00510CDC"/>
    <w:rsid w:val="00510D94"/>
    <w:rsid w:val="00510DC5"/>
    <w:rsid w:val="00510E08"/>
    <w:rsid w:val="00510EDD"/>
    <w:rsid w:val="00510EF7"/>
    <w:rsid w:val="00510FE7"/>
    <w:rsid w:val="005110AB"/>
    <w:rsid w:val="00511324"/>
    <w:rsid w:val="005114B7"/>
    <w:rsid w:val="005114EB"/>
    <w:rsid w:val="0051151C"/>
    <w:rsid w:val="00511600"/>
    <w:rsid w:val="0051169E"/>
    <w:rsid w:val="00511781"/>
    <w:rsid w:val="0051184B"/>
    <w:rsid w:val="00511888"/>
    <w:rsid w:val="00511948"/>
    <w:rsid w:val="00511989"/>
    <w:rsid w:val="005119D0"/>
    <w:rsid w:val="00511A5C"/>
    <w:rsid w:val="00511A71"/>
    <w:rsid w:val="00511B0B"/>
    <w:rsid w:val="00511B17"/>
    <w:rsid w:val="00511BB8"/>
    <w:rsid w:val="00511C3A"/>
    <w:rsid w:val="00511CCF"/>
    <w:rsid w:val="00511E9C"/>
    <w:rsid w:val="00511ECF"/>
    <w:rsid w:val="00511F59"/>
    <w:rsid w:val="00512036"/>
    <w:rsid w:val="0051203B"/>
    <w:rsid w:val="005120A5"/>
    <w:rsid w:val="005120A7"/>
    <w:rsid w:val="005120CA"/>
    <w:rsid w:val="0051210D"/>
    <w:rsid w:val="00512138"/>
    <w:rsid w:val="0051213C"/>
    <w:rsid w:val="00512143"/>
    <w:rsid w:val="0051219E"/>
    <w:rsid w:val="005121F9"/>
    <w:rsid w:val="0051223D"/>
    <w:rsid w:val="0051227B"/>
    <w:rsid w:val="00512436"/>
    <w:rsid w:val="005124CB"/>
    <w:rsid w:val="00512567"/>
    <w:rsid w:val="005125CE"/>
    <w:rsid w:val="00512688"/>
    <w:rsid w:val="0051278F"/>
    <w:rsid w:val="0051280B"/>
    <w:rsid w:val="005129B6"/>
    <w:rsid w:val="00512A12"/>
    <w:rsid w:val="00512D77"/>
    <w:rsid w:val="00512DDE"/>
    <w:rsid w:val="00512E0C"/>
    <w:rsid w:val="00512F3C"/>
    <w:rsid w:val="005130A9"/>
    <w:rsid w:val="005134ED"/>
    <w:rsid w:val="0051360F"/>
    <w:rsid w:val="00513699"/>
    <w:rsid w:val="0051377B"/>
    <w:rsid w:val="00513985"/>
    <w:rsid w:val="00513CA2"/>
    <w:rsid w:val="00513DA7"/>
    <w:rsid w:val="00513EA5"/>
    <w:rsid w:val="00513F8C"/>
    <w:rsid w:val="00514114"/>
    <w:rsid w:val="00514176"/>
    <w:rsid w:val="0051418E"/>
    <w:rsid w:val="005141DE"/>
    <w:rsid w:val="005141E2"/>
    <w:rsid w:val="0051433C"/>
    <w:rsid w:val="0051436E"/>
    <w:rsid w:val="005143CF"/>
    <w:rsid w:val="00514495"/>
    <w:rsid w:val="0051458A"/>
    <w:rsid w:val="005146D1"/>
    <w:rsid w:val="005146DF"/>
    <w:rsid w:val="00514720"/>
    <w:rsid w:val="0051477D"/>
    <w:rsid w:val="005147D7"/>
    <w:rsid w:val="005149DE"/>
    <w:rsid w:val="005149E2"/>
    <w:rsid w:val="005149F6"/>
    <w:rsid w:val="00514A76"/>
    <w:rsid w:val="00514B96"/>
    <w:rsid w:val="00514C9A"/>
    <w:rsid w:val="00514D41"/>
    <w:rsid w:val="00514D83"/>
    <w:rsid w:val="0051504F"/>
    <w:rsid w:val="0051513A"/>
    <w:rsid w:val="005152F4"/>
    <w:rsid w:val="005153D9"/>
    <w:rsid w:val="0051551A"/>
    <w:rsid w:val="00515713"/>
    <w:rsid w:val="0051571B"/>
    <w:rsid w:val="00515988"/>
    <w:rsid w:val="00515AD6"/>
    <w:rsid w:val="00515B4C"/>
    <w:rsid w:val="00515BA4"/>
    <w:rsid w:val="00515C06"/>
    <w:rsid w:val="00515C0D"/>
    <w:rsid w:val="00515DDF"/>
    <w:rsid w:val="00515E6E"/>
    <w:rsid w:val="00515EE8"/>
    <w:rsid w:val="00515FC1"/>
    <w:rsid w:val="00515FDD"/>
    <w:rsid w:val="00516139"/>
    <w:rsid w:val="00516246"/>
    <w:rsid w:val="0051625A"/>
    <w:rsid w:val="005163CB"/>
    <w:rsid w:val="00516467"/>
    <w:rsid w:val="005165A1"/>
    <w:rsid w:val="005165A6"/>
    <w:rsid w:val="00516830"/>
    <w:rsid w:val="0051685E"/>
    <w:rsid w:val="005168DD"/>
    <w:rsid w:val="00516BCF"/>
    <w:rsid w:val="00516BDB"/>
    <w:rsid w:val="00516CB9"/>
    <w:rsid w:val="00516D95"/>
    <w:rsid w:val="00516DE8"/>
    <w:rsid w:val="00516E51"/>
    <w:rsid w:val="00516F84"/>
    <w:rsid w:val="00516FBD"/>
    <w:rsid w:val="005170D8"/>
    <w:rsid w:val="0051727C"/>
    <w:rsid w:val="005172BC"/>
    <w:rsid w:val="00517478"/>
    <w:rsid w:val="0051748D"/>
    <w:rsid w:val="00517557"/>
    <w:rsid w:val="005175A5"/>
    <w:rsid w:val="005177E7"/>
    <w:rsid w:val="005178F5"/>
    <w:rsid w:val="00517B28"/>
    <w:rsid w:val="00517C00"/>
    <w:rsid w:val="00517C0A"/>
    <w:rsid w:val="00517C9B"/>
    <w:rsid w:val="00517D92"/>
    <w:rsid w:val="00517E3A"/>
    <w:rsid w:val="00517F2B"/>
    <w:rsid w:val="00517FDC"/>
    <w:rsid w:val="005200B5"/>
    <w:rsid w:val="005200E1"/>
    <w:rsid w:val="0052016A"/>
    <w:rsid w:val="00520213"/>
    <w:rsid w:val="00520397"/>
    <w:rsid w:val="005205BE"/>
    <w:rsid w:val="00520630"/>
    <w:rsid w:val="00520676"/>
    <w:rsid w:val="005207C4"/>
    <w:rsid w:val="005207E4"/>
    <w:rsid w:val="00520958"/>
    <w:rsid w:val="00520A15"/>
    <w:rsid w:val="00520EAA"/>
    <w:rsid w:val="00520F95"/>
    <w:rsid w:val="00520F96"/>
    <w:rsid w:val="00521123"/>
    <w:rsid w:val="005211C3"/>
    <w:rsid w:val="00521249"/>
    <w:rsid w:val="00521316"/>
    <w:rsid w:val="00521397"/>
    <w:rsid w:val="005214F4"/>
    <w:rsid w:val="00521512"/>
    <w:rsid w:val="0052157A"/>
    <w:rsid w:val="0052160C"/>
    <w:rsid w:val="00521708"/>
    <w:rsid w:val="005219AF"/>
    <w:rsid w:val="00521A69"/>
    <w:rsid w:val="00521AFE"/>
    <w:rsid w:val="00521C31"/>
    <w:rsid w:val="00521E47"/>
    <w:rsid w:val="00521E8E"/>
    <w:rsid w:val="00522015"/>
    <w:rsid w:val="00522114"/>
    <w:rsid w:val="0052217E"/>
    <w:rsid w:val="005221C6"/>
    <w:rsid w:val="00522320"/>
    <w:rsid w:val="005223A2"/>
    <w:rsid w:val="005223E4"/>
    <w:rsid w:val="0052242A"/>
    <w:rsid w:val="00522498"/>
    <w:rsid w:val="00522512"/>
    <w:rsid w:val="005225BA"/>
    <w:rsid w:val="00522635"/>
    <w:rsid w:val="0052266D"/>
    <w:rsid w:val="00522799"/>
    <w:rsid w:val="005227C7"/>
    <w:rsid w:val="005227EB"/>
    <w:rsid w:val="005228BA"/>
    <w:rsid w:val="00522A69"/>
    <w:rsid w:val="00522A8B"/>
    <w:rsid w:val="00522AF8"/>
    <w:rsid w:val="00522B09"/>
    <w:rsid w:val="00522B5C"/>
    <w:rsid w:val="00522CC9"/>
    <w:rsid w:val="00522D84"/>
    <w:rsid w:val="00522E11"/>
    <w:rsid w:val="00522F52"/>
    <w:rsid w:val="00523000"/>
    <w:rsid w:val="00523018"/>
    <w:rsid w:val="00523429"/>
    <w:rsid w:val="00523567"/>
    <w:rsid w:val="00523650"/>
    <w:rsid w:val="005236D4"/>
    <w:rsid w:val="00523968"/>
    <w:rsid w:val="00523C0D"/>
    <w:rsid w:val="00523C3B"/>
    <w:rsid w:val="00523C9B"/>
    <w:rsid w:val="00523D11"/>
    <w:rsid w:val="00523DE6"/>
    <w:rsid w:val="00523E98"/>
    <w:rsid w:val="00523E99"/>
    <w:rsid w:val="00523F8C"/>
    <w:rsid w:val="005241AA"/>
    <w:rsid w:val="00524282"/>
    <w:rsid w:val="005244A1"/>
    <w:rsid w:val="0052457F"/>
    <w:rsid w:val="00524620"/>
    <w:rsid w:val="00524629"/>
    <w:rsid w:val="00524769"/>
    <w:rsid w:val="00524786"/>
    <w:rsid w:val="005248C3"/>
    <w:rsid w:val="00524925"/>
    <w:rsid w:val="00524AE6"/>
    <w:rsid w:val="00524BD5"/>
    <w:rsid w:val="00524D53"/>
    <w:rsid w:val="00524DD1"/>
    <w:rsid w:val="00524E4B"/>
    <w:rsid w:val="00524EBC"/>
    <w:rsid w:val="00524ED6"/>
    <w:rsid w:val="00524F5D"/>
    <w:rsid w:val="00524F9B"/>
    <w:rsid w:val="00524FE6"/>
    <w:rsid w:val="0052503E"/>
    <w:rsid w:val="005251BA"/>
    <w:rsid w:val="005252D8"/>
    <w:rsid w:val="00525312"/>
    <w:rsid w:val="005254A6"/>
    <w:rsid w:val="00525512"/>
    <w:rsid w:val="005255D5"/>
    <w:rsid w:val="00525607"/>
    <w:rsid w:val="0052575B"/>
    <w:rsid w:val="005257B2"/>
    <w:rsid w:val="00525A1B"/>
    <w:rsid w:val="00525A23"/>
    <w:rsid w:val="00525A60"/>
    <w:rsid w:val="00525AB3"/>
    <w:rsid w:val="00525B35"/>
    <w:rsid w:val="00525C50"/>
    <w:rsid w:val="00525CF3"/>
    <w:rsid w:val="00525D44"/>
    <w:rsid w:val="00525DF0"/>
    <w:rsid w:val="00525F9E"/>
    <w:rsid w:val="00526060"/>
    <w:rsid w:val="00526104"/>
    <w:rsid w:val="00526150"/>
    <w:rsid w:val="005261CE"/>
    <w:rsid w:val="0052623B"/>
    <w:rsid w:val="005264C6"/>
    <w:rsid w:val="0052654E"/>
    <w:rsid w:val="005266F4"/>
    <w:rsid w:val="00526754"/>
    <w:rsid w:val="005268FA"/>
    <w:rsid w:val="0052692E"/>
    <w:rsid w:val="00526970"/>
    <w:rsid w:val="00526B90"/>
    <w:rsid w:val="00526E9E"/>
    <w:rsid w:val="005271D4"/>
    <w:rsid w:val="0052724E"/>
    <w:rsid w:val="005272A7"/>
    <w:rsid w:val="00527317"/>
    <w:rsid w:val="00527436"/>
    <w:rsid w:val="005274C5"/>
    <w:rsid w:val="005274F3"/>
    <w:rsid w:val="005277B0"/>
    <w:rsid w:val="005277E3"/>
    <w:rsid w:val="00527A44"/>
    <w:rsid w:val="00527A79"/>
    <w:rsid w:val="00527C32"/>
    <w:rsid w:val="00527C3F"/>
    <w:rsid w:val="00527C5E"/>
    <w:rsid w:val="00527E16"/>
    <w:rsid w:val="00527EED"/>
    <w:rsid w:val="00530019"/>
    <w:rsid w:val="00530169"/>
    <w:rsid w:val="005301C4"/>
    <w:rsid w:val="0053028A"/>
    <w:rsid w:val="00530290"/>
    <w:rsid w:val="005302E8"/>
    <w:rsid w:val="00530422"/>
    <w:rsid w:val="00530428"/>
    <w:rsid w:val="0053044B"/>
    <w:rsid w:val="00530517"/>
    <w:rsid w:val="00530700"/>
    <w:rsid w:val="0053071E"/>
    <w:rsid w:val="00530747"/>
    <w:rsid w:val="005307EC"/>
    <w:rsid w:val="0053081D"/>
    <w:rsid w:val="00530838"/>
    <w:rsid w:val="00530891"/>
    <w:rsid w:val="0053098F"/>
    <w:rsid w:val="00530A45"/>
    <w:rsid w:val="00530B0A"/>
    <w:rsid w:val="00530B62"/>
    <w:rsid w:val="00530C2E"/>
    <w:rsid w:val="00530C7B"/>
    <w:rsid w:val="00530E65"/>
    <w:rsid w:val="00530F0F"/>
    <w:rsid w:val="00530F1F"/>
    <w:rsid w:val="0053127A"/>
    <w:rsid w:val="005312DA"/>
    <w:rsid w:val="005315BE"/>
    <w:rsid w:val="0053160A"/>
    <w:rsid w:val="0053162A"/>
    <w:rsid w:val="0053168B"/>
    <w:rsid w:val="005316E3"/>
    <w:rsid w:val="0053187D"/>
    <w:rsid w:val="00531965"/>
    <w:rsid w:val="00531B96"/>
    <w:rsid w:val="00531C1A"/>
    <w:rsid w:val="00531DDA"/>
    <w:rsid w:val="00531EE1"/>
    <w:rsid w:val="00531FCD"/>
    <w:rsid w:val="00531FDD"/>
    <w:rsid w:val="00532036"/>
    <w:rsid w:val="0053203C"/>
    <w:rsid w:val="00532153"/>
    <w:rsid w:val="0053217A"/>
    <w:rsid w:val="00532435"/>
    <w:rsid w:val="0053253B"/>
    <w:rsid w:val="005326D2"/>
    <w:rsid w:val="00532873"/>
    <w:rsid w:val="00532879"/>
    <w:rsid w:val="00532AD7"/>
    <w:rsid w:val="00532AF3"/>
    <w:rsid w:val="00532B9E"/>
    <w:rsid w:val="00532C6E"/>
    <w:rsid w:val="00532C90"/>
    <w:rsid w:val="00532E23"/>
    <w:rsid w:val="00532EC6"/>
    <w:rsid w:val="00532F62"/>
    <w:rsid w:val="00532FCB"/>
    <w:rsid w:val="0053301B"/>
    <w:rsid w:val="00533275"/>
    <w:rsid w:val="0053332D"/>
    <w:rsid w:val="005335AC"/>
    <w:rsid w:val="005335D2"/>
    <w:rsid w:val="005337E3"/>
    <w:rsid w:val="0053384A"/>
    <w:rsid w:val="005338EC"/>
    <w:rsid w:val="005339AD"/>
    <w:rsid w:val="00533A71"/>
    <w:rsid w:val="00533A95"/>
    <w:rsid w:val="00533AAC"/>
    <w:rsid w:val="00533BE7"/>
    <w:rsid w:val="00533C3B"/>
    <w:rsid w:val="00533D06"/>
    <w:rsid w:val="00533E5B"/>
    <w:rsid w:val="00533E65"/>
    <w:rsid w:val="00534008"/>
    <w:rsid w:val="00534056"/>
    <w:rsid w:val="00534150"/>
    <w:rsid w:val="00534304"/>
    <w:rsid w:val="00534307"/>
    <w:rsid w:val="0053435F"/>
    <w:rsid w:val="0053443D"/>
    <w:rsid w:val="00534456"/>
    <w:rsid w:val="005346B4"/>
    <w:rsid w:val="00534745"/>
    <w:rsid w:val="00534970"/>
    <w:rsid w:val="00534978"/>
    <w:rsid w:val="00534A8C"/>
    <w:rsid w:val="00534B39"/>
    <w:rsid w:val="00534C82"/>
    <w:rsid w:val="005353E9"/>
    <w:rsid w:val="00535650"/>
    <w:rsid w:val="0053569C"/>
    <w:rsid w:val="0053576F"/>
    <w:rsid w:val="005358E9"/>
    <w:rsid w:val="0053592E"/>
    <w:rsid w:val="00535994"/>
    <w:rsid w:val="00535B3A"/>
    <w:rsid w:val="00535CD4"/>
    <w:rsid w:val="00535D06"/>
    <w:rsid w:val="00535D38"/>
    <w:rsid w:val="00535DAA"/>
    <w:rsid w:val="00535DC0"/>
    <w:rsid w:val="00535DD5"/>
    <w:rsid w:val="00535E3A"/>
    <w:rsid w:val="00535E3E"/>
    <w:rsid w:val="00535EC6"/>
    <w:rsid w:val="00535EFB"/>
    <w:rsid w:val="00535F32"/>
    <w:rsid w:val="00535FB1"/>
    <w:rsid w:val="00535FD3"/>
    <w:rsid w:val="0053602A"/>
    <w:rsid w:val="00536031"/>
    <w:rsid w:val="005361BF"/>
    <w:rsid w:val="0053620A"/>
    <w:rsid w:val="0053624F"/>
    <w:rsid w:val="005362D4"/>
    <w:rsid w:val="005362EE"/>
    <w:rsid w:val="00536341"/>
    <w:rsid w:val="0053638A"/>
    <w:rsid w:val="005364FD"/>
    <w:rsid w:val="0053670B"/>
    <w:rsid w:val="00536946"/>
    <w:rsid w:val="00536A62"/>
    <w:rsid w:val="00536C5E"/>
    <w:rsid w:val="00536D4E"/>
    <w:rsid w:val="00536D5E"/>
    <w:rsid w:val="00536DA9"/>
    <w:rsid w:val="00536DCC"/>
    <w:rsid w:val="005370C9"/>
    <w:rsid w:val="00537136"/>
    <w:rsid w:val="005375E8"/>
    <w:rsid w:val="0053766E"/>
    <w:rsid w:val="005377D7"/>
    <w:rsid w:val="005378D1"/>
    <w:rsid w:val="005379AB"/>
    <w:rsid w:val="005379FE"/>
    <w:rsid w:val="00537A63"/>
    <w:rsid w:val="00537B47"/>
    <w:rsid w:val="00537B68"/>
    <w:rsid w:val="00537C93"/>
    <w:rsid w:val="00537CED"/>
    <w:rsid w:val="00537E31"/>
    <w:rsid w:val="00537E72"/>
    <w:rsid w:val="00537ECE"/>
    <w:rsid w:val="00537FC4"/>
    <w:rsid w:val="0054001B"/>
    <w:rsid w:val="0054004F"/>
    <w:rsid w:val="00540119"/>
    <w:rsid w:val="00540160"/>
    <w:rsid w:val="0054041D"/>
    <w:rsid w:val="00540466"/>
    <w:rsid w:val="005404DE"/>
    <w:rsid w:val="005405B4"/>
    <w:rsid w:val="0054069F"/>
    <w:rsid w:val="00540741"/>
    <w:rsid w:val="0054081C"/>
    <w:rsid w:val="00540958"/>
    <w:rsid w:val="00540A2E"/>
    <w:rsid w:val="00540AA5"/>
    <w:rsid w:val="00540AC2"/>
    <w:rsid w:val="00540C57"/>
    <w:rsid w:val="00540E27"/>
    <w:rsid w:val="00540E2B"/>
    <w:rsid w:val="00540F1C"/>
    <w:rsid w:val="00541047"/>
    <w:rsid w:val="0054110A"/>
    <w:rsid w:val="00541138"/>
    <w:rsid w:val="0054114B"/>
    <w:rsid w:val="005411D9"/>
    <w:rsid w:val="0054127E"/>
    <w:rsid w:val="00541391"/>
    <w:rsid w:val="0054148B"/>
    <w:rsid w:val="00541674"/>
    <w:rsid w:val="0054168B"/>
    <w:rsid w:val="0054168D"/>
    <w:rsid w:val="0054181E"/>
    <w:rsid w:val="00541B96"/>
    <w:rsid w:val="00541BAE"/>
    <w:rsid w:val="00541BB8"/>
    <w:rsid w:val="00541BCE"/>
    <w:rsid w:val="00541BD7"/>
    <w:rsid w:val="00541C8F"/>
    <w:rsid w:val="00541D61"/>
    <w:rsid w:val="00541DE8"/>
    <w:rsid w:val="00541F9E"/>
    <w:rsid w:val="005420CB"/>
    <w:rsid w:val="005420E0"/>
    <w:rsid w:val="00542128"/>
    <w:rsid w:val="005423BE"/>
    <w:rsid w:val="00542426"/>
    <w:rsid w:val="0054252E"/>
    <w:rsid w:val="0054267F"/>
    <w:rsid w:val="005427E2"/>
    <w:rsid w:val="00542937"/>
    <w:rsid w:val="005429C6"/>
    <w:rsid w:val="00542B37"/>
    <w:rsid w:val="00542C76"/>
    <w:rsid w:val="00542CAD"/>
    <w:rsid w:val="00542DA3"/>
    <w:rsid w:val="00542DF0"/>
    <w:rsid w:val="00542E25"/>
    <w:rsid w:val="00542EDC"/>
    <w:rsid w:val="005430DC"/>
    <w:rsid w:val="005432EB"/>
    <w:rsid w:val="00543326"/>
    <w:rsid w:val="00543479"/>
    <w:rsid w:val="005434DC"/>
    <w:rsid w:val="00543505"/>
    <w:rsid w:val="005435F5"/>
    <w:rsid w:val="005437AE"/>
    <w:rsid w:val="0054392A"/>
    <w:rsid w:val="0054393A"/>
    <w:rsid w:val="00543C3C"/>
    <w:rsid w:val="00543D80"/>
    <w:rsid w:val="00543E31"/>
    <w:rsid w:val="00543E7C"/>
    <w:rsid w:val="005440CD"/>
    <w:rsid w:val="00544137"/>
    <w:rsid w:val="005441A5"/>
    <w:rsid w:val="00544331"/>
    <w:rsid w:val="00544333"/>
    <w:rsid w:val="005443AD"/>
    <w:rsid w:val="00544402"/>
    <w:rsid w:val="0054442B"/>
    <w:rsid w:val="00544456"/>
    <w:rsid w:val="0054446F"/>
    <w:rsid w:val="0054467F"/>
    <w:rsid w:val="00544689"/>
    <w:rsid w:val="00544753"/>
    <w:rsid w:val="00544932"/>
    <w:rsid w:val="00544C55"/>
    <w:rsid w:val="00544D3A"/>
    <w:rsid w:val="00544D9B"/>
    <w:rsid w:val="00544DEC"/>
    <w:rsid w:val="00544E23"/>
    <w:rsid w:val="00544E49"/>
    <w:rsid w:val="00544F2B"/>
    <w:rsid w:val="00545050"/>
    <w:rsid w:val="00545058"/>
    <w:rsid w:val="0054514C"/>
    <w:rsid w:val="00545185"/>
    <w:rsid w:val="00545198"/>
    <w:rsid w:val="0054520C"/>
    <w:rsid w:val="005453B7"/>
    <w:rsid w:val="005453D8"/>
    <w:rsid w:val="0054581E"/>
    <w:rsid w:val="00545954"/>
    <w:rsid w:val="00545993"/>
    <w:rsid w:val="005459B1"/>
    <w:rsid w:val="00545ACA"/>
    <w:rsid w:val="00545BB8"/>
    <w:rsid w:val="00545C0D"/>
    <w:rsid w:val="00545C7A"/>
    <w:rsid w:val="00545DE6"/>
    <w:rsid w:val="00545DED"/>
    <w:rsid w:val="00545F5F"/>
    <w:rsid w:val="00545F99"/>
    <w:rsid w:val="00545FBC"/>
    <w:rsid w:val="005460B0"/>
    <w:rsid w:val="005460B4"/>
    <w:rsid w:val="005460CD"/>
    <w:rsid w:val="00546210"/>
    <w:rsid w:val="0054627A"/>
    <w:rsid w:val="00546434"/>
    <w:rsid w:val="005465F2"/>
    <w:rsid w:val="0054669E"/>
    <w:rsid w:val="005466BB"/>
    <w:rsid w:val="005466DF"/>
    <w:rsid w:val="0054680F"/>
    <w:rsid w:val="0054682D"/>
    <w:rsid w:val="005468A3"/>
    <w:rsid w:val="00546900"/>
    <w:rsid w:val="00546912"/>
    <w:rsid w:val="00546ABB"/>
    <w:rsid w:val="00546CD4"/>
    <w:rsid w:val="00546D88"/>
    <w:rsid w:val="00546FF4"/>
    <w:rsid w:val="005470CA"/>
    <w:rsid w:val="005470DB"/>
    <w:rsid w:val="005470F4"/>
    <w:rsid w:val="0054719B"/>
    <w:rsid w:val="0054739E"/>
    <w:rsid w:val="00547549"/>
    <w:rsid w:val="00547793"/>
    <w:rsid w:val="005479A0"/>
    <w:rsid w:val="005479C1"/>
    <w:rsid w:val="00547D54"/>
    <w:rsid w:val="00547F48"/>
    <w:rsid w:val="00547F7B"/>
    <w:rsid w:val="00550197"/>
    <w:rsid w:val="005501AD"/>
    <w:rsid w:val="005501E3"/>
    <w:rsid w:val="00550416"/>
    <w:rsid w:val="00550431"/>
    <w:rsid w:val="005504B9"/>
    <w:rsid w:val="00550728"/>
    <w:rsid w:val="00550944"/>
    <w:rsid w:val="0055099B"/>
    <w:rsid w:val="00550C53"/>
    <w:rsid w:val="00550EBD"/>
    <w:rsid w:val="00550EDB"/>
    <w:rsid w:val="00550F8E"/>
    <w:rsid w:val="00551074"/>
    <w:rsid w:val="005514E2"/>
    <w:rsid w:val="00551582"/>
    <w:rsid w:val="005516EE"/>
    <w:rsid w:val="00551A2D"/>
    <w:rsid w:val="00551AA9"/>
    <w:rsid w:val="00551B99"/>
    <w:rsid w:val="00551C6C"/>
    <w:rsid w:val="00551D48"/>
    <w:rsid w:val="00551F0A"/>
    <w:rsid w:val="00551F33"/>
    <w:rsid w:val="00551F98"/>
    <w:rsid w:val="00552099"/>
    <w:rsid w:val="005520D8"/>
    <w:rsid w:val="005521D4"/>
    <w:rsid w:val="00552312"/>
    <w:rsid w:val="005523A1"/>
    <w:rsid w:val="0055246A"/>
    <w:rsid w:val="005524A4"/>
    <w:rsid w:val="005526CF"/>
    <w:rsid w:val="00552819"/>
    <w:rsid w:val="005528D9"/>
    <w:rsid w:val="0055296A"/>
    <w:rsid w:val="00552A18"/>
    <w:rsid w:val="00552AAF"/>
    <w:rsid w:val="00552AB8"/>
    <w:rsid w:val="00552ADA"/>
    <w:rsid w:val="00552B7F"/>
    <w:rsid w:val="00552BE5"/>
    <w:rsid w:val="00552C84"/>
    <w:rsid w:val="00552D6A"/>
    <w:rsid w:val="00552DB4"/>
    <w:rsid w:val="005530BC"/>
    <w:rsid w:val="00553158"/>
    <w:rsid w:val="00553172"/>
    <w:rsid w:val="0055325A"/>
    <w:rsid w:val="00553269"/>
    <w:rsid w:val="00553307"/>
    <w:rsid w:val="005533D9"/>
    <w:rsid w:val="0055345C"/>
    <w:rsid w:val="0055347B"/>
    <w:rsid w:val="00553483"/>
    <w:rsid w:val="005535D5"/>
    <w:rsid w:val="005535F3"/>
    <w:rsid w:val="0055363D"/>
    <w:rsid w:val="0055366F"/>
    <w:rsid w:val="005536A0"/>
    <w:rsid w:val="005536AD"/>
    <w:rsid w:val="0055374C"/>
    <w:rsid w:val="00553A91"/>
    <w:rsid w:val="00553B0B"/>
    <w:rsid w:val="00553CB8"/>
    <w:rsid w:val="00553CB9"/>
    <w:rsid w:val="00553E04"/>
    <w:rsid w:val="00553F1F"/>
    <w:rsid w:val="00553F74"/>
    <w:rsid w:val="005540CE"/>
    <w:rsid w:val="0055413B"/>
    <w:rsid w:val="0055419D"/>
    <w:rsid w:val="00554577"/>
    <w:rsid w:val="005546A2"/>
    <w:rsid w:val="0055491D"/>
    <w:rsid w:val="0055496D"/>
    <w:rsid w:val="00554BAD"/>
    <w:rsid w:val="00554CC0"/>
    <w:rsid w:val="00554CD7"/>
    <w:rsid w:val="00554DD8"/>
    <w:rsid w:val="00554E00"/>
    <w:rsid w:val="00554E0A"/>
    <w:rsid w:val="00554EE3"/>
    <w:rsid w:val="00554F89"/>
    <w:rsid w:val="00555166"/>
    <w:rsid w:val="005551E8"/>
    <w:rsid w:val="005555D3"/>
    <w:rsid w:val="00555655"/>
    <w:rsid w:val="005556FC"/>
    <w:rsid w:val="005556FF"/>
    <w:rsid w:val="00555768"/>
    <w:rsid w:val="00555796"/>
    <w:rsid w:val="0055588F"/>
    <w:rsid w:val="00555983"/>
    <w:rsid w:val="00555C72"/>
    <w:rsid w:val="00555DE4"/>
    <w:rsid w:val="0055601C"/>
    <w:rsid w:val="0055604E"/>
    <w:rsid w:val="00556196"/>
    <w:rsid w:val="005561A8"/>
    <w:rsid w:val="005561EC"/>
    <w:rsid w:val="0055621E"/>
    <w:rsid w:val="0055627E"/>
    <w:rsid w:val="005562C6"/>
    <w:rsid w:val="005562D2"/>
    <w:rsid w:val="00556394"/>
    <w:rsid w:val="005564D6"/>
    <w:rsid w:val="00556578"/>
    <w:rsid w:val="005565F8"/>
    <w:rsid w:val="00556687"/>
    <w:rsid w:val="00556874"/>
    <w:rsid w:val="00556921"/>
    <w:rsid w:val="0055694B"/>
    <w:rsid w:val="00556AD2"/>
    <w:rsid w:val="00556B61"/>
    <w:rsid w:val="00556C65"/>
    <w:rsid w:val="00556F3C"/>
    <w:rsid w:val="0055711E"/>
    <w:rsid w:val="005572A8"/>
    <w:rsid w:val="005574B1"/>
    <w:rsid w:val="00557504"/>
    <w:rsid w:val="0055759A"/>
    <w:rsid w:val="005576A4"/>
    <w:rsid w:val="0055774B"/>
    <w:rsid w:val="0055784F"/>
    <w:rsid w:val="005579DC"/>
    <w:rsid w:val="00557A75"/>
    <w:rsid w:val="00557BE5"/>
    <w:rsid w:val="00557D0D"/>
    <w:rsid w:val="00557DA9"/>
    <w:rsid w:val="00557EA6"/>
    <w:rsid w:val="0056013E"/>
    <w:rsid w:val="00560155"/>
    <w:rsid w:val="005601C4"/>
    <w:rsid w:val="00560233"/>
    <w:rsid w:val="0056034D"/>
    <w:rsid w:val="00560359"/>
    <w:rsid w:val="005605AA"/>
    <w:rsid w:val="005606ED"/>
    <w:rsid w:val="005608AF"/>
    <w:rsid w:val="005608D5"/>
    <w:rsid w:val="00560A1E"/>
    <w:rsid w:val="00560AA5"/>
    <w:rsid w:val="00560BA6"/>
    <w:rsid w:val="00560D8B"/>
    <w:rsid w:val="00560D8F"/>
    <w:rsid w:val="00560EF9"/>
    <w:rsid w:val="00560F57"/>
    <w:rsid w:val="00560F74"/>
    <w:rsid w:val="00561003"/>
    <w:rsid w:val="0056100C"/>
    <w:rsid w:val="00561066"/>
    <w:rsid w:val="00561275"/>
    <w:rsid w:val="00561334"/>
    <w:rsid w:val="00561354"/>
    <w:rsid w:val="005613E3"/>
    <w:rsid w:val="0056145E"/>
    <w:rsid w:val="00561676"/>
    <w:rsid w:val="0056167B"/>
    <w:rsid w:val="0056182C"/>
    <w:rsid w:val="005619A7"/>
    <w:rsid w:val="005619E1"/>
    <w:rsid w:val="00561AD3"/>
    <w:rsid w:val="00561B48"/>
    <w:rsid w:val="00561BF2"/>
    <w:rsid w:val="00561D5C"/>
    <w:rsid w:val="00561D65"/>
    <w:rsid w:val="00561E00"/>
    <w:rsid w:val="00561E1F"/>
    <w:rsid w:val="00561E7C"/>
    <w:rsid w:val="005621A3"/>
    <w:rsid w:val="00562329"/>
    <w:rsid w:val="005623C2"/>
    <w:rsid w:val="005623F3"/>
    <w:rsid w:val="00562469"/>
    <w:rsid w:val="0056246B"/>
    <w:rsid w:val="00562547"/>
    <w:rsid w:val="0056259D"/>
    <w:rsid w:val="00562737"/>
    <w:rsid w:val="00562763"/>
    <w:rsid w:val="005627D4"/>
    <w:rsid w:val="0056286D"/>
    <w:rsid w:val="00562A0A"/>
    <w:rsid w:val="00562D5C"/>
    <w:rsid w:val="00562D6A"/>
    <w:rsid w:val="00562D79"/>
    <w:rsid w:val="00562DEC"/>
    <w:rsid w:val="00562E0C"/>
    <w:rsid w:val="00562F48"/>
    <w:rsid w:val="00562F9D"/>
    <w:rsid w:val="0056307C"/>
    <w:rsid w:val="005630C4"/>
    <w:rsid w:val="00563145"/>
    <w:rsid w:val="00563162"/>
    <w:rsid w:val="005632F5"/>
    <w:rsid w:val="005633CE"/>
    <w:rsid w:val="0056347C"/>
    <w:rsid w:val="00563677"/>
    <w:rsid w:val="0056369D"/>
    <w:rsid w:val="005636D9"/>
    <w:rsid w:val="005636DC"/>
    <w:rsid w:val="0056377B"/>
    <w:rsid w:val="005637BA"/>
    <w:rsid w:val="00563992"/>
    <w:rsid w:val="00563B0F"/>
    <w:rsid w:val="00563C12"/>
    <w:rsid w:val="00563CAB"/>
    <w:rsid w:val="00563CFB"/>
    <w:rsid w:val="00563DE1"/>
    <w:rsid w:val="00563E0A"/>
    <w:rsid w:val="00563E23"/>
    <w:rsid w:val="00563EF1"/>
    <w:rsid w:val="00563F1E"/>
    <w:rsid w:val="00563F8B"/>
    <w:rsid w:val="0056403C"/>
    <w:rsid w:val="0056420F"/>
    <w:rsid w:val="005642AA"/>
    <w:rsid w:val="0056431A"/>
    <w:rsid w:val="00564376"/>
    <w:rsid w:val="005643F6"/>
    <w:rsid w:val="0056450E"/>
    <w:rsid w:val="0056479C"/>
    <w:rsid w:val="00564905"/>
    <w:rsid w:val="00564980"/>
    <w:rsid w:val="00564A1F"/>
    <w:rsid w:val="00564C80"/>
    <w:rsid w:val="00564CB8"/>
    <w:rsid w:val="00564D4B"/>
    <w:rsid w:val="00564DA7"/>
    <w:rsid w:val="00564F3F"/>
    <w:rsid w:val="00564FD1"/>
    <w:rsid w:val="00565290"/>
    <w:rsid w:val="005652BA"/>
    <w:rsid w:val="005654CC"/>
    <w:rsid w:val="005655E4"/>
    <w:rsid w:val="00565645"/>
    <w:rsid w:val="0056565F"/>
    <w:rsid w:val="00565693"/>
    <w:rsid w:val="00565729"/>
    <w:rsid w:val="0056581E"/>
    <w:rsid w:val="00565829"/>
    <w:rsid w:val="005658FE"/>
    <w:rsid w:val="0056590E"/>
    <w:rsid w:val="00565CA9"/>
    <w:rsid w:val="00565E7D"/>
    <w:rsid w:val="00565F5B"/>
    <w:rsid w:val="0056615E"/>
    <w:rsid w:val="0056620D"/>
    <w:rsid w:val="0056628F"/>
    <w:rsid w:val="00566315"/>
    <w:rsid w:val="00566356"/>
    <w:rsid w:val="005664FE"/>
    <w:rsid w:val="00566532"/>
    <w:rsid w:val="0056696E"/>
    <w:rsid w:val="005669F4"/>
    <w:rsid w:val="00566B2F"/>
    <w:rsid w:val="00566B88"/>
    <w:rsid w:val="00566C1C"/>
    <w:rsid w:val="00566C8B"/>
    <w:rsid w:val="00566D68"/>
    <w:rsid w:val="00566EB0"/>
    <w:rsid w:val="00566ED5"/>
    <w:rsid w:val="00567024"/>
    <w:rsid w:val="005670C0"/>
    <w:rsid w:val="005673F3"/>
    <w:rsid w:val="005674ED"/>
    <w:rsid w:val="005675E1"/>
    <w:rsid w:val="00567654"/>
    <w:rsid w:val="005676E1"/>
    <w:rsid w:val="005677D7"/>
    <w:rsid w:val="0056786D"/>
    <w:rsid w:val="00567A34"/>
    <w:rsid w:val="00567D0F"/>
    <w:rsid w:val="00567D44"/>
    <w:rsid w:val="00567F08"/>
    <w:rsid w:val="005700E7"/>
    <w:rsid w:val="00570169"/>
    <w:rsid w:val="0057020B"/>
    <w:rsid w:val="0057039F"/>
    <w:rsid w:val="005703F0"/>
    <w:rsid w:val="005703F2"/>
    <w:rsid w:val="0057044C"/>
    <w:rsid w:val="0057047B"/>
    <w:rsid w:val="0057053E"/>
    <w:rsid w:val="0057060D"/>
    <w:rsid w:val="00570827"/>
    <w:rsid w:val="00570834"/>
    <w:rsid w:val="005709E0"/>
    <w:rsid w:val="00570A78"/>
    <w:rsid w:val="005710D9"/>
    <w:rsid w:val="0057110A"/>
    <w:rsid w:val="00571312"/>
    <w:rsid w:val="0057133E"/>
    <w:rsid w:val="005713C2"/>
    <w:rsid w:val="0057154B"/>
    <w:rsid w:val="00571644"/>
    <w:rsid w:val="00571751"/>
    <w:rsid w:val="0057186E"/>
    <w:rsid w:val="005718F7"/>
    <w:rsid w:val="00571B93"/>
    <w:rsid w:val="00571BFA"/>
    <w:rsid w:val="00571DF9"/>
    <w:rsid w:val="00571E4A"/>
    <w:rsid w:val="00571E63"/>
    <w:rsid w:val="00571FFD"/>
    <w:rsid w:val="0057209C"/>
    <w:rsid w:val="0057209F"/>
    <w:rsid w:val="005720C4"/>
    <w:rsid w:val="005721A9"/>
    <w:rsid w:val="005721B8"/>
    <w:rsid w:val="005721E9"/>
    <w:rsid w:val="0057228F"/>
    <w:rsid w:val="005724E5"/>
    <w:rsid w:val="00572688"/>
    <w:rsid w:val="00572695"/>
    <w:rsid w:val="00572768"/>
    <w:rsid w:val="005727CF"/>
    <w:rsid w:val="00572830"/>
    <w:rsid w:val="00572927"/>
    <w:rsid w:val="005729BF"/>
    <w:rsid w:val="005729D9"/>
    <w:rsid w:val="005729E1"/>
    <w:rsid w:val="00572A04"/>
    <w:rsid w:val="00572A2A"/>
    <w:rsid w:val="00572AB9"/>
    <w:rsid w:val="00572E03"/>
    <w:rsid w:val="00572EC1"/>
    <w:rsid w:val="00572F45"/>
    <w:rsid w:val="00573101"/>
    <w:rsid w:val="005731C8"/>
    <w:rsid w:val="005731D3"/>
    <w:rsid w:val="0057321A"/>
    <w:rsid w:val="00573297"/>
    <w:rsid w:val="005734AB"/>
    <w:rsid w:val="005734E4"/>
    <w:rsid w:val="005735E6"/>
    <w:rsid w:val="005736CA"/>
    <w:rsid w:val="005737FE"/>
    <w:rsid w:val="00573A1C"/>
    <w:rsid w:val="00573C4E"/>
    <w:rsid w:val="00573D32"/>
    <w:rsid w:val="00573D95"/>
    <w:rsid w:val="00573E99"/>
    <w:rsid w:val="00573EB1"/>
    <w:rsid w:val="00573F5B"/>
    <w:rsid w:val="00574097"/>
    <w:rsid w:val="00574129"/>
    <w:rsid w:val="005741F6"/>
    <w:rsid w:val="005742F0"/>
    <w:rsid w:val="00574332"/>
    <w:rsid w:val="00574418"/>
    <w:rsid w:val="0057448D"/>
    <w:rsid w:val="0057449E"/>
    <w:rsid w:val="005745DC"/>
    <w:rsid w:val="00574680"/>
    <w:rsid w:val="00574974"/>
    <w:rsid w:val="005749C9"/>
    <w:rsid w:val="005749D3"/>
    <w:rsid w:val="00574A59"/>
    <w:rsid w:val="00574A62"/>
    <w:rsid w:val="00574E4A"/>
    <w:rsid w:val="00574E58"/>
    <w:rsid w:val="00574F0F"/>
    <w:rsid w:val="00574F65"/>
    <w:rsid w:val="00575076"/>
    <w:rsid w:val="0057516A"/>
    <w:rsid w:val="0057520A"/>
    <w:rsid w:val="005752CB"/>
    <w:rsid w:val="005752DB"/>
    <w:rsid w:val="00575316"/>
    <w:rsid w:val="00575340"/>
    <w:rsid w:val="005753B1"/>
    <w:rsid w:val="0057546C"/>
    <w:rsid w:val="00575556"/>
    <w:rsid w:val="0057556A"/>
    <w:rsid w:val="005756FE"/>
    <w:rsid w:val="0057572B"/>
    <w:rsid w:val="005757AC"/>
    <w:rsid w:val="005757D2"/>
    <w:rsid w:val="00575860"/>
    <w:rsid w:val="00575AFD"/>
    <w:rsid w:val="00575B22"/>
    <w:rsid w:val="00575BEC"/>
    <w:rsid w:val="00575D08"/>
    <w:rsid w:val="00575D5C"/>
    <w:rsid w:val="00575DBA"/>
    <w:rsid w:val="00575F16"/>
    <w:rsid w:val="00575F78"/>
    <w:rsid w:val="00575FF7"/>
    <w:rsid w:val="00576012"/>
    <w:rsid w:val="0057610B"/>
    <w:rsid w:val="005762EA"/>
    <w:rsid w:val="0057633C"/>
    <w:rsid w:val="00576346"/>
    <w:rsid w:val="00576369"/>
    <w:rsid w:val="00576466"/>
    <w:rsid w:val="00576646"/>
    <w:rsid w:val="00576734"/>
    <w:rsid w:val="005767F1"/>
    <w:rsid w:val="005768E2"/>
    <w:rsid w:val="00576A42"/>
    <w:rsid w:val="00576AAE"/>
    <w:rsid w:val="00576B23"/>
    <w:rsid w:val="00576BA4"/>
    <w:rsid w:val="00576F20"/>
    <w:rsid w:val="00576F43"/>
    <w:rsid w:val="00576F46"/>
    <w:rsid w:val="00576F76"/>
    <w:rsid w:val="00577026"/>
    <w:rsid w:val="00577089"/>
    <w:rsid w:val="00577090"/>
    <w:rsid w:val="0057726B"/>
    <w:rsid w:val="00577279"/>
    <w:rsid w:val="005772F0"/>
    <w:rsid w:val="00577384"/>
    <w:rsid w:val="00577512"/>
    <w:rsid w:val="00577525"/>
    <w:rsid w:val="005776F7"/>
    <w:rsid w:val="00577714"/>
    <w:rsid w:val="005777E3"/>
    <w:rsid w:val="00577806"/>
    <w:rsid w:val="005779BF"/>
    <w:rsid w:val="00577B23"/>
    <w:rsid w:val="00577C1B"/>
    <w:rsid w:val="00577C90"/>
    <w:rsid w:val="00577CE0"/>
    <w:rsid w:val="00577CF7"/>
    <w:rsid w:val="00577D5B"/>
    <w:rsid w:val="00577EE8"/>
    <w:rsid w:val="00577FCE"/>
    <w:rsid w:val="00577FFE"/>
    <w:rsid w:val="0058008E"/>
    <w:rsid w:val="00580158"/>
    <w:rsid w:val="005801B4"/>
    <w:rsid w:val="005801CC"/>
    <w:rsid w:val="005801D7"/>
    <w:rsid w:val="00580421"/>
    <w:rsid w:val="00580434"/>
    <w:rsid w:val="005805B6"/>
    <w:rsid w:val="005805EF"/>
    <w:rsid w:val="00580750"/>
    <w:rsid w:val="005807CD"/>
    <w:rsid w:val="00580BEF"/>
    <w:rsid w:val="00580D1E"/>
    <w:rsid w:val="00580D8D"/>
    <w:rsid w:val="00580E7C"/>
    <w:rsid w:val="00581069"/>
    <w:rsid w:val="0058110D"/>
    <w:rsid w:val="00581193"/>
    <w:rsid w:val="005812DF"/>
    <w:rsid w:val="0058130E"/>
    <w:rsid w:val="00581338"/>
    <w:rsid w:val="0058146F"/>
    <w:rsid w:val="005816C3"/>
    <w:rsid w:val="005817EF"/>
    <w:rsid w:val="00581884"/>
    <w:rsid w:val="00581935"/>
    <w:rsid w:val="005819CD"/>
    <w:rsid w:val="00581A72"/>
    <w:rsid w:val="00581BF5"/>
    <w:rsid w:val="00581C93"/>
    <w:rsid w:val="00581CC0"/>
    <w:rsid w:val="00581E11"/>
    <w:rsid w:val="00581E1E"/>
    <w:rsid w:val="00581E66"/>
    <w:rsid w:val="00581FB5"/>
    <w:rsid w:val="0058200D"/>
    <w:rsid w:val="00582062"/>
    <w:rsid w:val="0058206E"/>
    <w:rsid w:val="005821C1"/>
    <w:rsid w:val="00582233"/>
    <w:rsid w:val="00582296"/>
    <w:rsid w:val="00582434"/>
    <w:rsid w:val="00582464"/>
    <w:rsid w:val="00582471"/>
    <w:rsid w:val="005824DA"/>
    <w:rsid w:val="005826C8"/>
    <w:rsid w:val="005826FC"/>
    <w:rsid w:val="0058277E"/>
    <w:rsid w:val="00582809"/>
    <w:rsid w:val="0058281D"/>
    <w:rsid w:val="0058285A"/>
    <w:rsid w:val="00582860"/>
    <w:rsid w:val="0058289A"/>
    <w:rsid w:val="005829E8"/>
    <w:rsid w:val="00582A54"/>
    <w:rsid w:val="00582B43"/>
    <w:rsid w:val="00582B70"/>
    <w:rsid w:val="00582B95"/>
    <w:rsid w:val="00582C5D"/>
    <w:rsid w:val="00582CBA"/>
    <w:rsid w:val="00582D6D"/>
    <w:rsid w:val="00582E42"/>
    <w:rsid w:val="00582E88"/>
    <w:rsid w:val="00582FA4"/>
    <w:rsid w:val="00582FF6"/>
    <w:rsid w:val="00583155"/>
    <w:rsid w:val="00583167"/>
    <w:rsid w:val="00583226"/>
    <w:rsid w:val="005833A0"/>
    <w:rsid w:val="005833A3"/>
    <w:rsid w:val="00583691"/>
    <w:rsid w:val="005836D1"/>
    <w:rsid w:val="0058371D"/>
    <w:rsid w:val="005837D3"/>
    <w:rsid w:val="005837DC"/>
    <w:rsid w:val="0058395B"/>
    <w:rsid w:val="00583A6E"/>
    <w:rsid w:val="00583A8F"/>
    <w:rsid w:val="00583AA2"/>
    <w:rsid w:val="00583C6F"/>
    <w:rsid w:val="00583C79"/>
    <w:rsid w:val="00583E31"/>
    <w:rsid w:val="00583F52"/>
    <w:rsid w:val="0058405F"/>
    <w:rsid w:val="00584121"/>
    <w:rsid w:val="00584196"/>
    <w:rsid w:val="0058419F"/>
    <w:rsid w:val="00584233"/>
    <w:rsid w:val="005842EB"/>
    <w:rsid w:val="00584349"/>
    <w:rsid w:val="00584386"/>
    <w:rsid w:val="00584474"/>
    <w:rsid w:val="0058449E"/>
    <w:rsid w:val="005844A1"/>
    <w:rsid w:val="0058479F"/>
    <w:rsid w:val="00584AF2"/>
    <w:rsid w:val="00584C17"/>
    <w:rsid w:val="00584C18"/>
    <w:rsid w:val="00584E03"/>
    <w:rsid w:val="00584E2A"/>
    <w:rsid w:val="00584E36"/>
    <w:rsid w:val="00584F5D"/>
    <w:rsid w:val="00584FDE"/>
    <w:rsid w:val="005852CD"/>
    <w:rsid w:val="005853E5"/>
    <w:rsid w:val="00585410"/>
    <w:rsid w:val="005855E5"/>
    <w:rsid w:val="00585637"/>
    <w:rsid w:val="00585707"/>
    <w:rsid w:val="0058572D"/>
    <w:rsid w:val="00585771"/>
    <w:rsid w:val="00585792"/>
    <w:rsid w:val="00585857"/>
    <w:rsid w:val="005859A5"/>
    <w:rsid w:val="005859BC"/>
    <w:rsid w:val="00585A0F"/>
    <w:rsid w:val="00585A52"/>
    <w:rsid w:val="00585A64"/>
    <w:rsid w:val="00585AF5"/>
    <w:rsid w:val="00585BA7"/>
    <w:rsid w:val="00585C40"/>
    <w:rsid w:val="005861A9"/>
    <w:rsid w:val="0058640E"/>
    <w:rsid w:val="00586567"/>
    <w:rsid w:val="005865AF"/>
    <w:rsid w:val="00586624"/>
    <w:rsid w:val="005866B1"/>
    <w:rsid w:val="0058675A"/>
    <w:rsid w:val="00586801"/>
    <w:rsid w:val="00586841"/>
    <w:rsid w:val="005868B7"/>
    <w:rsid w:val="0058692A"/>
    <w:rsid w:val="005869CD"/>
    <w:rsid w:val="005869E6"/>
    <w:rsid w:val="00586A57"/>
    <w:rsid w:val="00586BD5"/>
    <w:rsid w:val="00586C6E"/>
    <w:rsid w:val="00586DFC"/>
    <w:rsid w:val="00586E52"/>
    <w:rsid w:val="00586E5A"/>
    <w:rsid w:val="00586F01"/>
    <w:rsid w:val="00586F5D"/>
    <w:rsid w:val="00587164"/>
    <w:rsid w:val="0058722F"/>
    <w:rsid w:val="005872AB"/>
    <w:rsid w:val="00587371"/>
    <w:rsid w:val="0058747B"/>
    <w:rsid w:val="005874DF"/>
    <w:rsid w:val="00587951"/>
    <w:rsid w:val="00587C63"/>
    <w:rsid w:val="00587D8A"/>
    <w:rsid w:val="00587E83"/>
    <w:rsid w:val="00587F77"/>
    <w:rsid w:val="005900DE"/>
    <w:rsid w:val="00590138"/>
    <w:rsid w:val="00590184"/>
    <w:rsid w:val="005901E3"/>
    <w:rsid w:val="005902A6"/>
    <w:rsid w:val="0059041B"/>
    <w:rsid w:val="0059058B"/>
    <w:rsid w:val="00590676"/>
    <w:rsid w:val="0059078E"/>
    <w:rsid w:val="005907A7"/>
    <w:rsid w:val="005907CE"/>
    <w:rsid w:val="00590838"/>
    <w:rsid w:val="0059093F"/>
    <w:rsid w:val="005909DA"/>
    <w:rsid w:val="00590AD6"/>
    <w:rsid w:val="00590AEA"/>
    <w:rsid w:val="00590E3D"/>
    <w:rsid w:val="0059127A"/>
    <w:rsid w:val="005912FF"/>
    <w:rsid w:val="005914E8"/>
    <w:rsid w:val="00591547"/>
    <w:rsid w:val="00591612"/>
    <w:rsid w:val="0059169A"/>
    <w:rsid w:val="00591821"/>
    <w:rsid w:val="0059184F"/>
    <w:rsid w:val="00591879"/>
    <w:rsid w:val="0059189F"/>
    <w:rsid w:val="005918A2"/>
    <w:rsid w:val="005918B9"/>
    <w:rsid w:val="00591A31"/>
    <w:rsid w:val="00591AA6"/>
    <w:rsid w:val="00591B0C"/>
    <w:rsid w:val="00591BAE"/>
    <w:rsid w:val="00591BF6"/>
    <w:rsid w:val="00591D7F"/>
    <w:rsid w:val="00591E83"/>
    <w:rsid w:val="0059204E"/>
    <w:rsid w:val="0059222D"/>
    <w:rsid w:val="00592254"/>
    <w:rsid w:val="0059236F"/>
    <w:rsid w:val="00592395"/>
    <w:rsid w:val="0059252C"/>
    <w:rsid w:val="0059255B"/>
    <w:rsid w:val="0059264D"/>
    <w:rsid w:val="0059269C"/>
    <w:rsid w:val="005926FA"/>
    <w:rsid w:val="0059273D"/>
    <w:rsid w:val="00592933"/>
    <w:rsid w:val="00592B4B"/>
    <w:rsid w:val="00592B99"/>
    <w:rsid w:val="00592E74"/>
    <w:rsid w:val="00592F35"/>
    <w:rsid w:val="00592F5B"/>
    <w:rsid w:val="0059304D"/>
    <w:rsid w:val="00593149"/>
    <w:rsid w:val="0059315F"/>
    <w:rsid w:val="005933AE"/>
    <w:rsid w:val="005933BF"/>
    <w:rsid w:val="0059348F"/>
    <w:rsid w:val="00593491"/>
    <w:rsid w:val="00593508"/>
    <w:rsid w:val="005935A7"/>
    <w:rsid w:val="00593688"/>
    <w:rsid w:val="0059371D"/>
    <w:rsid w:val="00593800"/>
    <w:rsid w:val="00593870"/>
    <w:rsid w:val="005939AC"/>
    <w:rsid w:val="00593B01"/>
    <w:rsid w:val="00593BD2"/>
    <w:rsid w:val="00593BDB"/>
    <w:rsid w:val="00593C57"/>
    <w:rsid w:val="00593D0E"/>
    <w:rsid w:val="00593EAA"/>
    <w:rsid w:val="00593F3C"/>
    <w:rsid w:val="0059412D"/>
    <w:rsid w:val="0059424E"/>
    <w:rsid w:val="00594361"/>
    <w:rsid w:val="00594362"/>
    <w:rsid w:val="005945F4"/>
    <w:rsid w:val="005945FD"/>
    <w:rsid w:val="00594697"/>
    <w:rsid w:val="005947F5"/>
    <w:rsid w:val="0059498D"/>
    <w:rsid w:val="00594A65"/>
    <w:rsid w:val="00594AB7"/>
    <w:rsid w:val="00594AE6"/>
    <w:rsid w:val="00594E99"/>
    <w:rsid w:val="00594FDF"/>
    <w:rsid w:val="005950E7"/>
    <w:rsid w:val="00595168"/>
    <w:rsid w:val="00595180"/>
    <w:rsid w:val="00595198"/>
    <w:rsid w:val="005951F5"/>
    <w:rsid w:val="00595519"/>
    <w:rsid w:val="005955A2"/>
    <w:rsid w:val="005955CC"/>
    <w:rsid w:val="005955FA"/>
    <w:rsid w:val="005956BD"/>
    <w:rsid w:val="0059572E"/>
    <w:rsid w:val="00596183"/>
    <w:rsid w:val="005961BC"/>
    <w:rsid w:val="00596282"/>
    <w:rsid w:val="005962BE"/>
    <w:rsid w:val="0059636D"/>
    <w:rsid w:val="0059637E"/>
    <w:rsid w:val="0059646D"/>
    <w:rsid w:val="0059654D"/>
    <w:rsid w:val="0059666A"/>
    <w:rsid w:val="00596B9D"/>
    <w:rsid w:val="00596B9E"/>
    <w:rsid w:val="00596BC4"/>
    <w:rsid w:val="00596C81"/>
    <w:rsid w:val="00596D7C"/>
    <w:rsid w:val="00596D7F"/>
    <w:rsid w:val="00596EA3"/>
    <w:rsid w:val="00596EAC"/>
    <w:rsid w:val="00596EC0"/>
    <w:rsid w:val="00596F73"/>
    <w:rsid w:val="005970FB"/>
    <w:rsid w:val="0059729F"/>
    <w:rsid w:val="00597401"/>
    <w:rsid w:val="00597476"/>
    <w:rsid w:val="00597484"/>
    <w:rsid w:val="005974C5"/>
    <w:rsid w:val="00597589"/>
    <w:rsid w:val="00597598"/>
    <w:rsid w:val="005975A7"/>
    <w:rsid w:val="00597636"/>
    <w:rsid w:val="005976B3"/>
    <w:rsid w:val="0059771D"/>
    <w:rsid w:val="00597725"/>
    <w:rsid w:val="00597753"/>
    <w:rsid w:val="0059778D"/>
    <w:rsid w:val="00597790"/>
    <w:rsid w:val="005977AD"/>
    <w:rsid w:val="005977C8"/>
    <w:rsid w:val="00597840"/>
    <w:rsid w:val="0059788C"/>
    <w:rsid w:val="005978E8"/>
    <w:rsid w:val="00597975"/>
    <w:rsid w:val="00597AB8"/>
    <w:rsid w:val="00597ADD"/>
    <w:rsid w:val="00597D3B"/>
    <w:rsid w:val="00597D6A"/>
    <w:rsid w:val="00597DFC"/>
    <w:rsid w:val="00597EB0"/>
    <w:rsid w:val="00597ED7"/>
    <w:rsid w:val="005A0128"/>
    <w:rsid w:val="005A0140"/>
    <w:rsid w:val="005A01A9"/>
    <w:rsid w:val="005A01D2"/>
    <w:rsid w:val="005A01F4"/>
    <w:rsid w:val="005A0351"/>
    <w:rsid w:val="005A04A2"/>
    <w:rsid w:val="005A04B1"/>
    <w:rsid w:val="005A061B"/>
    <w:rsid w:val="005A091A"/>
    <w:rsid w:val="005A0975"/>
    <w:rsid w:val="005A09BD"/>
    <w:rsid w:val="005A09C4"/>
    <w:rsid w:val="005A0B6A"/>
    <w:rsid w:val="005A0BDF"/>
    <w:rsid w:val="005A0D1D"/>
    <w:rsid w:val="005A0EE1"/>
    <w:rsid w:val="005A0FE5"/>
    <w:rsid w:val="005A0FE9"/>
    <w:rsid w:val="005A12DC"/>
    <w:rsid w:val="005A1314"/>
    <w:rsid w:val="005A1463"/>
    <w:rsid w:val="005A161B"/>
    <w:rsid w:val="005A16DA"/>
    <w:rsid w:val="005A1764"/>
    <w:rsid w:val="005A182C"/>
    <w:rsid w:val="005A18B6"/>
    <w:rsid w:val="005A1939"/>
    <w:rsid w:val="005A19FF"/>
    <w:rsid w:val="005A1A59"/>
    <w:rsid w:val="005A1A5C"/>
    <w:rsid w:val="005A1AC5"/>
    <w:rsid w:val="005A1B9A"/>
    <w:rsid w:val="005A1BCF"/>
    <w:rsid w:val="005A1BE9"/>
    <w:rsid w:val="005A1F04"/>
    <w:rsid w:val="005A1FA4"/>
    <w:rsid w:val="005A229F"/>
    <w:rsid w:val="005A2370"/>
    <w:rsid w:val="005A24F7"/>
    <w:rsid w:val="005A256E"/>
    <w:rsid w:val="005A2752"/>
    <w:rsid w:val="005A2862"/>
    <w:rsid w:val="005A29F1"/>
    <w:rsid w:val="005A29FA"/>
    <w:rsid w:val="005A2A9D"/>
    <w:rsid w:val="005A2C5B"/>
    <w:rsid w:val="005A2C5C"/>
    <w:rsid w:val="005A2C82"/>
    <w:rsid w:val="005A2D9B"/>
    <w:rsid w:val="005A2E3A"/>
    <w:rsid w:val="005A2E42"/>
    <w:rsid w:val="005A2EE3"/>
    <w:rsid w:val="005A3074"/>
    <w:rsid w:val="005A3088"/>
    <w:rsid w:val="005A3132"/>
    <w:rsid w:val="005A31DF"/>
    <w:rsid w:val="005A32AD"/>
    <w:rsid w:val="005A36E9"/>
    <w:rsid w:val="005A3865"/>
    <w:rsid w:val="005A3893"/>
    <w:rsid w:val="005A38B1"/>
    <w:rsid w:val="005A39A2"/>
    <w:rsid w:val="005A3A43"/>
    <w:rsid w:val="005A3C6C"/>
    <w:rsid w:val="005A3EE9"/>
    <w:rsid w:val="005A4017"/>
    <w:rsid w:val="005A402B"/>
    <w:rsid w:val="005A4092"/>
    <w:rsid w:val="005A40F9"/>
    <w:rsid w:val="005A41EE"/>
    <w:rsid w:val="005A4236"/>
    <w:rsid w:val="005A42B7"/>
    <w:rsid w:val="005A438E"/>
    <w:rsid w:val="005A45A8"/>
    <w:rsid w:val="005A45FE"/>
    <w:rsid w:val="005A4757"/>
    <w:rsid w:val="005A49A8"/>
    <w:rsid w:val="005A49EE"/>
    <w:rsid w:val="005A4A99"/>
    <w:rsid w:val="005A4BF5"/>
    <w:rsid w:val="005A4D2F"/>
    <w:rsid w:val="005A4D38"/>
    <w:rsid w:val="005A4E5F"/>
    <w:rsid w:val="005A4ED9"/>
    <w:rsid w:val="005A4FB3"/>
    <w:rsid w:val="005A501D"/>
    <w:rsid w:val="005A506D"/>
    <w:rsid w:val="005A50B7"/>
    <w:rsid w:val="005A52E9"/>
    <w:rsid w:val="005A5301"/>
    <w:rsid w:val="005A5356"/>
    <w:rsid w:val="005A5466"/>
    <w:rsid w:val="005A547D"/>
    <w:rsid w:val="005A557A"/>
    <w:rsid w:val="005A5697"/>
    <w:rsid w:val="005A56DC"/>
    <w:rsid w:val="005A590B"/>
    <w:rsid w:val="005A5AC7"/>
    <w:rsid w:val="005A5ACC"/>
    <w:rsid w:val="005A5B15"/>
    <w:rsid w:val="005A5BD9"/>
    <w:rsid w:val="005A5BE1"/>
    <w:rsid w:val="005A5C1C"/>
    <w:rsid w:val="005A5DC3"/>
    <w:rsid w:val="005A5ED3"/>
    <w:rsid w:val="005A5F86"/>
    <w:rsid w:val="005A6002"/>
    <w:rsid w:val="005A6003"/>
    <w:rsid w:val="005A604E"/>
    <w:rsid w:val="005A605C"/>
    <w:rsid w:val="005A62D2"/>
    <w:rsid w:val="005A64AB"/>
    <w:rsid w:val="005A64BC"/>
    <w:rsid w:val="005A6537"/>
    <w:rsid w:val="005A65DC"/>
    <w:rsid w:val="005A6713"/>
    <w:rsid w:val="005A67B1"/>
    <w:rsid w:val="005A6906"/>
    <w:rsid w:val="005A6CE7"/>
    <w:rsid w:val="005A6E4C"/>
    <w:rsid w:val="005A6F70"/>
    <w:rsid w:val="005A701C"/>
    <w:rsid w:val="005A715A"/>
    <w:rsid w:val="005A7199"/>
    <w:rsid w:val="005A7351"/>
    <w:rsid w:val="005A744E"/>
    <w:rsid w:val="005A75DD"/>
    <w:rsid w:val="005A7712"/>
    <w:rsid w:val="005A789B"/>
    <w:rsid w:val="005A7996"/>
    <w:rsid w:val="005A7A8F"/>
    <w:rsid w:val="005A7AF2"/>
    <w:rsid w:val="005A7D0C"/>
    <w:rsid w:val="005A7E46"/>
    <w:rsid w:val="005A7F84"/>
    <w:rsid w:val="005A7FC2"/>
    <w:rsid w:val="005A7FCA"/>
    <w:rsid w:val="005B0090"/>
    <w:rsid w:val="005B0216"/>
    <w:rsid w:val="005B028C"/>
    <w:rsid w:val="005B052C"/>
    <w:rsid w:val="005B06A9"/>
    <w:rsid w:val="005B080C"/>
    <w:rsid w:val="005B0821"/>
    <w:rsid w:val="005B086B"/>
    <w:rsid w:val="005B087A"/>
    <w:rsid w:val="005B08A0"/>
    <w:rsid w:val="005B08F0"/>
    <w:rsid w:val="005B0B7A"/>
    <w:rsid w:val="005B0BE0"/>
    <w:rsid w:val="005B0D8A"/>
    <w:rsid w:val="005B0DDE"/>
    <w:rsid w:val="005B0E5E"/>
    <w:rsid w:val="005B0EF4"/>
    <w:rsid w:val="005B0F9D"/>
    <w:rsid w:val="005B1289"/>
    <w:rsid w:val="005B145C"/>
    <w:rsid w:val="005B164C"/>
    <w:rsid w:val="005B170C"/>
    <w:rsid w:val="005B177E"/>
    <w:rsid w:val="005B1A57"/>
    <w:rsid w:val="005B1C47"/>
    <w:rsid w:val="005B1C48"/>
    <w:rsid w:val="005B1CAD"/>
    <w:rsid w:val="005B1CD4"/>
    <w:rsid w:val="005B1D0A"/>
    <w:rsid w:val="005B1D44"/>
    <w:rsid w:val="005B1E3A"/>
    <w:rsid w:val="005B1E87"/>
    <w:rsid w:val="005B1EB0"/>
    <w:rsid w:val="005B1FB3"/>
    <w:rsid w:val="005B1FBB"/>
    <w:rsid w:val="005B1FE1"/>
    <w:rsid w:val="005B209B"/>
    <w:rsid w:val="005B20AF"/>
    <w:rsid w:val="005B214B"/>
    <w:rsid w:val="005B2230"/>
    <w:rsid w:val="005B23AA"/>
    <w:rsid w:val="005B267B"/>
    <w:rsid w:val="005B26BD"/>
    <w:rsid w:val="005B26EB"/>
    <w:rsid w:val="005B271F"/>
    <w:rsid w:val="005B2926"/>
    <w:rsid w:val="005B295F"/>
    <w:rsid w:val="005B297D"/>
    <w:rsid w:val="005B2A72"/>
    <w:rsid w:val="005B2B6C"/>
    <w:rsid w:val="005B2C73"/>
    <w:rsid w:val="005B2D2A"/>
    <w:rsid w:val="005B2D5A"/>
    <w:rsid w:val="005B2E15"/>
    <w:rsid w:val="005B2E79"/>
    <w:rsid w:val="005B2EA2"/>
    <w:rsid w:val="005B2F43"/>
    <w:rsid w:val="005B30B3"/>
    <w:rsid w:val="005B3106"/>
    <w:rsid w:val="005B31D6"/>
    <w:rsid w:val="005B3247"/>
    <w:rsid w:val="005B3254"/>
    <w:rsid w:val="005B34E7"/>
    <w:rsid w:val="005B371F"/>
    <w:rsid w:val="005B385C"/>
    <w:rsid w:val="005B38AC"/>
    <w:rsid w:val="005B3A2C"/>
    <w:rsid w:val="005B3A6D"/>
    <w:rsid w:val="005B3B4F"/>
    <w:rsid w:val="005B3BD8"/>
    <w:rsid w:val="005B3BFE"/>
    <w:rsid w:val="005B3C2D"/>
    <w:rsid w:val="005B3CB7"/>
    <w:rsid w:val="005B3E7C"/>
    <w:rsid w:val="005B3F76"/>
    <w:rsid w:val="005B3FDF"/>
    <w:rsid w:val="005B4111"/>
    <w:rsid w:val="005B415E"/>
    <w:rsid w:val="005B42DB"/>
    <w:rsid w:val="005B4489"/>
    <w:rsid w:val="005B4563"/>
    <w:rsid w:val="005B4594"/>
    <w:rsid w:val="005B4677"/>
    <w:rsid w:val="005B46A0"/>
    <w:rsid w:val="005B477E"/>
    <w:rsid w:val="005B4808"/>
    <w:rsid w:val="005B4A86"/>
    <w:rsid w:val="005B4B9A"/>
    <w:rsid w:val="005B4C76"/>
    <w:rsid w:val="005B4D03"/>
    <w:rsid w:val="005B4DCD"/>
    <w:rsid w:val="005B4DF4"/>
    <w:rsid w:val="005B4E2D"/>
    <w:rsid w:val="005B4F33"/>
    <w:rsid w:val="005B4F93"/>
    <w:rsid w:val="005B4FBB"/>
    <w:rsid w:val="005B4FDA"/>
    <w:rsid w:val="005B50C8"/>
    <w:rsid w:val="005B519B"/>
    <w:rsid w:val="005B51A3"/>
    <w:rsid w:val="005B529A"/>
    <w:rsid w:val="005B529C"/>
    <w:rsid w:val="005B52D6"/>
    <w:rsid w:val="005B536C"/>
    <w:rsid w:val="005B5425"/>
    <w:rsid w:val="005B5439"/>
    <w:rsid w:val="005B5471"/>
    <w:rsid w:val="005B5612"/>
    <w:rsid w:val="005B57D8"/>
    <w:rsid w:val="005B581D"/>
    <w:rsid w:val="005B584E"/>
    <w:rsid w:val="005B5864"/>
    <w:rsid w:val="005B58AC"/>
    <w:rsid w:val="005B5AB5"/>
    <w:rsid w:val="005B5BFA"/>
    <w:rsid w:val="005B5CC7"/>
    <w:rsid w:val="005B5D19"/>
    <w:rsid w:val="005B5D27"/>
    <w:rsid w:val="005B5E36"/>
    <w:rsid w:val="005B61C1"/>
    <w:rsid w:val="005B624D"/>
    <w:rsid w:val="005B6261"/>
    <w:rsid w:val="005B6327"/>
    <w:rsid w:val="005B6417"/>
    <w:rsid w:val="005B6498"/>
    <w:rsid w:val="005B64D4"/>
    <w:rsid w:val="005B667C"/>
    <w:rsid w:val="005B66AD"/>
    <w:rsid w:val="005B6918"/>
    <w:rsid w:val="005B6926"/>
    <w:rsid w:val="005B6978"/>
    <w:rsid w:val="005B6A0C"/>
    <w:rsid w:val="005B6B38"/>
    <w:rsid w:val="005B6C15"/>
    <w:rsid w:val="005B6D8B"/>
    <w:rsid w:val="005B6E1B"/>
    <w:rsid w:val="005B6EA3"/>
    <w:rsid w:val="005B6FF7"/>
    <w:rsid w:val="005B71B8"/>
    <w:rsid w:val="005B71DC"/>
    <w:rsid w:val="005B728D"/>
    <w:rsid w:val="005B72C1"/>
    <w:rsid w:val="005B730B"/>
    <w:rsid w:val="005B7336"/>
    <w:rsid w:val="005B7448"/>
    <w:rsid w:val="005B7650"/>
    <w:rsid w:val="005B774D"/>
    <w:rsid w:val="005B7BA3"/>
    <w:rsid w:val="005B7D22"/>
    <w:rsid w:val="005B7D4C"/>
    <w:rsid w:val="005B7DD7"/>
    <w:rsid w:val="005B7EE0"/>
    <w:rsid w:val="005B7FE7"/>
    <w:rsid w:val="005C0050"/>
    <w:rsid w:val="005C01A8"/>
    <w:rsid w:val="005C027D"/>
    <w:rsid w:val="005C02FE"/>
    <w:rsid w:val="005C06BC"/>
    <w:rsid w:val="005C078B"/>
    <w:rsid w:val="005C07FF"/>
    <w:rsid w:val="005C0818"/>
    <w:rsid w:val="005C0877"/>
    <w:rsid w:val="005C092B"/>
    <w:rsid w:val="005C09B0"/>
    <w:rsid w:val="005C0BA3"/>
    <w:rsid w:val="005C0BB2"/>
    <w:rsid w:val="005C0D4D"/>
    <w:rsid w:val="005C0D66"/>
    <w:rsid w:val="005C0E37"/>
    <w:rsid w:val="005C0EBC"/>
    <w:rsid w:val="005C11CA"/>
    <w:rsid w:val="005C1297"/>
    <w:rsid w:val="005C1473"/>
    <w:rsid w:val="005C1552"/>
    <w:rsid w:val="005C155B"/>
    <w:rsid w:val="005C1586"/>
    <w:rsid w:val="005C1765"/>
    <w:rsid w:val="005C1982"/>
    <w:rsid w:val="005C1C40"/>
    <w:rsid w:val="005C1DDE"/>
    <w:rsid w:val="005C1DE6"/>
    <w:rsid w:val="005C2092"/>
    <w:rsid w:val="005C2125"/>
    <w:rsid w:val="005C235D"/>
    <w:rsid w:val="005C24BF"/>
    <w:rsid w:val="005C2873"/>
    <w:rsid w:val="005C289B"/>
    <w:rsid w:val="005C2A36"/>
    <w:rsid w:val="005C2B1F"/>
    <w:rsid w:val="005C2B7C"/>
    <w:rsid w:val="005C2BBC"/>
    <w:rsid w:val="005C2D50"/>
    <w:rsid w:val="005C2D79"/>
    <w:rsid w:val="005C2E20"/>
    <w:rsid w:val="005C2E73"/>
    <w:rsid w:val="005C2E7F"/>
    <w:rsid w:val="005C2FEE"/>
    <w:rsid w:val="005C316D"/>
    <w:rsid w:val="005C31DD"/>
    <w:rsid w:val="005C3230"/>
    <w:rsid w:val="005C32E0"/>
    <w:rsid w:val="005C3309"/>
    <w:rsid w:val="005C3470"/>
    <w:rsid w:val="005C34D4"/>
    <w:rsid w:val="005C3567"/>
    <w:rsid w:val="005C3761"/>
    <w:rsid w:val="005C38A7"/>
    <w:rsid w:val="005C3BBF"/>
    <w:rsid w:val="005C3C50"/>
    <w:rsid w:val="005C3C8C"/>
    <w:rsid w:val="005C3C93"/>
    <w:rsid w:val="005C3DD2"/>
    <w:rsid w:val="005C3DFF"/>
    <w:rsid w:val="005C3F7A"/>
    <w:rsid w:val="005C4388"/>
    <w:rsid w:val="005C439D"/>
    <w:rsid w:val="005C445A"/>
    <w:rsid w:val="005C446D"/>
    <w:rsid w:val="005C4494"/>
    <w:rsid w:val="005C4509"/>
    <w:rsid w:val="005C45ED"/>
    <w:rsid w:val="005C4613"/>
    <w:rsid w:val="005C4878"/>
    <w:rsid w:val="005C48C8"/>
    <w:rsid w:val="005C493D"/>
    <w:rsid w:val="005C4985"/>
    <w:rsid w:val="005C4A9B"/>
    <w:rsid w:val="005C4AA5"/>
    <w:rsid w:val="005C4B36"/>
    <w:rsid w:val="005C4C66"/>
    <w:rsid w:val="005C4CF8"/>
    <w:rsid w:val="005C5003"/>
    <w:rsid w:val="005C5067"/>
    <w:rsid w:val="005C5138"/>
    <w:rsid w:val="005C5196"/>
    <w:rsid w:val="005C5258"/>
    <w:rsid w:val="005C52B8"/>
    <w:rsid w:val="005C53D0"/>
    <w:rsid w:val="005C53DF"/>
    <w:rsid w:val="005C5476"/>
    <w:rsid w:val="005C54E7"/>
    <w:rsid w:val="005C5596"/>
    <w:rsid w:val="005C57E5"/>
    <w:rsid w:val="005C57EC"/>
    <w:rsid w:val="005C58C7"/>
    <w:rsid w:val="005C5956"/>
    <w:rsid w:val="005C59BF"/>
    <w:rsid w:val="005C5A41"/>
    <w:rsid w:val="005C5A4C"/>
    <w:rsid w:val="005C5AF3"/>
    <w:rsid w:val="005C5B01"/>
    <w:rsid w:val="005C5B26"/>
    <w:rsid w:val="005C5C17"/>
    <w:rsid w:val="005C5CD4"/>
    <w:rsid w:val="005C5FD2"/>
    <w:rsid w:val="005C6096"/>
    <w:rsid w:val="005C61D9"/>
    <w:rsid w:val="005C64DE"/>
    <w:rsid w:val="005C6569"/>
    <w:rsid w:val="005C679E"/>
    <w:rsid w:val="005C6859"/>
    <w:rsid w:val="005C68C4"/>
    <w:rsid w:val="005C6A4F"/>
    <w:rsid w:val="005C6B02"/>
    <w:rsid w:val="005C6B33"/>
    <w:rsid w:val="005C6C00"/>
    <w:rsid w:val="005C6C70"/>
    <w:rsid w:val="005C6CED"/>
    <w:rsid w:val="005C6D0F"/>
    <w:rsid w:val="005C710D"/>
    <w:rsid w:val="005C7177"/>
    <w:rsid w:val="005C7207"/>
    <w:rsid w:val="005C737C"/>
    <w:rsid w:val="005C744C"/>
    <w:rsid w:val="005C74E3"/>
    <w:rsid w:val="005C7500"/>
    <w:rsid w:val="005C76BB"/>
    <w:rsid w:val="005C76F9"/>
    <w:rsid w:val="005C7897"/>
    <w:rsid w:val="005C7908"/>
    <w:rsid w:val="005C797E"/>
    <w:rsid w:val="005C7A03"/>
    <w:rsid w:val="005C7BBB"/>
    <w:rsid w:val="005C7DDE"/>
    <w:rsid w:val="005C7F35"/>
    <w:rsid w:val="005D0002"/>
    <w:rsid w:val="005D0076"/>
    <w:rsid w:val="005D012E"/>
    <w:rsid w:val="005D0194"/>
    <w:rsid w:val="005D028C"/>
    <w:rsid w:val="005D02E1"/>
    <w:rsid w:val="005D0325"/>
    <w:rsid w:val="005D034D"/>
    <w:rsid w:val="005D038D"/>
    <w:rsid w:val="005D03A4"/>
    <w:rsid w:val="005D042F"/>
    <w:rsid w:val="005D057C"/>
    <w:rsid w:val="005D05CB"/>
    <w:rsid w:val="005D080B"/>
    <w:rsid w:val="005D0A00"/>
    <w:rsid w:val="005D0AC0"/>
    <w:rsid w:val="005D0B9F"/>
    <w:rsid w:val="005D0C85"/>
    <w:rsid w:val="005D0D37"/>
    <w:rsid w:val="005D0DAB"/>
    <w:rsid w:val="005D0E6D"/>
    <w:rsid w:val="005D0EDF"/>
    <w:rsid w:val="005D0F7B"/>
    <w:rsid w:val="005D1033"/>
    <w:rsid w:val="005D1148"/>
    <w:rsid w:val="005D1149"/>
    <w:rsid w:val="005D1201"/>
    <w:rsid w:val="005D1584"/>
    <w:rsid w:val="005D15D6"/>
    <w:rsid w:val="005D1625"/>
    <w:rsid w:val="005D164E"/>
    <w:rsid w:val="005D16AC"/>
    <w:rsid w:val="005D1779"/>
    <w:rsid w:val="005D178D"/>
    <w:rsid w:val="005D17A4"/>
    <w:rsid w:val="005D1846"/>
    <w:rsid w:val="005D18D8"/>
    <w:rsid w:val="005D1946"/>
    <w:rsid w:val="005D1BC0"/>
    <w:rsid w:val="005D1CD2"/>
    <w:rsid w:val="005D1D4A"/>
    <w:rsid w:val="005D1D89"/>
    <w:rsid w:val="005D1ED5"/>
    <w:rsid w:val="005D1EE3"/>
    <w:rsid w:val="005D1FAC"/>
    <w:rsid w:val="005D231F"/>
    <w:rsid w:val="005D2437"/>
    <w:rsid w:val="005D24BC"/>
    <w:rsid w:val="005D26A3"/>
    <w:rsid w:val="005D28CA"/>
    <w:rsid w:val="005D2A8F"/>
    <w:rsid w:val="005D2AF6"/>
    <w:rsid w:val="005D2C05"/>
    <w:rsid w:val="005D2C7E"/>
    <w:rsid w:val="005D2D6B"/>
    <w:rsid w:val="005D2E7A"/>
    <w:rsid w:val="005D3096"/>
    <w:rsid w:val="005D30AC"/>
    <w:rsid w:val="005D30CD"/>
    <w:rsid w:val="005D314B"/>
    <w:rsid w:val="005D315C"/>
    <w:rsid w:val="005D3316"/>
    <w:rsid w:val="005D341A"/>
    <w:rsid w:val="005D3605"/>
    <w:rsid w:val="005D36A0"/>
    <w:rsid w:val="005D3772"/>
    <w:rsid w:val="005D3796"/>
    <w:rsid w:val="005D37C1"/>
    <w:rsid w:val="005D38E9"/>
    <w:rsid w:val="005D39F9"/>
    <w:rsid w:val="005D3B33"/>
    <w:rsid w:val="005D3D11"/>
    <w:rsid w:val="005D3E0A"/>
    <w:rsid w:val="005D3EFB"/>
    <w:rsid w:val="005D3FC4"/>
    <w:rsid w:val="005D3FD3"/>
    <w:rsid w:val="005D4293"/>
    <w:rsid w:val="005D4322"/>
    <w:rsid w:val="005D432D"/>
    <w:rsid w:val="005D43E3"/>
    <w:rsid w:val="005D4487"/>
    <w:rsid w:val="005D46CE"/>
    <w:rsid w:val="005D475C"/>
    <w:rsid w:val="005D4807"/>
    <w:rsid w:val="005D484A"/>
    <w:rsid w:val="005D48B1"/>
    <w:rsid w:val="005D4A67"/>
    <w:rsid w:val="005D4AE5"/>
    <w:rsid w:val="005D4D3F"/>
    <w:rsid w:val="005D4D79"/>
    <w:rsid w:val="005D4F21"/>
    <w:rsid w:val="005D4FFF"/>
    <w:rsid w:val="005D5026"/>
    <w:rsid w:val="005D5067"/>
    <w:rsid w:val="005D5285"/>
    <w:rsid w:val="005D5509"/>
    <w:rsid w:val="005D5579"/>
    <w:rsid w:val="005D55CB"/>
    <w:rsid w:val="005D56BA"/>
    <w:rsid w:val="005D56F0"/>
    <w:rsid w:val="005D57BE"/>
    <w:rsid w:val="005D57EB"/>
    <w:rsid w:val="005D58D2"/>
    <w:rsid w:val="005D5954"/>
    <w:rsid w:val="005D5B6F"/>
    <w:rsid w:val="005D5BBF"/>
    <w:rsid w:val="005D5C6F"/>
    <w:rsid w:val="005D5CEF"/>
    <w:rsid w:val="005D5DE1"/>
    <w:rsid w:val="005D5E49"/>
    <w:rsid w:val="005D5E6E"/>
    <w:rsid w:val="005D60A3"/>
    <w:rsid w:val="005D60E7"/>
    <w:rsid w:val="005D6116"/>
    <w:rsid w:val="005D615F"/>
    <w:rsid w:val="005D61A1"/>
    <w:rsid w:val="005D621F"/>
    <w:rsid w:val="005D62D4"/>
    <w:rsid w:val="005D636C"/>
    <w:rsid w:val="005D6383"/>
    <w:rsid w:val="005D638D"/>
    <w:rsid w:val="005D6457"/>
    <w:rsid w:val="005D6481"/>
    <w:rsid w:val="005D6520"/>
    <w:rsid w:val="005D66AF"/>
    <w:rsid w:val="005D66C3"/>
    <w:rsid w:val="005D677A"/>
    <w:rsid w:val="005D679B"/>
    <w:rsid w:val="005D67F1"/>
    <w:rsid w:val="005D68EA"/>
    <w:rsid w:val="005D690D"/>
    <w:rsid w:val="005D698C"/>
    <w:rsid w:val="005D6996"/>
    <w:rsid w:val="005D69AA"/>
    <w:rsid w:val="005D6B66"/>
    <w:rsid w:val="005D6BC4"/>
    <w:rsid w:val="005D6CF2"/>
    <w:rsid w:val="005D6D08"/>
    <w:rsid w:val="005D6E71"/>
    <w:rsid w:val="005D6F91"/>
    <w:rsid w:val="005D6FA6"/>
    <w:rsid w:val="005D7042"/>
    <w:rsid w:val="005D71B3"/>
    <w:rsid w:val="005D7282"/>
    <w:rsid w:val="005D73AE"/>
    <w:rsid w:val="005D74D5"/>
    <w:rsid w:val="005D7545"/>
    <w:rsid w:val="005D755B"/>
    <w:rsid w:val="005D75C1"/>
    <w:rsid w:val="005D775B"/>
    <w:rsid w:val="005D7785"/>
    <w:rsid w:val="005D785F"/>
    <w:rsid w:val="005D78B4"/>
    <w:rsid w:val="005D78D9"/>
    <w:rsid w:val="005D796A"/>
    <w:rsid w:val="005D798A"/>
    <w:rsid w:val="005D7A45"/>
    <w:rsid w:val="005D7D4A"/>
    <w:rsid w:val="005D7D98"/>
    <w:rsid w:val="005D7EB9"/>
    <w:rsid w:val="005D7F3F"/>
    <w:rsid w:val="005E00E9"/>
    <w:rsid w:val="005E018C"/>
    <w:rsid w:val="005E01CD"/>
    <w:rsid w:val="005E0299"/>
    <w:rsid w:val="005E02A3"/>
    <w:rsid w:val="005E0431"/>
    <w:rsid w:val="005E04FE"/>
    <w:rsid w:val="005E0591"/>
    <w:rsid w:val="005E06D2"/>
    <w:rsid w:val="005E07F4"/>
    <w:rsid w:val="005E098E"/>
    <w:rsid w:val="005E0994"/>
    <w:rsid w:val="005E09CB"/>
    <w:rsid w:val="005E0A80"/>
    <w:rsid w:val="005E0AB0"/>
    <w:rsid w:val="005E0AF2"/>
    <w:rsid w:val="005E0B1E"/>
    <w:rsid w:val="005E0CDB"/>
    <w:rsid w:val="005E0D95"/>
    <w:rsid w:val="005E0E08"/>
    <w:rsid w:val="005E0E55"/>
    <w:rsid w:val="005E0EC2"/>
    <w:rsid w:val="005E1081"/>
    <w:rsid w:val="005E122E"/>
    <w:rsid w:val="005E1236"/>
    <w:rsid w:val="005E1253"/>
    <w:rsid w:val="005E129D"/>
    <w:rsid w:val="005E1331"/>
    <w:rsid w:val="005E1347"/>
    <w:rsid w:val="005E134B"/>
    <w:rsid w:val="005E13B2"/>
    <w:rsid w:val="005E140F"/>
    <w:rsid w:val="005E145A"/>
    <w:rsid w:val="005E158A"/>
    <w:rsid w:val="005E164E"/>
    <w:rsid w:val="005E16F6"/>
    <w:rsid w:val="005E1742"/>
    <w:rsid w:val="005E179C"/>
    <w:rsid w:val="005E17C1"/>
    <w:rsid w:val="005E18B0"/>
    <w:rsid w:val="005E1926"/>
    <w:rsid w:val="005E1970"/>
    <w:rsid w:val="005E1B23"/>
    <w:rsid w:val="005E1DEB"/>
    <w:rsid w:val="005E1EA2"/>
    <w:rsid w:val="005E200C"/>
    <w:rsid w:val="005E2479"/>
    <w:rsid w:val="005E24F0"/>
    <w:rsid w:val="005E2555"/>
    <w:rsid w:val="005E2697"/>
    <w:rsid w:val="005E2949"/>
    <w:rsid w:val="005E294D"/>
    <w:rsid w:val="005E29E4"/>
    <w:rsid w:val="005E29FC"/>
    <w:rsid w:val="005E2A17"/>
    <w:rsid w:val="005E2E06"/>
    <w:rsid w:val="005E3034"/>
    <w:rsid w:val="005E3182"/>
    <w:rsid w:val="005E3294"/>
    <w:rsid w:val="005E32D4"/>
    <w:rsid w:val="005E341B"/>
    <w:rsid w:val="005E343C"/>
    <w:rsid w:val="005E34B1"/>
    <w:rsid w:val="005E3625"/>
    <w:rsid w:val="005E366F"/>
    <w:rsid w:val="005E37BA"/>
    <w:rsid w:val="005E37DA"/>
    <w:rsid w:val="005E3839"/>
    <w:rsid w:val="005E38D6"/>
    <w:rsid w:val="005E3AD8"/>
    <w:rsid w:val="005E3B5A"/>
    <w:rsid w:val="005E3C8D"/>
    <w:rsid w:val="005E3DF9"/>
    <w:rsid w:val="005E3FF6"/>
    <w:rsid w:val="005E40E1"/>
    <w:rsid w:val="005E40FC"/>
    <w:rsid w:val="005E41EF"/>
    <w:rsid w:val="005E4202"/>
    <w:rsid w:val="005E42D0"/>
    <w:rsid w:val="005E444B"/>
    <w:rsid w:val="005E46C5"/>
    <w:rsid w:val="005E47F1"/>
    <w:rsid w:val="005E4805"/>
    <w:rsid w:val="005E49B1"/>
    <w:rsid w:val="005E4E2B"/>
    <w:rsid w:val="005E4F6B"/>
    <w:rsid w:val="005E4F74"/>
    <w:rsid w:val="005E4FAC"/>
    <w:rsid w:val="005E50C3"/>
    <w:rsid w:val="005E510E"/>
    <w:rsid w:val="005E526C"/>
    <w:rsid w:val="005E5294"/>
    <w:rsid w:val="005E5421"/>
    <w:rsid w:val="005E549E"/>
    <w:rsid w:val="005E5629"/>
    <w:rsid w:val="005E56BB"/>
    <w:rsid w:val="005E56D4"/>
    <w:rsid w:val="005E580C"/>
    <w:rsid w:val="005E58B8"/>
    <w:rsid w:val="005E58FF"/>
    <w:rsid w:val="005E5937"/>
    <w:rsid w:val="005E5AAD"/>
    <w:rsid w:val="005E5AC5"/>
    <w:rsid w:val="005E5E2A"/>
    <w:rsid w:val="005E5EAD"/>
    <w:rsid w:val="005E60A6"/>
    <w:rsid w:val="005E6127"/>
    <w:rsid w:val="005E626B"/>
    <w:rsid w:val="005E62A3"/>
    <w:rsid w:val="005E64D9"/>
    <w:rsid w:val="005E6638"/>
    <w:rsid w:val="005E6674"/>
    <w:rsid w:val="005E67BA"/>
    <w:rsid w:val="005E683C"/>
    <w:rsid w:val="005E68B8"/>
    <w:rsid w:val="005E68BF"/>
    <w:rsid w:val="005E6963"/>
    <w:rsid w:val="005E6A6E"/>
    <w:rsid w:val="005E6B6B"/>
    <w:rsid w:val="005E6C8F"/>
    <w:rsid w:val="005E6CB0"/>
    <w:rsid w:val="005E6E30"/>
    <w:rsid w:val="005E70B9"/>
    <w:rsid w:val="005E70C7"/>
    <w:rsid w:val="005E7236"/>
    <w:rsid w:val="005E7356"/>
    <w:rsid w:val="005E73E9"/>
    <w:rsid w:val="005E7400"/>
    <w:rsid w:val="005E7441"/>
    <w:rsid w:val="005E7684"/>
    <w:rsid w:val="005E7729"/>
    <w:rsid w:val="005E77CD"/>
    <w:rsid w:val="005E7A03"/>
    <w:rsid w:val="005E7AC9"/>
    <w:rsid w:val="005E7FE8"/>
    <w:rsid w:val="005F0031"/>
    <w:rsid w:val="005F015C"/>
    <w:rsid w:val="005F021B"/>
    <w:rsid w:val="005F0258"/>
    <w:rsid w:val="005F027B"/>
    <w:rsid w:val="005F0402"/>
    <w:rsid w:val="005F0555"/>
    <w:rsid w:val="005F08F7"/>
    <w:rsid w:val="005F0950"/>
    <w:rsid w:val="005F0A42"/>
    <w:rsid w:val="005F0CC8"/>
    <w:rsid w:val="005F0D4F"/>
    <w:rsid w:val="005F0EEB"/>
    <w:rsid w:val="005F0F38"/>
    <w:rsid w:val="005F0F4A"/>
    <w:rsid w:val="005F0F88"/>
    <w:rsid w:val="005F0FEB"/>
    <w:rsid w:val="005F1066"/>
    <w:rsid w:val="005F11A4"/>
    <w:rsid w:val="005F1214"/>
    <w:rsid w:val="005F132F"/>
    <w:rsid w:val="005F133A"/>
    <w:rsid w:val="005F13B3"/>
    <w:rsid w:val="005F1580"/>
    <w:rsid w:val="005F194B"/>
    <w:rsid w:val="005F1956"/>
    <w:rsid w:val="005F19F0"/>
    <w:rsid w:val="005F1BC7"/>
    <w:rsid w:val="005F1EAB"/>
    <w:rsid w:val="005F1F68"/>
    <w:rsid w:val="005F2019"/>
    <w:rsid w:val="005F2045"/>
    <w:rsid w:val="005F2119"/>
    <w:rsid w:val="005F21F2"/>
    <w:rsid w:val="005F2222"/>
    <w:rsid w:val="005F225C"/>
    <w:rsid w:val="005F230A"/>
    <w:rsid w:val="005F2596"/>
    <w:rsid w:val="005F2769"/>
    <w:rsid w:val="005F2AD9"/>
    <w:rsid w:val="005F2C5E"/>
    <w:rsid w:val="005F2D47"/>
    <w:rsid w:val="005F2DB7"/>
    <w:rsid w:val="005F2F40"/>
    <w:rsid w:val="005F2FE8"/>
    <w:rsid w:val="005F306B"/>
    <w:rsid w:val="005F3118"/>
    <w:rsid w:val="005F31AA"/>
    <w:rsid w:val="005F3268"/>
    <w:rsid w:val="005F32AC"/>
    <w:rsid w:val="005F3509"/>
    <w:rsid w:val="005F351C"/>
    <w:rsid w:val="005F3728"/>
    <w:rsid w:val="005F3798"/>
    <w:rsid w:val="005F38B4"/>
    <w:rsid w:val="005F38F4"/>
    <w:rsid w:val="005F3A48"/>
    <w:rsid w:val="005F3ACC"/>
    <w:rsid w:val="005F3C07"/>
    <w:rsid w:val="005F3C78"/>
    <w:rsid w:val="005F3CE0"/>
    <w:rsid w:val="005F3CE2"/>
    <w:rsid w:val="005F3D1F"/>
    <w:rsid w:val="005F3D7C"/>
    <w:rsid w:val="005F3E1B"/>
    <w:rsid w:val="005F40C4"/>
    <w:rsid w:val="005F4254"/>
    <w:rsid w:val="005F4270"/>
    <w:rsid w:val="005F4314"/>
    <w:rsid w:val="005F4392"/>
    <w:rsid w:val="005F43BA"/>
    <w:rsid w:val="005F43DA"/>
    <w:rsid w:val="005F4434"/>
    <w:rsid w:val="005F4591"/>
    <w:rsid w:val="005F4667"/>
    <w:rsid w:val="005F4755"/>
    <w:rsid w:val="005F47DD"/>
    <w:rsid w:val="005F4942"/>
    <w:rsid w:val="005F495C"/>
    <w:rsid w:val="005F4997"/>
    <w:rsid w:val="005F49A0"/>
    <w:rsid w:val="005F49D2"/>
    <w:rsid w:val="005F4A5E"/>
    <w:rsid w:val="005F4AD9"/>
    <w:rsid w:val="005F4B76"/>
    <w:rsid w:val="005F4D73"/>
    <w:rsid w:val="005F4D8D"/>
    <w:rsid w:val="005F4E27"/>
    <w:rsid w:val="005F4EC9"/>
    <w:rsid w:val="005F4F14"/>
    <w:rsid w:val="005F4FE0"/>
    <w:rsid w:val="005F5115"/>
    <w:rsid w:val="005F512B"/>
    <w:rsid w:val="005F518A"/>
    <w:rsid w:val="005F5218"/>
    <w:rsid w:val="005F5333"/>
    <w:rsid w:val="005F5360"/>
    <w:rsid w:val="005F53BF"/>
    <w:rsid w:val="005F5614"/>
    <w:rsid w:val="005F5649"/>
    <w:rsid w:val="005F56E2"/>
    <w:rsid w:val="005F56FA"/>
    <w:rsid w:val="005F573A"/>
    <w:rsid w:val="005F5950"/>
    <w:rsid w:val="005F5999"/>
    <w:rsid w:val="005F5B88"/>
    <w:rsid w:val="005F5CD8"/>
    <w:rsid w:val="005F5E6E"/>
    <w:rsid w:val="005F5EB0"/>
    <w:rsid w:val="005F5EDC"/>
    <w:rsid w:val="005F5FCE"/>
    <w:rsid w:val="005F606B"/>
    <w:rsid w:val="005F6085"/>
    <w:rsid w:val="005F6167"/>
    <w:rsid w:val="005F61D5"/>
    <w:rsid w:val="005F6213"/>
    <w:rsid w:val="005F6364"/>
    <w:rsid w:val="005F6382"/>
    <w:rsid w:val="005F63AB"/>
    <w:rsid w:val="005F64B4"/>
    <w:rsid w:val="005F6518"/>
    <w:rsid w:val="005F6591"/>
    <w:rsid w:val="005F67C1"/>
    <w:rsid w:val="005F6835"/>
    <w:rsid w:val="005F6861"/>
    <w:rsid w:val="005F6A90"/>
    <w:rsid w:val="005F6B6B"/>
    <w:rsid w:val="005F6D49"/>
    <w:rsid w:val="005F6EEE"/>
    <w:rsid w:val="005F6EF4"/>
    <w:rsid w:val="005F6EF9"/>
    <w:rsid w:val="005F6F12"/>
    <w:rsid w:val="005F7124"/>
    <w:rsid w:val="005F72C4"/>
    <w:rsid w:val="005F736B"/>
    <w:rsid w:val="005F7381"/>
    <w:rsid w:val="005F73F2"/>
    <w:rsid w:val="005F7454"/>
    <w:rsid w:val="005F749E"/>
    <w:rsid w:val="005F75CA"/>
    <w:rsid w:val="005F7727"/>
    <w:rsid w:val="005F78DC"/>
    <w:rsid w:val="005F79C4"/>
    <w:rsid w:val="005F79E6"/>
    <w:rsid w:val="005F7A0C"/>
    <w:rsid w:val="005F7A8A"/>
    <w:rsid w:val="005F7B15"/>
    <w:rsid w:val="005F7B8F"/>
    <w:rsid w:val="005F7BD9"/>
    <w:rsid w:val="005F7BF6"/>
    <w:rsid w:val="005F7CC7"/>
    <w:rsid w:val="005F7D3D"/>
    <w:rsid w:val="005F7D5B"/>
    <w:rsid w:val="005F7DF4"/>
    <w:rsid w:val="005F7E68"/>
    <w:rsid w:val="006001AE"/>
    <w:rsid w:val="006003A9"/>
    <w:rsid w:val="0060052D"/>
    <w:rsid w:val="006005B2"/>
    <w:rsid w:val="006007FC"/>
    <w:rsid w:val="00600868"/>
    <w:rsid w:val="00600A86"/>
    <w:rsid w:val="00600B1C"/>
    <w:rsid w:val="00600BB5"/>
    <w:rsid w:val="00600C0D"/>
    <w:rsid w:val="00600C57"/>
    <w:rsid w:val="00600C7F"/>
    <w:rsid w:val="00600CBA"/>
    <w:rsid w:val="00600D8C"/>
    <w:rsid w:val="00600EF9"/>
    <w:rsid w:val="00600F28"/>
    <w:rsid w:val="00601140"/>
    <w:rsid w:val="00601273"/>
    <w:rsid w:val="0060145C"/>
    <w:rsid w:val="00601497"/>
    <w:rsid w:val="006014F3"/>
    <w:rsid w:val="0060157B"/>
    <w:rsid w:val="006015D6"/>
    <w:rsid w:val="0060173F"/>
    <w:rsid w:val="006017EF"/>
    <w:rsid w:val="006018A8"/>
    <w:rsid w:val="006019F9"/>
    <w:rsid w:val="00601B78"/>
    <w:rsid w:val="00601C29"/>
    <w:rsid w:val="00601CE2"/>
    <w:rsid w:val="00601FC6"/>
    <w:rsid w:val="00602029"/>
    <w:rsid w:val="006020FF"/>
    <w:rsid w:val="00602127"/>
    <w:rsid w:val="0060212C"/>
    <w:rsid w:val="0060216D"/>
    <w:rsid w:val="006021E8"/>
    <w:rsid w:val="006022A4"/>
    <w:rsid w:val="006022D4"/>
    <w:rsid w:val="0060247D"/>
    <w:rsid w:val="00602603"/>
    <w:rsid w:val="006026E1"/>
    <w:rsid w:val="00602857"/>
    <w:rsid w:val="006028E5"/>
    <w:rsid w:val="006028E6"/>
    <w:rsid w:val="00602906"/>
    <w:rsid w:val="00602A1F"/>
    <w:rsid w:val="00602BD5"/>
    <w:rsid w:val="00602C48"/>
    <w:rsid w:val="00602D03"/>
    <w:rsid w:val="00602DC3"/>
    <w:rsid w:val="00602E09"/>
    <w:rsid w:val="00602E18"/>
    <w:rsid w:val="00602E54"/>
    <w:rsid w:val="00602E57"/>
    <w:rsid w:val="00602FCB"/>
    <w:rsid w:val="006030A4"/>
    <w:rsid w:val="00603109"/>
    <w:rsid w:val="006033A7"/>
    <w:rsid w:val="0060345D"/>
    <w:rsid w:val="00603676"/>
    <w:rsid w:val="00603763"/>
    <w:rsid w:val="006037D8"/>
    <w:rsid w:val="006037EB"/>
    <w:rsid w:val="0060388A"/>
    <w:rsid w:val="0060392D"/>
    <w:rsid w:val="00603A78"/>
    <w:rsid w:val="00603A9F"/>
    <w:rsid w:val="00603B58"/>
    <w:rsid w:val="00603B5D"/>
    <w:rsid w:val="00603D1C"/>
    <w:rsid w:val="00603D90"/>
    <w:rsid w:val="00603DD5"/>
    <w:rsid w:val="00603E73"/>
    <w:rsid w:val="00603F58"/>
    <w:rsid w:val="00603FF7"/>
    <w:rsid w:val="00604091"/>
    <w:rsid w:val="006040C4"/>
    <w:rsid w:val="0060430C"/>
    <w:rsid w:val="006045DD"/>
    <w:rsid w:val="0060465E"/>
    <w:rsid w:val="00604770"/>
    <w:rsid w:val="00604811"/>
    <w:rsid w:val="006049FE"/>
    <w:rsid w:val="00604B7F"/>
    <w:rsid w:val="00604BA9"/>
    <w:rsid w:val="00604C0C"/>
    <w:rsid w:val="00604DFD"/>
    <w:rsid w:val="00604E17"/>
    <w:rsid w:val="006051D5"/>
    <w:rsid w:val="006051E4"/>
    <w:rsid w:val="00605235"/>
    <w:rsid w:val="00605239"/>
    <w:rsid w:val="00605243"/>
    <w:rsid w:val="00605249"/>
    <w:rsid w:val="006052BF"/>
    <w:rsid w:val="0060531D"/>
    <w:rsid w:val="0060598B"/>
    <w:rsid w:val="006059E3"/>
    <w:rsid w:val="00605B22"/>
    <w:rsid w:val="00605C01"/>
    <w:rsid w:val="00605DAA"/>
    <w:rsid w:val="00605ED4"/>
    <w:rsid w:val="00605FCB"/>
    <w:rsid w:val="0060616D"/>
    <w:rsid w:val="00606191"/>
    <w:rsid w:val="006062C3"/>
    <w:rsid w:val="006062CC"/>
    <w:rsid w:val="00606391"/>
    <w:rsid w:val="00606443"/>
    <w:rsid w:val="0060646C"/>
    <w:rsid w:val="006065BF"/>
    <w:rsid w:val="0060671F"/>
    <w:rsid w:val="00606783"/>
    <w:rsid w:val="0060699C"/>
    <w:rsid w:val="00606AD0"/>
    <w:rsid w:val="00606B46"/>
    <w:rsid w:val="00606BA5"/>
    <w:rsid w:val="00606BE6"/>
    <w:rsid w:val="00606D4F"/>
    <w:rsid w:val="00606E77"/>
    <w:rsid w:val="00606EE2"/>
    <w:rsid w:val="006071FA"/>
    <w:rsid w:val="00607316"/>
    <w:rsid w:val="00607348"/>
    <w:rsid w:val="0060755D"/>
    <w:rsid w:val="006076A2"/>
    <w:rsid w:val="006076E6"/>
    <w:rsid w:val="0060778F"/>
    <w:rsid w:val="006077AA"/>
    <w:rsid w:val="006077BF"/>
    <w:rsid w:val="0060795E"/>
    <w:rsid w:val="00607B76"/>
    <w:rsid w:val="00607D03"/>
    <w:rsid w:val="00607D9E"/>
    <w:rsid w:val="00607DD3"/>
    <w:rsid w:val="00607E06"/>
    <w:rsid w:val="00607E13"/>
    <w:rsid w:val="00607EBC"/>
    <w:rsid w:val="00607FA3"/>
    <w:rsid w:val="00610053"/>
    <w:rsid w:val="00610106"/>
    <w:rsid w:val="0061029E"/>
    <w:rsid w:val="006102C4"/>
    <w:rsid w:val="00610341"/>
    <w:rsid w:val="0061050B"/>
    <w:rsid w:val="006105A7"/>
    <w:rsid w:val="006107A2"/>
    <w:rsid w:val="00610843"/>
    <w:rsid w:val="00610AE6"/>
    <w:rsid w:val="00610BEE"/>
    <w:rsid w:val="00610E89"/>
    <w:rsid w:val="00610FC6"/>
    <w:rsid w:val="00611030"/>
    <w:rsid w:val="00611044"/>
    <w:rsid w:val="00611067"/>
    <w:rsid w:val="006110D3"/>
    <w:rsid w:val="006111A5"/>
    <w:rsid w:val="006115A6"/>
    <w:rsid w:val="00611608"/>
    <w:rsid w:val="00611681"/>
    <w:rsid w:val="006118DD"/>
    <w:rsid w:val="006118FC"/>
    <w:rsid w:val="00611B61"/>
    <w:rsid w:val="00611D0F"/>
    <w:rsid w:val="00611D7B"/>
    <w:rsid w:val="00611F85"/>
    <w:rsid w:val="00612039"/>
    <w:rsid w:val="0061238C"/>
    <w:rsid w:val="00612542"/>
    <w:rsid w:val="00612678"/>
    <w:rsid w:val="006126BC"/>
    <w:rsid w:val="006126D2"/>
    <w:rsid w:val="00612732"/>
    <w:rsid w:val="00612837"/>
    <w:rsid w:val="006128B8"/>
    <w:rsid w:val="006128CC"/>
    <w:rsid w:val="006129C6"/>
    <w:rsid w:val="00612A13"/>
    <w:rsid w:val="00612BA8"/>
    <w:rsid w:val="00612C49"/>
    <w:rsid w:val="00612D0F"/>
    <w:rsid w:val="00612FE3"/>
    <w:rsid w:val="00612FF1"/>
    <w:rsid w:val="006132C8"/>
    <w:rsid w:val="006132EB"/>
    <w:rsid w:val="006133CA"/>
    <w:rsid w:val="00613466"/>
    <w:rsid w:val="006134C0"/>
    <w:rsid w:val="0061382F"/>
    <w:rsid w:val="0061383C"/>
    <w:rsid w:val="00613B17"/>
    <w:rsid w:val="00613BD7"/>
    <w:rsid w:val="00613DD2"/>
    <w:rsid w:val="00613DEB"/>
    <w:rsid w:val="00613E33"/>
    <w:rsid w:val="00613E40"/>
    <w:rsid w:val="00613E80"/>
    <w:rsid w:val="00613F74"/>
    <w:rsid w:val="00613FF2"/>
    <w:rsid w:val="00614009"/>
    <w:rsid w:val="006140CB"/>
    <w:rsid w:val="006141E9"/>
    <w:rsid w:val="006143DC"/>
    <w:rsid w:val="006143FA"/>
    <w:rsid w:val="00614547"/>
    <w:rsid w:val="00614562"/>
    <w:rsid w:val="006147E2"/>
    <w:rsid w:val="0061480E"/>
    <w:rsid w:val="006148AB"/>
    <w:rsid w:val="00614CC5"/>
    <w:rsid w:val="00614CD7"/>
    <w:rsid w:val="00614E50"/>
    <w:rsid w:val="00614E74"/>
    <w:rsid w:val="00614EA8"/>
    <w:rsid w:val="006151A2"/>
    <w:rsid w:val="00615211"/>
    <w:rsid w:val="0061543B"/>
    <w:rsid w:val="006154DA"/>
    <w:rsid w:val="00615907"/>
    <w:rsid w:val="00615A59"/>
    <w:rsid w:val="00615A66"/>
    <w:rsid w:val="00615C97"/>
    <w:rsid w:val="00615EAF"/>
    <w:rsid w:val="00615EFE"/>
    <w:rsid w:val="00615F79"/>
    <w:rsid w:val="006160B7"/>
    <w:rsid w:val="006160BB"/>
    <w:rsid w:val="006160C1"/>
    <w:rsid w:val="00616180"/>
    <w:rsid w:val="00616296"/>
    <w:rsid w:val="00616297"/>
    <w:rsid w:val="006164EB"/>
    <w:rsid w:val="00616695"/>
    <w:rsid w:val="006167E3"/>
    <w:rsid w:val="00616C2A"/>
    <w:rsid w:val="00616CBB"/>
    <w:rsid w:val="00616F53"/>
    <w:rsid w:val="00616F69"/>
    <w:rsid w:val="00616F94"/>
    <w:rsid w:val="006173AF"/>
    <w:rsid w:val="00617417"/>
    <w:rsid w:val="0061741C"/>
    <w:rsid w:val="0061762A"/>
    <w:rsid w:val="0061764D"/>
    <w:rsid w:val="00617694"/>
    <w:rsid w:val="006178A6"/>
    <w:rsid w:val="006179BF"/>
    <w:rsid w:val="006179F6"/>
    <w:rsid w:val="00617BE0"/>
    <w:rsid w:val="00617C82"/>
    <w:rsid w:val="00617C9E"/>
    <w:rsid w:val="00617DC3"/>
    <w:rsid w:val="00617DFD"/>
    <w:rsid w:val="00617ED1"/>
    <w:rsid w:val="00617FF3"/>
    <w:rsid w:val="006200D3"/>
    <w:rsid w:val="00620183"/>
    <w:rsid w:val="006201B9"/>
    <w:rsid w:val="006201F4"/>
    <w:rsid w:val="006202ED"/>
    <w:rsid w:val="00620592"/>
    <w:rsid w:val="00620678"/>
    <w:rsid w:val="006206CB"/>
    <w:rsid w:val="00620724"/>
    <w:rsid w:val="0062090D"/>
    <w:rsid w:val="00620950"/>
    <w:rsid w:val="0062097A"/>
    <w:rsid w:val="0062099E"/>
    <w:rsid w:val="00620AD8"/>
    <w:rsid w:val="00620BAF"/>
    <w:rsid w:val="00620C17"/>
    <w:rsid w:val="00620C5C"/>
    <w:rsid w:val="00620CCE"/>
    <w:rsid w:val="00620DF2"/>
    <w:rsid w:val="00620ED5"/>
    <w:rsid w:val="00620F64"/>
    <w:rsid w:val="00620FB3"/>
    <w:rsid w:val="006210F6"/>
    <w:rsid w:val="006210FB"/>
    <w:rsid w:val="00621188"/>
    <w:rsid w:val="00621236"/>
    <w:rsid w:val="00621319"/>
    <w:rsid w:val="006213AA"/>
    <w:rsid w:val="0062150A"/>
    <w:rsid w:val="00621559"/>
    <w:rsid w:val="006215FB"/>
    <w:rsid w:val="0062160B"/>
    <w:rsid w:val="0062162F"/>
    <w:rsid w:val="0062175D"/>
    <w:rsid w:val="006217FA"/>
    <w:rsid w:val="006219CA"/>
    <w:rsid w:val="006219DE"/>
    <w:rsid w:val="00621AE6"/>
    <w:rsid w:val="00621C1F"/>
    <w:rsid w:val="00621D13"/>
    <w:rsid w:val="00621D17"/>
    <w:rsid w:val="00621DA0"/>
    <w:rsid w:val="00621DA1"/>
    <w:rsid w:val="00621E4B"/>
    <w:rsid w:val="00621E69"/>
    <w:rsid w:val="00621F56"/>
    <w:rsid w:val="00621FF9"/>
    <w:rsid w:val="00622002"/>
    <w:rsid w:val="00622189"/>
    <w:rsid w:val="0062227B"/>
    <w:rsid w:val="0062231D"/>
    <w:rsid w:val="00622482"/>
    <w:rsid w:val="00622576"/>
    <w:rsid w:val="00622691"/>
    <w:rsid w:val="006227B9"/>
    <w:rsid w:val="00622C5A"/>
    <w:rsid w:val="00622DC7"/>
    <w:rsid w:val="00622DEB"/>
    <w:rsid w:val="00622F05"/>
    <w:rsid w:val="00622F57"/>
    <w:rsid w:val="00622F71"/>
    <w:rsid w:val="00623143"/>
    <w:rsid w:val="00623166"/>
    <w:rsid w:val="006233AA"/>
    <w:rsid w:val="006233DB"/>
    <w:rsid w:val="0062351B"/>
    <w:rsid w:val="00623587"/>
    <w:rsid w:val="006235CF"/>
    <w:rsid w:val="00623780"/>
    <w:rsid w:val="006237A1"/>
    <w:rsid w:val="006238E4"/>
    <w:rsid w:val="006239A8"/>
    <w:rsid w:val="00623AE6"/>
    <w:rsid w:val="00623C1A"/>
    <w:rsid w:val="00623CE9"/>
    <w:rsid w:val="00623D48"/>
    <w:rsid w:val="00623D90"/>
    <w:rsid w:val="0062400D"/>
    <w:rsid w:val="006240D7"/>
    <w:rsid w:val="0062432F"/>
    <w:rsid w:val="00624371"/>
    <w:rsid w:val="00624380"/>
    <w:rsid w:val="00624398"/>
    <w:rsid w:val="0062441E"/>
    <w:rsid w:val="006246CD"/>
    <w:rsid w:val="0062486F"/>
    <w:rsid w:val="006249C5"/>
    <w:rsid w:val="00624A8F"/>
    <w:rsid w:val="00624B6C"/>
    <w:rsid w:val="00624B8D"/>
    <w:rsid w:val="00624D84"/>
    <w:rsid w:val="00624EFB"/>
    <w:rsid w:val="00625237"/>
    <w:rsid w:val="006252E1"/>
    <w:rsid w:val="006252E8"/>
    <w:rsid w:val="0062536D"/>
    <w:rsid w:val="006253D8"/>
    <w:rsid w:val="006255C0"/>
    <w:rsid w:val="00625616"/>
    <w:rsid w:val="006257E5"/>
    <w:rsid w:val="006257F2"/>
    <w:rsid w:val="00625841"/>
    <w:rsid w:val="006258D8"/>
    <w:rsid w:val="00625B3A"/>
    <w:rsid w:val="00625BB9"/>
    <w:rsid w:val="00625BD7"/>
    <w:rsid w:val="00625C33"/>
    <w:rsid w:val="00625CD3"/>
    <w:rsid w:val="00625D31"/>
    <w:rsid w:val="00625D7C"/>
    <w:rsid w:val="00625DCE"/>
    <w:rsid w:val="00625E87"/>
    <w:rsid w:val="00625EE8"/>
    <w:rsid w:val="006260BB"/>
    <w:rsid w:val="006260DA"/>
    <w:rsid w:val="006262D2"/>
    <w:rsid w:val="00626445"/>
    <w:rsid w:val="006264CB"/>
    <w:rsid w:val="00626565"/>
    <w:rsid w:val="006265AB"/>
    <w:rsid w:val="00626645"/>
    <w:rsid w:val="006266A1"/>
    <w:rsid w:val="006267C2"/>
    <w:rsid w:val="00626CD6"/>
    <w:rsid w:val="00626ECE"/>
    <w:rsid w:val="00626EEC"/>
    <w:rsid w:val="00626F60"/>
    <w:rsid w:val="00627092"/>
    <w:rsid w:val="00627257"/>
    <w:rsid w:val="0062752C"/>
    <w:rsid w:val="006275B3"/>
    <w:rsid w:val="0062788A"/>
    <w:rsid w:val="006279C8"/>
    <w:rsid w:val="00627A8F"/>
    <w:rsid w:val="00627AA8"/>
    <w:rsid w:val="00627B1D"/>
    <w:rsid w:val="00627BA5"/>
    <w:rsid w:val="00627D0D"/>
    <w:rsid w:val="00627E73"/>
    <w:rsid w:val="00630060"/>
    <w:rsid w:val="0063012F"/>
    <w:rsid w:val="00630131"/>
    <w:rsid w:val="00630171"/>
    <w:rsid w:val="006303D8"/>
    <w:rsid w:val="00630522"/>
    <w:rsid w:val="00630562"/>
    <w:rsid w:val="006305E2"/>
    <w:rsid w:val="0063064F"/>
    <w:rsid w:val="006306DF"/>
    <w:rsid w:val="00630752"/>
    <w:rsid w:val="00630788"/>
    <w:rsid w:val="006307C0"/>
    <w:rsid w:val="00630806"/>
    <w:rsid w:val="0063085D"/>
    <w:rsid w:val="00630A9E"/>
    <w:rsid w:val="00630AE7"/>
    <w:rsid w:val="00630BC7"/>
    <w:rsid w:val="00630C4F"/>
    <w:rsid w:val="00630CA2"/>
    <w:rsid w:val="00630E52"/>
    <w:rsid w:val="00630EB8"/>
    <w:rsid w:val="00630EC7"/>
    <w:rsid w:val="00630F0B"/>
    <w:rsid w:val="00631091"/>
    <w:rsid w:val="00631168"/>
    <w:rsid w:val="0063124C"/>
    <w:rsid w:val="006313F0"/>
    <w:rsid w:val="00631502"/>
    <w:rsid w:val="0063155A"/>
    <w:rsid w:val="006316D5"/>
    <w:rsid w:val="006316F7"/>
    <w:rsid w:val="00631709"/>
    <w:rsid w:val="00631742"/>
    <w:rsid w:val="00631871"/>
    <w:rsid w:val="00631AB1"/>
    <w:rsid w:val="00631C19"/>
    <w:rsid w:val="00631C20"/>
    <w:rsid w:val="00631CD7"/>
    <w:rsid w:val="00632021"/>
    <w:rsid w:val="006320BB"/>
    <w:rsid w:val="00632101"/>
    <w:rsid w:val="0063217A"/>
    <w:rsid w:val="006321D5"/>
    <w:rsid w:val="006321DF"/>
    <w:rsid w:val="00632468"/>
    <w:rsid w:val="0063248A"/>
    <w:rsid w:val="006324BF"/>
    <w:rsid w:val="00632541"/>
    <w:rsid w:val="006325C7"/>
    <w:rsid w:val="00632605"/>
    <w:rsid w:val="0063265B"/>
    <w:rsid w:val="00632674"/>
    <w:rsid w:val="00632786"/>
    <w:rsid w:val="006327CA"/>
    <w:rsid w:val="00632800"/>
    <w:rsid w:val="006329E4"/>
    <w:rsid w:val="00632B16"/>
    <w:rsid w:val="00632BB8"/>
    <w:rsid w:val="00632DBB"/>
    <w:rsid w:val="00632FD7"/>
    <w:rsid w:val="00633181"/>
    <w:rsid w:val="006331A0"/>
    <w:rsid w:val="00633270"/>
    <w:rsid w:val="006333B8"/>
    <w:rsid w:val="00633432"/>
    <w:rsid w:val="0063343A"/>
    <w:rsid w:val="00633464"/>
    <w:rsid w:val="00633601"/>
    <w:rsid w:val="006337EC"/>
    <w:rsid w:val="0063388B"/>
    <w:rsid w:val="006338EE"/>
    <w:rsid w:val="00633A48"/>
    <w:rsid w:val="00633B74"/>
    <w:rsid w:val="00633D02"/>
    <w:rsid w:val="00633E86"/>
    <w:rsid w:val="0063403A"/>
    <w:rsid w:val="00634080"/>
    <w:rsid w:val="00634089"/>
    <w:rsid w:val="00634165"/>
    <w:rsid w:val="00634299"/>
    <w:rsid w:val="00634376"/>
    <w:rsid w:val="00634423"/>
    <w:rsid w:val="00634458"/>
    <w:rsid w:val="00634479"/>
    <w:rsid w:val="006344AD"/>
    <w:rsid w:val="0063452D"/>
    <w:rsid w:val="00634601"/>
    <w:rsid w:val="0063465F"/>
    <w:rsid w:val="006346A9"/>
    <w:rsid w:val="006349F2"/>
    <w:rsid w:val="00634A52"/>
    <w:rsid w:val="00634D66"/>
    <w:rsid w:val="00634DB7"/>
    <w:rsid w:val="00634DE6"/>
    <w:rsid w:val="00634F59"/>
    <w:rsid w:val="006351BB"/>
    <w:rsid w:val="00635391"/>
    <w:rsid w:val="006354BC"/>
    <w:rsid w:val="00635688"/>
    <w:rsid w:val="006356F8"/>
    <w:rsid w:val="00635768"/>
    <w:rsid w:val="00635785"/>
    <w:rsid w:val="0063584B"/>
    <w:rsid w:val="0063598F"/>
    <w:rsid w:val="006359DD"/>
    <w:rsid w:val="00635AEB"/>
    <w:rsid w:val="00635BB4"/>
    <w:rsid w:val="00635C23"/>
    <w:rsid w:val="00635C33"/>
    <w:rsid w:val="00635C71"/>
    <w:rsid w:val="00635D41"/>
    <w:rsid w:val="00635E0F"/>
    <w:rsid w:val="00635E92"/>
    <w:rsid w:val="00635EB1"/>
    <w:rsid w:val="00635F53"/>
    <w:rsid w:val="00636039"/>
    <w:rsid w:val="0063621B"/>
    <w:rsid w:val="0063624E"/>
    <w:rsid w:val="0063625A"/>
    <w:rsid w:val="006362AC"/>
    <w:rsid w:val="00636519"/>
    <w:rsid w:val="006365F4"/>
    <w:rsid w:val="00636759"/>
    <w:rsid w:val="006367A4"/>
    <w:rsid w:val="00636891"/>
    <w:rsid w:val="00636901"/>
    <w:rsid w:val="00636904"/>
    <w:rsid w:val="00636935"/>
    <w:rsid w:val="006369E9"/>
    <w:rsid w:val="00636A52"/>
    <w:rsid w:val="00636AF0"/>
    <w:rsid w:val="00636C36"/>
    <w:rsid w:val="00636D3D"/>
    <w:rsid w:val="00636D3E"/>
    <w:rsid w:val="00636DCE"/>
    <w:rsid w:val="00636DF4"/>
    <w:rsid w:val="00636F2D"/>
    <w:rsid w:val="00636F48"/>
    <w:rsid w:val="00637031"/>
    <w:rsid w:val="006373D2"/>
    <w:rsid w:val="00637472"/>
    <w:rsid w:val="006374AB"/>
    <w:rsid w:val="006374D0"/>
    <w:rsid w:val="0063757F"/>
    <w:rsid w:val="00637616"/>
    <w:rsid w:val="00637667"/>
    <w:rsid w:val="006377ED"/>
    <w:rsid w:val="00637803"/>
    <w:rsid w:val="0063787A"/>
    <w:rsid w:val="00637886"/>
    <w:rsid w:val="00637B66"/>
    <w:rsid w:val="00637BFF"/>
    <w:rsid w:val="00637E4C"/>
    <w:rsid w:val="00640083"/>
    <w:rsid w:val="00640113"/>
    <w:rsid w:val="0064013D"/>
    <w:rsid w:val="00640226"/>
    <w:rsid w:val="006403C6"/>
    <w:rsid w:val="00640443"/>
    <w:rsid w:val="00640495"/>
    <w:rsid w:val="00640496"/>
    <w:rsid w:val="00640681"/>
    <w:rsid w:val="00640770"/>
    <w:rsid w:val="00640791"/>
    <w:rsid w:val="00640879"/>
    <w:rsid w:val="00640985"/>
    <w:rsid w:val="00640A29"/>
    <w:rsid w:val="00640A7A"/>
    <w:rsid w:val="00640B31"/>
    <w:rsid w:val="00640D27"/>
    <w:rsid w:val="00640E6B"/>
    <w:rsid w:val="00640E7C"/>
    <w:rsid w:val="00640E86"/>
    <w:rsid w:val="00640F0A"/>
    <w:rsid w:val="00640FE1"/>
    <w:rsid w:val="0064140F"/>
    <w:rsid w:val="0064144C"/>
    <w:rsid w:val="00641534"/>
    <w:rsid w:val="00641794"/>
    <w:rsid w:val="00641966"/>
    <w:rsid w:val="00641972"/>
    <w:rsid w:val="006419C9"/>
    <w:rsid w:val="00641A5A"/>
    <w:rsid w:val="00641AAA"/>
    <w:rsid w:val="00641BD9"/>
    <w:rsid w:val="00641C77"/>
    <w:rsid w:val="00641DDA"/>
    <w:rsid w:val="00641E13"/>
    <w:rsid w:val="00641E62"/>
    <w:rsid w:val="00642068"/>
    <w:rsid w:val="0064206F"/>
    <w:rsid w:val="0064207D"/>
    <w:rsid w:val="006420C1"/>
    <w:rsid w:val="006421BE"/>
    <w:rsid w:val="0064236F"/>
    <w:rsid w:val="00642450"/>
    <w:rsid w:val="006424E5"/>
    <w:rsid w:val="0064252F"/>
    <w:rsid w:val="0064260C"/>
    <w:rsid w:val="00642628"/>
    <w:rsid w:val="00642637"/>
    <w:rsid w:val="00642655"/>
    <w:rsid w:val="00642656"/>
    <w:rsid w:val="0064267A"/>
    <w:rsid w:val="00642689"/>
    <w:rsid w:val="006427B1"/>
    <w:rsid w:val="0064284A"/>
    <w:rsid w:val="0064289E"/>
    <w:rsid w:val="00642A66"/>
    <w:rsid w:val="00642A83"/>
    <w:rsid w:val="00642B35"/>
    <w:rsid w:val="00642D3B"/>
    <w:rsid w:val="00642ED4"/>
    <w:rsid w:val="00642EFE"/>
    <w:rsid w:val="00642F2D"/>
    <w:rsid w:val="00642FEC"/>
    <w:rsid w:val="00643067"/>
    <w:rsid w:val="006431EA"/>
    <w:rsid w:val="00643274"/>
    <w:rsid w:val="006432BC"/>
    <w:rsid w:val="00643317"/>
    <w:rsid w:val="0064350F"/>
    <w:rsid w:val="0064379C"/>
    <w:rsid w:val="0064383D"/>
    <w:rsid w:val="006438D2"/>
    <w:rsid w:val="00643949"/>
    <w:rsid w:val="0064394C"/>
    <w:rsid w:val="00643964"/>
    <w:rsid w:val="00643974"/>
    <w:rsid w:val="0064399E"/>
    <w:rsid w:val="006439A3"/>
    <w:rsid w:val="00643A1D"/>
    <w:rsid w:val="00643B36"/>
    <w:rsid w:val="00643E34"/>
    <w:rsid w:val="00643EE1"/>
    <w:rsid w:val="00643F40"/>
    <w:rsid w:val="00643F75"/>
    <w:rsid w:val="006440CB"/>
    <w:rsid w:val="006441DC"/>
    <w:rsid w:val="0064425A"/>
    <w:rsid w:val="006442C9"/>
    <w:rsid w:val="00644507"/>
    <w:rsid w:val="0064466B"/>
    <w:rsid w:val="006446F2"/>
    <w:rsid w:val="0064471C"/>
    <w:rsid w:val="006447FD"/>
    <w:rsid w:val="00644909"/>
    <w:rsid w:val="00644970"/>
    <w:rsid w:val="006449C2"/>
    <w:rsid w:val="00644AE6"/>
    <w:rsid w:val="00644B0D"/>
    <w:rsid w:val="00644C7C"/>
    <w:rsid w:val="00644CBD"/>
    <w:rsid w:val="00644D0E"/>
    <w:rsid w:val="00644EA2"/>
    <w:rsid w:val="00644F5C"/>
    <w:rsid w:val="0064500A"/>
    <w:rsid w:val="006451F2"/>
    <w:rsid w:val="00645222"/>
    <w:rsid w:val="00645415"/>
    <w:rsid w:val="006454AE"/>
    <w:rsid w:val="00645600"/>
    <w:rsid w:val="00645644"/>
    <w:rsid w:val="00645684"/>
    <w:rsid w:val="0064569B"/>
    <w:rsid w:val="006457E8"/>
    <w:rsid w:val="006457EF"/>
    <w:rsid w:val="00645959"/>
    <w:rsid w:val="006459F3"/>
    <w:rsid w:val="00645DD2"/>
    <w:rsid w:val="00645E4C"/>
    <w:rsid w:val="00645E60"/>
    <w:rsid w:val="00645E70"/>
    <w:rsid w:val="00645E9D"/>
    <w:rsid w:val="00645F22"/>
    <w:rsid w:val="00645F58"/>
    <w:rsid w:val="00645F78"/>
    <w:rsid w:val="00645FCD"/>
    <w:rsid w:val="00645FF4"/>
    <w:rsid w:val="00646060"/>
    <w:rsid w:val="006460B2"/>
    <w:rsid w:val="006463CF"/>
    <w:rsid w:val="006463E0"/>
    <w:rsid w:val="00646454"/>
    <w:rsid w:val="006464C2"/>
    <w:rsid w:val="006465CA"/>
    <w:rsid w:val="006467C9"/>
    <w:rsid w:val="006469F8"/>
    <w:rsid w:val="00646CD3"/>
    <w:rsid w:val="00646F0B"/>
    <w:rsid w:val="00646F4E"/>
    <w:rsid w:val="00646FB0"/>
    <w:rsid w:val="00646FDC"/>
    <w:rsid w:val="00647146"/>
    <w:rsid w:val="00647188"/>
    <w:rsid w:val="00647234"/>
    <w:rsid w:val="006472B8"/>
    <w:rsid w:val="006473C3"/>
    <w:rsid w:val="0064743E"/>
    <w:rsid w:val="006474F9"/>
    <w:rsid w:val="0064752E"/>
    <w:rsid w:val="006475B2"/>
    <w:rsid w:val="006475C6"/>
    <w:rsid w:val="006476CB"/>
    <w:rsid w:val="0064770C"/>
    <w:rsid w:val="006477DA"/>
    <w:rsid w:val="006478F9"/>
    <w:rsid w:val="00647986"/>
    <w:rsid w:val="006479EB"/>
    <w:rsid w:val="00647A33"/>
    <w:rsid w:val="00647AFA"/>
    <w:rsid w:val="00647E04"/>
    <w:rsid w:val="00647EC6"/>
    <w:rsid w:val="00647EEC"/>
    <w:rsid w:val="00647FF0"/>
    <w:rsid w:val="0065014F"/>
    <w:rsid w:val="00650180"/>
    <w:rsid w:val="006501CA"/>
    <w:rsid w:val="006502BE"/>
    <w:rsid w:val="00650439"/>
    <w:rsid w:val="006505F3"/>
    <w:rsid w:val="006507F5"/>
    <w:rsid w:val="0065090F"/>
    <w:rsid w:val="00650996"/>
    <w:rsid w:val="00650B41"/>
    <w:rsid w:val="00650B94"/>
    <w:rsid w:val="00650BDB"/>
    <w:rsid w:val="00650C4C"/>
    <w:rsid w:val="00650CF4"/>
    <w:rsid w:val="00650CF9"/>
    <w:rsid w:val="00650D2E"/>
    <w:rsid w:val="00650FAA"/>
    <w:rsid w:val="0065151F"/>
    <w:rsid w:val="0065169B"/>
    <w:rsid w:val="006516CC"/>
    <w:rsid w:val="00651704"/>
    <w:rsid w:val="00651A68"/>
    <w:rsid w:val="00651BAA"/>
    <w:rsid w:val="00651CF2"/>
    <w:rsid w:val="00651D5A"/>
    <w:rsid w:val="00651DDE"/>
    <w:rsid w:val="00651E14"/>
    <w:rsid w:val="00651E60"/>
    <w:rsid w:val="00651FA8"/>
    <w:rsid w:val="006520D1"/>
    <w:rsid w:val="00652171"/>
    <w:rsid w:val="00652179"/>
    <w:rsid w:val="0065230F"/>
    <w:rsid w:val="006523A3"/>
    <w:rsid w:val="006523D6"/>
    <w:rsid w:val="00652486"/>
    <w:rsid w:val="006525AB"/>
    <w:rsid w:val="00652696"/>
    <w:rsid w:val="00652755"/>
    <w:rsid w:val="006527AD"/>
    <w:rsid w:val="0065283C"/>
    <w:rsid w:val="00652844"/>
    <w:rsid w:val="00652B10"/>
    <w:rsid w:val="00652B48"/>
    <w:rsid w:val="00652D10"/>
    <w:rsid w:val="00652E06"/>
    <w:rsid w:val="00652FE6"/>
    <w:rsid w:val="00653009"/>
    <w:rsid w:val="00653159"/>
    <w:rsid w:val="00653215"/>
    <w:rsid w:val="00653316"/>
    <w:rsid w:val="00653371"/>
    <w:rsid w:val="0065353F"/>
    <w:rsid w:val="0065354E"/>
    <w:rsid w:val="00653672"/>
    <w:rsid w:val="00653713"/>
    <w:rsid w:val="0065384F"/>
    <w:rsid w:val="00653975"/>
    <w:rsid w:val="00653A2A"/>
    <w:rsid w:val="00653CF5"/>
    <w:rsid w:val="00653CF6"/>
    <w:rsid w:val="00653D70"/>
    <w:rsid w:val="00653DBE"/>
    <w:rsid w:val="00653EB6"/>
    <w:rsid w:val="00653F32"/>
    <w:rsid w:val="00653F62"/>
    <w:rsid w:val="00653FC7"/>
    <w:rsid w:val="0065400F"/>
    <w:rsid w:val="00654024"/>
    <w:rsid w:val="00654130"/>
    <w:rsid w:val="006541B8"/>
    <w:rsid w:val="006542EF"/>
    <w:rsid w:val="0065451E"/>
    <w:rsid w:val="0065455B"/>
    <w:rsid w:val="00654673"/>
    <w:rsid w:val="00654A5F"/>
    <w:rsid w:val="00654A85"/>
    <w:rsid w:val="00654B32"/>
    <w:rsid w:val="00654B38"/>
    <w:rsid w:val="00654B3B"/>
    <w:rsid w:val="00654CBE"/>
    <w:rsid w:val="00654D1B"/>
    <w:rsid w:val="006550BB"/>
    <w:rsid w:val="0065515E"/>
    <w:rsid w:val="006551BD"/>
    <w:rsid w:val="0065528E"/>
    <w:rsid w:val="0065539E"/>
    <w:rsid w:val="00655425"/>
    <w:rsid w:val="006554FA"/>
    <w:rsid w:val="00655513"/>
    <w:rsid w:val="0065554D"/>
    <w:rsid w:val="00655601"/>
    <w:rsid w:val="00655685"/>
    <w:rsid w:val="006556F1"/>
    <w:rsid w:val="00655B19"/>
    <w:rsid w:val="00655B80"/>
    <w:rsid w:val="00655BE2"/>
    <w:rsid w:val="00655BE8"/>
    <w:rsid w:val="00655C00"/>
    <w:rsid w:val="00655C58"/>
    <w:rsid w:val="00655E25"/>
    <w:rsid w:val="00655E69"/>
    <w:rsid w:val="00655FD1"/>
    <w:rsid w:val="0065605C"/>
    <w:rsid w:val="00656068"/>
    <w:rsid w:val="006561E7"/>
    <w:rsid w:val="00656226"/>
    <w:rsid w:val="0065628E"/>
    <w:rsid w:val="00656309"/>
    <w:rsid w:val="006563E1"/>
    <w:rsid w:val="00656736"/>
    <w:rsid w:val="00656767"/>
    <w:rsid w:val="006567EF"/>
    <w:rsid w:val="00656818"/>
    <w:rsid w:val="00656981"/>
    <w:rsid w:val="00656C75"/>
    <w:rsid w:val="00656D72"/>
    <w:rsid w:val="00656DBF"/>
    <w:rsid w:val="00656F03"/>
    <w:rsid w:val="00656F9B"/>
    <w:rsid w:val="00656FB5"/>
    <w:rsid w:val="00656FC3"/>
    <w:rsid w:val="006570AF"/>
    <w:rsid w:val="006570B4"/>
    <w:rsid w:val="006570C1"/>
    <w:rsid w:val="006571FE"/>
    <w:rsid w:val="0065723C"/>
    <w:rsid w:val="00657456"/>
    <w:rsid w:val="0065745F"/>
    <w:rsid w:val="006574B5"/>
    <w:rsid w:val="0065750E"/>
    <w:rsid w:val="006575E1"/>
    <w:rsid w:val="0065760C"/>
    <w:rsid w:val="0065767F"/>
    <w:rsid w:val="006576D1"/>
    <w:rsid w:val="00657856"/>
    <w:rsid w:val="006578EF"/>
    <w:rsid w:val="00657A38"/>
    <w:rsid w:val="00657ADE"/>
    <w:rsid w:val="00657BDE"/>
    <w:rsid w:val="00657D36"/>
    <w:rsid w:val="00657E7B"/>
    <w:rsid w:val="00657EE9"/>
    <w:rsid w:val="00657F46"/>
    <w:rsid w:val="00657FE0"/>
    <w:rsid w:val="00660062"/>
    <w:rsid w:val="006600BC"/>
    <w:rsid w:val="006600D5"/>
    <w:rsid w:val="0066010B"/>
    <w:rsid w:val="0066015C"/>
    <w:rsid w:val="00660162"/>
    <w:rsid w:val="006601A2"/>
    <w:rsid w:val="006601A7"/>
    <w:rsid w:val="00660324"/>
    <w:rsid w:val="00660423"/>
    <w:rsid w:val="0066042D"/>
    <w:rsid w:val="00660536"/>
    <w:rsid w:val="00660587"/>
    <w:rsid w:val="006605C1"/>
    <w:rsid w:val="006605EA"/>
    <w:rsid w:val="006606A2"/>
    <w:rsid w:val="0066076A"/>
    <w:rsid w:val="006607A1"/>
    <w:rsid w:val="00660852"/>
    <w:rsid w:val="0066093B"/>
    <w:rsid w:val="00660D3F"/>
    <w:rsid w:val="00660F0E"/>
    <w:rsid w:val="00661095"/>
    <w:rsid w:val="00661099"/>
    <w:rsid w:val="0066115F"/>
    <w:rsid w:val="00661331"/>
    <w:rsid w:val="006613B0"/>
    <w:rsid w:val="00661625"/>
    <w:rsid w:val="0066162C"/>
    <w:rsid w:val="00661745"/>
    <w:rsid w:val="006617BD"/>
    <w:rsid w:val="00661862"/>
    <w:rsid w:val="006618CE"/>
    <w:rsid w:val="006619A5"/>
    <w:rsid w:val="00661A42"/>
    <w:rsid w:val="00661A7B"/>
    <w:rsid w:val="00661AC2"/>
    <w:rsid w:val="00661C30"/>
    <w:rsid w:val="00661C31"/>
    <w:rsid w:val="00661E3A"/>
    <w:rsid w:val="00661F1C"/>
    <w:rsid w:val="00662173"/>
    <w:rsid w:val="006621AD"/>
    <w:rsid w:val="006622C3"/>
    <w:rsid w:val="00662489"/>
    <w:rsid w:val="006625CD"/>
    <w:rsid w:val="00662604"/>
    <w:rsid w:val="006626DC"/>
    <w:rsid w:val="00662741"/>
    <w:rsid w:val="00662824"/>
    <w:rsid w:val="00662911"/>
    <w:rsid w:val="00662992"/>
    <w:rsid w:val="006629C7"/>
    <w:rsid w:val="00662A94"/>
    <w:rsid w:val="00662B08"/>
    <w:rsid w:val="00662B2E"/>
    <w:rsid w:val="00662B61"/>
    <w:rsid w:val="00662C13"/>
    <w:rsid w:val="00662CF8"/>
    <w:rsid w:val="00662D71"/>
    <w:rsid w:val="00662D7B"/>
    <w:rsid w:val="00662D8A"/>
    <w:rsid w:val="00662DF4"/>
    <w:rsid w:val="00662E60"/>
    <w:rsid w:val="00662EC3"/>
    <w:rsid w:val="00662F62"/>
    <w:rsid w:val="00662FA4"/>
    <w:rsid w:val="0066310C"/>
    <w:rsid w:val="0066314D"/>
    <w:rsid w:val="00663168"/>
    <w:rsid w:val="00663227"/>
    <w:rsid w:val="00663320"/>
    <w:rsid w:val="00663325"/>
    <w:rsid w:val="0066332D"/>
    <w:rsid w:val="0066339A"/>
    <w:rsid w:val="006633E2"/>
    <w:rsid w:val="0066356B"/>
    <w:rsid w:val="006635E5"/>
    <w:rsid w:val="00663747"/>
    <w:rsid w:val="00663796"/>
    <w:rsid w:val="00663825"/>
    <w:rsid w:val="00663B93"/>
    <w:rsid w:val="00663DAB"/>
    <w:rsid w:val="00663E36"/>
    <w:rsid w:val="00663F52"/>
    <w:rsid w:val="00663FC4"/>
    <w:rsid w:val="00663FE8"/>
    <w:rsid w:val="0066406B"/>
    <w:rsid w:val="0066410A"/>
    <w:rsid w:val="00664159"/>
    <w:rsid w:val="006641CA"/>
    <w:rsid w:val="00664372"/>
    <w:rsid w:val="0066438B"/>
    <w:rsid w:val="0066444A"/>
    <w:rsid w:val="00664452"/>
    <w:rsid w:val="006644E3"/>
    <w:rsid w:val="00664525"/>
    <w:rsid w:val="00664619"/>
    <w:rsid w:val="0066468D"/>
    <w:rsid w:val="0066481D"/>
    <w:rsid w:val="00664833"/>
    <w:rsid w:val="006649DB"/>
    <w:rsid w:val="00664B0C"/>
    <w:rsid w:val="00664B51"/>
    <w:rsid w:val="00664B78"/>
    <w:rsid w:val="00664BDF"/>
    <w:rsid w:val="00664C4F"/>
    <w:rsid w:val="00664E07"/>
    <w:rsid w:val="00664F82"/>
    <w:rsid w:val="0066503C"/>
    <w:rsid w:val="00665054"/>
    <w:rsid w:val="00665066"/>
    <w:rsid w:val="006650AE"/>
    <w:rsid w:val="006650C3"/>
    <w:rsid w:val="00665234"/>
    <w:rsid w:val="00665357"/>
    <w:rsid w:val="00665364"/>
    <w:rsid w:val="00665389"/>
    <w:rsid w:val="0066539C"/>
    <w:rsid w:val="0066547D"/>
    <w:rsid w:val="006654EE"/>
    <w:rsid w:val="00665538"/>
    <w:rsid w:val="0066576D"/>
    <w:rsid w:val="00665794"/>
    <w:rsid w:val="00665863"/>
    <w:rsid w:val="006658CE"/>
    <w:rsid w:val="00665A22"/>
    <w:rsid w:val="00665A70"/>
    <w:rsid w:val="00665B28"/>
    <w:rsid w:val="00665C3A"/>
    <w:rsid w:val="00665C87"/>
    <w:rsid w:val="00665F5E"/>
    <w:rsid w:val="0066605D"/>
    <w:rsid w:val="00666112"/>
    <w:rsid w:val="006663CC"/>
    <w:rsid w:val="006663E6"/>
    <w:rsid w:val="006663EA"/>
    <w:rsid w:val="006664EE"/>
    <w:rsid w:val="006666B5"/>
    <w:rsid w:val="00666825"/>
    <w:rsid w:val="0066682A"/>
    <w:rsid w:val="0066694F"/>
    <w:rsid w:val="00666ADD"/>
    <w:rsid w:val="00666D75"/>
    <w:rsid w:val="00666EE2"/>
    <w:rsid w:val="00667045"/>
    <w:rsid w:val="00667094"/>
    <w:rsid w:val="006671C5"/>
    <w:rsid w:val="00667328"/>
    <w:rsid w:val="00667349"/>
    <w:rsid w:val="006674A5"/>
    <w:rsid w:val="006674CC"/>
    <w:rsid w:val="00667713"/>
    <w:rsid w:val="0066778B"/>
    <w:rsid w:val="00667794"/>
    <w:rsid w:val="006677BE"/>
    <w:rsid w:val="0066781A"/>
    <w:rsid w:val="00667863"/>
    <w:rsid w:val="00667A46"/>
    <w:rsid w:val="00667B1B"/>
    <w:rsid w:val="00667C61"/>
    <w:rsid w:val="00667D3E"/>
    <w:rsid w:val="00667DF0"/>
    <w:rsid w:val="00670015"/>
    <w:rsid w:val="0067013C"/>
    <w:rsid w:val="006701D0"/>
    <w:rsid w:val="00670206"/>
    <w:rsid w:val="00670223"/>
    <w:rsid w:val="00670316"/>
    <w:rsid w:val="0067066D"/>
    <w:rsid w:val="006706C2"/>
    <w:rsid w:val="00670B43"/>
    <w:rsid w:val="00670B48"/>
    <w:rsid w:val="00670B7E"/>
    <w:rsid w:val="00670D43"/>
    <w:rsid w:val="00670D69"/>
    <w:rsid w:val="00670DD5"/>
    <w:rsid w:val="00670E4A"/>
    <w:rsid w:val="00670F2E"/>
    <w:rsid w:val="006715F0"/>
    <w:rsid w:val="006716C8"/>
    <w:rsid w:val="00671743"/>
    <w:rsid w:val="00671817"/>
    <w:rsid w:val="006718E2"/>
    <w:rsid w:val="00671918"/>
    <w:rsid w:val="0067191C"/>
    <w:rsid w:val="00671925"/>
    <w:rsid w:val="00671958"/>
    <w:rsid w:val="006719CA"/>
    <w:rsid w:val="00671AE4"/>
    <w:rsid w:val="00671BE7"/>
    <w:rsid w:val="00671E23"/>
    <w:rsid w:val="00672168"/>
    <w:rsid w:val="006721E6"/>
    <w:rsid w:val="00672337"/>
    <w:rsid w:val="00672341"/>
    <w:rsid w:val="00672434"/>
    <w:rsid w:val="00672515"/>
    <w:rsid w:val="0067257B"/>
    <w:rsid w:val="006726A8"/>
    <w:rsid w:val="0067289C"/>
    <w:rsid w:val="006728FA"/>
    <w:rsid w:val="00672A8A"/>
    <w:rsid w:val="00672B98"/>
    <w:rsid w:val="00672CB8"/>
    <w:rsid w:val="00672E9C"/>
    <w:rsid w:val="0067343D"/>
    <w:rsid w:val="00673483"/>
    <w:rsid w:val="006734EB"/>
    <w:rsid w:val="0067354C"/>
    <w:rsid w:val="00673691"/>
    <w:rsid w:val="0067377D"/>
    <w:rsid w:val="006737DE"/>
    <w:rsid w:val="0067384C"/>
    <w:rsid w:val="0067390C"/>
    <w:rsid w:val="00673932"/>
    <w:rsid w:val="006739AA"/>
    <w:rsid w:val="006739B4"/>
    <w:rsid w:val="006739C3"/>
    <w:rsid w:val="006739F5"/>
    <w:rsid w:val="00673A85"/>
    <w:rsid w:val="00673C25"/>
    <w:rsid w:val="00674005"/>
    <w:rsid w:val="0067410C"/>
    <w:rsid w:val="00674178"/>
    <w:rsid w:val="00674181"/>
    <w:rsid w:val="006741BD"/>
    <w:rsid w:val="00674200"/>
    <w:rsid w:val="00674270"/>
    <w:rsid w:val="0067432B"/>
    <w:rsid w:val="006743DD"/>
    <w:rsid w:val="00674490"/>
    <w:rsid w:val="0067459F"/>
    <w:rsid w:val="00674657"/>
    <w:rsid w:val="00674662"/>
    <w:rsid w:val="0067472D"/>
    <w:rsid w:val="006748C1"/>
    <w:rsid w:val="00674983"/>
    <w:rsid w:val="006749DB"/>
    <w:rsid w:val="006749ED"/>
    <w:rsid w:val="00674B0E"/>
    <w:rsid w:val="00674B77"/>
    <w:rsid w:val="00674B7E"/>
    <w:rsid w:val="00674CE5"/>
    <w:rsid w:val="00674D73"/>
    <w:rsid w:val="00675099"/>
    <w:rsid w:val="006750A3"/>
    <w:rsid w:val="006750B3"/>
    <w:rsid w:val="00675136"/>
    <w:rsid w:val="006752FC"/>
    <w:rsid w:val="006753F0"/>
    <w:rsid w:val="006755F3"/>
    <w:rsid w:val="006756B6"/>
    <w:rsid w:val="0067573F"/>
    <w:rsid w:val="0067581E"/>
    <w:rsid w:val="0067582A"/>
    <w:rsid w:val="006758C4"/>
    <w:rsid w:val="0067590D"/>
    <w:rsid w:val="00675944"/>
    <w:rsid w:val="00675A2C"/>
    <w:rsid w:val="00675AF7"/>
    <w:rsid w:val="00675EFD"/>
    <w:rsid w:val="00675F0E"/>
    <w:rsid w:val="0067608D"/>
    <w:rsid w:val="006761E1"/>
    <w:rsid w:val="00676257"/>
    <w:rsid w:val="006762EF"/>
    <w:rsid w:val="0067634F"/>
    <w:rsid w:val="006763DC"/>
    <w:rsid w:val="00676485"/>
    <w:rsid w:val="00676583"/>
    <w:rsid w:val="006765C5"/>
    <w:rsid w:val="006765F4"/>
    <w:rsid w:val="006766A4"/>
    <w:rsid w:val="006768C0"/>
    <w:rsid w:val="00676AE2"/>
    <w:rsid w:val="00676B77"/>
    <w:rsid w:val="00676BFA"/>
    <w:rsid w:val="00676C4A"/>
    <w:rsid w:val="00676D42"/>
    <w:rsid w:val="00676DB1"/>
    <w:rsid w:val="00676F3B"/>
    <w:rsid w:val="006771F3"/>
    <w:rsid w:val="0067725D"/>
    <w:rsid w:val="00677356"/>
    <w:rsid w:val="006775B2"/>
    <w:rsid w:val="006775D8"/>
    <w:rsid w:val="006775DD"/>
    <w:rsid w:val="006777E4"/>
    <w:rsid w:val="006779B4"/>
    <w:rsid w:val="006779C3"/>
    <w:rsid w:val="00677BBE"/>
    <w:rsid w:val="00677CB2"/>
    <w:rsid w:val="00677D71"/>
    <w:rsid w:val="00677E24"/>
    <w:rsid w:val="00677F3C"/>
    <w:rsid w:val="00677FD4"/>
    <w:rsid w:val="00680031"/>
    <w:rsid w:val="0068003A"/>
    <w:rsid w:val="0068015C"/>
    <w:rsid w:val="006801EF"/>
    <w:rsid w:val="00680327"/>
    <w:rsid w:val="00680408"/>
    <w:rsid w:val="006804D4"/>
    <w:rsid w:val="0068062C"/>
    <w:rsid w:val="0068087B"/>
    <w:rsid w:val="00680A48"/>
    <w:rsid w:val="00680A5B"/>
    <w:rsid w:val="00680BF4"/>
    <w:rsid w:val="00680C32"/>
    <w:rsid w:val="00680F7F"/>
    <w:rsid w:val="006810E9"/>
    <w:rsid w:val="0068112E"/>
    <w:rsid w:val="0068114A"/>
    <w:rsid w:val="006811A0"/>
    <w:rsid w:val="006811C9"/>
    <w:rsid w:val="00681225"/>
    <w:rsid w:val="0068141B"/>
    <w:rsid w:val="006814B9"/>
    <w:rsid w:val="006817CA"/>
    <w:rsid w:val="006818DA"/>
    <w:rsid w:val="00681911"/>
    <w:rsid w:val="0068191D"/>
    <w:rsid w:val="00681B97"/>
    <w:rsid w:val="00681BD8"/>
    <w:rsid w:val="00681C97"/>
    <w:rsid w:val="00681CF4"/>
    <w:rsid w:val="00681D22"/>
    <w:rsid w:val="00681E5B"/>
    <w:rsid w:val="00681E8A"/>
    <w:rsid w:val="00682001"/>
    <w:rsid w:val="006820C9"/>
    <w:rsid w:val="00682105"/>
    <w:rsid w:val="00682177"/>
    <w:rsid w:val="0068219C"/>
    <w:rsid w:val="006821C6"/>
    <w:rsid w:val="006821D3"/>
    <w:rsid w:val="00682255"/>
    <w:rsid w:val="0068225D"/>
    <w:rsid w:val="006824EA"/>
    <w:rsid w:val="006825E8"/>
    <w:rsid w:val="00682785"/>
    <w:rsid w:val="006827E3"/>
    <w:rsid w:val="00682933"/>
    <w:rsid w:val="00682A8E"/>
    <w:rsid w:val="00682B70"/>
    <w:rsid w:val="00682BC3"/>
    <w:rsid w:val="00682C8D"/>
    <w:rsid w:val="00682CCE"/>
    <w:rsid w:val="00682CF7"/>
    <w:rsid w:val="00682D76"/>
    <w:rsid w:val="00682D77"/>
    <w:rsid w:val="00682E96"/>
    <w:rsid w:val="00682F52"/>
    <w:rsid w:val="00682FF7"/>
    <w:rsid w:val="00683015"/>
    <w:rsid w:val="0068306B"/>
    <w:rsid w:val="0068308A"/>
    <w:rsid w:val="006830DA"/>
    <w:rsid w:val="006832D0"/>
    <w:rsid w:val="0068335B"/>
    <w:rsid w:val="00683814"/>
    <w:rsid w:val="00683892"/>
    <w:rsid w:val="006838CE"/>
    <w:rsid w:val="00683A35"/>
    <w:rsid w:val="00683A40"/>
    <w:rsid w:val="00683D01"/>
    <w:rsid w:val="00683D06"/>
    <w:rsid w:val="00683F4B"/>
    <w:rsid w:val="00683F5E"/>
    <w:rsid w:val="00684101"/>
    <w:rsid w:val="0068420F"/>
    <w:rsid w:val="006842B2"/>
    <w:rsid w:val="00684407"/>
    <w:rsid w:val="0068442F"/>
    <w:rsid w:val="006846DD"/>
    <w:rsid w:val="0068475B"/>
    <w:rsid w:val="00684800"/>
    <w:rsid w:val="00684842"/>
    <w:rsid w:val="00684878"/>
    <w:rsid w:val="006848F6"/>
    <w:rsid w:val="0068499D"/>
    <w:rsid w:val="00684B38"/>
    <w:rsid w:val="00684B69"/>
    <w:rsid w:val="00684B8F"/>
    <w:rsid w:val="00684CDA"/>
    <w:rsid w:val="00684D02"/>
    <w:rsid w:val="00684D33"/>
    <w:rsid w:val="00684D99"/>
    <w:rsid w:val="00684E8D"/>
    <w:rsid w:val="0068506A"/>
    <w:rsid w:val="0068545A"/>
    <w:rsid w:val="006854A4"/>
    <w:rsid w:val="00685534"/>
    <w:rsid w:val="006855CB"/>
    <w:rsid w:val="006856AA"/>
    <w:rsid w:val="00685764"/>
    <w:rsid w:val="006857B2"/>
    <w:rsid w:val="006857E5"/>
    <w:rsid w:val="00685838"/>
    <w:rsid w:val="006859C2"/>
    <w:rsid w:val="00685C17"/>
    <w:rsid w:val="00685C25"/>
    <w:rsid w:val="00685D39"/>
    <w:rsid w:val="00685DB3"/>
    <w:rsid w:val="00685E5A"/>
    <w:rsid w:val="00685E7F"/>
    <w:rsid w:val="0068622C"/>
    <w:rsid w:val="00686247"/>
    <w:rsid w:val="0068633F"/>
    <w:rsid w:val="006863CF"/>
    <w:rsid w:val="006864F0"/>
    <w:rsid w:val="0068654D"/>
    <w:rsid w:val="0068659D"/>
    <w:rsid w:val="006865F2"/>
    <w:rsid w:val="00686623"/>
    <w:rsid w:val="00686689"/>
    <w:rsid w:val="0068685B"/>
    <w:rsid w:val="006868F5"/>
    <w:rsid w:val="006869B3"/>
    <w:rsid w:val="00686AD1"/>
    <w:rsid w:val="00686B72"/>
    <w:rsid w:val="00686B90"/>
    <w:rsid w:val="00686D29"/>
    <w:rsid w:val="00686E9C"/>
    <w:rsid w:val="00686F51"/>
    <w:rsid w:val="0068700E"/>
    <w:rsid w:val="006870D7"/>
    <w:rsid w:val="006871DE"/>
    <w:rsid w:val="006872D7"/>
    <w:rsid w:val="00687506"/>
    <w:rsid w:val="00687603"/>
    <w:rsid w:val="00687657"/>
    <w:rsid w:val="006879DC"/>
    <w:rsid w:val="00687A2A"/>
    <w:rsid w:val="00687B37"/>
    <w:rsid w:val="00687BC8"/>
    <w:rsid w:val="00687BF0"/>
    <w:rsid w:val="00687CE1"/>
    <w:rsid w:val="00687DB9"/>
    <w:rsid w:val="00687E30"/>
    <w:rsid w:val="0069002F"/>
    <w:rsid w:val="006904BF"/>
    <w:rsid w:val="006905C3"/>
    <w:rsid w:val="0069061A"/>
    <w:rsid w:val="006908CF"/>
    <w:rsid w:val="0069096A"/>
    <w:rsid w:val="00690A48"/>
    <w:rsid w:val="00690C71"/>
    <w:rsid w:val="00690C88"/>
    <w:rsid w:val="00690C97"/>
    <w:rsid w:val="00690D13"/>
    <w:rsid w:val="00690D4E"/>
    <w:rsid w:val="00690F1F"/>
    <w:rsid w:val="0069127D"/>
    <w:rsid w:val="0069147D"/>
    <w:rsid w:val="006914B5"/>
    <w:rsid w:val="006914CE"/>
    <w:rsid w:val="0069172B"/>
    <w:rsid w:val="006919AB"/>
    <w:rsid w:val="00691A2D"/>
    <w:rsid w:val="00691A4F"/>
    <w:rsid w:val="00691A50"/>
    <w:rsid w:val="00691F5C"/>
    <w:rsid w:val="006920D7"/>
    <w:rsid w:val="0069211D"/>
    <w:rsid w:val="006922FC"/>
    <w:rsid w:val="00692387"/>
    <w:rsid w:val="006923C4"/>
    <w:rsid w:val="006923E8"/>
    <w:rsid w:val="0069241E"/>
    <w:rsid w:val="006926CD"/>
    <w:rsid w:val="00692717"/>
    <w:rsid w:val="00692855"/>
    <w:rsid w:val="00692A52"/>
    <w:rsid w:val="00692BD6"/>
    <w:rsid w:val="00692C74"/>
    <w:rsid w:val="00692DD5"/>
    <w:rsid w:val="00692F34"/>
    <w:rsid w:val="0069305E"/>
    <w:rsid w:val="0069319C"/>
    <w:rsid w:val="006931D8"/>
    <w:rsid w:val="006931DB"/>
    <w:rsid w:val="006931EA"/>
    <w:rsid w:val="006933BD"/>
    <w:rsid w:val="006934E5"/>
    <w:rsid w:val="006934F4"/>
    <w:rsid w:val="006936F0"/>
    <w:rsid w:val="006939EC"/>
    <w:rsid w:val="00693A51"/>
    <w:rsid w:val="00693B04"/>
    <w:rsid w:val="00693D5B"/>
    <w:rsid w:val="00693D7F"/>
    <w:rsid w:val="00693FC3"/>
    <w:rsid w:val="0069400A"/>
    <w:rsid w:val="00694117"/>
    <w:rsid w:val="006943A1"/>
    <w:rsid w:val="006945B7"/>
    <w:rsid w:val="006945E1"/>
    <w:rsid w:val="0069461E"/>
    <w:rsid w:val="006947B7"/>
    <w:rsid w:val="00694997"/>
    <w:rsid w:val="00694ADF"/>
    <w:rsid w:val="00694D9B"/>
    <w:rsid w:val="00695017"/>
    <w:rsid w:val="0069507F"/>
    <w:rsid w:val="006951A4"/>
    <w:rsid w:val="0069528A"/>
    <w:rsid w:val="00695311"/>
    <w:rsid w:val="00695360"/>
    <w:rsid w:val="0069542B"/>
    <w:rsid w:val="0069543F"/>
    <w:rsid w:val="00695586"/>
    <w:rsid w:val="006955A5"/>
    <w:rsid w:val="0069568F"/>
    <w:rsid w:val="006956A6"/>
    <w:rsid w:val="00695701"/>
    <w:rsid w:val="006957B1"/>
    <w:rsid w:val="006957E6"/>
    <w:rsid w:val="006957F7"/>
    <w:rsid w:val="006958C6"/>
    <w:rsid w:val="00695935"/>
    <w:rsid w:val="0069596C"/>
    <w:rsid w:val="00695A02"/>
    <w:rsid w:val="00695A77"/>
    <w:rsid w:val="00695BD7"/>
    <w:rsid w:val="00695BFF"/>
    <w:rsid w:val="00695E8C"/>
    <w:rsid w:val="006960A9"/>
    <w:rsid w:val="006960BA"/>
    <w:rsid w:val="0069618B"/>
    <w:rsid w:val="006961EC"/>
    <w:rsid w:val="00696430"/>
    <w:rsid w:val="006965A4"/>
    <w:rsid w:val="006966B1"/>
    <w:rsid w:val="006966DC"/>
    <w:rsid w:val="006966FD"/>
    <w:rsid w:val="0069679A"/>
    <w:rsid w:val="00696997"/>
    <w:rsid w:val="00696AAB"/>
    <w:rsid w:val="00696CD5"/>
    <w:rsid w:val="00696D3D"/>
    <w:rsid w:val="00696ECD"/>
    <w:rsid w:val="00696F46"/>
    <w:rsid w:val="00696FCF"/>
    <w:rsid w:val="00697050"/>
    <w:rsid w:val="00697071"/>
    <w:rsid w:val="006970AC"/>
    <w:rsid w:val="0069720A"/>
    <w:rsid w:val="0069722A"/>
    <w:rsid w:val="006972D7"/>
    <w:rsid w:val="00697432"/>
    <w:rsid w:val="00697563"/>
    <w:rsid w:val="00697582"/>
    <w:rsid w:val="006975E6"/>
    <w:rsid w:val="0069786C"/>
    <w:rsid w:val="00697B4E"/>
    <w:rsid w:val="00697BC9"/>
    <w:rsid w:val="00697C77"/>
    <w:rsid w:val="00697C78"/>
    <w:rsid w:val="00697D59"/>
    <w:rsid w:val="00697E12"/>
    <w:rsid w:val="006A0000"/>
    <w:rsid w:val="006A0004"/>
    <w:rsid w:val="006A0168"/>
    <w:rsid w:val="006A01E0"/>
    <w:rsid w:val="006A03A0"/>
    <w:rsid w:val="006A051E"/>
    <w:rsid w:val="006A0554"/>
    <w:rsid w:val="006A070D"/>
    <w:rsid w:val="006A084E"/>
    <w:rsid w:val="006A085D"/>
    <w:rsid w:val="006A0877"/>
    <w:rsid w:val="006A08E3"/>
    <w:rsid w:val="006A0A2A"/>
    <w:rsid w:val="006A0AD2"/>
    <w:rsid w:val="006A0B74"/>
    <w:rsid w:val="006A0BF5"/>
    <w:rsid w:val="006A0C14"/>
    <w:rsid w:val="006A0DB7"/>
    <w:rsid w:val="006A0E21"/>
    <w:rsid w:val="006A0FB0"/>
    <w:rsid w:val="006A0FCA"/>
    <w:rsid w:val="006A1126"/>
    <w:rsid w:val="006A11B6"/>
    <w:rsid w:val="006A1213"/>
    <w:rsid w:val="006A1433"/>
    <w:rsid w:val="006A14F8"/>
    <w:rsid w:val="006A165A"/>
    <w:rsid w:val="006A167E"/>
    <w:rsid w:val="006A1747"/>
    <w:rsid w:val="006A180B"/>
    <w:rsid w:val="006A1B1C"/>
    <w:rsid w:val="006A1C00"/>
    <w:rsid w:val="006A1C4A"/>
    <w:rsid w:val="006A1C91"/>
    <w:rsid w:val="006A1D3A"/>
    <w:rsid w:val="006A1E78"/>
    <w:rsid w:val="006A209E"/>
    <w:rsid w:val="006A2208"/>
    <w:rsid w:val="006A222D"/>
    <w:rsid w:val="006A2382"/>
    <w:rsid w:val="006A24F5"/>
    <w:rsid w:val="006A297D"/>
    <w:rsid w:val="006A2A6A"/>
    <w:rsid w:val="006A2BDF"/>
    <w:rsid w:val="006A2C40"/>
    <w:rsid w:val="006A2E60"/>
    <w:rsid w:val="006A2E67"/>
    <w:rsid w:val="006A2F72"/>
    <w:rsid w:val="006A2FD4"/>
    <w:rsid w:val="006A32EE"/>
    <w:rsid w:val="006A33B9"/>
    <w:rsid w:val="006A33E5"/>
    <w:rsid w:val="006A3651"/>
    <w:rsid w:val="006A368A"/>
    <w:rsid w:val="006A36EC"/>
    <w:rsid w:val="006A37D3"/>
    <w:rsid w:val="006A3928"/>
    <w:rsid w:val="006A3BA9"/>
    <w:rsid w:val="006A3C16"/>
    <w:rsid w:val="006A3C3D"/>
    <w:rsid w:val="006A3D01"/>
    <w:rsid w:val="006A3D3C"/>
    <w:rsid w:val="006A3E8C"/>
    <w:rsid w:val="006A415A"/>
    <w:rsid w:val="006A4186"/>
    <w:rsid w:val="006A4261"/>
    <w:rsid w:val="006A44A8"/>
    <w:rsid w:val="006A456D"/>
    <w:rsid w:val="006A4606"/>
    <w:rsid w:val="006A4745"/>
    <w:rsid w:val="006A4798"/>
    <w:rsid w:val="006A4845"/>
    <w:rsid w:val="006A4AF1"/>
    <w:rsid w:val="006A4CCD"/>
    <w:rsid w:val="006A4D48"/>
    <w:rsid w:val="006A4E14"/>
    <w:rsid w:val="006A4E7F"/>
    <w:rsid w:val="006A4E93"/>
    <w:rsid w:val="006A4FE0"/>
    <w:rsid w:val="006A5097"/>
    <w:rsid w:val="006A5146"/>
    <w:rsid w:val="006A518D"/>
    <w:rsid w:val="006A5191"/>
    <w:rsid w:val="006A520E"/>
    <w:rsid w:val="006A526D"/>
    <w:rsid w:val="006A53FD"/>
    <w:rsid w:val="006A54C4"/>
    <w:rsid w:val="006A56DA"/>
    <w:rsid w:val="006A5833"/>
    <w:rsid w:val="006A58EB"/>
    <w:rsid w:val="006A599E"/>
    <w:rsid w:val="006A5A1D"/>
    <w:rsid w:val="006A5BCD"/>
    <w:rsid w:val="006A5C42"/>
    <w:rsid w:val="006A5DCD"/>
    <w:rsid w:val="006A5DF2"/>
    <w:rsid w:val="006A5F19"/>
    <w:rsid w:val="006A5F3D"/>
    <w:rsid w:val="006A5F81"/>
    <w:rsid w:val="006A63B9"/>
    <w:rsid w:val="006A658F"/>
    <w:rsid w:val="006A6596"/>
    <w:rsid w:val="006A65E0"/>
    <w:rsid w:val="006A6608"/>
    <w:rsid w:val="006A6623"/>
    <w:rsid w:val="006A6675"/>
    <w:rsid w:val="006A6851"/>
    <w:rsid w:val="006A6998"/>
    <w:rsid w:val="006A69BD"/>
    <w:rsid w:val="006A6AC9"/>
    <w:rsid w:val="006A6AF8"/>
    <w:rsid w:val="006A6B2D"/>
    <w:rsid w:val="006A6D28"/>
    <w:rsid w:val="006A6DF3"/>
    <w:rsid w:val="006A6E1C"/>
    <w:rsid w:val="006A6F65"/>
    <w:rsid w:val="006A6FC7"/>
    <w:rsid w:val="006A6FD4"/>
    <w:rsid w:val="006A705F"/>
    <w:rsid w:val="006A72AB"/>
    <w:rsid w:val="006A73CA"/>
    <w:rsid w:val="006A7493"/>
    <w:rsid w:val="006A74AA"/>
    <w:rsid w:val="006A75A4"/>
    <w:rsid w:val="006A7640"/>
    <w:rsid w:val="006A7684"/>
    <w:rsid w:val="006A77B5"/>
    <w:rsid w:val="006A785E"/>
    <w:rsid w:val="006A78F5"/>
    <w:rsid w:val="006A7A67"/>
    <w:rsid w:val="006A7ADA"/>
    <w:rsid w:val="006A7D29"/>
    <w:rsid w:val="006A7D34"/>
    <w:rsid w:val="006A7DC4"/>
    <w:rsid w:val="006B0095"/>
    <w:rsid w:val="006B029A"/>
    <w:rsid w:val="006B0381"/>
    <w:rsid w:val="006B0395"/>
    <w:rsid w:val="006B04BD"/>
    <w:rsid w:val="006B055E"/>
    <w:rsid w:val="006B05EC"/>
    <w:rsid w:val="006B0637"/>
    <w:rsid w:val="006B0680"/>
    <w:rsid w:val="006B070B"/>
    <w:rsid w:val="006B07A5"/>
    <w:rsid w:val="006B0830"/>
    <w:rsid w:val="006B0869"/>
    <w:rsid w:val="006B0880"/>
    <w:rsid w:val="006B094E"/>
    <w:rsid w:val="006B0B16"/>
    <w:rsid w:val="006B0BC4"/>
    <w:rsid w:val="006B0C83"/>
    <w:rsid w:val="006B0C93"/>
    <w:rsid w:val="006B0DAA"/>
    <w:rsid w:val="006B0DD5"/>
    <w:rsid w:val="006B0F9E"/>
    <w:rsid w:val="006B1186"/>
    <w:rsid w:val="006B11E8"/>
    <w:rsid w:val="006B1241"/>
    <w:rsid w:val="006B129B"/>
    <w:rsid w:val="006B12FE"/>
    <w:rsid w:val="006B1368"/>
    <w:rsid w:val="006B1397"/>
    <w:rsid w:val="006B14BE"/>
    <w:rsid w:val="006B1787"/>
    <w:rsid w:val="006B184B"/>
    <w:rsid w:val="006B1AB1"/>
    <w:rsid w:val="006B1B2B"/>
    <w:rsid w:val="006B1B80"/>
    <w:rsid w:val="006B1C66"/>
    <w:rsid w:val="006B1C6D"/>
    <w:rsid w:val="006B1D95"/>
    <w:rsid w:val="006B1E42"/>
    <w:rsid w:val="006B22E9"/>
    <w:rsid w:val="006B2357"/>
    <w:rsid w:val="006B2402"/>
    <w:rsid w:val="006B2403"/>
    <w:rsid w:val="006B2548"/>
    <w:rsid w:val="006B25C0"/>
    <w:rsid w:val="006B2630"/>
    <w:rsid w:val="006B274F"/>
    <w:rsid w:val="006B27B1"/>
    <w:rsid w:val="006B2A76"/>
    <w:rsid w:val="006B2A7E"/>
    <w:rsid w:val="006B2B63"/>
    <w:rsid w:val="006B2D89"/>
    <w:rsid w:val="006B2D8F"/>
    <w:rsid w:val="006B2E26"/>
    <w:rsid w:val="006B2EA3"/>
    <w:rsid w:val="006B2EAD"/>
    <w:rsid w:val="006B2F8C"/>
    <w:rsid w:val="006B2FB0"/>
    <w:rsid w:val="006B3039"/>
    <w:rsid w:val="006B303C"/>
    <w:rsid w:val="006B309D"/>
    <w:rsid w:val="006B30B2"/>
    <w:rsid w:val="006B332E"/>
    <w:rsid w:val="006B341F"/>
    <w:rsid w:val="006B34D4"/>
    <w:rsid w:val="006B3502"/>
    <w:rsid w:val="006B35D1"/>
    <w:rsid w:val="006B366A"/>
    <w:rsid w:val="006B371A"/>
    <w:rsid w:val="006B395C"/>
    <w:rsid w:val="006B39AF"/>
    <w:rsid w:val="006B3D3C"/>
    <w:rsid w:val="006B3D83"/>
    <w:rsid w:val="006B3DEA"/>
    <w:rsid w:val="006B3F49"/>
    <w:rsid w:val="006B3FEA"/>
    <w:rsid w:val="006B419E"/>
    <w:rsid w:val="006B41FC"/>
    <w:rsid w:val="006B4322"/>
    <w:rsid w:val="006B45D2"/>
    <w:rsid w:val="006B45FB"/>
    <w:rsid w:val="006B4768"/>
    <w:rsid w:val="006B47BC"/>
    <w:rsid w:val="006B48BD"/>
    <w:rsid w:val="006B4995"/>
    <w:rsid w:val="006B4A20"/>
    <w:rsid w:val="006B4A4A"/>
    <w:rsid w:val="006B4DBB"/>
    <w:rsid w:val="006B4DDE"/>
    <w:rsid w:val="006B4E4A"/>
    <w:rsid w:val="006B4FCB"/>
    <w:rsid w:val="006B5019"/>
    <w:rsid w:val="006B5255"/>
    <w:rsid w:val="006B52BA"/>
    <w:rsid w:val="006B537D"/>
    <w:rsid w:val="006B5464"/>
    <w:rsid w:val="006B5537"/>
    <w:rsid w:val="006B559C"/>
    <w:rsid w:val="006B561C"/>
    <w:rsid w:val="006B59D3"/>
    <w:rsid w:val="006B5A8D"/>
    <w:rsid w:val="006B5D44"/>
    <w:rsid w:val="006B5DBF"/>
    <w:rsid w:val="006B5E27"/>
    <w:rsid w:val="006B5EBA"/>
    <w:rsid w:val="006B60B7"/>
    <w:rsid w:val="006B61A5"/>
    <w:rsid w:val="006B635F"/>
    <w:rsid w:val="006B6372"/>
    <w:rsid w:val="006B63F2"/>
    <w:rsid w:val="006B64D7"/>
    <w:rsid w:val="006B662A"/>
    <w:rsid w:val="006B67E0"/>
    <w:rsid w:val="006B697F"/>
    <w:rsid w:val="006B6AC8"/>
    <w:rsid w:val="006B6CCA"/>
    <w:rsid w:val="006B6D2D"/>
    <w:rsid w:val="006B6E5A"/>
    <w:rsid w:val="006B6ED8"/>
    <w:rsid w:val="006B6F6B"/>
    <w:rsid w:val="006B70A7"/>
    <w:rsid w:val="006B716F"/>
    <w:rsid w:val="006B7360"/>
    <w:rsid w:val="006B73A7"/>
    <w:rsid w:val="006B74D2"/>
    <w:rsid w:val="006B74F3"/>
    <w:rsid w:val="006B7661"/>
    <w:rsid w:val="006B7689"/>
    <w:rsid w:val="006B7691"/>
    <w:rsid w:val="006B76C5"/>
    <w:rsid w:val="006B787F"/>
    <w:rsid w:val="006B7950"/>
    <w:rsid w:val="006B7993"/>
    <w:rsid w:val="006B7B11"/>
    <w:rsid w:val="006B7DDD"/>
    <w:rsid w:val="006B7DF9"/>
    <w:rsid w:val="006B7EAC"/>
    <w:rsid w:val="006B7F80"/>
    <w:rsid w:val="006C008D"/>
    <w:rsid w:val="006C0339"/>
    <w:rsid w:val="006C0445"/>
    <w:rsid w:val="006C047A"/>
    <w:rsid w:val="006C04CC"/>
    <w:rsid w:val="006C0536"/>
    <w:rsid w:val="006C055C"/>
    <w:rsid w:val="006C05E8"/>
    <w:rsid w:val="006C06E3"/>
    <w:rsid w:val="006C073C"/>
    <w:rsid w:val="006C0773"/>
    <w:rsid w:val="006C0793"/>
    <w:rsid w:val="006C07E9"/>
    <w:rsid w:val="006C0A91"/>
    <w:rsid w:val="006C0AD6"/>
    <w:rsid w:val="006C0E2B"/>
    <w:rsid w:val="006C0EA2"/>
    <w:rsid w:val="006C0F83"/>
    <w:rsid w:val="006C101C"/>
    <w:rsid w:val="006C1042"/>
    <w:rsid w:val="006C1073"/>
    <w:rsid w:val="006C10A1"/>
    <w:rsid w:val="006C1211"/>
    <w:rsid w:val="006C1408"/>
    <w:rsid w:val="006C1672"/>
    <w:rsid w:val="006C17E9"/>
    <w:rsid w:val="006C191F"/>
    <w:rsid w:val="006C19BD"/>
    <w:rsid w:val="006C1A07"/>
    <w:rsid w:val="006C1A44"/>
    <w:rsid w:val="006C1BAC"/>
    <w:rsid w:val="006C1CAB"/>
    <w:rsid w:val="006C1DA4"/>
    <w:rsid w:val="006C1FD8"/>
    <w:rsid w:val="006C20B6"/>
    <w:rsid w:val="006C20C9"/>
    <w:rsid w:val="006C20F7"/>
    <w:rsid w:val="006C21BA"/>
    <w:rsid w:val="006C2495"/>
    <w:rsid w:val="006C24AE"/>
    <w:rsid w:val="006C2597"/>
    <w:rsid w:val="006C267C"/>
    <w:rsid w:val="006C26DA"/>
    <w:rsid w:val="006C27C2"/>
    <w:rsid w:val="006C2835"/>
    <w:rsid w:val="006C2A32"/>
    <w:rsid w:val="006C2A69"/>
    <w:rsid w:val="006C2E63"/>
    <w:rsid w:val="006C2F37"/>
    <w:rsid w:val="006C30E7"/>
    <w:rsid w:val="006C31AD"/>
    <w:rsid w:val="006C31BD"/>
    <w:rsid w:val="006C31C9"/>
    <w:rsid w:val="006C31FE"/>
    <w:rsid w:val="006C3272"/>
    <w:rsid w:val="006C34A2"/>
    <w:rsid w:val="006C3500"/>
    <w:rsid w:val="006C359B"/>
    <w:rsid w:val="006C360B"/>
    <w:rsid w:val="006C3636"/>
    <w:rsid w:val="006C36B8"/>
    <w:rsid w:val="006C3977"/>
    <w:rsid w:val="006C39E2"/>
    <w:rsid w:val="006C3CE1"/>
    <w:rsid w:val="006C3D24"/>
    <w:rsid w:val="006C40DC"/>
    <w:rsid w:val="006C41AA"/>
    <w:rsid w:val="006C41D3"/>
    <w:rsid w:val="006C43BA"/>
    <w:rsid w:val="006C4433"/>
    <w:rsid w:val="006C488F"/>
    <w:rsid w:val="006C4A69"/>
    <w:rsid w:val="006C4B54"/>
    <w:rsid w:val="006C4DEC"/>
    <w:rsid w:val="006C4E1B"/>
    <w:rsid w:val="006C4EE2"/>
    <w:rsid w:val="006C4F16"/>
    <w:rsid w:val="006C4F7E"/>
    <w:rsid w:val="006C502F"/>
    <w:rsid w:val="006C5173"/>
    <w:rsid w:val="006C52F9"/>
    <w:rsid w:val="006C532F"/>
    <w:rsid w:val="006C53A6"/>
    <w:rsid w:val="006C53E6"/>
    <w:rsid w:val="006C5481"/>
    <w:rsid w:val="006C5492"/>
    <w:rsid w:val="006C5779"/>
    <w:rsid w:val="006C579F"/>
    <w:rsid w:val="006C57F2"/>
    <w:rsid w:val="006C58FC"/>
    <w:rsid w:val="006C5922"/>
    <w:rsid w:val="006C598C"/>
    <w:rsid w:val="006C5A80"/>
    <w:rsid w:val="006C5ABF"/>
    <w:rsid w:val="006C5B37"/>
    <w:rsid w:val="006C5D2D"/>
    <w:rsid w:val="006C5D2F"/>
    <w:rsid w:val="006C5E06"/>
    <w:rsid w:val="006C6405"/>
    <w:rsid w:val="006C6450"/>
    <w:rsid w:val="006C64F9"/>
    <w:rsid w:val="006C656E"/>
    <w:rsid w:val="006C65C9"/>
    <w:rsid w:val="006C68E0"/>
    <w:rsid w:val="006C6931"/>
    <w:rsid w:val="006C69E1"/>
    <w:rsid w:val="006C6CC2"/>
    <w:rsid w:val="006C6E11"/>
    <w:rsid w:val="006C6E97"/>
    <w:rsid w:val="006C720E"/>
    <w:rsid w:val="006C728A"/>
    <w:rsid w:val="006C72DB"/>
    <w:rsid w:val="006C730E"/>
    <w:rsid w:val="006C742F"/>
    <w:rsid w:val="006C758E"/>
    <w:rsid w:val="006C7674"/>
    <w:rsid w:val="006C77BC"/>
    <w:rsid w:val="006C77E1"/>
    <w:rsid w:val="006C77ED"/>
    <w:rsid w:val="006C7919"/>
    <w:rsid w:val="006C7B96"/>
    <w:rsid w:val="006C7BA5"/>
    <w:rsid w:val="006C7DCC"/>
    <w:rsid w:val="006D0021"/>
    <w:rsid w:val="006D00FF"/>
    <w:rsid w:val="006D013B"/>
    <w:rsid w:val="006D01BA"/>
    <w:rsid w:val="006D0381"/>
    <w:rsid w:val="006D04D5"/>
    <w:rsid w:val="006D059C"/>
    <w:rsid w:val="006D0716"/>
    <w:rsid w:val="006D076A"/>
    <w:rsid w:val="006D07EE"/>
    <w:rsid w:val="006D07F5"/>
    <w:rsid w:val="006D0804"/>
    <w:rsid w:val="006D098C"/>
    <w:rsid w:val="006D09E0"/>
    <w:rsid w:val="006D0AC8"/>
    <w:rsid w:val="006D0BB1"/>
    <w:rsid w:val="006D0CBC"/>
    <w:rsid w:val="006D0D79"/>
    <w:rsid w:val="006D0F36"/>
    <w:rsid w:val="006D0F57"/>
    <w:rsid w:val="006D0FF7"/>
    <w:rsid w:val="006D10F8"/>
    <w:rsid w:val="006D1158"/>
    <w:rsid w:val="006D117B"/>
    <w:rsid w:val="006D11B6"/>
    <w:rsid w:val="006D11C8"/>
    <w:rsid w:val="006D12C8"/>
    <w:rsid w:val="006D14D6"/>
    <w:rsid w:val="006D163A"/>
    <w:rsid w:val="006D174F"/>
    <w:rsid w:val="006D19A1"/>
    <w:rsid w:val="006D1E26"/>
    <w:rsid w:val="006D1F0B"/>
    <w:rsid w:val="006D1F2A"/>
    <w:rsid w:val="006D1FC5"/>
    <w:rsid w:val="006D21F1"/>
    <w:rsid w:val="006D2494"/>
    <w:rsid w:val="006D2512"/>
    <w:rsid w:val="006D2655"/>
    <w:rsid w:val="006D2766"/>
    <w:rsid w:val="006D277E"/>
    <w:rsid w:val="006D28E1"/>
    <w:rsid w:val="006D2950"/>
    <w:rsid w:val="006D29EC"/>
    <w:rsid w:val="006D2CFF"/>
    <w:rsid w:val="006D2D33"/>
    <w:rsid w:val="006D2EE2"/>
    <w:rsid w:val="006D2FD5"/>
    <w:rsid w:val="006D3140"/>
    <w:rsid w:val="006D31A2"/>
    <w:rsid w:val="006D3235"/>
    <w:rsid w:val="006D328E"/>
    <w:rsid w:val="006D3331"/>
    <w:rsid w:val="006D343A"/>
    <w:rsid w:val="006D358D"/>
    <w:rsid w:val="006D35CE"/>
    <w:rsid w:val="006D3630"/>
    <w:rsid w:val="006D36C3"/>
    <w:rsid w:val="006D37F7"/>
    <w:rsid w:val="006D39F6"/>
    <w:rsid w:val="006D3A41"/>
    <w:rsid w:val="006D3A9F"/>
    <w:rsid w:val="006D3ACE"/>
    <w:rsid w:val="006D3CA3"/>
    <w:rsid w:val="006D3CF7"/>
    <w:rsid w:val="006D3DB8"/>
    <w:rsid w:val="006D400F"/>
    <w:rsid w:val="006D4076"/>
    <w:rsid w:val="006D41F2"/>
    <w:rsid w:val="006D4287"/>
    <w:rsid w:val="006D42E6"/>
    <w:rsid w:val="006D43A7"/>
    <w:rsid w:val="006D458E"/>
    <w:rsid w:val="006D45D6"/>
    <w:rsid w:val="006D474B"/>
    <w:rsid w:val="006D480E"/>
    <w:rsid w:val="006D48AD"/>
    <w:rsid w:val="006D499B"/>
    <w:rsid w:val="006D4A97"/>
    <w:rsid w:val="006D4BAB"/>
    <w:rsid w:val="006D4DC2"/>
    <w:rsid w:val="006D4E6E"/>
    <w:rsid w:val="006D50DC"/>
    <w:rsid w:val="006D522D"/>
    <w:rsid w:val="006D5268"/>
    <w:rsid w:val="006D52D4"/>
    <w:rsid w:val="006D52FB"/>
    <w:rsid w:val="006D5378"/>
    <w:rsid w:val="006D563A"/>
    <w:rsid w:val="006D56EE"/>
    <w:rsid w:val="006D5735"/>
    <w:rsid w:val="006D583F"/>
    <w:rsid w:val="006D59DB"/>
    <w:rsid w:val="006D59FB"/>
    <w:rsid w:val="006D5A33"/>
    <w:rsid w:val="006D5AC3"/>
    <w:rsid w:val="006D5C71"/>
    <w:rsid w:val="006D5CB1"/>
    <w:rsid w:val="006D5F64"/>
    <w:rsid w:val="006D5F75"/>
    <w:rsid w:val="006D6086"/>
    <w:rsid w:val="006D6098"/>
    <w:rsid w:val="006D63C1"/>
    <w:rsid w:val="006D64A3"/>
    <w:rsid w:val="006D654F"/>
    <w:rsid w:val="006D661F"/>
    <w:rsid w:val="006D6806"/>
    <w:rsid w:val="006D6865"/>
    <w:rsid w:val="006D6950"/>
    <w:rsid w:val="006D6962"/>
    <w:rsid w:val="006D6A59"/>
    <w:rsid w:val="006D6C01"/>
    <w:rsid w:val="006D6C60"/>
    <w:rsid w:val="006D6D38"/>
    <w:rsid w:val="006D6EC3"/>
    <w:rsid w:val="006D6F1B"/>
    <w:rsid w:val="006D6F7F"/>
    <w:rsid w:val="006D6FDA"/>
    <w:rsid w:val="006D726A"/>
    <w:rsid w:val="006D738E"/>
    <w:rsid w:val="006D74A7"/>
    <w:rsid w:val="006D75F8"/>
    <w:rsid w:val="006D76BB"/>
    <w:rsid w:val="006D76C0"/>
    <w:rsid w:val="006D779A"/>
    <w:rsid w:val="006D78BE"/>
    <w:rsid w:val="006D7940"/>
    <w:rsid w:val="006D79F7"/>
    <w:rsid w:val="006D7AA9"/>
    <w:rsid w:val="006D7B6D"/>
    <w:rsid w:val="006D7B91"/>
    <w:rsid w:val="006D7C50"/>
    <w:rsid w:val="006D7E0C"/>
    <w:rsid w:val="006D7FF5"/>
    <w:rsid w:val="006E00EA"/>
    <w:rsid w:val="006E0109"/>
    <w:rsid w:val="006E0269"/>
    <w:rsid w:val="006E03CE"/>
    <w:rsid w:val="006E04B2"/>
    <w:rsid w:val="006E0542"/>
    <w:rsid w:val="006E0543"/>
    <w:rsid w:val="006E05BB"/>
    <w:rsid w:val="006E06E6"/>
    <w:rsid w:val="006E082B"/>
    <w:rsid w:val="006E088E"/>
    <w:rsid w:val="006E0911"/>
    <w:rsid w:val="006E098C"/>
    <w:rsid w:val="006E0A5C"/>
    <w:rsid w:val="006E0A7D"/>
    <w:rsid w:val="006E0B6C"/>
    <w:rsid w:val="006E0B76"/>
    <w:rsid w:val="006E0B7C"/>
    <w:rsid w:val="006E0BB1"/>
    <w:rsid w:val="006E0DA7"/>
    <w:rsid w:val="006E0E5B"/>
    <w:rsid w:val="006E0F12"/>
    <w:rsid w:val="006E0F20"/>
    <w:rsid w:val="006E0FD9"/>
    <w:rsid w:val="006E10EC"/>
    <w:rsid w:val="006E1302"/>
    <w:rsid w:val="006E149D"/>
    <w:rsid w:val="006E1761"/>
    <w:rsid w:val="006E1880"/>
    <w:rsid w:val="006E1891"/>
    <w:rsid w:val="006E18A6"/>
    <w:rsid w:val="006E18AE"/>
    <w:rsid w:val="006E19C8"/>
    <w:rsid w:val="006E19F5"/>
    <w:rsid w:val="006E1B2B"/>
    <w:rsid w:val="006E1B4C"/>
    <w:rsid w:val="006E1BFF"/>
    <w:rsid w:val="006E1DA5"/>
    <w:rsid w:val="006E1E2B"/>
    <w:rsid w:val="006E1F14"/>
    <w:rsid w:val="006E1F60"/>
    <w:rsid w:val="006E1FB2"/>
    <w:rsid w:val="006E210F"/>
    <w:rsid w:val="006E2168"/>
    <w:rsid w:val="006E2210"/>
    <w:rsid w:val="006E2230"/>
    <w:rsid w:val="006E2284"/>
    <w:rsid w:val="006E22FA"/>
    <w:rsid w:val="006E240D"/>
    <w:rsid w:val="006E248C"/>
    <w:rsid w:val="006E2500"/>
    <w:rsid w:val="006E25AE"/>
    <w:rsid w:val="006E26DC"/>
    <w:rsid w:val="006E283B"/>
    <w:rsid w:val="006E284F"/>
    <w:rsid w:val="006E2881"/>
    <w:rsid w:val="006E29C8"/>
    <w:rsid w:val="006E2A21"/>
    <w:rsid w:val="006E2BBD"/>
    <w:rsid w:val="006E2CC4"/>
    <w:rsid w:val="006E2E4B"/>
    <w:rsid w:val="006E2ED8"/>
    <w:rsid w:val="006E2F12"/>
    <w:rsid w:val="006E304E"/>
    <w:rsid w:val="006E3087"/>
    <w:rsid w:val="006E3137"/>
    <w:rsid w:val="006E31D8"/>
    <w:rsid w:val="006E32AB"/>
    <w:rsid w:val="006E33ED"/>
    <w:rsid w:val="006E34B5"/>
    <w:rsid w:val="006E34DA"/>
    <w:rsid w:val="006E3567"/>
    <w:rsid w:val="006E3578"/>
    <w:rsid w:val="006E36A1"/>
    <w:rsid w:val="006E36CB"/>
    <w:rsid w:val="006E36EB"/>
    <w:rsid w:val="006E36FA"/>
    <w:rsid w:val="006E379B"/>
    <w:rsid w:val="006E3828"/>
    <w:rsid w:val="006E3B08"/>
    <w:rsid w:val="006E3BBA"/>
    <w:rsid w:val="006E3D51"/>
    <w:rsid w:val="006E3FF2"/>
    <w:rsid w:val="006E401F"/>
    <w:rsid w:val="006E4320"/>
    <w:rsid w:val="006E43F2"/>
    <w:rsid w:val="006E443F"/>
    <w:rsid w:val="006E44CF"/>
    <w:rsid w:val="006E45F1"/>
    <w:rsid w:val="006E464E"/>
    <w:rsid w:val="006E4711"/>
    <w:rsid w:val="006E48A5"/>
    <w:rsid w:val="006E4916"/>
    <w:rsid w:val="006E4943"/>
    <w:rsid w:val="006E4974"/>
    <w:rsid w:val="006E4A2A"/>
    <w:rsid w:val="006E4AF9"/>
    <w:rsid w:val="006E4B8C"/>
    <w:rsid w:val="006E4C82"/>
    <w:rsid w:val="006E4E48"/>
    <w:rsid w:val="006E5159"/>
    <w:rsid w:val="006E520F"/>
    <w:rsid w:val="006E52D2"/>
    <w:rsid w:val="006E53A7"/>
    <w:rsid w:val="006E53FF"/>
    <w:rsid w:val="006E5558"/>
    <w:rsid w:val="006E55D1"/>
    <w:rsid w:val="006E56A8"/>
    <w:rsid w:val="006E5706"/>
    <w:rsid w:val="006E5722"/>
    <w:rsid w:val="006E57B1"/>
    <w:rsid w:val="006E57E8"/>
    <w:rsid w:val="006E5827"/>
    <w:rsid w:val="006E5A27"/>
    <w:rsid w:val="006E5AF3"/>
    <w:rsid w:val="006E5C27"/>
    <w:rsid w:val="006E5D6C"/>
    <w:rsid w:val="006E5DF6"/>
    <w:rsid w:val="006E6066"/>
    <w:rsid w:val="006E6068"/>
    <w:rsid w:val="006E6074"/>
    <w:rsid w:val="006E61DA"/>
    <w:rsid w:val="006E61E0"/>
    <w:rsid w:val="006E636B"/>
    <w:rsid w:val="006E637A"/>
    <w:rsid w:val="006E64A8"/>
    <w:rsid w:val="006E64DE"/>
    <w:rsid w:val="006E656D"/>
    <w:rsid w:val="006E65C1"/>
    <w:rsid w:val="006E69C8"/>
    <w:rsid w:val="006E6AD7"/>
    <w:rsid w:val="006E6B03"/>
    <w:rsid w:val="006E6B3B"/>
    <w:rsid w:val="006E6B49"/>
    <w:rsid w:val="006E6B55"/>
    <w:rsid w:val="006E6BE8"/>
    <w:rsid w:val="006E6C28"/>
    <w:rsid w:val="006E6CBF"/>
    <w:rsid w:val="006E6D29"/>
    <w:rsid w:val="006E6DC2"/>
    <w:rsid w:val="006E7033"/>
    <w:rsid w:val="006E703E"/>
    <w:rsid w:val="006E7196"/>
    <w:rsid w:val="006E72EC"/>
    <w:rsid w:val="006E73B1"/>
    <w:rsid w:val="006E7446"/>
    <w:rsid w:val="006E746F"/>
    <w:rsid w:val="006E75CC"/>
    <w:rsid w:val="006E76BD"/>
    <w:rsid w:val="006E76DC"/>
    <w:rsid w:val="006E77FF"/>
    <w:rsid w:val="006E7819"/>
    <w:rsid w:val="006E78A5"/>
    <w:rsid w:val="006E78EC"/>
    <w:rsid w:val="006E7AD5"/>
    <w:rsid w:val="006E7BBD"/>
    <w:rsid w:val="006E7BE5"/>
    <w:rsid w:val="006E7C9F"/>
    <w:rsid w:val="006E7D47"/>
    <w:rsid w:val="006E7DA9"/>
    <w:rsid w:val="006E7E09"/>
    <w:rsid w:val="006F002C"/>
    <w:rsid w:val="006F00B2"/>
    <w:rsid w:val="006F00CE"/>
    <w:rsid w:val="006F0392"/>
    <w:rsid w:val="006F055E"/>
    <w:rsid w:val="006F0584"/>
    <w:rsid w:val="006F059D"/>
    <w:rsid w:val="006F05C7"/>
    <w:rsid w:val="006F081C"/>
    <w:rsid w:val="006F0839"/>
    <w:rsid w:val="006F083A"/>
    <w:rsid w:val="006F0891"/>
    <w:rsid w:val="006F08C2"/>
    <w:rsid w:val="006F09C1"/>
    <w:rsid w:val="006F0BF2"/>
    <w:rsid w:val="006F0C28"/>
    <w:rsid w:val="006F0CE8"/>
    <w:rsid w:val="006F0DA4"/>
    <w:rsid w:val="006F0FE4"/>
    <w:rsid w:val="006F112F"/>
    <w:rsid w:val="006F113D"/>
    <w:rsid w:val="006F1173"/>
    <w:rsid w:val="006F12FD"/>
    <w:rsid w:val="006F13E9"/>
    <w:rsid w:val="006F144C"/>
    <w:rsid w:val="006F1488"/>
    <w:rsid w:val="006F15AC"/>
    <w:rsid w:val="006F170A"/>
    <w:rsid w:val="006F1A26"/>
    <w:rsid w:val="006F1B33"/>
    <w:rsid w:val="006F1CE8"/>
    <w:rsid w:val="006F1DAD"/>
    <w:rsid w:val="006F1E01"/>
    <w:rsid w:val="006F1E08"/>
    <w:rsid w:val="006F1E53"/>
    <w:rsid w:val="006F1EB1"/>
    <w:rsid w:val="006F1EF8"/>
    <w:rsid w:val="006F2009"/>
    <w:rsid w:val="006F21DD"/>
    <w:rsid w:val="006F2282"/>
    <w:rsid w:val="006F22D1"/>
    <w:rsid w:val="006F2354"/>
    <w:rsid w:val="006F23BF"/>
    <w:rsid w:val="006F24DD"/>
    <w:rsid w:val="006F2533"/>
    <w:rsid w:val="006F25DA"/>
    <w:rsid w:val="006F26CA"/>
    <w:rsid w:val="006F26D9"/>
    <w:rsid w:val="006F28C5"/>
    <w:rsid w:val="006F2936"/>
    <w:rsid w:val="006F29A9"/>
    <w:rsid w:val="006F2A4E"/>
    <w:rsid w:val="006F2B79"/>
    <w:rsid w:val="006F2C5C"/>
    <w:rsid w:val="006F2C79"/>
    <w:rsid w:val="006F2D18"/>
    <w:rsid w:val="006F2EE4"/>
    <w:rsid w:val="006F3007"/>
    <w:rsid w:val="006F302F"/>
    <w:rsid w:val="006F3140"/>
    <w:rsid w:val="006F324A"/>
    <w:rsid w:val="006F32A0"/>
    <w:rsid w:val="006F3436"/>
    <w:rsid w:val="006F34F8"/>
    <w:rsid w:val="006F353B"/>
    <w:rsid w:val="006F363F"/>
    <w:rsid w:val="006F368A"/>
    <w:rsid w:val="006F36B9"/>
    <w:rsid w:val="006F36C2"/>
    <w:rsid w:val="006F36E7"/>
    <w:rsid w:val="006F37D2"/>
    <w:rsid w:val="006F37D7"/>
    <w:rsid w:val="006F3831"/>
    <w:rsid w:val="006F38D1"/>
    <w:rsid w:val="006F39DE"/>
    <w:rsid w:val="006F3A2C"/>
    <w:rsid w:val="006F3A7D"/>
    <w:rsid w:val="006F3BC1"/>
    <w:rsid w:val="006F3C6E"/>
    <w:rsid w:val="006F3CB2"/>
    <w:rsid w:val="006F3CCC"/>
    <w:rsid w:val="006F3CD9"/>
    <w:rsid w:val="006F3CDC"/>
    <w:rsid w:val="006F3DA3"/>
    <w:rsid w:val="006F3E91"/>
    <w:rsid w:val="006F40A5"/>
    <w:rsid w:val="006F40AD"/>
    <w:rsid w:val="006F40D4"/>
    <w:rsid w:val="006F40E0"/>
    <w:rsid w:val="006F4252"/>
    <w:rsid w:val="006F42E6"/>
    <w:rsid w:val="006F4304"/>
    <w:rsid w:val="006F435A"/>
    <w:rsid w:val="006F460B"/>
    <w:rsid w:val="006F46F0"/>
    <w:rsid w:val="006F479F"/>
    <w:rsid w:val="006F4898"/>
    <w:rsid w:val="006F4A80"/>
    <w:rsid w:val="006F4B39"/>
    <w:rsid w:val="006F4BB2"/>
    <w:rsid w:val="006F4C79"/>
    <w:rsid w:val="006F4D46"/>
    <w:rsid w:val="006F4F1F"/>
    <w:rsid w:val="006F4FC3"/>
    <w:rsid w:val="006F5082"/>
    <w:rsid w:val="006F50E7"/>
    <w:rsid w:val="006F51AE"/>
    <w:rsid w:val="006F5281"/>
    <w:rsid w:val="006F5313"/>
    <w:rsid w:val="006F5343"/>
    <w:rsid w:val="006F53AF"/>
    <w:rsid w:val="006F544E"/>
    <w:rsid w:val="006F561E"/>
    <w:rsid w:val="006F56B2"/>
    <w:rsid w:val="006F57EE"/>
    <w:rsid w:val="006F5819"/>
    <w:rsid w:val="006F5910"/>
    <w:rsid w:val="006F5975"/>
    <w:rsid w:val="006F5A6C"/>
    <w:rsid w:val="006F5B33"/>
    <w:rsid w:val="006F5BDF"/>
    <w:rsid w:val="006F5C57"/>
    <w:rsid w:val="006F5C8C"/>
    <w:rsid w:val="006F5DDC"/>
    <w:rsid w:val="006F5E31"/>
    <w:rsid w:val="006F5E45"/>
    <w:rsid w:val="006F5F2E"/>
    <w:rsid w:val="006F5F4B"/>
    <w:rsid w:val="006F6060"/>
    <w:rsid w:val="006F62E9"/>
    <w:rsid w:val="006F62F8"/>
    <w:rsid w:val="006F631A"/>
    <w:rsid w:val="006F63BC"/>
    <w:rsid w:val="006F65A7"/>
    <w:rsid w:val="006F66FF"/>
    <w:rsid w:val="006F6825"/>
    <w:rsid w:val="006F69C8"/>
    <w:rsid w:val="006F6A0C"/>
    <w:rsid w:val="006F6A22"/>
    <w:rsid w:val="006F6AC6"/>
    <w:rsid w:val="006F6C83"/>
    <w:rsid w:val="006F6E03"/>
    <w:rsid w:val="006F6E07"/>
    <w:rsid w:val="006F7058"/>
    <w:rsid w:val="006F7064"/>
    <w:rsid w:val="006F727B"/>
    <w:rsid w:val="006F727D"/>
    <w:rsid w:val="006F7452"/>
    <w:rsid w:val="006F751B"/>
    <w:rsid w:val="006F757D"/>
    <w:rsid w:val="006F761A"/>
    <w:rsid w:val="006F7717"/>
    <w:rsid w:val="006F7752"/>
    <w:rsid w:val="006F775F"/>
    <w:rsid w:val="006F7812"/>
    <w:rsid w:val="006F78A3"/>
    <w:rsid w:val="006F78C7"/>
    <w:rsid w:val="006F78CE"/>
    <w:rsid w:val="006F79A8"/>
    <w:rsid w:val="006F79D8"/>
    <w:rsid w:val="006F7A56"/>
    <w:rsid w:val="006F7B84"/>
    <w:rsid w:val="006F7C4B"/>
    <w:rsid w:val="006F7E30"/>
    <w:rsid w:val="006F7FB2"/>
    <w:rsid w:val="006F7FD9"/>
    <w:rsid w:val="006F7FED"/>
    <w:rsid w:val="00700023"/>
    <w:rsid w:val="007000A4"/>
    <w:rsid w:val="0070038F"/>
    <w:rsid w:val="007003D0"/>
    <w:rsid w:val="00700661"/>
    <w:rsid w:val="0070070A"/>
    <w:rsid w:val="007007E7"/>
    <w:rsid w:val="00700A03"/>
    <w:rsid w:val="00700A1A"/>
    <w:rsid w:val="00700BCA"/>
    <w:rsid w:val="00700C28"/>
    <w:rsid w:val="00700D52"/>
    <w:rsid w:val="00700DA4"/>
    <w:rsid w:val="00700E3D"/>
    <w:rsid w:val="00700EE4"/>
    <w:rsid w:val="00700F97"/>
    <w:rsid w:val="00700FE2"/>
    <w:rsid w:val="0070139A"/>
    <w:rsid w:val="007015B7"/>
    <w:rsid w:val="007015EA"/>
    <w:rsid w:val="00701892"/>
    <w:rsid w:val="007018A5"/>
    <w:rsid w:val="007018CD"/>
    <w:rsid w:val="00701914"/>
    <w:rsid w:val="0070193B"/>
    <w:rsid w:val="0070195C"/>
    <w:rsid w:val="007019F9"/>
    <w:rsid w:val="00701A3B"/>
    <w:rsid w:val="00701B49"/>
    <w:rsid w:val="00701BDF"/>
    <w:rsid w:val="00701BE9"/>
    <w:rsid w:val="00701EDA"/>
    <w:rsid w:val="00702001"/>
    <w:rsid w:val="007022AC"/>
    <w:rsid w:val="00702345"/>
    <w:rsid w:val="0070234C"/>
    <w:rsid w:val="0070239A"/>
    <w:rsid w:val="0070252C"/>
    <w:rsid w:val="007025E4"/>
    <w:rsid w:val="00702688"/>
    <w:rsid w:val="0070287C"/>
    <w:rsid w:val="007028C9"/>
    <w:rsid w:val="00702A01"/>
    <w:rsid w:val="00702A99"/>
    <w:rsid w:val="00702ACD"/>
    <w:rsid w:val="00702B39"/>
    <w:rsid w:val="00702D1E"/>
    <w:rsid w:val="00702E64"/>
    <w:rsid w:val="00702E79"/>
    <w:rsid w:val="00702F47"/>
    <w:rsid w:val="00702F97"/>
    <w:rsid w:val="00702FE2"/>
    <w:rsid w:val="007033B0"/>
    <w:rsid w:val="00703473"/>
    <w:rsid w:val="007034BF"/>
    <w:rsid w:val="007034E1"/>
    <w:rsid w:val="007035AF"/>
    <w:rsid w:val="00703752"/>
    <w:rsid w:val="00703832"/>
    <w:rsid w:val="00703897"/>
    <w:rsid w:val="007038B5"/>
    <w:rsid w:val="007039ED"/>
    <w:rsid w:val="00703AAF"/>
    <w:rsid w:val="00703B89"/>
    <w:rsid w:val="00703C27"/>
    <w:rsid w:val="00703C75"/>
    <w:rsid w:val="00703CE6"/>
    <w:rsid w:val="00703D17"/>
    <w:rsid w:val="00703E90"/>
    <w:rsid w:val="00703F08"/>
    <w:rsid w:val="00703F2E"/>
    <w:rsid w:val="007041EE"/>
    <w:rsid w:val="0070425A"/>
    <w:rsid w:val="0070439E"/>
    <w:rsid w:val="00704467"/>
    <w:rsid w:val="00704B17"/>
    <w:rsid w:val="00704C00"/>
    <w:rsid w:val="00704E58"/>
    <w:rsid w:val="00704EAB"/>
    <w:rsid w:val="007050DE"/>
    <w:rsid w:val="00705235"/>
    <w:rsid w:val="007053CC"/>
    <w:rsid w:val="00705419"/>
    <w:rsid w:val="0070543A"/>
    <w:rsid w:val="00705484"/>
    <w:rsid w:val="007055C8"/>
    <w:rsid w:val="007059BC"/>
    <w:rsid w:val="00705A0C"/>
    <w:rsid w:val="00705B03"/>
    <w:rsid w:val="00705B6A"/>
    <w:rsid w:val="00705B6E"/>
    <w:rsid w:val="00705D73"/>
    <w:rsid w:val="00705E48"/>
    <w:rsid w:val="00705EBF"/>
    <w:rsid w:val="00705FB9"/>
    <w:rsid w:val="00706053"/>
    <w:rsid w:val="007061B3"/>
    <w:rsid w:val="00706620"/>
    <w:rsid w:val="0070663D"/>
    <w:rsid w:val="0070669B"/>
    <w:rsid w:val="007066E0"/>
    <w:rsid w:val="00706919"/>
    <w:rsid w:val="007069A4"/>
    <w:rsid w:val="00706A64"/>
    <w:rsid w:val="00706D5E"/>
    <w:rsid w:val="00706E9B"/>
    <w:rsid w:val="00706F0B"/>
    <w:rsid w:val="00707100"/>
    <w:rsid w:val="00707144"/>
    <w:rsid w:val="0070715E"/>
    <w:rsid w:val="0070717E"/>
    <w:rsid w:val="00707183"/>
    <w:rsid w:val="00707185"/>
    <w:rsid w:val="0070724E"/>
    <w:rsid w:val="00707462"/>
    <w:rsid w:val="0070767C"/>
    <w:rsid w:val="00707940"/>
    <w:rsid w:val="00707B6F"/>
    <w:rsid w:val="00707C48"/>
    <w:rsid w:val="00707CEF"/>
    <w:rsid w:val="00707E17"/>
    <w:rsid w:val="00707F37"/>
    <w:rsid w:val="00707F78"/>
    <w:rsid w:val="0071006B"/>
    <w:rsid w:val="00710139"/>
    <w:rsid w:val="0071016E"/>
    <w:rsid w:val="007102AF"/>
    <w:rsid w:val="00710365"/>
    <w:rsid w:val="0071044E"/>
    <w:rsid w:val="007104CF"/>
    <w:rsid w:val="007106E2"/>
    <w:rsid w:val="0071078C"/>
    <w:rsid w:val="00710809"/>
    <w:rsid w:val="00710AA6"/>
    <w:rsid w:val="00710AEA"/>
    <w:rsid w:val="00710B5D"/>
    <w:rsid w:val="00710BDC"/>
    <w:rsid w:val="00710D2F"/>
    <w:rsid w:val="00710D81"/>
    <w:rsid w:val="00710F41"/>
    <w:rsid w:val="007111C2"/>
    <w:rsid w:val="007113AD"/>
    <w:rsid w:val="0071145C"/>
    <w:rsid w:val="0071149F"/>
    <w:rsid w:val="007114A6"/>
    <w:rsid w:val="0071159D"/>
    <w:rsid w:val="007116C6"/>
    <w:rsid w:val="00711903"/>
    <w:rsid w:val="0071191D"/>
    <w:rsid w:val="007119FB"/>
    <w:rsid w:val="00711AC3"/>
    <w:rsid w:val="00711B5E"/>
    <w:rsid w:val="00711BA7"/>
    <w:rsid w:val="00711E38"/>
    <w:rsid w:val="00711F05"/>
    <w:rsid w:val="007121D8"/>
    <w:rsid w:val="0071239D"/>
    <w:rsid w:val="00712601"/>
    <w:rsid w:val="007126D0"/>
    <w:rsid w:val="007127BF"/>
    <w:rsid w:val="007127F8"/>
    <w:rsid w:val="007128A9"/>
    <w:rsid w:val="00712C30"/>
    <w:rsid w:val="00712D37"/>
    <w:rsid w:val="00712EF0"/>
    <w:rsid w:val="00713006"/>
    <w:rsid w:val="007130AF"/>
    <w:rsid w:val="007130B1"/>
    <w:rsid w:val="0071332A"/>
    <w:rsid w:val="007134B3"/>
    <w:rsid w:val="00713505"/>
    <w:rsid w:val="0071364B"/>
    <w:rsid w:val="00713657"/>
    <w:rsid w:val="0071375C"/>
    <w:rsid w:val="007137B3"/>
    <w:rsid w:val="0071386A"/>
    <w:rsid w:val="00713879"/>
    <w:rsid w:val="0071390F"/>
    <w:rsid w:val="00713BFD"/>
    <w:rsid w:val="00713CBF"/>
    <w:rsid w:val="00713CD3"/>
    <w:rsid w:val="00713D02"/>
    <w:rsid w:val="00713F75"/>
    <w:rsid w:val="00714077"/>
    <w:rsid w:val="00714096"/>
    <w:rsid w:val="00714212"/>
    <w:rsid w:val="0071446B"/>
    <w:rsid w:val="007145AA"/>
    <w:rsid w:val="007146D9"/>
    <w:rsid w:val="00714722"/>
    <w:rsid w:val="00714844"/>
    <w:rsid w:val="0071485F"/>
    <w:rsid w:val="0071489A"/>
    <w:rsid w:val="00714943"/>
    <w:rsid w:val="00714996"/>
    <w:rsid w:val="00714AA9"/>
    <w:rsid w:val="00714B12"/>
    <w:rsid w:val="00714B21"/>
    <w:rsid w:val="00714B32"/>
    <w:rsid w:val="00714C11"/>
    <w:rsid w:val="00714C1B"/>
    <w:rsid w:val="007150D9"/>
    <w:rsid w:val="00715131"/>
    <w:rsid w:val="00715211"/>
    <w:rsid w:val="00715234"/>
    <w:rsid w:val="0071525A"/>
    <w:rsid w:val="007152FD"/>
    <w:rsid w:val="00715446"/>
    <w:rsid w:val="00715459"/>
    <w:rsid w:val="00715526"/>
    <w:rsid w:val="0071553D"/>
    <w:rsid w:val="00715540"/>
    <w:rsid w:val="00715707"/>
    <w:rsid w:val="00715774"/>
    <w:rsid w:val="007157EC"/>
    <w:rsid w:val="00715824"/>
    <w:rsid w:val="00715848"/>
    <w:rsid w:val="0071592E"/>
    <w:rsid w:val="007159C6"/>
    <w:rsid w:val="007159EB"/>
    <w:rsid w:val="00715A7C"/>
    <w:rsid w:val="00715AE0"/>
    <w:rsid w:val="00715DA7"/>
    <w:rsid w:val="0071638D"/>
    <w:rsid w:val="007165C1"/>
    <w:rsid w:val="007166D3"/>
    <w:rsid w:val="00716774"/>
    <w:rsid w:val="007167E5"/>
    <w:rsid w:val="0071690B"/>
    <w:rsid w:val="0071696E"/>
    <w:rsid w:val="00716973"/>
    <w:rsid w:val="00716A02"/>
    <w:rsid w:val="00716A94"/>
    <w:rsid w:val="00716AA2"/>
    <w:rsid w:val="00716B23"/>
    <w:rsid w:val="00716CDC"/>
    <w:rsid w:val="00716D33"/>
    <w:rsid w:val="00716D9E"/>
    <w:rsid w:val="00716E92"/>
    <w:rsid w:val="00716F04"/>
    <w:rsid w:val="007170C2"/>
    <w:rsid w:val="007171A3"/>
    <w:rsid w:val="007171B2"/>
    <w:rsid w:val="007171C2"/>
    <w:rsid w:val="00717202"/>
    <w:rsid w:val="007172C4"/>
    <w:rsid w:val="007172C6"/>
    <w:rsid w:val="00717368"/>
    <w:rsid w:val="007173C1"/>
    <w:rsid w:val="0071756A"/>
    <w:rsid w:val="00717724"/>
    <w:rsid w:val="0071774D"/>
    <w:rsid w:val="007177F0"/>
    <w:rsid w:val="00717E14"/>
    <w:rsid w:val="00717E18"/>
    <w:rsid w:val="00717E99"/>
    <w:rsid w:val="00717EA4"/>
    <w:rsid w:val="00717EF7"/>
    <w:rsid w:val="00717F47"/>
    <w:rsid w:val="007204D5"/>
    <w:rsid w:val="00720571"/>
    <w:rsid w:val="00720577"/>
    <w:rsid w:val="0072069C"/>
    <w:rsid w:val="007206C9"/>
    <w:rsid w:val="007206ED"/>
    <w:rsid w:val="007206FD"/>
    <w:rsid w:val="00720762"/>
    <w:rsid w:val="00720895"/>
    <w:rsid w:val="007208F4"/>
    <w:rsid w:val="00720990"/>
    <w:rsid w:val="00720AA7"/>
    <w:rsid w:val="00720C1D"/>
    <w:rsid w:val="00720C67"/>
    <w:rsid w:val="00720E2F"/>
    <w:rsid w:val="00720F05"/>
    <w:rsid w:val="00720FF1"/>
    <w:rsid w:val="00721005"/>
    <w:rsid w:val="00721087"/>
    <w:rsid w:val="007210BF"/>
    <w:rsid w:val="007211B5"/>
    <w:rsid w:val="00721261"/>
    <w:rsid w:val="00721277"/>
    <w:rsid w:val="007212DA"/>
    <w:rsid w:val="007212DD"/>
    <w:rsid w:val="007213A7"/>
    <w:rsid w:val="00721500"/>
    <w:rsid w:val="00721553"/>
    <w:rsid w:val="00721567"/>
    <w:rsid w:val="00721592"/>
    <w:rsid w:val="007216C4"/>
    <w:rsid w:val="00721888"/>
    <w:rsid w:val="00721945"/>
    <w:rsid w:val="007219FD"/>
    <w:rsid w:val="00721A25"/>
    <w:rsid w:val="00721A6A"/>
    <w:rsid w:val="00721AD5"/>
    <w:rsid w:val="00721CBC"/>
    <w:rsid w:val="00721E37"/>
    <w:rsid w:val="00721EC6"/>
    <w:rsid w:val="00721F75"/>
    <w:rsid w:val="00722032"/>
    <w:rsid w:val="00722160"/>
    <w:rsid w:val="007221D4"/>
    <w:rsid w:val="00722200"/>
    <w:rsid w:val="007222C0"/>
    <w:rsid w:val="007222E8"/>
    <w:rsid w:val="00722347"/>
    <w:rsid w:val="00722475"/>
    <w:rsid w:val="00722651"/>
    <w:rsid w:val="0072267F"/>
    <w:rsid w:val="00722755"/>
    <w:rsid w:val="007227F3"/>
    <w:rsid w:val="0072288C"/>
    <w:rsid w:val="00722910"/>
    <w:rsid w:val="0072293E"/>
    <w:rsid w:val="007229B7"/>
    <w:rsid w:val="00722A8E"/>
    <w:rsid w:val="00722B4C"/>
    <w:rsid w:val="00722D9F"/>
    <w:rsid w:val="00722F00"/>
    <w:rsid w:val="00723126"/>
    <w:rsid w:val="00723157"/>
    <w:rsid w:val="00723251"/>
    <w:rsid w:val="007232EF"/>
    <w:rsid w:val="0072333A"/>
    <w:rsid w:val="0072336E"/>
    <w:rsid w:val="0072338A"/>
    <w:rsid w:val="00723450"/>
    <w:rsid w:val="007234D5"/>
    <w:rsid w:val="0072382A"/>
    <w:rsid w:val="0072382B"/>
    <w:rsid w:val="0072385D"/>
    <w:rsid w:val="00723946"/>
    <w:rsid w:val="007239AA"/>
    <w:rsid w:val="00723CCF"/>
    <w:rsid w:val="00723D1E"/>
    <w:rsid w:val="00723D62"/>
    <w:rsid w:val="00723E8B"/>
    <w:rsid w:val="00723EA7"/>
    <w:rsid w:val="00723EC0"/>
    <w:rsid w:val="00723EE0"/>
    <w:rsid w:val="00723F4B"/>
    <w:rsid w:val="0072411A"/>
    <w:rsid w:val="00724241"/>
    <w:rsid w:val="00724292"/>
    <w:rsid w:val="00724381"/>
    <w:rsid w:val="00724444"/>
    <w:rsid w:val="00724597"/>
    <w:rsid w:val="0072466B"/>
    <w:rsid w:val="00724820"/>
    <w:rsid w:val="00724821"/>
    <w:rsid w:val="00724930"/>
    <w:rsid w:val="00724AD5"/>
    <w:rsid w:val="00724AD6"/>
    <w:rsid w:val="00724BF3"/>
    <w:rsid w:val="00724CFC"/>
    <w:rsid w:val="00724DB5"/>
    <w:rsid w:val="00724DE5"/>
    <w:rsid w:val="00724E48"/>
    <w:rsid w:val="00724F09"/>
    <w:rsid w:val="00724F1B"/>
    <w:rsid w:val="00724FD3"/>
    <w:rsid w:val="007251DD"/>
    <w:rsid w:val="00725320"/>
    <w:rsid w:val="007255FE"/>
    <w:rsid w:val="00725647"/>
    <w:rsid w:val="007256A3"/>
    <w:rsid w:val="00725828"/>
    <w:rsid w:val="00725831"/>
    <w:rsid w:val="007258AC"/>
    <w:rsid w:val="00725A48"/>
    <w:rsid w:val="00725AA1"/>
    <w:rsid w:val="00725AD3"/>
    <w:rsid w:val="00725BA7"/>
    <w:rsid w:val="00725DF6"/>
    <w:rsid w:val="00725E12"/>
    <w:rsid w:val="00725F9F"/>
    <w:rsid w:val="00725FA1"/>
    <w:rsid w:val="00726076"/>
    <w:rsid w:val="00726162"/>
    <w:rsid w:val="00726363"/>
    <w:rsid w:val="00726702"/>
    <w:rsid w:val="00726A11"/>
    <w:rsid w:val="00726A4A"/>
    <w:rsid w:val="00726BC0"/>
    <w:rsid w:val="00726F6F"/>
    <w:rsid w:val="0072703A"/>
    <w:rsid w:val="00727173"/>
    <w:rsid w:val="00727188"/>
    <w:rsid w:val="007271B4"/>
    <w:rsid w:val="00727272"/>
    <w:rsid w:val="007273B5"/>
    <w:rsid w:val="00727493"/>
    <w:rsid w:val="007274B1"/>
    <w:rsid w:val="007274B3"/>
    <w:rsid w:val="00727501"/>
    <w:rsid w:val="00727624"/>
    <w:rsid w:val="007276D3"/>
    <w:rsid w:val="00727788"/>
    <w:rsid w:val="007277E7"/>
    <w:rsid w:val="0072789F"/>
    <w:rsid w:val="00727913"/>
    <w:rsid w:val="007279D0"/>
    <w:rsid w:val="00727AFB"/>
    <w:rsid w:val="00727B2E"/>
    <w:rsid w:val="00727B32"/>
    <w:rsid w:val="00727BB0"/>
    <w:rsid w:val="00727BE3"/>
    <w:rsid w:val="00727CB9"/>
    <w:rsid w:val="00727E16"/>
    <w:rsid w:val="00727EEF"/>
    <w:rsid w:val="00727FED"/>
    <w:rsid w:val="00730071"/>
    <w:rsid w:val="00730097"/>
    <w:rsid w:val="007300F5"/>
    <w:rsid w:val="007302E4"/>
    <w:rsid w:val="0073031A"/>
    <w:rsid w:val="00730457"/>
    <w:rsid w:val="007304AF"/>
    <w:rsid w:val="00730540"/>
    <w:rsid w:val="007305D8"/>
    <w:rsid w:val="007306DF"/>
    <w:rsid w:val="00730909"/>
    <w:rsid w:val="0073092E"/>
    <w:rsid w:val="00730A06"/>
    <w:rsid w:val="00730A88"/>
    <w:rsid w:val="00730B24"/>
    <w:rsid w:val="00730B40"/>
    <w:rsid w:val="00730BD0"/>
    <w:rsid w:val="00730E1A"/>
    <w:rsid w:val="00730E53"/>
    <w:rsid w:val="00730E8D"/>
    <w:rsid w:val="00730F32"/>
    <w:rsid w:val="00730F37"/>
    <w:rsid w:val="00730FBC"/>
    <w:rsid w:val="0073130A"/>
    <w:rsid w:val="00731654"/>
    <w:rsid w:val="0073166F"/>
    <w:rsid w:val="007317CE"/>
    <w:rsid w:val="00731BBA"/>
    <w:rsid w:val="00731D3E"/>
    <w:rsid w:val="00731E4D"/>
    <w:rsid w:val="00731E6C"/>
    <w:rsid w:val="007320BC"/>
    <w:rsid w:val="007320F2"/>
    <w:rsid w:val="0073224E"/>
    <w:rsid w:val="00732275"/>
    <w:rsid w:val="0073232A"/>
    <w:rsid w:val="00732374"/>
    <w:rsid w:val="007323A0"/>
    <w:rsid w:val="00732574"/>
    <w:rsid w:val="00732666"/>
    <w:rsid w:val="007327A2"/>
    <w:rsid w:val="0073281A"/>
    <w:rsid w:val="0073285C"/>
    <w:rsid w:val="00732888"/>
    <w:rsid w:val="007328B6"/>
    <w:rsid w:val="007328F5"/>
    <w:rsid w:val="0073290A"/>
    <w:rsid w:val="00732BC1"/>
    <w:rsid w:val="00732DC1"/>
    <w:rsid w:val="00732EF2"/>
    <w:rsid w:val="00732F5E"/>
    <w:rsid w:val="00732FE1"/>
    <w:rsid w:val="0073303B"/>
    <w:rsid w:val="007330DB"/>
    <w:rsid w:val="00733160"/>
    <w:rsid w:val="00733206"/>
    <w:rsid w:val="007333BA"/>
    <w:rsid w:val="0073345D"/>
    <w:rsid w:val="007335C0"/>
    <w:rsid w:val="00733617"/>
    <w:rsid w:val="0073372C"/>
    <w:rsid w:val="0073379B"/>
    <w:rsid w:val="007337D9"/>
    <w:rsid w:val="007337FF"/>
    <w:rsid w:val="00733BC3"/>
    <w:rsid w:val="00733D98"/>
    <w:rsid w:val="00733E76"/>
    <w:rsid w:val="00733E80"/>
    <w:rsid w:val="0073401C"/>
    <w:rsid w:val="007340C0"/>
    <w:rsid w:val="00734117"/>
    <w:rsid w:val="007341A8"/>
    <w:rsid w:val="0073422D"/>
    <w:rsid w:val="007343C0"/>
    <w:rsid w:val="007343C5"/>
    <w:rsid w:val="007345C8"/>
    <w:rsid w:val="007347A1"/>
    <w:rsid w:val="007347AB"/>
    <w:rsid w:val="007347E7"/>
    <w:rsid w:val="0073482E"/>
    <w:rsid w:val="00734A22"/>
    <w:rsid w:val="00734B53"/>
    <w:rsid w:val="00734BE8"/>
    <w:rsid w:val="00734C24"/>
    <w:rsid w:val="00735063"/>
    <w:rsid w:val="0073518B"/>
    <w:rsid w:val="007351D3"/>
    <w:rsid w:val="0073532C"/>
    <w:rsid w:val="00735392"/>
    <w:rsid w:val="007353E2"/>
    <w:rsid w:val="0073560E"/>
    <w:rsid w:val="00735611"/>
    <w:rsid w:val="00735612"/>
    <w:rsid w:val="0073598B"/>
    <w:rsid w:val="0073598F"/>
    <w:rsid w:val="00735AB3"/>
    <w:rsid w:val="00735CF5"/>
    <w:rsid w:val="00735D01"/>
    <w:rsid w:val="00735D36"/>
    <w:rsid w:val="00735E12"/>
    <w:rsid w:val="00735E8C"/>
    <w:rsid w:val="00735F21"/>
    <w:rsid w:val="00735F2D"/>
    <w:rsid w:val="00735F91"/>
    <w:rsid w:val="00736013"/>
    <w:rsid w:val="0073605A"/>
    <w:rsid w:val="007360E1"/>
    <w:rsid w:val="00736269"/>
    <w:rsid w:val="0073626F"/>
    <w:rsid w:val="007362B9"/>
    <w:rsid w:val="00736466"/>
    <w:rsid w:val="00736556"/>
    <w:rsid w:val="0073657A"/>
    <w:rsid w:val="0073671A"/>
    <w:rsid w:val="00736735"/>
    <w:rsid w:val="0073675A"/>
    <w:rsid w:val="00736792"/>
    <w:rsid w:val="00736851"/>
    <w:rsid w:val="0073685A"/>
    <w:rsid w:val="007369B2"/>
    <w:rsid w:val="00736A1B"/>
    <w:rsid w:val="00736BFE"/>
    <w:rsid w:val="00736C0C"/>
    <w:rsid w:val="00736C40"/>
    <w:rsid w:val="00736CE4"/>
    <w:rsid w:val="00736D41"/>
    <w:rsid w:val="00736D49"/>
    <w:rsid w:val="00736E43"/>
    <w:rsid w:val="00736E65"/>
    <w:rsid w:val="00736F04"/>
    <w:rsid w:val="00737008"/>
    <w:rsid w:val="007371A0"/>
    <w:rsid w:val="007371E4"/>
    <w:rsid w:val="00737387"/>
    <w:rsid w:val="007373A8"/>
    <w:rsid w:val="00737580"/>
    <w:rsid w:val="00737596"/>
    <w:rsid w:val="007375D9"/>
    <w:rsid w:val="00737892"/>
    <w:rsid w:val="007378FB"/>
    <w:rsid w:val="007379C2"/>
    <w:rsid w:val="007379CE"/>
    <w:rsid w:val="00737A92"/>
    <w:rsid w:val="00737C26"/>
    <w:rsid w:val="00737C8B"/>
    <w:rsid w:val="00737E28"/>
    <w:rsid w:val="00737E51"/>
    <w:rsid w:val="00737E77"/>
    <w:rsid w:val="00737F41"/>
    <w:rsid w:val="00737FA5"/>
    <w:rsid w:val="0074004E"/>
    <w:rsid w:val="007403BA"/>
    <w:rsid w:val="00740510"/>
    <w:rsid w:val="00740512"/>
    <w:rsid w:val="00740715"/>
    <w:rsid w:val="00740782"/>
    <w:rsid w:val="007407E1"/>
    <w:rsid w:val="0074088B"/>
    <w:rsid w:val="007409D7"/>
    <w:rsid w:val="00740AD3"/>
    <w:rsid w:val="00740AE6"/>
    <w:rsid w:val="00740AF8"/>
    <w:rsid w:val="00740BB6"/>
    <w:rsid w:val="00740BF8"/>
    <w:rsid w:val="00740C9A"/>
    <w:rsid w:val="00740CD1"/>
    <w:rsid w:val="00740CF5"/>
    <w:rsid w:val="00740DE8"/>
    <w:rsid w:val="00740F4E"/>
    <w:rsid w:val="00741060"/>
    <w:rsid w:val="0074114F"/>
    <w:rsid w:val="0074136A"/>
    <w:rsid w:val="0074138C"/>
    <w:rsid w:val="00741507"/>
    <w:rsid w:val="007415BB"/>
    <w:rsid w:val="0074176A"/>
    <w:rsid w:val="00741967"/>
    <w:rsid w:val="00741A21"/>
    <w:rsid w:val="00741AD7"/>
    <w:rsid w:val="00741CC6"/>
    <w:rsid w:val="00741CDF"/>
    <w:rsid w:val="00741E98"/>
    <w:rsid w:val="00741EB4"/>
    <w:rsid w:val="00741F13"/>
    <w:rsid w:val="0074204A"/>
    <w:rsid w:val="0074205A"/>
    <w:rsid w:val="007421CF"/>
    <w:rsid w:val="007424F3"/>
    <w:rsid w:val="00742724"/>
    <w:rsid w:val="00742797"/>
    <w:rsid w:val="00742AEB"/>
    <w:rsid w:val="00742B3C"/>
    <w:rsid w:val="00742B4E"/>
    <w:rsid w:val="00742CFC"/>
    <w:rsid w:val="00742E3E"/>
    <w:rsid w:val="00742F9B"/>
    <w:rsid w:val="00743003"/>
    <w:rsid w:val="00743073"/>
    <w:rsid w:val="007430C4"/>
    <w:rsid w:val="007432F5"/>
    <w:rsid w:val="00743329"/>
    <w:rsid w:val="0074333F"/>
    <w:rsid w:val="00743477"/>
    <w:rsid w:val="007435AA"/>
    <w:rsid w:val="0074360E"/>
    <w:rsid w:val="00743667"/>
    <w:rsid w:val="0074367F"/>
    <w:rsid w:val="0074387D"/>
    <w:rsid w:val="00743891"/>
    <w:rsid w:val="00743A29"/>
    <w:rsid w:val="00743A39"/>
    <w:rsid w:val="00743AA7"/>
    <w:rsid w:val="00743B49"/>
    <w:rsid w:val="00743CC4"/>
    <w:rsid w:val="00743D0B"/>
    <w:rsid w:val="00743DD9"/>
    <w:rsid w:val="00744097"/>
    <w:rsid w:val="007441A2"/>
    <w:rsid w:val="0074434D"/>
    <w:rsid w:val="0074438D"/>
    <w:rsid w:val="007446AA"/>
    <w:rsid w:val="007446C8"/>
    <w:rsid w:val="007446E0"/>
    <w:rsid w:val="0074470A"/>
    <w:rsid w:val="0074470D"/>
    <w:rsid w:val="007447E7"/>
    <w:rsid w:val="0074495A"/>
    <w:rsid w:val="00744A16"/>
    <w:rsid w:val="00744AEC"/>
    <w:rsid w:val="00744B40"/>
    <w:rsid w:val="00744BCB"/>
    <w:rsid w:val="00744C5E"/>
    <w:rsid w:val="00744D2F"/>
    <w:rsid w:val="00744E6A"/>
    <w:rsid w:val="00745034"/>
    <w:rsid w:val="00745082"/>
    <w:rsid w:val="00745089"/>
    <w:rsid w:val="0074509E"/>
    <w:rsid w:val="00745151"/>
    <w:rsid w:val="0074520E"/>
    <w:rsid w:val="00745295"/>
    <w:rsid w:val="00745337"/>
    <w:rsid w:val="0074535E"/>
    <w:rsid w:val="00745749"/>
    <w:rsid w:val="00745A0B"/>
    <w:rsid w:val="00745BFD"/>
    <w:rsid w:val="00745D1D"/>
    <w:rsid w:val="00745DD6"/>
    <w:rsid w:val="00745E7B"/>
    <w:rsid w:val="00745E80"/>
    <w:rsid w:val="00745ED4"/>
    <w:rsid w:val="00745F3C"/>
    <w:rsid w:val="00745FBE"/>
    <w:rsid w:val="00745FE7"/>
    <w:rsid w:val="007460B2"/>
    <w:rsid w:val="007460C8"/>
    <w:rsid w:val="00746111"/>
    <w:rsid w:val="0074623B"/>
    <w:rsid w:val="007464F1"/>
    <w:rsid w:val="007467EF"/>
    <w:rsid w:val="007469FB"/>
    <w:rsid w:val="00746A50"/>
    <w:rsid w:val="00746ADB"/>
    <w:rsid w:val="00746B88"/>
    <w:rsid w:val="00746BEB"/>
    <w:rsid w:val="00746C3D"/>
    <w:rsid w:val="00746D24"/>
    <w:rsid w:val="00747112"/>
    <w:rsid w:val="00747224"/>
    <w:rsid w:val="007472C4"/>
    <w:rsid w:val="00747315"/>
    <w:rsid w:val="0074739E"/>
    <w:rsid w:val="0074747A"/>
    <w:rsid w:val="0074747B"/>
    <w:rsid w:val="007476BA"/>
    <w:rsid w:val="00747816"/>
    <w:rsid w:val="007478B5"/>
    <w:rsid w:val="007478BB"/>
    <w:rsid w:val="00747E18"/>
    <w:rsid w:val="00747F6C"/>
    <w:rsid w:val="00750037"/>
    <w:rsid w:val="00750048"/>
    <w:rsid w:val="00750156"/>
    <w:rsid w:val="0075024F"/>
    <w:rsid w:val="00750365"/>
    <w:rsid w:val="007503D2"/>
    <w:rsid w:val="0075040B"/>
    <w:rsid w:val="00750416"/>
    <w:rsid w:val="007505D0"/>
    <w:rsid w:val="00750659"/>
    <w:rsid w:val="00750825"/>
    <w:rsid w:val="00750890"/>
    <w:rsid w:val="0075091D"/>
    <w:rsid w:val="00750A70"/>
    <w:rsid w:val="00750D58"/>
    <w:rsid w:val="00750E1B"/>
    <w:rsid w:val="0075106A"/>
    <w:rsid w:val="007511DF"/>
    <w:rsid w:val="007511F1"/>
    <w:rsid w:val="00751265"/>
    <w:rsid w:val="0075136E"/>
    <w:rsid w:val="00751468"/>
    <w:rsid w:val="007514D6"/>
    <w:rsid w:val="007516A2"/>
    <w:rsid w:val="007516AA"/>
    <w:rsid w:val="00751AF0"/>
    <w:rsid w:val="00751D1B"/>
    <w:rsid w:val="00751D7C"/>
    <w:rsid w:val="00751DE6"/>
    <w:rsid w:val="00751E0F"/>
    <w:rsid w:val="00751EDB"/>
    <w:rsid w:val="00751F6C"/>
    <w:rsid w:val="00751FF3"/>
    <w:rsid w:val="00752002"/>
    <w:rsid w:val="0075203C"/>
    <w:rsid w:val="0075220B"/>
    <w:rsid w:val="007522C6"/>
    <w:rsid w:val="0075235F"/>
    <w:rsid w:val="007523C1"/>
    <w:rsid w:val="007526AF"/>
    <w:rsid w:val="00752741"/>
    <w:rsid w:val="007528A8"/>
    <w:rsid w:val="0075294A"/>
    <w:rsid w:val="007529E9"/>
    <w:rsid w:val="00752BE9"/>
    <w:rsid w:val="00752C17"/>
    <w:rsid w:val="00752C89"/>
    <w:rsid w:val="00752EC0"/>
    <w:rsid w:val="007530C0"/>
    <w:rsid w:val="007530DC"/>
    <w:rsid w:val="007532C2"/>
    <w:rsid w:val="007532FE"/>
    <w:rsid w:val="00753302"/>
    <w:rsid w:val="0075335D"/>
    <w:rsid w:val="007533DF"/>
    <w:rsid w:val="007534AF"/>
    <w:rsid w:val="0075353D"/>
    <w:rsid w:val="0075356D"/>
    <w:rsid w:val="00753589"/>
    <w:rsid w:val="007537EE"/>
    <w:rsid w:val="007539A9"/>
    <w:rsid w:val="007539B5"/>
    <w:rsid w:val="00753B79"/>
    <w:rsid w:val="00753B88"/>
    <w:rsid w:val="00753CF5"/>
    <w:rsid w:val="00753D0D"/>
    <w:rsid w:val="00753D56"/>
    <w:rsid w:val="00753D57"/>
    <w:rsid w:val="00753D78"/>
    <w:rsid w:val="00753D81"/>
    <w:rsid w:val="00753EFF"/>
    <w:rsid w:val="00753F7E"/>
    <w:rsid w:val="007540D4"/>
    <w:rsid w:val="00754109"/>
    <w:rsid w:val="007541BC"/>
    <w:rsid w:val="007542C0"/>
    <w:rsid w:val="0075491F"/>
    <w:rsid w:val="0075498E"/>
    <w:rsid w:val="00754AF9"/>
    <w:rsid w:val="00754B83"/>
    <w:rsid w:val="00754BEE"/>
    <w:rsid w:val="00754BF5"/>
    <w:rsid w:val="00754C0C"/>
    <w:rsid w:val="00754C11"/>
    <w:rsid w:val="00754C14"/>
    <w:rsid w:val="00754C3B"/>
    <w:rsid w:val="00754C41"/>
    <w:rsid w:val="00754C5E"/>
    <w:rsid w:val="00754DE7"/>
    <w:rsid w:val="00754DFF"/>
    <w:rsid w:val="00754F38"/>
    <w:rsid w:val="00754F60"/>
    <w:rsid w:val="00754F6C"/>
    <w:rsid w:val="00755114"/>
    <w:rsid w:val="0075518F"/>
    <w:rsid w:val="00755357"/>
    <w:rsid w:val="0075538C"/>
    <w:rsid w:val="007554E8"/>
    <w:rsid w:val="00755823"/>
    <w:rsid w:val="0075596B"/>
    <w:rsid w:val="00755A0D"/>
    <w:rsid w:val="00755AF0"/>
    <w:rsid w:val="00755B3C"/>
    <w:rsid w:val="00755BCF"/>
    <w:rsid w:val="00755D5F"/>
    <w:rsid w:val="00755E81"/>
    <w:rsid w:val="00755F97"/>
    <w:rsid w:val="00755FED"/>
    <w:rsid w:val="007560F5"/>
    <w:rsid w:val="00756100"/>
    <w:rsid w:val="0075617F"/>
    <w:rsid w:val="0075620F"/>
    <w:rsid w:val="007562A1"/>
    <w:rsid w:val="007562B2"/>
    <w:rsid w:val="007563B1"/>
    <w:rsid w:val="00756434"/>
    <w:rsid w:val="0075646B"/>
    <w:rsid w:val="007565F5"/>
    <w:rsid w:val="00756601"/>
    <w:rsid w:val="00756809"/>
    <w:rsid w:val="0075682F"/>
    <w:rsid w:val="0075687A"/>
    <w:rsid w:val="007568E6"/>
    <w:rsid w:val="00756917"/>
    <w:rsid w:val="007569C0"/>
    <w:rsid w:val="007569D1"/>
    <w:rsid w:val="00756AD7"/>
    <w:rsid w:val="00756B97"/>
    <w:rsid w:val="00756BBF"/>
    <w:rsid w:val="00756C4A"/>
    <w:rsid w:val="00756C5B"/>
    <w:rsid w:val="00756C66"/>
    <w:rsid w:val="00756D9F"/>
    <w:rsid w:val="00756E73"/>
    <w:rsid w:val="00756EA3"/>
    <w:rsid w:val="00756F0B"/>
    <w:rsid w:val="00756F8E"/>
    <w:rsid w:val="00756FA6"/>
    <w:rsid w:val="007571F0"/>
    <w:rsid w:val="00757296"/>
    <w:rsid w:val="007573A6"/>
    <w:rsid w:val="007575CF"/>
    <w:rsid w:val="00757757"/>
    <w:rsid w:val="0075780B"/>
    <w:rsid w:val="0075795B"/>
    <w:rsid w:val="00757A97"/>
    <w:rsid w:val="00757AC0"/>
    <w:rsid w:val="00757C14"/>
    <w:rsid w:val="00757E49"/>
    <w:rsid w:val="00757EA8"/>
    <w:rsid w:val="00757F09"/>
    <w:rsid w:val="00757FAA"/>
    <w:rsid w:val="007600EE"/>
    <w:rsid w:val="0076013F"/>
    <w:rsid w:val="007602B6"/>
    <w:rsid w:val="007602DF"/>
    <w:rsid w:val="0076036E"/>
    <w:rsid w:val="0076043D"/>
    <w:rsid w:val="0076056E"/>
    <w:rsid w:val="00760584"/>
    <w:rsid w:val="007606AF"/>
    <w:rsid w:val="007606B3"/>
    <w:rsid w:val="0076070E"/>
    <w:rsid w:val="0076077D"/>
    <w:rsid w:val="007608CF"/>
    <w:rsid w:val="0076096E"/>
    <w:rsid w:val="00760B4A"/>
    <w:rsid w:val="00760D61"/>
    <w:rsid w:val="00760EC6"/>
    <w:rsid w:val="0076106F"/>
    <w:rsid w:val="0076119B"/>
    <w:rsid w:val="007611AD"/>
    <w:rsid w:val="00761231"/>
    <w:rsid w:val="007614BB"/>
    <w:rsid w:val="0076150C"/>
    <w:rsid w:val="0076156F"/>
    <w:rsid w:val="00761589"/>
    <w:rsid w:val="007615BF"/>
    <w:rsid w:val="00761803"/>
    <w:rsid w:val="00761815"/>
    <w:rsid w:val="00761835"/>
    <w:rsid w:val="00761874"/>
    <w:rsid w:val="00761888"/>
    <w:rsid w:val="00761BA6"/>
    <w:rsid w:val="00761D81"/>
    <w:rsid w:val="00761EC5"/>
    <w:rsid w:val="00761F55"/>
    <w:rsid w:val="007620A8"/>
    <w:rsid w:val="00762214"/>
    <w:rsid w:val="007622B8"/>
    <w:rsid w:val="0076233A"/>
    <w:rsid w:val="0076239C"/>
    <w:rsid w:val="007623BB"/>
    <w:rsid w:val="00762432"/>
    <w:rsid w:val="0076260E"/>
    <w:rsid w:val="007628E7"/>
    <w:rsid w:val="00762987"/>
    <w:rsid w:val="00762A18"/>
    <w:rsid w:val="00762A86"/>
    <w:rsid w:val="00762AB2"/>
    <w:rsid w:val="00762BB4"/>
    <w:rsid w:val="00762C01"/>
    <w:rsid w:val="00762F1F"/>
    <w:rsid w:val="00762F8D"/>
    <w:rsid w:val="0076304B"/>
    <w:rsid w:val="007630A2"/>
    <w:rsid w:val="007630AF"/>
    <w:rsid w:val="007630DF"/>
    <w:rsid w:val="007631C8"/>
    <w:rsid w:val="00763474"/>
    <w:rsid w:val="007635A0"/>
    <w:rsid w:val="00763622"/>
    <w:rsid w:val="0076366A"/>
    <w:rsid w:val="007636DA"/>
    <w:rsid w:val="00763810"/>
    <w:rsid w:val="007638B4"/>
    <w:rsid w:val="0076390F"/>
    <w:rsid w:val="00763975"/>
    <w:rsid w:val="0076398C"/>
    <w:rsid w:val="007639A1"/>
    <w:rsid w:val="007639D1"/>
    <w:rsid w:val="00763B6D"/>
    <w:rsid w:val="00763D23"/>
    <w:rsid w:val="00763EC1"/>
    <w:rsid w:val="00763F29"/>
    <w:rsid w:val="0076403C"/>
    <w:rsid w:val="00764085"/>
    <w:rsid w:val="007641C3"/>
    <w:rsid w:val="007641EF"/>
    <w:rsid w:val="00764397"/>
    <w:rsid w:val="00764413"/>
    <w:rsid w:val="0076441F"/>
    <w:rsid w:val="00764602"/>
    <w:rsid w:val="00764659"/>
    <w:rsid w:val="00764964"/>
    <w:rsid w:val="00764BDC"/>
    <w:rsid w:val="00764C59"/>
    <w:rsid w:val="00764CFF"/>
    <w:rsid w:val="00764E13"/>
    <w:rsid w:val="00764FD7"/>
    <w:rsid w:val="007650B3"/>
    <w:rsid w:val="00765298"/>
    <w:rsid w:val="007656BC"/>
    <w:rsid w:val="007656C9"/>
    <w:rsid w:val="007656CD"/>
    <w:rsid w:val="007658A9"/>
    <w:rsid w:val="00765B6D"/>
    <w:rsid w:val="00765E68"/>
    <w:rsid w:val="007660CC"/>
    <w:rsid w:val="007661D1"/>
    <w:rsid w:val="00766261"/>
    <w:rsid w:val="007662FE"/>
    <w:rsid w:val="0076630E"/>
    <w:rsid w:val="007664A7"/>
    <w:rsid w:val="007664AA"/>
    <w:rsid w:val="00766626"/>
    <w:rsid w:val="00766653"/>
    <w:rsid w:val="00766B71"/>
    <w:rsid w:val="00766BC7"/>
    <w:rsid w:val="00766E06"/>
    <w:rsid w:val="00766F3A"/>
    <w:rsid w:val="00766F63"/>
    <w:rsid w:val="00766FC8"/>
    <w:rsid w:val="007671CD"/>
    <w:rsid w:val="00767327"/>
    <w:rsid w:val="00767439"/>
    <w:rsid w:val="00767454"/>
    <w:rsid w:val="007674F8"/>
    <w:rsid w:val="0076759B"/>
    <w:rsid w:val="00767703"/>
    <w:rsid w:val="00767950"/>
    <w:rsid w:val="00767B45"/>
    <w:rsid w:val="00767CC0"/>
    <w:rsid w:val="00767D07"/>
    <w:rsid w:val="00767F15"/>
    <w:rsid w:val="00767F7E"/>
    <w:rsid w:val="00767FCD"/>
    <w:rsid w:val="0077002D"/>
    <w:rsid w:val="00770065"/>
    <w:rsid w:val="00770096"/>
    <w:rsid w:val="007700AB"/>
    <w:rsid w:val="007701D8"/>
    <w:rsid w:val="007702B8"/>
    <w:rsid w:val="0077073F"/>
    <w:rsid w:val="007707BF"/>
    <w:rsid w:val="00770834"/>
    <w:rsid w:val="00770930"/>
    <w:rsid w:val="0077094A"/>
    <w:rsid w:val="00770B5F"/>
    <w:rsid w:val="00770C51"/>
    <w:rsid w:val="00770E4A"/>
    <w:rsid w:val="00770F25"/>
    <w:rsid w:val="00770F2A"/>
    <w:rsid w:val="00770F43"/>
    <w:rsid w:val="00770F4A"/>
    <w:rsid w:val="00770F76"/>
    <w:rsid w:val="0077111D"/>
    <w:rsid w:val="007712AC"/>
    <w:rsid w:val="00771322"/>
    <w:rsid w:val="0077135E"/>
    <w:rsid w:val="007713BD"/>
    <w:rsid w:val="00771549"/>
    <w:rsid w:val="007718F4"/>
    <w:rsid w:val="00771A2B"/>
    <w:rsid w:val="00771AA2"/>
    <w:rsid w:val="00771B1A"/>
    <w:rsid w:val="00771B2A"/>
    <w:rsid w:val="00771CA9"/>
    <w:rsid w:val="00771CF9"/>
    <w:rsid w:val="00771D64"/>
    <w:rsid w:val="00771D95"/>
    <w:rsid w:val="00771E2C"/>
    <w:rsid w:val="007721A7"/>
    <w:rsid w:val="007721E3"/>
    <w:rsid w:val="00772235"/>
    <w:rsid w:val="0077234E"/>
    <w:rsid w:val="00772475"/>
    <w:rsid w:val="007724E6"/>
    <w:rsid w:val="0077255D"/>
    <w:rsid w:val="00772663"/>
    <w:rsid w:val="00772688"/>
    <w:rsid w:val="00772747"/>
    <w:rsid w:val="007727B1"/>
    <w:rsid w:val="007727E7"/>
    <w:rsid w:val="00772875"/>
    <w:rsid w:val="007728E4"/>
    <w:rsid w:val="00772930"/>
    <w:rsid w:val="00772995"/>
    <w:rsid w:val="00772E10"/>
    <w:rsid w:val="00772ECB"/>
    <w:rsid w:val="00772F30"/>
    <w:rsid w:val="00772FFA"/>
    <w:rsid w:val="0077308A"/>
    <w:rsid w:val="0077309D"/>
    <w:rsid w:val="007730EB"/>
    <w:rsid w:val="00773190"/>
    <w:rsid w:val="0077328F"/>
    <w:rsid w:val="007732CB"/>
    <w:rsid w:val="0077331D"/>
    <w:rsid w:val="00773434"/>
    <w:rsid w:val="0077363A"/>
    <w:rsid w:val="007736D2"/>
    <w:rsid w:val="00773752"/>
    <w:rsid w:val="00773914"/>
    <w:rsid w:val="00773940"/>
    <w:rsid w:val="0077397A"/>
    <w:rsid w:val="00773B2D"/>
    <w:rsid w:val="00773C22"/>
    <w:rsid w:val="00773D33"/>
    <w:rsid w:val="00773E07"/>
    <w:rsid w:val="00773E60"/>
    <w:rsid w:val="00773E99"/>
    <w:rsid w:val="00773F19"/>
    <w:rsid w:val="00774031"/>
    <w:rsid w:val="007741C1"/>
    <w:rsid w:val="007744C3"/>
    <w:rsid w:val="00774549"/>
    <w:rsid w:val="007746BE"/>
    <w:rsid w:val="007746EC"/>
    <w:rsid w:val="0077479C"/>
    <w:rsid w:val="00774829"/>
    <w:rsid w:val="00774CC1"/>
    <w:rsid w:val="00774D11"/>
    <w:rsid w:val="00774D64"/>
    <w:rsid w:val="00774E3D"/>
    <w:rsid w:val="00774F07"/>
    <w:rsid w:val="00774F4F"/>
    <w:rsid w:val="00774F5D"/>
    <w:rsid w:val="00775068"/>
    <w:rsid w:val="0077510E"/>
    <w:rsid w:val="0077512A"/>
    <w:rsid w:val="00775149"/>
    <w:rsid w:val="00775307"/>
    <w:rsid w:val="0077535B"/>
    <w:rsid w:val="0077541D"/>
    <w:rsid w:val="0077547A"/>
    <w:rsid w:val="007754A2"/>
    <w:rsid w:val="007754D7"/>
    <w:rsid w:val="007757B6"/>
    <w:rsid w:val="007758AC"/>
    <w:rsid w:val="007758E7"/>
    <w:rsid w:val="0077597A"/>
    <w:rsid w:val="00775A32"/>
    <w:rsid w:val="00775B28"/>
    <w:rsid w:val="00775CE3"/>
    <w:rsid w:val="00775D35"/>
    <w:rsid w:val="00775D62"/>
    <w:rsid w:val="00775DB6"/>
    <w:rsid w:val="00775F0D"/>
    <w:rsid w:val="00776209"/>
    <w:rsid w:val="00776297"/>
    <w:rsid w:val="00776319"/>
    <w:rsid w:val="007763D4"/>
    <w:rsid w:val="007764C0"/>
    <w:rsid w:val="00776523"/>
    <w:rsid w:val="0077662F"/>
    <w:rsid w:val="00776849"/>
    <w:rsid w:val="0077685E"/>
    <w:rsid w:val="00776888"/>
    <w:rsid w:val="00776A10"/>
    <w:rsid w:val="00776A91"/>
    <w:rsid w:val="00776CB2"/>
    <w:rsid w:val="00776D72"/>
    <w:rsid w:val="00776ECA"/>
    <w:rsid w:val="0077702E"/>
    <w:rsid w:val="0077709D"/>
    <w:rsid w:val="007770D7"/>
    <w:rsid w:val="007770DB"/>
    <w:rsid w:val="0077710B"/>
    <w:rsid w:val="0077719A"/>
    <w:rsid w:val="007771A6"/>
    <w:rsid w:val="007771BC"/>
    <w:rsid w:val="007772B7"/>
    <w:rsid w:val="007772CE"/>
    <w:rsid w:val="007773AF"/>
    <w:rsid w:val="007773F1"/>
    <w:rsid w:val="0077742E"/>
    <w:rsid w:val="00777497"/>
    <w:rsid w:val="0077762C"/>
    <w:rsid w:val="007776FA"/>
    <w:rsid w:val="0077771A"/>
    <w:rsid w:val="00777809"/>
    <w:rsid w:val="007778A9"/>
    <w:rsid w:val="00777915"/>
    <w:rsid w:val="00777A0F"/>
    <w:rsid w:val="00777B1C"/>
    <w:rsid w:val="00777C4B"/>
    <w:rsid w:val="00777C79"/>
    <w:rsid w:val="00777CB6"/>
    <w:rsid w:val="00777E1A"/>
    <w:rsid w:val="00780173"/>
    <w:rsid w:val="00780370"/>
    <w:rsid w:val="00780385"/>
    <w:rsid w:val="007803EC"/>
    <w:rsid w:val="0078062A"/>
    <w:rsid w:val="0078072A"/>
    <w:rsid w:val="007807B7"/>
    <w:rsid w:val="007807D5"/>
    <w:rsid w:val="0078080A"/>
    <w:rsid w:val="00780872"/>
    <w:rsid w:val="00780A41"/>
    <w:rsid w:val="00780AAB"/>
    <w:rsid w:val="00780B59"/>
    <w:rsid w:val="00780C29"/>
    <w:rsid w:val="00780C2D"/>
    <w:rsid w:val="00780C4F"/>
    <w:rsid w:val="00780C5D"/>
    <w:rsid w:val="00780D50"/>
    <w:rsid w:val="00780DC0"/>
    <w:rsid w:val="00780E24"/>
    <w:rsid w:val="00780E7A"/>
    <w:rsid w:val="007811A9"/>
    <w:rsid w:val="007811BA"/>
    <w:rsid w:val="0078120E"/>
    <w:rsid w:val="0078126B"/>
    <w:rsid w:val="00781346"/>
    <w:rsid w:val="00781392"/>
    <w:rsid w:val="00781399"/>
    <w:rsid w:val="007813E9"/>
    <w:rsid w:val="0078153A"/>
    <w:rsid w:val="007815F5"/>
    <w:rsid w:val="00781842"/>
    <w:rsid w:val="00781A63"/>
    <w:rsid w:val="00781AA9"/>
    <w:rsid w:val="00781AE2"/>
    <w:rsid w:val="00781BCF"/>
    <w:rsid w:val="00781BDF"/>
    <w:rsid w:val="00781E6B"/>
    <w:rsid w:val="00781F0A"/>
    <w:rsid w:val="007821BC"/>
    <w:rsid w:val="007822F2"/>
    <w:rsid w:val="00782353"/>
    <w:rsid w:val="007826C7"/>
    <w:rsid w:val="00782966"/>
    <w:rsid w:val="00782ACA"/>
    <w:rsid w:val="00782C42"/>
    <w:rsid w:val="00782CF9"/>
    <w:rsid w:val="00782D75"/>
    <w:rsid w:val="00782D7B"/>
    <w:rsid w:val="00782E05"/>
    <w:rsid w:val="00783113"/>
    <w:rsid w:val="00783155"/>
    <w:rsid w:val="0078321A"/>
    <w:rsid w:val="0078322D"/>
    <w:rsid w:val="00783277"/>
    <w:rsid w:val="00783331"/>
    <w:rsid w:val="007833E7"/>
    <w:rsid w:val="0078348E"/>
    <w:rsid w:val="007834DE"/>
    <w:rsid w:val="00783672"/>
    <w:rsid w:val="0078387F"/>
    <w:rsid w:val="00783992"/>
    <w:rsid w:val="00783B59"/>
    <w:rsid w:val="00783BCB"/>
    <w:rsid w:val="00783C0A"/>
    <w:rsid w:val="00783C95"/>
    <w:rsid w:val="00783D12"/>
    <w:rsid w:val="00783D87"/>
    <w:rsid w:val="00783F0F"/>
    <w:rsid w:val="00783F90"/>
    <w:rsid w:val="00784010"/>
    <w:rsid w:val="00784062"/>
    <w:rsid w:val="007840B4"/>
    <w:rsid w:val="007840DC"/>
    <w:rsid w:val="007840E9"/>
    <w:rsid w:val="0078417F"/>
    <w:rsid w:val="007841DA"/>
    <w:rsid w:val="00784248"/>
    <w:rsid w:val="00784363"/>
    <w:rsid w:val="0078453E"/>
    <w:rsid w:val="0078467D"/>
    <w:rsid w:val="00784713"/>
    <w:rsid w:val="0078472B"/>
    <w:rsid w:val="0078481F"/>
    <w:rsid w:val="00784883"/>
    <w:rsid w:val="0078494D"/>
    <w:rsid w:val="00784A0E"/>
    <w:rsid w:val="00784AF8"/>
    <w:rsid w:val="00784B62"/>
    <w:rsid w:val="00784CD5"/>
    <w:rsid w:val="00784E43"/>
    <w:rsid w:val="00784F5F"/>
    <w:rsid w:val="00784F68"/>
    <w:rsid w:val="007850A4"/>
    <w:rsid w:val="007850C9"/>
    <w:rsid w:val="0078517E"/>
    <w:rsid w:val="0078518B"/>
    <w:rsid w:val="00785393"/>
    <w:rsid w:val="00785424"/>
    <w:rsid w:val="00785437"/>
    <w:rsid w:val="0078545C"/>
    <w:rsid w:val="00785534"/>
    <w:rsid w:val="00785601"/>
    <w:rsid w:val="007856AC"/>
    <w:rsid w:val="00785788"/>
    <w:rsid w:val="00785971"/>
    <w:rsid w:val="007859F0"/>
    <w:rsid w:val="00785A28"/>
    <w:rsid w:val="00785AA2"/>
    <w:rsid w:val="00785C38"/>
    <w:rsid w:val="00785ECB"/>
    <w:rsid w:val="0078601F"/>
    <w:rsid w:val="00786026"/>
    <w:rsid w:val="0078614D"/>
    <w:rsid w:val="007861F9"/>
    <w:rsid w:val="00786202"/>
    <w:rsid w:val="00786243"/>
    <w:rsid w:val="0078657A"/>
    <w:rsid w:val="007865DF"/>
    <w:rsid w:val="00786697"/>
    <w:rsid w:val="007866F8"/>
    <w:rsid w:val="00786791"/>
    <w:rsid w:val="007867D1"/>
    <w:rsid w:val="00786871"/>
    <w:rsid w:val="007868BD"/>
    <w:rsid w:val="00786945"/>
    <w:rsid w:val="007869AD"/>
    <w:rsid w:val="00786AA2"/>
    <w:rsid w:val="00786CAF"/>
    <w:rsid w:val="00786CE4"/>
    <w:rsid w:val="00786D91"/>
    <w:rsid w:val="00786E66"/>
    <w:rsid w:val="00786E86"/>
    <w:rsid w:val="00786EB7"/>
    <w:rsid w:val="00786FC7"/>
    <w:rsid w:val="00787153"/>
    <w:rsid w:val="0078720A"/>
    <w:rsid w:val="0078740C"/>
    <w:rsid w:val="00787439"/>
    <w:rsid w:val="00787462"/>
    <w:rsid w:val="007874FD"/>
    <w:rsid w:val="007875C2"/>
    <w:rsid w:val="00787637"/>
    <w:rsid w:val="007876EC"/>
    <w:rsid w:val="00787827"/>
    <w:rsid w:val="0078792B"/>
    <w:rsid w:val="00787AF9"/>
    <w:rsid w:val="00787B91"/>
    <w:rsid w:val="00787BFD"/>
    <w:rsid w:val="00787C51"/>
    <w:rsid w:val="00787CE4"/>
    <w:rsid w:val="00787DDB"/>
    <w:rsid w:val="007900CF"/>
    <w:rsid w:val="0079017C"/>
    <w:rsid w:val="00790207"/>
    <w:rsid w:val="007902DF"/>
    <w:rsid w:val="007903A3"/>
    <w:rsid w:val="007904C0"/>
    <w:rsid w:val="007904D7"/>
    <w:rsid w:val="0079056A"/>
    <w:rsid w:val="007906D2"/>
    <w:rsid w:val="00790801"/>
    <w:rsid w:val="00790864"/>
    <w:rsid w:val="0079096C"/>
    <w:rsid w:val="00790A35"/>
    <w:rsid w:val="00790B86"/>
    <w:rsid w:val="00790CA2"/>
    <w:rsid w:val="00790E13"/>
    <w:rsid w:val="00790ECB"/>
    <w:rsid w:val="00790ED9"/>
    <w:rsid w:val="00791195"/>
    <w:rsid w:val="007911E6"/>
    <w:rsid w:val="0079124B"/>
    <w:rsid w:val="007913EB"/>
    <w:rsid w:val="00791496"/>
    <w:rsid w:val="0079154E"/>
    <w:rsid w:val="00791631"/>
    <w:rsid w:val="007918B4"/>
    <w:rsid w:val="00791931"/>
    <w:rsid w:val="0079197C"/>
    <w:rsid w:val="00791D07"/>
    <w:rsid w:val="00791D77"/>
    <w:rsid w:val="00792044"/>
    <w:rsid w:val="00792070"/>
    <w:rsid w:val="007920F2"/>
    <w:rsid w:val="00792286"/>
    <w:rsid w:val="0079234E"/>
    <w:rsid w:val="00792363"/>
    <w:rsid w:val="007923B3"/>
    <w:rsid w:val="007923DC"/>
    <w:rsid w:val="007923E5"/>
    <w:rsid w:val="00792419"/>
    <w:rsid w:val="0079248D"/>
    <w:rsid w:val="00792598"/>
    <w:rsid w:val="007927C8"/>
    <w:rsid w:val="00792853"/>
    <w:rsid w:val="00792948"/>
    <w:rsid w:val="007929DC"/>
    <w:rsid w:val="00792A64"/>
    <w:rsid w:val="00792AD8"/>
    <w:rsid w:val="00792BCB"/>
    <w:rsid w:val="00792C51"/>
    <w:rsid w:val="00792DBC"/>
    <w:rsid w:val="00792E98"/>
    <w:rsid w:val="00792F1E"/>
    <w:rsid w:val="00792F36"/>
    <w:rsid w:val="00792F85"/>
    <w:rsid w:val="0079307B"/>
    <w:rsid w:val="007930AB"/>
    <w:rsid w:val="007931CF"/>
    <w:rsid w:val="007932AC"/>
    <w:rsid w:val="007932C4"/>
    <w:rsid w:val="00793419"/>
    <w:rsid w:val="00793457"/>
    <w:rsid w:val="007935AB"/>
    <w:rsid w:val="0079363A"/>
    <w:rsid w:val="007936BC"/>
    <w:rsid w:val="007936DD"/>
    <w:rsid w:val="00793822"/>
    <w:rsid w:val="00793825"/>
    <w:rsid w:val="0079385B"/>
    <w:rsid w:val="0079394C"/>
    <w:rsid w:val="007939DF"/>
    <w:rsid w:val="007939E6"/>
    <w:rsid w:val="00793B20"/>
    <w:rsid w:val="00793B92"/>
    <w:rsid w:val="00793C2A"/>
    <w:rsid w:val="00793D23"/>
    <w:rsid w:val="00793D53"/>
    <w:rsid w:val="00793EEC"/>
    <w:rsid w:val="00793F8A"/>
    <w:rsid w:val="007940F3"/>
    <w:rsid w:val="0079451F"/>
    <w:rsid w:val="00794584"/>
    <w:rsid w:val="00794675"/>
    <w:rsid w:val="007946AD"/>
    <w:rsid w:val="007946F4"/>
    <w:rsid w:val="0079490E"/>
    <w:rsid w:val="00794BB9"/>
    <w:rsid w:val="00794BC9"/>
    <w:rsid w:val="00794BD4"/>
    <w:rsid w:val="00794CA0"/>
    <w:rsid w:val="00794D0D"/>
    <w:rsid w:val="00794E27"/>
    <w:rsid w:val="00794E65"/>
    <w:rsid w:val="00795043"/>
    <w:rsid w:val="0079526B"/>
    <w:rsid w:val="00795324"/>
    <w:rsid w:val="0079540F"/>
    <w:rsid w:val="007956A2"/>
    <w:rsid w:val="00795777"/>
    <w:rsid w:val="0079584F"/>
    <w:rsid w:val="0079591B"/>
    <w:rsid w:val="00795A90"/>
    <w:rsid w:val="00795B9C"/>
    <w:rsid w:val="00795CCC"/>
    <w:rsid w:val="00795D82"/>
    <w:rsid w:val="00795E3B"/>
    <w:rsid w:val="00795F34"/>
    <w:rsid w:val="00795F81"/>
    <w:rsid w:val="007961D8"/>
    <w:rsid w:val="0079656D"/>
    <w:rsid w:val="007966D6"/>
    <w:rsid w:val="00796727"/>
    <w:rsid w:val="0079672A"/>
    <w:rsid w:val="00796779"/>
    <w:rsid w:val="007968F7"/>
    <w:rsid w:val="00796900"/>
    <w:rsid w:val="00796A3B"/>
    <w:rsid w:val="00796B56"/>
    <w:rsid w:val="00796BF9"/>
    <w:rsid w:val="00796E97"/>
    <w:rsid w:val="00797111"/>
    <w:rsid w:val="00797157"/>
    <w:rsid w:val="007971D5"/>
    <w:rsid w:val="00797414"/>
    <w:rsid w:val="007974B1"/>
    <w:rsid w:val="007976E9"/>
    <w:rsid w:val="0079773B"/>
    <w:rsid w:val="007977A9"/>
    <w:rsid w:val="007977EA"/>
    <w:rsid w:val="00797965"/>
    <w:rsid w:val="0079797A"/>
    <w:rsid w:val="00797AFA"/>
    <w:rsid w:val="00797BB4"/>
    <w:rsid w:val="00797D1F"/>
    <w:rsid w:val="00797DE8"/>
    <w:rsid w:val="007A001B"/>
    <w:rsid w:val="007A00E2"/>
    <w:rsid w:val="007A00F1"/>
    <w:rsid w:val="007A00F3"/>
    <w:rsid w:val="007A033F"/>
    <w:rsid w:val="007A0570"/>
    <w:rsid w:val="007A0710"/>
    <w:rsid w:val="007A0ACB"/>
    <w:rsid w:val="007A0B74"/>
    <w:rsid w:val="007A0CD1"/>
    <w:rsid w:val="007A0DF7"/>
    <w:rsid w:val="007A0E75"/>
    <w:rsid w:val="007A0E7A"/>
    <w:rsid w:val="007A0E94"/>
    <w:rsid w:val="007A0FE3"/>
    <w:rsid w:val="007A101F"/>
    <w:rsid w:val="007A1279"/>
    <w:rsid w:val="007A12C3"/>
    <w:rsid w:val="007A142A"/>
    <w:rsid w:val="007A1446"/>
    <w:rsid w:val="007A148D"/>
    <w:rsid w:val="007A1535"/>
    <w:rsid w:val="007A184A"/>
    <w:rsid w:val="007A1AB1"/>
    <w:rsid w:val="007A1B95"/>
    <w:rsid w:val="007A1BA9"/>
    <w:rsid w:val="007A1CE5"/>
    <w:rsid w:val="007A1D5E"/>
    <w:rsid w:val="007A1F6F"/>
    <w:rsid w:val="007A2016"/>
    <w:rsid w:val="007A21BF"/>
    <w:rsid w:val="007A2201"/>
    <w:rsid w:val="007A2383"/>
    <w:rsid w:val="007A23D1"/>
    <w:rsid w:val="007A2454"/>
    <w:rsid w:val="007A24E2"/>
    <w:rsid w:val="007A25D6"/>
    <w:rsid w:val="007A26AF"/>
    <w:rsid w:val="007A26E1"/>
    <w:rsid w:val="007A2E10"/>
    <w:rsid w:val="007A3099"/>
    <w:rsid w:val="007A313E"/>
    <w:rsid w:val="007A3154"/>
    <w:rsid w:val="007A318D"/>
    <w:rsid w:val="007A3203"/>
    <w:rsid w:val="007A33F4"/>
    <w:rsid w:val="007A349D"/>
    <w:rsid w:val="007A37F2"/>
    <w:rsid w:val="007A3919"/>
    <w:rsid w:val="007A3B78"/>
    <w:rsid w:val="007A3BCA"/>
    <w:rsid w:val="007A3BDA"/>
    <w:rsid w:val="007A3C16"/>
    <w:rsid w:val="007A3C67"/>
    <w:rsid w:val="007A3DB6"/>
    <w:rsid w:val="007A3F60"/>
    <w:rsid w:val="007A4241"/>
    <w:rsid w:val="007A42FB"/>
    <w:rsid w:val="007A4333"/>
    <w:rsid w:val="007A43CC"/>
    <w:rsid w:val="007A45B6"/>
    <w:rsid w:val="007A4631"/>
    <w:rsid w:val="007A4787"/>
    <w:rsid w:val="007A489B"/>
    <w:rsid w:val="007A48DE"/>
    <w:rsid w:val="007A493A"/>
    <w:rsid w:val="007A49BE"/>
    <w:rsid w:val="007A49D7"/>
    <w:rsid w:val="007A4A7B"/>
    <w:rsid w:val="007A4AF2"/>
    <w:rsid w:val="007A4C0D"/>
    <w:rsid w:val="007A4CA1"/>
    <w:rsid w:val="007A4CD4"/>
    <w:rsid w:val="007A4EB8"/>
    <w:rsid w:val="007A4EC0"/>
    <w:rsid w:val="007A4ECD"/>
    <w:rsid w:val="007A5082"/>
    <w:rsid w:val="007A51A1"/>
    <w:rsid w:val="007A52DB"/>
    <w:rsid w:val="007A53ED"/>
    <w:rsid w:val="007A53FE"/>
    <w:rsid w:val="007A5440"/>
    <w:rsid w:val="007A553C"/>
    <w:rsid w:val="007A5541"/>
    <w:rsid w:val="007A564F"/>
    <w:rsid w:val="007A567E"/>
    <w:rsid w:val="007A57BB"/>
    <w:rsid w:val="007A5ACD"/>
    <w:rsid w:val="007A5BD6"/>
    <w:rsid w:val="007A5BD8"/>
    <w:rsid w:val="007A5E4C"/>
    <w:rsid w:val="007A5E72"/>
    <w:rsid w:val="007A5EC1"/>
    <w:rsid w:val="007A60DF"/>
    <w:rsid w:val="007A623D"/>
    <w:rsid w:val="007A624D"/>
    <w:rsid w:val="007A6300"/>
    <w:rsid w:val="007A63EE"/>
    <w:rsid w:val="007A63F0"/>
    <w:rsid w:val="007A64E6"/>
    <w:rsid w:val="007A6505"/>
    <w:rsid w:val="007A6570"/>
    <w:rsid w:val="007A666F"/>
    <w:rsid w:val="007A66BF"/>
    <w:rsid w:val="007A6729"/>
    <w:rsid w:val="007A674A"/>
    <w:rsid w:val="007A6785"/>
    <w:rsid w:val="007A67C9"/>
    <w:rsid w:val="007A67FF"/>
    <w:rsid w:val="007A69FC"/>
    <w:rsid w:val="007A6B7F"/>
    <w:rsid w:val="007A6BEB"/>
    <w:rsid w:val="007A6DD1"/>
    <w:rsid w:val="007A6EE7"/>
    <w:rsid w:val="007A6F9D"/>
    <w:rsid w:val="007A7001"/>
    <w:rsid w:val="007A7061"/>
    <w:rsid w:val="007A7082"/>
    <w:rsid w:val="007A71E9"/>
    <w:rsid w:val="007A72C3"/>
    <w:rsid w:val="007A7421"/>
    <w:rsid w:val="007A74A1"/>
    <w:rsid w:val="007A76C6"/>
    <w:rsid w:val="007A7744"/>
    <w:rsid w:val="007A7755"/>
    <w:rsid w:val="007A7990"/>
    <w:rsid w:val="007A79A8"/>
    <w:rsid w:val="007A79B3"/>
    <w:rsid w:val="007A7A8D"/>
    <w:rsid w:val="007A7AC0"/>
    <w:rsid w:val="007A7B1D"/>
    <w:rsid w:val="007A7C36"/>
    <w:rsid w:val="007A7D09"/>
    <w:rsid w:val="007A7E11"/>
    <w:rsid w:val="007A7E33"/>
    <w:rsid w:val="007A7E64"/>
    <w:rsid w:val="007B00D1"/>
    <w:rsid w:val="007B01E2"/>
    <w:rsid w:val="007B0323"/>
    <w:rsid w:val="007B0596"/>
    <w:rsid w:val="007B0609"/>
    <w:rsid w:val="007B0689"/>
    <w:rsid w:val="007B0953"/>
    <w:rsid w:val="007B0A4B"/>
    <w:rsid w:val="007B0C52"/>
    <w:rsid w:val="007B0DB3"/>
    <w:rsid w:val="007B0F96"/>
    <w:rsid w:val="007B107E"/>
    <w:rsid w:val="007B1111"/>
    <w:rsid w:val="007B118B"/>
    <w:rsid w:val="007B1245"/>
    <w:rsid w:val="007B16C6"/>
    <w:rsid w:val="007B17C7"/>
    <w:rsid w:val="007B181D"/>
    <w:rsid w:val="007B1857"/>
    <w:rsid w:val="007B1897"/>
    <w:rsid w:val="007B18BC"/>
    <w:rsid w:val="007B19DF"/>
    <w:rsid w:val="007B1A2E"/>
    <w:rsid w:val="007B1A3A"/>
    <w:rsid w:val="007B1AC7"/>
    <w:rsid w:val="007B1C04"/>
    <w:rsid w:val="007B1CBD"/>
    <w:rsid w:val="007B1D7F"/>
    <w:rsid w:val="007B2008"/>
    <w:rsid w:val="007B206C"/>
    <w:rsid w:val="007B2155"/>
    <w:rsid w:val="007B21D1"/>
    <w:rsid w:val="007B2266"/>
    <w:rsid w:val="007B22DC"/>
    <w:rsid w:val="007B2368"/>
    <w:rsid w:val="007B2377"/>
    <w:rsid w:val="007B2379"/>
    <w:rsid w:val="007B237A"/>
    <w:rsid w:val="007B24AA"/>
    <w:rsid w:val="007B2515"/>
    <w:rsid w:val="007B267D"/>
    <w:rsid w:val="007B2794"/>
    <w:rsid w:val="007B282A"/>
    <w:rsid w:val="007B2ACD"/>
    <w:rsid w:val="007B2BAE"/>
    <w:rsid w:val="007B2D34"/>
    <w:rsid w:val="007B2D93"/>
    <w:rsid w:val="007B2F76"/>
    <w:rsid w:val="007B300D"/>
    <w:rsid w:val="007B3296"/>
    <w:rsid w:val="007B32F1"/>
    <w:rsid w:val="007B32FA"/>
    <w:rsid w:val="007B3459"/>
    <w:rsid w:val="007B3539"/>
    <w:rsid w:val="007B3602"/>
    <w:rsid w:val="007B36CA"/>
    <w:rsid w:val="007B36E2"/>
    <w:rsid w:val="007B37EA"/>
    <w:rsid w:val="007B3855"/>
    <w:rsid w:val="007B3889"/>
    <w:rsid w:val="007B3A01"/>
    <w:rsid w:val="007B3B3A"/>
    <w:rsid w:val="007B3BBF"/>
    <w:rsid w:val="007B3CBB"/>
    <w:rsid w:val="007B3D82"/>
    <w:rsid w:val="007B3DF0"/>
    <w:rsid w:val="007B3EF0"/>
    <w:rsid w:val="007B4057"/>
    <w:rsid w:val="007B4073"/>
    <w:rsid w:val="007B4461"/>
    <w:rsid w:val="007B4582"/>
    <w:rsid w:val="007B45B0"/>
    <w:rsid w:val="007B45B9"/>
    <w:rsid w:val="007B475A"/>
    <w:rsid w:val="007B48D6"/>
    <w:rsid w:val="007B52A1"/>
    <w:rsid w:val="007B52BC"/>
    <w:rsid w:val="007B52BF"/>
    <w:rsid w:val="007B5412"/>
    <w:rsid w:val="007B543C"/>
    <w:rsid w:val="007B548D"/>
    <w:rsid w:val="007B54D9"/>
    <w:rsid w:val="007B5516"/>
    <w:rsid w:val="007B5554"/>
    <w:rsid w:val="007B564A"/>
    <w:rsid w:val="007B570C"/>
    <w:rsid w:val="007B577C"/>
    <w:rsid w:val="007B5867"/>
    <w:rsid w:val="007B58F9"/>
    <w:rsid w:val="007B59C0"/>
    <w:rsid w:val="007B5B17"/>
    <w:rsid w:val="007B5B40"/>
    <w:rsid w:val="007B5BCD"/>
    <w:rsid w:val="007B5C20"/>
    <w:rsid w:val="007B5CF2"/>
    <w:rsid w:val="007B5D95"/>
    <w:rsid w:val="007B5F6E"/>
    <w:rsid w:val="007B5FB2"/>
    <w:rsid w:val="007B5FB8"/>
    <w:rsid w:val="007B6179"/>
    <w:rsid w:val="007B635B"/>
    <w:rsid w:val="007B63C7"/>
    <w:rsid w:val="007B63DD"/>
    <w:rsid w:val="007B6448"/>
    <w:rsid w:val="007B66BC"/>
    <w:rsid w:val="007B68AD"/>
    <w:rsid w:val="007B6909"/>
    <w:rsid w:val="007B69C9"/>
    <w:rsid w:val="007B6A33"/>
    <w:rsid w:val="007B6A66"/>
    <w:rsid w:val="007B6C45"/>
    <w:rsid w:val="007B6D68"/>
    <w:rsid w:val="007B6FA5"/>
    <w:rsid w:val="007B70D5"/>
    <w:rsid w:val="007B71E3"/>
    <w:rsid w:val="007B722D"/>
    <w:rsid w:val="007B735E"/>
    <w:rsid w:val="007B74A2"/>
    <w:rsid w:val="007B75A2"/>
    <w:rsid w:val="007B763E"/>
    <w:rsid w:val="007B76CB"/>
    <w:rsid w:val="007B786F"/>
    <w:rsid w:val="007B794A"/>
    <w:rsid w:val="007B798A"/>
    <w:rsid w:val="007B7B1D"/>
    <w:rsid w:val="007B7D79"/>
    <w:rsid w:val="007B7DA6"/>
    <w:rsid w:val="007B7FB9"/>
    <w:rsid w:val="007C026D"/>
    <w:rsid w:val="007C02AC"/>
    <w:rsid w:val="007C02FD"/>
    <w:rsid w:val="007C032F"/>
    <w:rsid w:val="007C0518"/>
    <w:rsid w:val="007C05B3"/>
    <w:rsid w:val="007C098F"/>
    <w:rsid w:val="007C0ABB"/>
    <w:rsid w:val="007C0B26"/>
    <w:rsid w:val="007C0B4F"/>
    <w:rsid w:val="007C0C83"/>
    <w:rsid w:val="007C0EEB"/>
    <w:rsid w:val="007C0F5C"/>
    <w:rsid w:val="007C0F77"/>
    <w:rsid w:val="007C0FEA"/>
    <w:rsid w:val="007C10B6"/>
    <w:rsid w:val="007C135F"/>
    <w:rsid w:val="007C13E1"/>
    <w:rsid w:val="007C171C"/>
    <w:rsid w:val="007C17AB"/>
    <w:rsid w:val="007C180A"/>
    <w:rsid w:val="007C18EE"/>
    <w:rsid w:val="007C190F"/>
    <w:rsid w:val="007C1A49"/>
    <w:rsid w:val="007C1B31"/>
    <w:rsid w:val="007C1BC0"/>
    <w:rsid w:val="007C1D5A"/>
    <w:rsid w:val="007C1EBC"/>
    <w:rsid w:val="007C2081"/>
    <w:rsid w:val="007C208A"/>
    <w:rsid w:val="007C2161"/>
    <w:rsid w:val="007C2188"/>
    <w:rsid w:val="007C240F"/>
    <w:rsid w:val="007C2471"/>
    <w:rsid w:val="007C254A"/>
    <w:rsid w:val="007C25AC"/>
    <w:rsid w:val="007C2701"/>
    <w:rsid w:val="007C27A1"/>
    <w:rsid w:val="007C2817"/>
    <w:rsid w:val="007C2876"/>
    <w:rsid w:val="007C28F8"/>
    <w:rsid w:val="007C292A"/>
    <w:rsid w:val="007C295A"/>
    <w:rsid w:val="007C2A8F"/>
    <w:rsid w:val="007C2AA2"/>
    <w:rsid w:val="007C2AD1"/>
    <w:rsid w:val="007C3059"/>
    <w:rsid w:val="007C324F"/>
    <w:rsid w:val="007C34A4"/>
    <w:rsid w:val="007C34D3"/>
    <w:rsid w:val="007C3514"/>
    <w:rsid w:val="007C376F"/>
    <w:rsid w:val="007C37A4"/>
    <w:rsid w:val="007C380F"/>
    <w:rsid w:val="007C38F5"/>
    <w:rsid w:val="007C395A"/>
    <w:rsid w:val="007C39EA"/>
    <w:rsid w:val="007C3A25"/>
    <w:rsid w:val="007C3B4D"/>
    <w:rsid w:val="007C3D35"/>
    <w:rsid w:val="007C3D9F"/>
    <w:rsid w:val="007C3E32"/>
    <w:rsid w:val="007C3EE3"/>
    <w:rsid w:val="007C3EEB"/>
    <w:rsid w:val="007C3F58"/>
    <w:rsid w:val="007C3FBC"/>
    <w:rsid w:val="007C3FF7"/>
    <w:rsid w:val="007C407D"/>
    <w:rsid w:val="007C40B9"/>
    <w:rsid w:val="007C4240"/>
    <w:rsid w:val="007C4302"/>
    <w:rsid w:val="007C45CA"/>
    <w:rsid w:val="007C4685"/>
    <w:rsid w:val="007C46A6"/>
    <w:rsid w:val="007C4769"/>
    <w:rsid w:val="007C485A"/>
    <w:rsid w:val="007C4B8B"/>
    <w:rsid w:val="007C4BBB"/>
    <w:rsid w:val="007C4BEA"/>
    <w:rsid w:val="007C4D21"/>
    <w:rsid w:val="007C4D95"/>
    <w:rsid w:val="007C4DBB"/>
    <w:rsid w:val="007C4E4C"/>
    <w:rsid w:val="007C4EB1"/>
    <w:rsid w:val="007C4F46"/>
    <w:rsid w:val="007C4FD1"/>
    <w:rsid w:val="007C505C"/>
    <w:rsid w:val="007C5239"/>
    <w:rsid w:val="007C5252"/>
    <w:rsid w:val="007C565A"/>
    <w:rsid w:val="007C5664"/>
    <w:rsid w:val="007C5667"/>
    <w:rsid w:val="007C56F2"/>
    <w:rsid w:val="007C58B3"/>
    <w:rsid w:val="007C59F3"/>
    <w:rsid w:val="007C5ADE"/>
    <w:rsid w:val="007C5B0C"/>
    <w:rsid w:val="007C5DF7"/>
    <w:rsid w:val="007C5E9E"/>
    <w:rsid w:val="007C5F52"/>
    <w:rsid w:val="007C5FCB"/>
    <w:rsid w:val="007C5FDB"/>
    <w:rsid w:val="007C60E4"/>
    <w:rsid w:val="007C60FA"/>
    <w:rsid w:val="007C6125"/>
    <w:rsid w:val="007C6159"/>
    <w:rsid w:val="007C6206"/>
    <w:rsid w:val="007C62BC"/>
    <w:rsid w:val="007C6530"/>
    <w:rsid w:val="007C6575"/>
    <w:rsid w:val="007C676E"/>
    <w:rsid w:val="007C6926"/>
    <w:rsid w:val="007C6B96"/>
    <w:rsid w:val="007C6BC8"/>
    <w:rsid w:val="007C6BD4"/>
    <w:rsid w:val="007C6E08"/>
    <w:rsid w:val="007C6E3B"/>
    <w:rsid w:val="007C704E"/>
    <w:rsid w:val="007C7096"/>
    <w:rsid w:val="007C7106"/>
    <w:rsid w:val="007C721C"/>
    <w:rsid w:val="007C72EC"/>
    <w:rsid w:val="007C7420"/>
    <w:rsid w:val="007C7507"/>
    <w:rsid w:val="007C77A8"/>
    <w:rsid w:val="007C77D7"/>
    <w:rsid w:val="007C780D"/>
    <w:rsid w:val="007C78EB"/>
    <w:rsid w:val="007C7973"/>
    <w:rsid w:val="007C79DC"/>
    <w:rsid w:val="007C79E8"/>
    <w:rsid w:val="007C7B07"/>
    <w:rsid w:val="007C7BD3"/>
    <w:rsid w:val="007C7D0C"/>
    <w:rsid w:val="007C7D9C"/>
    <w:rsid w:val="007C7DA4"/>
    <w:rsid w:val="007C7F11"/>
    <w:rsid w:val="007C7F75"/>
    <w:rsid w:val="007C7FF6"/>
    <w:rsid w:val="007C7FF7"/>
    <w:rsid w:val="007D01AA"/>
    <w:rsid w:val="007D01B2"/>
    <w:rsid w:val="007D0249"/>
    <w:rsid w:val="007D0293"/>
    <w:rsid w:val="007D0321"/>
    <w:rsid w:val="007D0371"/>
    <w:rsid w:val="007D0561"/>
    <w:rsid w:val="007D0655"/>
    <w:rsid w:val="007D067B"/>
    <w:rsid w:val="007D08E9"/>
    <w:rsid w:val="007D08FB"/>
    <w:rsid w:val="007D0993"/>
    <w:rsid w:val="007D0ADA"/>
    <w:rsid w:val="007D0C38"/>
    <w:rsid w:val="007D0C84"/>
    <w:rsid w:val="007D0C93"/>
    <w:rsid w:val="007D0DBE"/>
    <w:rsid w:val="007D0DF3"/>
    <w:rsid w:val="007D0E98"/>
    <w:rsid w:val="007D0F30"/>
    <w:rsid w:val="007D1047"/>
    <w:rsid w:val="007D10F8"/>
    <w:rsid w:val="007D1331"/>
    <w:rsid w:val="007D133B"/>
    <w:rsid w:val="007D1467"/>
    <w:rsid w:val="007D146D"/>
    <w:rsid w:val="007D14BB"/>
    <w:rsid w:val="007D1691"/>
    <w:rsid w:val="007D1876"/>
    <w:rsid w:val="007D18C4"/>
    <w:rsid w:val="007D1B83"/>
    <w:rsid w:val="007D1D4B"/>
    <w:rsid w:val="007D1DD3"/>
    <w:rsid w:val="007D208D"/>
    <w:rsid w:val="007D21F8"/>
    <w:rsid w:val="007D2268"/>
    <w:rsid w:val="007D22D5"/>
    <w:rsid w:val="007D249C"/>
    <w:rsid w:val="007D254B"/>
    <w:rsid w:val="007D2691"/>
    <w:rsid w:val="007D28EE"/>
    <w:rsid w:val="007D2AA3"/>
    <w:rsid w:val="007D2B24"/>
    <w:rsid w:val="007D2B44"/>
    <w:rsid w:val="007D2C9E"/>
    <w:rsid w:val="007D2DB3"/>
    <w:rsid w:val="007D2F93"/>
    <w:rsid w:val="007D3090"/>
    <w:rsid w:val="007D3184"/>
    <w:rsid w:val="007D32DF"/>
    <w:rsid w:val="007D3328"/>
    <w:rsid w:val="007D33F8"/>
    <w:rsid w:val="007D34C6"/>
    <w:rsid w:val="007D34FF"/>
    <w:rsid w:val="007D36EB"/>
    <w:rsid w:val="007D3788"/>
    <w:rsid w:val="007D37AA"/>
    <w:rsid w:val="007D3990"/>
    <w:rsid w:val="007D39B9"/>
    <w:rsid w:val="007D39D0"/>
    <w:rsid w:val="007D3A4C"/>
    <w:rsid w:val="007D3A9D"/>
    <w:rsid w:val="007D3BDA"/>
    <w:rsid w:val="007D3C75"/>
    <w:rsid w:val="007D3FCC"/>
    <w:rsid w:val="007D4086"/>
    <w:rsid w:val="007D4118"/>
    <w:rsid w:val="007D414B"/>
    <w:rsid w:val="007D41DF"/>
    <w:rsid w:val="007D435C"/>
    <w:rsid w:val="007D43E2"/>
    <w:rsid w:val="007D448B"/>
    <w:rsid w:val="007D44C8"/>
    <w:rsid w:val="007D4579"/>
    <w:rsid w:val="007D458D"/>
    <w:rsid w:val="007D45BF"/>
    <w:rsid w:val="007D4630"/>
    <w:rsid w:val="007D46E0"/>
    <w:rsid w:val="007D4868"/>
    <w:rsid w:val="007D4920"/>
    <w:rsid w:val="007D494C"/>
    <w:rsid w:val="007D4980"/>
    <w:rsid w:val="007D4990"/>
    <w:rsid w:val="007D49A4"/>
    <w:rsid w:val="007D49B3"/>
    <w:rsid w:val="007D4C0D"/>
    <w:rsid w:val="007D4C4E"/>
    <w:rsid w:val="007D4D07"/>
    <w:rsid w:val="007D4D6C"/>
    <w:rsid w:val="007D4DA7"/>
    <w:rsid w:val="007D4E2C"/>
    <w:rsid w:val="007D4F84"/>
    <w:rsid w:val="007D4FE0"/>
    <w:rsid w:val="007D5035"/>
    <w:rsid w:val="007D5089"/>
    <w:rsid w:val="007D51AC"/>
    <w:rsid w:val="007D51C8"/>
    <w:rsid w:val="007D522C"/>
    <w:rsid w:val="007D5263"/>
    <w:rsid w:val="007D538E"/>
    <w:rsid w:val="007D53C4"/>
    <w:rsid w:val="007D5480"/>
    <w:rsid w:val="007D57C6"/>
    <w:rsid w:val="007D589D"/>
    <w:rsid w:val="007D5904"/>
    <w:rsid w:val="007D5956"/>
    <w:rsid w:val="007D5BD0"/>
    <w:rsid w:val="007D5C6C"/>
    <w:rsid w:val="007D5CA8"/>
    <w:rsid w:val="007D5D59"/>
    <w:rsid w:val="007D5E03"/>
    <w:rsid w:val="007D5E21"/>
    <w:rsid w:val="007D5E65"/>
    <w:rsid w:val="007D5ECC"/>
    <w:rsid w:val="007D61DD"/>
    <w:rsid w:val="007D6280"/>
    <w:rsid w:val="007D62F6"/>
    <w:rsid w:val="007D63AF"/>
    <w:rsid w:val="007D644E"/>
    <w:rsid w:val="007D6647"/>
    <w:rsid w:val="007D668D"/>
    <w:rsid w:val="007D673A"/>
    <w:rsid w:val="007D684B"/>
    <w:rsid w:val="007D6903"/>
    <w:rsid w:val="007D69F7"/>
    <w:rsid w:val="007D6AB6"/>
    <w:rsid w:val="007D6D42"/>
    <w:rsid w:val="007D6E8B"/>
    <w:rsid w:val="007D6EB5"/>
    <w:rsid w:val="007D6F77"/>
    <w:rsid w:val="007D702F"/>
    <w:rsid w:val="007D724A"/>
    <w:rsid w:val="007D7344"/>
    <w:rsid w:val="007D73E6"/>
    <w:rsid w:val="007D75DA"/>
    <w:rsid w:val="007D7637"/>
    <w:rsid w:val="007D764D"/>
    <w:rsid w:val="007D7725"/>
    <w:rsid w:val="007D773A"/>
    <w:rsid w:val="007D7832"/>
    <w:rsid w:val="007D7879"/>
    <w:rsid w:val="007D78E6"/>
    <w:rsid w:val="007D7904"/>
    <w:rsid w:val="007D791E"/>
    <w:rsid w:val="007D797D"/>
    <w:rsid w:val="007D7A00"/>
    <w:rsid w:val="007D7B39"/>
    <w:rsid w:val="007D7C55"/>
    <w:rsid w:val="007D7DC2"/>
    <w:rsid w:val="007E0012"/>
    <w:rsid w:val="007E00B3"/>
    <w:rsid w:val="007E040E"/>
    <w:rsid w:val="007E0442"/>
    <w:rsid w:val="007E04AE"/>
    <w:rsid w:val="007E0529"/>
    <w:rsid w:val="007E0698"/>
    <w:rsid w:val="007E06A5"/>
    <w:rsid w:val="007E07C5"/>
    <w:rsid w:val="007E098D"/>
    <w:rsid w:val="007E0A25"/>
    <w:rsid w:val="007E0A7A"/>
    <w:rsid w:val="007E0AEA"/>
    <w:rsid w:val="007E0B01"/>
    <w:rsid w:val="007E0B5E"/>
    <w:rsid w:val="007E0D04"/>
    <w:rsid w:val="007E0D1C"/>
    <w:rsid w:val="007E0D87"/>
    <w:rsid w:val="007E0D89"/>
    <w:rsid w:val="007E0D91"/>
    <w:rsid w:val="007E0E5F"/>
    <w:rsid w:val="007E0EA7"/>
    <w:rsid w:val="007E0EF8"/>
    <w:rsid w:val="007E0FC4"/>
    <w:rsid w:val="007E1134"/>
    <w:rsid w:val="007E1167"/>
    <w:rsid w:val="007E1241"/>
    <w:rsid w:val="007E12D9"/>
    <w:rsid w:val="007E139B"/>
    <w:rsid w:val="007E13FE"/>
    <w:rsid w:val="007E15E4"/>
    <w:rsid w:val="007E1653"/>
    <w:rsid w:val="007E170F"/>
    <w:rsid w:val="007E1755"/>
    <w:rsid w:val="007E1799"/>
    <w:rsid w:val="007E181E"/>
    <w:rsid w:val="007E186B"/>
    <w:rsid w:val="007E18F8"/>
    <w:rsid w:val="007E198F"/>
    <w:rsid w:val="007E1B8A"/>
    <w:rsid w:val="007E1EEF"/>
    <w:rsid w:val="007E1FD2"/>
    <w:rsid w:val="007E20D6"/>
    <w:rsid w:val="007E211F"/>
    <w:rsid w:val="007E2152"/>
    <w:rsid w:val="007E23EF"/>
    <w:rsid w:val="007E23FB"/>
    <w:rsid w:val="007E25D3"/>
    <w:rsid w:val="007E25E8"/>
    <w:rsid w:val="007E26FE"/>
    <w:rsid w:val="007E2707"/>
    <w:rsid w:val="007E2714"/>
    <w:rsid w:val="007E27CA"/>
    <w:rsid w:val="007E29B6"/>
    <w:rsid w:val="007E29C8"/>
    <w:rsid w:val="007E2A22"/>
    <w:rsid w:val="007E2A54"/>
    <w:rsid w:val="007E2BFC"/>
    <w:rsid w:val="007E2D91"/>
    <w:rsid w:val="007E2DD0"/>
    <w:rsid w:val="007E2E05"/>
    <w:rsid w:val="007E2E0E"/>
    <w:rsid w:val="007E2E35"/>
    <w:rsid w:val="007E2EE9"/>
    <w:rsid w:val="007E30B8"/>
    <w:rsid w:val="007E3327"/>
    <w:rsid w:val="007E3377"/>
    <w:rsid w:val="007E34A2"/>
    <w:rsid w:val="007E361D"/>
    <w:rsid w:val="007E3636"/>
    <w:rsid w:val="007E374B"/>
    <w:rsid w:val="007E38AA"/>
    <w:rsid w:val="007E3911"/>
    <w:rsid w:val="007E3919"/>
    <w:rsid w:val="007E3D68"/>
    <w:rsid w:val="007E3D73"/>
    <w:rsid w:val="007E3D82"/>
    <w:rsid w:val="007E3F15"/>
    <w:rsid w:val="007E3F97"/>
    <w:rsid w:val="007E401E"/>
    <w:rsid w:val="007E4084"/>
    <w:rsid w:val="007E40F5"/>
    <w:rsid w:val="007E4201"/>
    <w:rsid w:val="007E427F"/>
    <w:rsid w:val="007E42D2"/>
    <w:rsid w:val="007E4479"/>
    <w:rsid w:val="007E447D"/>
    <w:rsid w:val="007E4604"/>
    <w:rsid w:val="007E4719"/>
    <w:rsid w:val="007E486F"/>
    <w:rsid w:val="007E4898"/>
    <w:rsid w:val="007E4AA4"/>
    <w:rsid w:val="007E4B1D"/>
    <w:rsid w:val="007E4FA4"/>
    <w:rsid w:val="007E51CE"/>
    <w:rsid w:val="007E5260"/>
    <w:rsid w:val="007E5407"/>
    <w:rsid w:val="007E5494"/>
    <w:rsid w:val="007E557D"/>
    <w:rsid w:val="007E5868"/>
    <w:rsid w:val="007E58B9"/>
    <w:rsid w:val="007E5904"/>
    <w:rsid w:val="007E59BA"/>
    <w:rsid w:val="007E5A9A"/>
    <w:rsid w:val="007E5C60"/>
    <w:rsid w:val="007E5CCC"/>
    <w:rsid w:val="007E5CE3"/>
    <w:rsid w:val="007E5D3A"/>
    <w:rsid w:val="007E5DD8"/>
    <w:rsid w:val="007E5EB2"/>
    <w:rsid w:val="007E605C"/>
    <w:rsid w:val="007E60B6"/>
    <w:rsid w:val="007E6299"/>
    <w:rsid w:val="007E62BC"/>
    <w:rsid w:val="007E6329"/>
    <w:rsid w:val="007E63D8"/>
    <w:rsid w:val="007E6607"/>
    <w:rsid w:val="007E6757"/>
    <w:rsid w:val="007E6861"/>
    <w:rsid w:val="007E687E"/>
    <w:rsid w:val="007E6924"/>
    <w:rsid w:val="007E6990"/>
    <w:rsid w:val="007E69E8"/>
    <w:rsid w:val="007E6A35"/>
    <w:rsid w:val="007E6DE4"/>
    <w:rsid w:val="007E6EA1"/>
    <w:rsid w:val="007E6F3A"/>
    <w:rsid w:val="007E6F3B"/>
    <w:rsid w:val="007E6FB1"/>
    <w:rsid w:val="007E6FBE"/>
    <w:rsid w:val="007E6FFE"/>
    <w:rsid w:val="007E7085"/>
    <w:rsid w:val="007E713D"/>
    <w:rsid w:val="007E733C"/>
    <w:rsid w:val="007E74C6"/>
    <w:rsid w:val="007E78BA"/>
    <w:rsid w:val="007E79A5"/>
    <w:rsid w:val="007E79D4"/>
    <w:rsid w:val="007E7A83"/>
    <w:rsid w:val="007E7B04"/>
    <w:rsid w:val="007E7B47"/>
    <w:rsid w:val="007E7BAA"/>
    <w:rsid w:val="007E7C5B"/>
    <w:rsid w:val="007E7D92"/>
    <w:rsid w:val="007E7EDC"/>
    <w:rsid w:val="007E7F7A"/>
    <w:rsid w:val="007E7FED"/>
    <w:rsid w:val="007F004A"/>
    <w:rsid w:val="007F02E2"/>
    <w:rsid w:val="007F034C"/>
    <w:rsid w:val="007F0362"/>
    <w:rsid w:val="007F03A6"/>
    <w:rsid w:val="007F03FC"/>
    <w:rsid w:val="007F0468"/>
    <w:rsid w:val="007F048B"/>
    <w:rsid w:val="007F066F"/>
    <w:rsid w:val="007F0696"/>
    <w:rsid w:val="007F07EA"/>
    <w:rsid w:val="007F0847"/>
    <w:rsid w:val="007F096B"/>
    <w:rsid w:val="007F09EE"/>
    <w:rsid w:val="007F0B6D"/>
    <w:rsid w:val="007F0E8A"/>
    <w:rsid w:val="007F0E96"/>
    <w:rsid w:val="007F11AF"/>
    <w:rsid w:val="007F11E4"/>
    <w:rsid w:val="007F1404"/>
    <w:rsid w:val="007F160C"/>
    <w:rsid w:val="007F1789"/>
    <w:rsid w:val="007F19F6"/>
    <w:rsid w:val="007F1AFB"/>
    <w:rsid w:val="007F1BA0"/>
    <w:rsid w:val="007F1C5A"/>
    <w:rsid w:val="007F1CF0"/>
    <w:rsid w:val="007F1DED"/>
    <w:rsid w:val="007F1F72"/>
    <w:rsid w:val="007F20FA"/>
    <w:rsid w:val="007F22F9"/>
    <w:rsid w:val="007F26E8"/>
    <w:rsid w:val="007F280E"/>
    <w:rsid w:val="007F28C9"/>
    <w:rsid w:val="007F292D"/>
    <w:rsid w:val="007F2A51"/>
    <w:rsid w:val="007F2C38"/>
    <w:rsid w:val="007F2C9A"/>
    <w:rsid w:val="007F2CF9"/>
    <w:rsid w:val="007F2E0B"/>
    <w:rsid w:val="007F2EBE"/>
    <w:rsid w:val="007F30A9"/>
    <w:rsid w:val="007F318C"/>
    <w:rsid w:val="007F33A2"/>
    <w:rsid w:val="007F34F3"/>
    <w:rsid w:val="007F3776"/>
    <w:rsid w:val="007F384C"/>
    <w:rsid w:val="007F3AD4"/>
    <w:rsid w:val="007F3CF7"/>
    <w:rsid w:val="007F3F50"/>
    <w:rsid w:val="007F3FFA"/>
    <w:rsid w:val="007F4037"/>
    <w:rsid w:val="007F40CA"/>
    <w:rsid w:val="007F41CB"/>
    <w:rsid w:val="007F43B9"/>
    <w:rsid w:val="007F4456"/>
    <w:rsid w:val="007F445E"/>
    <w:rsid w:val="007F4473"/>
    <w:rsid w:val="007F44EB"/>
    <w:rsid w:val="007F46D6"/>
    <w:rsid w:val="007F475A"/>
    <w:rsid w:val="007F47F8"/>
    <w:rsid w:val="007F48F2"/>
    <w:rsid w:val="007F4924"/>
    <w:rsid w:val="007F49B3"/>
    <w:rsid w:val="007F49C9"/>
    <w:rsid w:val="007F4A78"/>
    <w:rsid w:val="007F4B6E"/>
    <w:rsid w:val="007F4EB5"/>
    <w:rsid w:val="007F4FB5"/>
    <w:rsid w:val="007F5019"/>
    <w:rsid w:val="007F50E5"/>
    <w:rsid w:val="007F52AD"/>
    <w:rsid w:val="007F52F6"/>
    <w:rsid w:val="007F5372"/>
    <w:rsid w:val="007F53AD"/>
    <w:rsid w:val="007F5407"/>
    <w:rsid w:val="007F54CB"/>
    <w:rsid w:val="007F560B"/>
    <w:rsid w:val="007F5631"/>
    <w:rsid w:val="007F56CB"/>
    <w:rsid w:val="007F597A"/>
    <w:rsid w:val="007F5A17"/>
    <w:rsid w:val="007F5F0C"/>
    <w:rsid w:val="007F624C"/>
    <w:rsid w:val="007F62DB"/>
    <w:rsid w:val="007F637E"/>
    <w:rsid w:val="007F66CA"/>
    <w:rsid w:val="007F6916"/>
    <w:rsid w:val="007F69D1"/>
    <w:rsid w:val="007F6A4E"/>
    <w:rsid w:val="007F6D57"/>
    <w:rsid w:val="007F6E4B"/>
    <w:rsid w:val="007F700A"/>
    <w:rsid w:val="007F70CB"/>
    <w:rsid w:val="007F70F8"/>
    <w:rsid w:val="007F7244"/>
    <w:rsid w:val="007F73C3"/>
    <w:rsid w:val="007F7421"/>
    <w:rsid w:val="007F7664"/>
    <w:rsid w:val="007F772C"/>
    <w:rsid w:val="007F7735"/>
    <w:rsid w:val="007F7852"/>
    <w:rsid w:val="007F787C"/>
    <w:rsid w:val="007F7C64"/>
    <w:rsid w:val="007F7D66"/>
    <w:rsid w:val="007F7D9B"/>
    <w:rsid w:val="007F7DBF"/>
    <w:rsid w:val="007F7E2D"/>
    <w:rsid w:val="007F7E64"/>
    <w:rsid w:val="007F7FE6"/>
    <w:rsid w:val="008000E3"/>
    <w:rsid w:val="00800296"/>
    <w:rsid w:val="008002FA"/>
    <w:rsid w:val="008003B3"/>
    <w:rsid w:val="00800483"/>
    <w:rsid w:val="008004EC"/>
    <w:rsid w:val="0080056C"/>
    <w:rsid w:val="0080064C"/>
    <w:rsid w:val="0080068A"/>
    <w:rsid w:val="008006E5"/>
    <w:rsid w:val="008007D4"/>
    <w:rsid w:val="00800899"/>
    <w:rsid w:val="008008B2"/>
    <w:rsid w:val="00800A54"/>
    <w:rsid w:val="00800DC6"/>
    <w:rsid w:val="00800E15"/>
    <w:rsid w:val="00800E4B"/>
    <w:rsid w:val="00800F4E"/>
    <w:rsid w:val="00800F63"/>
    <w:rsid w:val="00801002"/>
    <w:rsid w:val="0080115C"/>
    <w:rsid w:val="0080132A"/>
    <w:rsid w:val="00801334"/>
    <w:rsid w:val="0080156C"/>
    <w:rsid w:val="008015A3"/>
    <w:rsid w:val="00801658"/>
    <w:rsid w:val="008019A8"/>
    <w:rsid w:val="00801B13"/>
    <w:rsid w:val="00801BB4"/>
    <w:rsid w:val="00801BF9"/>
    <w:rsid w:val="00801D52"/>
    <w:rsid w:val="00801DF1"/>
    <w:rsid w:val="00801F4B"/>
    <w:rsid w:val="00801F82"/>
    <w:rsid w:val="00802007"/>
    <w:rsid w:val="00802092"/>
    <w:rsid w:val="00802151"/>
    <w:rsid w:val="0080216B"/>
    <w:rsid w:val="008021D9"/>
    <w:rsid w:val="0080221B"/>
    <w:rsid w:val="00802343"/>
    <w:rsid w:val="00802379"/>
    <w:rsid w:val="008024ED"/>
    <w:rsid w:val="00802543"/>
    <w:rsid w:val="008025C6"/>
    <w:rsid w:val="00802652"/>
    <w:rsid w:val="008027C5"/>
    <w:rsid w:val="00802873"/>
    <w:rsid w:val="0080289C"/>
    <w:rsid w:val="00802932"/>
    <w:rsid w:val="00802A3F"/>
    <w:rsid w:val="00802A8E"/>
    <w:rsid w:val="00802AA3"/>
    <w:rsid w:val="00802ABD"/>
    <w:rsid w:val="00802AD5"/>
    <w:rsid w:val="00802AE8"/>
    <w:rsid w:val="00802C3A"/>
    <w:rsid w:val="00802C50"/>
    <w:rsid w:val="00802E2C"/>
    <w:rsid w:val="00802F2B"/>
    <w:rsid w:val="00802FF2"/>
    <w:rsid w:val="008030E3"/>
    <w:rsid w:val="0080315D"/>
    <w:rsid w:val="0080326F"/>
    <w:rsid w:val="008032AA"/>
    <w:rsid w:val="008032C2"/>
    <w:rsid w:val="008033DE"/>
    <w:rsid w:val="0080343C"/>
    <w:rsid w:val="008034B7"/>
    <w:rsid w:val="0080353F"/>
    <w:rsid w:val="008035C3"/>
    <w:rsid w:val="008035D4"/>
    <w:rsid w:val="0080392A"/>
    <w:rsid w:val="008041A8"/>
    <w:rsid w:val="00804349"/>
    <w:rsid w:val="008043E2"/>
    <w:rsid w:val="00804449"/>
    <w:rsid w:val="008044AD"/>
    <w:rsid w:val="00804623"/>
    <w:rsid w:val="00804721"/>
    <w:rsid w:val="00804854"/>
    <w:rsid w:val="008048D3"/>
    <w:rsid w:val="008049FB"/>
    <w:rsid w:val="00804A8E"/>
    <w:rsid w:val="00804AA7"/>
    <w:rsid w:val="00804BED"/>
    <w:rsid w:val="00804D7F"/>
    <w:rsid w:val="00804E36"/>
    <w:rsid w:val="008050E4"/>
    <w:rsid w:val="00805106"/>
    <w:rsid w:val="0080515E"/>
    <w:rsid w:val="008051D5"/>
    <w:rsid w:val="00805256"/>
    <w:rsid w:val="008052D9"/>
    <w:rsid w:val="0080531D"/>
    <w:rsid w:val="008053CD"/>
    <w:rsid w:val="008053D9"/>
    <w:rsid w:val="00805401"/>
    <w:rsid w:val="00805562"/>
    <w:rsid w:val="00805681"/>
    <w:rsid w:val="008056E4"/>
    <w:rsid w:val="00805716"/>
    <w:rsid w:val="00805A28"/>
    <w:rsid w:val="00805A37"/>
    <w:rsid w:val="00805B3D"/>
    <w:rsid w:val="00805BA7"/>
    <w:rsid w:val="00805BBD"/>
    <w:rsid w:val="00805CED"/>
    <w:rsid w:val="008060EB"/>
    <w:rsid w:val="0080614F"/>
    <w:rsid w:val="00806251"/>
    <w:rsid w:val="00806274"/>
    <w:rsid w:val="0080647C"/>
    <w:rsid w:val="008064A7"/>
    <w:rsid w:val="0080657F"/>
    <w:rsid w:val="0080658B"/>
    <w:rsid w:val="00806652"/>
    <w:rsid w:val="00806662"/>
    <w:rsid w:val="008067D1"/>
    <w:rsid w:val="00806850"/>
    <w:rsid w:val="008068D4"/>
    <w:rsid w:val="008069BF"/>
    <w:rsid w:val="00806B42"/>
    <w:rsid w:val="00806C4F"/>
    <w:rsid w:val="00806E21"/>
    <w:rsid w:val="00807149"/>
    <w:rsid w:val="008072F0"/>
    <w:rsid w:val="008073A8"/>
    <w:rsid w:val="0080754F"/>
    <w:rsid w:val="0080755A"/>
    <w:rsid w:val="008075B7"/>
    <w:rsid w:val="00807652"/>
    <w:rsid w:val="00807684"/>
    <w:rsid w:val="00807775"/>
    <w:rsid w:val="00807834"/>
    <w:rsid w:val="008078E7"/>
    <w:rsid w:val="00807A35"/>
    <w:rsid w:val="00807BBB"/>
    <w:rsid w:val="00807BF2"/>
    <w:rsid w:val="00807D7D"/>
    <w:rsid w:val="00807DCA"/>
    <w:rsid w:val="00807E03"/>
    <w:rsid w:val="00807E9E"/>
    <w:rsid w:val="00807FAD"/>
    <w:rsid w:val="00807FC5"/>
    <w:rsid w:val="008100D8"/>
    <w:rsid w:val="008101BC"/>
    <w:rsid w:val="008101CE"/>
    <w:rsid w:val="00810462"/>
    <w:rsid w:val="0081051B"/>
    <w:rsid w:val="00810564"/>
    <w:rsid w:val="0081057C"/>
    <w:rsid w:val="008105E6"/>
    <w:rsid w:val="00810600"/>
    <w:rsid w:val="00810609"/>
    <w:rsid w:val="008106FF"/>
    <w:rsid w:val="00810722"/>
    <w:rsid w:val="008107F6"/>
    <w:rsid w:val="00810818"/>
    <w:rsid w:val="0081090D"/>
    <w:rsid w:val="00810AA5"/>
    <w:rsid w:val="00810ADB"/>
    <w:rsid w:val="00810B1E"/>
    <w:rsid w:val="00810C14"/>
    <w:rsid w:val="00810F18"/>
    <w:rsid w:val="00811020"/>
    <w:rsid w:val="0081125B"/>
    <w:rsid w:val="00811337"/>
    <w:rsid w:val="00811385"/>
    <w:rsid w:val="008113AD"/>
    <w:rsid w:val="0081149E"/>
    <w:rsid w:val="00811534"/>
    <w:rsid w:val="008115A3"/>
    <w:rsid w:val="008116B1"/>
    <w:rsid w:val="008116F0"/>
    <w:rsid w:val="00811711"/>
    <w:rsid w:val="008117A4"/>
    <w:rsid w:val="008118ED"/>
    <w:rsid w:val="008119CC"/>
    <w:rsid w:val="008119D0"/>
    <w:rsid w:val="00811B2F"/>
    <w:rsid w:val="00811C1C"/>
    <w:rsid w:val="00811C48"/>
    <w:rsid w:val="00811CED"/>
    <w:rsid w:val="00812059"/>
    <w:rsid w:val="008120AF"/>
    <w:rsid w:val="00812360"/>
    <w:rsid w:val="008124A1"/>
    <w:rsid w:val="00812510"/>
    <w:rsid w:val="008125E4"/>
    <w:rsid w:val="00812603"/>
    <w:rsid w:val="008127EC"/>
    <w:rsid w:val="008128F3"/>
    <w:rsid w:val="00812954"/>
    <w:rsid w:val="00812C2F"/>
    <w:rsid w:val="00812CBA"/>
    <w:rsid w:val="00812CC4"/>
    <w:rsid w:val="00812E1A"/>
    <w:rsid w:val="00812F17"/>
    <w:rsid w:val="00812FCB"/>
    <w:rsid w:val="00812FED"/>
    <w:rsid w:val="00813028"/>
    <w:rsid w:val="008130A6"/>
    <w:rsid w:val="0081331C"/>
    <w:rsid w:val="0081335B"/>
    <w:rsid w:val="008133BC"/>
    <w:rsid w:val="008133D4"/>
    <w:rsid w:val="008135A9"/>
    <w:rsid w:val="008135FC"/>
    <w:rsid w:val="008136D0"/>
    <w:rsid w:val="008137CA"/>
    <w:rsid w:val="0081387F"/>
    <w:rsid w:val="00813B55"/>
    <w:rsid w:val="00813B92"/>
    <w:rsid w:val="00813D88"/>
    <w:rsid w:val="00813D91"/>
    <w:rsid w:val="00813E91"/>
    <w:rsid w:val="00813FA5"/>
    <w:rsid w:val="00814098"/>
    <w:rsid w:val="0081410A"/>
    <w:rsid w:val="00814174"/>
    <w:rsid w:val="008141D9"/>
    <w:rsid w:val="00814398"/>
    <w:rsid w:val="00814399"/>
    <w:rsid w:val="008143E3"/>
    <w:rsid w:val="0081459F"/>
    <w:rsid w:val="00814660"/>
    <w:rsid w:val="008146E5"/>
    <w:rsid w:val="00814864"/>
    <w:rsid w:val="008149FB"/>
    <w:rsid w:val="00814A1E"/>
    <w:rsid w:val="00814AFC"/>
    <w:rsid w:val="00814B6E"/>
    <w:rsid w:val="00814CB7"/>
    <w:rsid w:val="00814E97"/>
    <w:rsid w:val="00814F6F"/>
    <w:rsid w:val="00815016"/>
    <w:rsid w:val="0081516D"/>
    <w:rsid w:val="00815244"/>
    <w:rsid w:val="008153B0"/>
    <w:rsid w:val="00815561"/>
    <w:rsid w:val="0081567E"/>
    <w:rsid w:val="00815776"/>
    <w:rsid w:val="00815851"/>
    <w:rsid w:val="00815AAC"/>
    <w:rsid w:val="00815C06"/>
    <w:rsid w:val="00815D41"/>
    <w:rsid w:val="00815DA8"/>
    <w:rsid w:val="00815F08"/>
    <w:rsid w:val="00815F18"/>
    <w:rsid w:val="00816039"/>
    <w:rsid w:val="00816333"/>
    <w:rsid w:val="0081648F"/>
    <w:rsid w:val="008165A4"/>
    <w:rsid w:val="008165DE"/>
    <w:rsid w:val="0081664E"/>
    <w:rsid w:val="00816726"/>
    <w:rsid w:val="00816757"/>
    <w:rsid w:val="008167D8"/>
    <w:rsid w:val="00816887"/>
    <w:rsid w:val="0081688D"/>
    <w:rsid w:val="00816966"/>
    <w:rsid w:val="008169DA"/>
    <w:rsid w:val="008169EE"/>
    <w:rsid w:val="00816B50"/>
    <w:rsid w:val="00816B77"/>
    <w:rsid w:val="00816D30"/>
    <w:rsid w:val="00816E40"/>
    <w:rsid w:val="00816E95"/>
    <w:rsid w:val="00816FB4"/>
    <w:rsid w:val="00816FD3"/>
    <w:rsid w:val="008171CD"/>
    <w:rsid w:val="008171E8"/>
    <w:rsid w:val="00817204"/>
    <w:rsid w:val="0081734C"/>
    <w:rsid w:val="0081734E"/>
    <w:rsid w:val="008173B2"/>
    <w:rsid w:val="0081748A"/>
    <w:rsid w:val="008174A3"/>
    <w:rsid w:val="008174D7"/>
    <w:rsid w:val="008174EC"/>
    <w:rsid w:val="0081754F"/>
    <w:rsid w:val="00817553"/>
    <w:rsid w:val="00817646"/>
    <w:rsid w:val="008176B8"/>
    <w:rsid w:val="0081773B"/>
    <w:rsid w:val="008178DB"/>
    <w:rsid w:val="0081798E"/>
    <w:rsid w:val="00817E43"/>
    <w:rsid w:val="00820079"/>
    <w:rsid w:val="0082022A"/>
    <w:rsid w:val="008202A3"/>
    <w:rsid w:val="0082030B"/>
    <w:rsid w:val="00820586"/>
    <w:rsid w:val="008205B1"/>
    <w:rsid w:val="00820603"/>
    <w:rsid w:val="00820651"/>
    <w:rsid w:val="0082069F"/>
    <w:rsid w:val="008206C7"/>
    <w:rsid w:val="008206D6"/>
    <w:rsid w:val="008206EA"/>
    <w:rsid w:val="00820817"/>
    <w:rsid w:val="00820B19"/>
    <w:rsid w:val="00820B23"/>
    <w:rsid w:val="00820BB3"/>
    <w:rsid w:val="00820C9E"/>
    <w:rsid w:val="00820E9E"/>
    <w:rsid w:val="00820EB4"/>
    <w:rsid w:val="00820F18"/>
    <w:rsid w:val="00820FC2"/>
    <w:rsid w:val="00821018"/>
    <w:rsid w:val="0082106F"/>
    <w:rsid w:val="008210A5"/>
    <w:rsid w:val="008210AD"/>
    <w:rsid w:val="0082120F"/>
    <w:rsid w:val="00821230"/>
    <w:rsid w:val="008212BA"/>
    <w:rsid w:val="00821380"/>
    <w:rsid w:val="00821506"/>
    <w:rsid w:val="0082152B"/>
    <w:rsid w:val="008215DF"/>
    <w:rsid w:val="00821636"/>
    <w:rsid w:val="008216B5"/>
    <w:rsid w:val="008216BB"/>
    <w:rsid w:val="008216CA"/>
    <w:rsid w:val="008218E8"/>
    <w:rsid w:val="00821A8A"/>
    <w:rsid w:val="00821B71"/>
    <w:rsid w:val="00821EAC"/>
    <w:rsid w:val="00821F06"/>
    <w:rsid w:val="00821F14"/>
    <w:rsid w:val="00821FE9"/>
    <w:rsid w:val="00821FFC"/>
    <w:rsid w:val="008220F3"/>
    <w:rsid w:val="0082214D"/>
    <w:rsid w:val="00822193"/>
    <w:rsid w:val="008221B3"/>
    <w:rsid w:val="00822304"/>
    <w:rsid w:val="00822478"/>
    <w:rsid w:val="00822529"/>
    <w:rsid w:val="00822634"/>
    <w:rsid w:val="008226F3"/>
    <w:rsid w:val="0082286A"/>
    <w:rsid w:val="008229D8"/>
    <w:rsid w:val="00822B55"/>
    <w:rsid w:val="00822C13"/>
    <w:rsid w:val="00822CC0"/>
    <w:rsid w:val="00822DB7"/>
    <w:rsid w:val="00822E00"/>
    <w:rsid w:val="00822E33"/>
    <w:rsid w:val="00823092"/>
    <w:rsid w:val="00823148"/>
    <w:rsid w:val="008231B9"/>
    <w:rsid w:val="008231DE"/>
    <w:rsid w:val="00823352"/>
    <w:rsid w:val="00823654"/>
    <w:rsid w:val="008237AD"/>
    <w:rsid w:val="008239AD"/>
    <w:rsid w:val="00823DF9"/>
    <w:rsid w:val="00823FE2"/>
    <w:rsid w:val="008240CE"/>
    <w:rsid w:val="008241BA"/>
    <w:rsid w:val="00824207"/>
    <w:rsid w:val="008242CB"/>
    <w:rsid w:val="00824387"/>
    <w:rsid w:val="0082459A"/>
    <w:rsid w:val="00824601"/>
    <w:rsid w:val="00824672"/>
    <w:rsid w:val="0082468F"/>
    <w:rsid w:val="00824704"/>
    <w:rsid w:val="00824941"/>
    <w:rsid w:val="008249D0"/>
    <w:rsid w:val="00824A55"/>
    <w:rsid w:val="00824B06"/>
    <w:rsid w:val="00824B99"/>
    <w:rsid w:val="00824C66"/>
    <w:rsid w:val="00824D2A"/>
    <w:rsid w:val="0082502E"/>
    <w:rsid w:val="008250EE"/>
    <w:rsid w:val="00825231"/>
    <w:rsid w:val="00825274"/>
    <w:rsid w:val="008252C8"/>
    <w:rsid w:val="00825305"/>
    <w:rsid w:val="00825369"/>
    <w:rsid w:val="00825457"/>
    <w:rsid w:val="008254B6"/>
    <w:rsid w:val="0082555A"/>
    <w:rsid w:val="00825746"/>
    <w:rsid w:val="0082577F"/>
    <w:rsid w:val="008257C1"/>
    <w:rsid w:val="008258AD"/>
    <w:rsid w:val="008259CB"/>
    <w:rsid w:val="00825B76"/>
    <w:rsid w:val="00825B79"/>
    <w:rsid w:val="00825C31"/>
    <w:rsid w:val="00825D6C"/>
    <w:rsid w:val="00825D92"/>
    <w:rsid w:val="00825E01"/>
    <w:rsid w:val="00825E60"/>
    <w:rsid w:val="00825E8C"/>
    <w:rsid w:val="00825EF6"/>
    <w:rsid w:val="00825FB8"/>
    <w:rsid w:val="0082600E"/>
    <w:rsid w:val="00826071"/>
    <w:rsid w:val="0082625F"/>
    <w:rsid w:val="008262DF"/>
    <w:rsid w:val="00826305"/>
    <w:rsid w:val="008263A2"/>
    <w:rsid w:val="00826476"/>
    <w:rsid w:val="008264AC"/>
    <w:rsid w:val="00826751"/>
    <w:rsid w:val="00826770"/>
    <w:rsid w:val="008267A2"/>
    <w:rsid w:val="0082685F"/>
    <w:rsid w:val="008268AF"/>
    <w:rsid w:val="008269AA"/>
    <w:rsid w:val="008269D2"/>
    <w:rsid w:val="00826A1D"/>
    <w:rsid w:val="00826C83"/>
    <w:rsid w:val="00826CFE"/>
    <w:rsid w:val="00826D81"/>
    <w:rsid w:val="00826DCF"/>
    <w:rsid w:val="00826EB8"/>
    <w:rsid w:val="00826F8D"/>
    <w:rsid w:val="00827035"/>
    <w:rsid w:val="008270F7"/>
    <w:rsid w:val="0082722E"/>
    <w:rsid w:val="008272D7"/>
    <w:rsid w:val="008273A2"/>
    <w:rsid w:val="008274E4"/>
    <w:rsid w:val="0082754E"/>
    <w:rsid w:val="00827624"/>
    <w:rsid w:val="008279E3"/>
    <w:rsid w:val="008279EB"/>
    <w:rsid w:val="00827A16"/>
    <w:rsid w:val="00827B0C"/>
    <w:rsid w:val="00827C00"/>
    <w:rsid w:val="00827CBB"/>
    <w:rsid w:val="00827CC6"/>
    <w:rsid w:val="00830083"/>
    <w:rsid w:val="00830145"/>
    <w:rsid w:val="008301A5"/>
    <w:rsid w:val="008302E6"/>
    <w:rsid w:val="0083047F"/>
    <w:rsid w:val="00830538"/>
    <w:rsid w:val="00830760"/>
    <w:rsid w:val="008309A1"/>
    <w:rsid w:val="00830A12"/>
    <w:rsid w:val="00830B1A"/>
    <w:rsid w:val="00830BB9"/>
    <w:rsid w:val="00830C81"/>
    <w:rsid w:val="00830C8F"/>
    <w:rsid w:val="00830D66"/>
    <w:rsid w:val="00830DEB"/>
    <w:rsid w:val="00830F31"/>
    <w:rsid w:val="00830FF3"/>
    <w:rsid w:val="00830FF9"/>
    <w:rsid w:val="0083113D"/>
    <w:rsid w:val="00831140"/>
    <w:rsid w:val="008311C1"/>
    <w:rsid w:val="008311C5"/>
    <w:rsid w:val="00831202"/>
    <w:rsid w:val="00831206"/>
    <w:rsid w:val="008315F8"/>
    <w:rsid w:val="00831687"/>
    <w:rsid w:val="008316C4"/>
    <w:rsid w:val="008316EE"/>
    <w:rsid w:val="0083171B"/>
    <w:rsid w:val="00831794"/>
    <w:rsid w:val="008318F5"/>
    <w:rsid w:val="00831945"/>
    <w:rsid w:val="00831960"/>
    <w:rsid w:val="00831A05"/>
    <w:rsid w:val="00831A1C"/>
    <w:rsid w:val="00831A7E"/>
    <w:rsid w:val="00831A81"/>
    <w:rsid w:val="00831AD7"/>
    <w:rsid w:val="00831C8D"/>
    <w:rsid w:val="00831CA4"/>
    <w:rsid w:val="00831F58"/>
    <w:rsid w:val="00832019"/>
    <w:rsid w:val="0083211D"/>
    <w:rsid w:val="008321F5"/>
    <w:rsid w:val="0083225A"/>
    <w:rsid w:val="0083225C"/>
    <w:rsid w:val="008322B4"/>
    <w:rsid w:val="008322D3"/>
    <w:rsid w:val="00832319"/>
    <w:rsid w:val="0083237B"/>
    <w:rsid w:val="0083240F"/>
    <w:rsid w:val="008326B3"/>
    <w:rsid w:val="008326F2"/>
    <w:rsid w:val="0083271F"/>
    <w:rsid w:val="0083276E"/>
    <w:rsid w:val="0083282B"/>
    <w:rsid w:val="00832888"/>
    <w:rsid w:val="008328D3"/>
    <w:rsid w:val="00832931"/>
    <w:rsid w:val="00832AA5"/>
    <w:rsid w:val="00832ABB"/>
    <w:rsid w:val="00832AFC"/>
    <w:rsid w:val="00832B61"/>
    <w:rsid w:val="00832CA6"/>
    <w:rsid w:val="00832E20"/>
    <w:rsid w:val="00832F0D"/>
    <w:rsid w:val="0083312A"/>
    <w:rsid w:val="008331C1"/>
    <w:rsid w:val="008331F0"/>
    <w:rsid w:val="00833258"/>
    <w:rsid w:val="0083330D"/>
    <w:rsid w:val="008333A3"/>
    <w:rsid w:val="00833740"/>
    <w:rsid w:val="008337CF"/>
    <w:rsid w:val="0083381C"/>
    <w:rsid w:val="00833ABC"/>
    <w:rsid w:val="00833AC2"/>
    <w:rsid w:val="00833B62"/>
    <w:rsid w:val="00833DB3"/>
    <w:rsid w:val="00833E9A"/>
    <w:rsid w:val="008340D3"/>
    <w:rsid w:val="008340ED"/>
    <w:rsid w:val="00834188"/>
    <w:rsid w:val="0083427F"/>
    <w:rsid w:val="008342DE"/>
    <w:rsid w:val="0083438A"/>
    <w:rsid w:val="00834402"/>
    <w:rsid w:val="008344A8"/>
    <w:rsid w:val="008344EF"/>
    <w:rsid w:val="00834557"/>
    <w:rsid w:val="008346E9"/>
    <w:rsid w:val="008347EF"/>
    <w:rsid w:val="008347F8"/>
    <w:rsid w:val="00834898"/>
    <w:rsid w:val="008348A0"/>
    <w:rsid w:val="008348E3"/>
    <w:rsid w:val="008349A2"/>
    <w:rsid w:val="00834A34"/>
    <w:rsid w:val="00834A5D"/>
    <w:rsid w:val="00834A76"/>
    <w:rsid w:val="00834B9D"/>
    <w:rsid w:val="00834E6B"/>
    <w:rsid w:val="00834F0A"/>
    <w:rsid w:val="0083506D"/>
    <w:rsid w:val="0083511C"/>
    <w:rsid w:val="00835206"/>
    <w:rsid w:val="0083527E"/>
    <w:rsid w:val="0083554B"/>
    <w:rsid w:val="0083568C"/>
    <w:rsid w:val="00835700"/>
    <w:rsid w:val="0083570A"/>
    <w:rsid w:val="00835846"/>
    <w:rsid w:val="00835964"/>
    <w:rsid w:val="0083598A"/>
    <w:rsid w:val="00835A85"/>
    <w:rsid w:val="00835AAE"/>
    <w:rsid w:val="00835B64"/>
    <w:rsid w:val="00835D9B"/>
    <w:rsid w:val="00835D9E"/>
    <w:rsid w:val="00835E1A"/>
    <w:rsid w:val="00835E2F"/>
    <w:rsid w:val="00835F95"/>
    <w:rsid w:val="0083600D"/>
    <w:rsid w:val="0083604B"/>
    <w:rsid w:val="00836236"/>
    <w:rsid w:val="008363A7"/>
    <w:rsid w:val="008364AF"/>
    <w:rsid w:val="0083653C"/>
    <w:rsid w:val="008366B9"/>
    <w:rsid w:val="00836775"/>
    <w:rsid w:val="008368A1"/>
    <w:rsid w:val="00836CB2"/>
    <w:rsid w:val="00836EC5"/>
    <w:rsid w:val="00836FFE"/>
    <w:rsid w:val="00837088"/>
    <w:rsid w:val="00837115"/>
    <w:rsid w:val="00837188"/>
    <w:rsid w:val="008372CC"/>
    <w:rsid w:val="008372E5"/>
    <w:rsid w:val="0083731B"/>
    <w:rsid w:val="0083743F"/>
    <w:rsid w:val="00837464"/>
    <w:rsid w:val="00837555"/>
    <w:rsid w:val="008375E2"/>
    <w:rsid w:val="00837695"/>
    <w:rsid w:val="008377EA"/>
    <w:rsid w:val="0083797A"/>
    <w:rsid w:val="00837A1F"/>
    <w:rsid w:val="00837CCE"/>
    <w:rsid w:val="00837E07"/>
    <w:rsid w:val="00837E1C"/>
    <w:rsid w:val="008401AD"/>
    <w:rsid w:val="00840362"/>
    <w:rsid w:val="00840556"/>
    <w:rsid w:val="008406CF"/>
    <w:rsid w:val="0084071C"/>
    <w:rsid w:val="00840768"/>
    <w:rsid w:val="00840780"/>
    <w:rsid w:val="00840A68"/>
    <w:rsid w:val="00840AE3"/>
    <w:rsid w:val="00840BC3"/>
    <w:rsid w:val="00840DC4"/>
    <w:rsid w:val="00840DFE"/>
    <w:rsid w:val="00840E16"/>
    <w:rsid w:val="00840E17"/>
    <w:rsid w:val="00840FFA"/>
    <w:rsid w:val="0084127B"/>
    <w:rsid w:val="00841318"/>
    <w:rsid w:val="00841436"/>
    <w:rsid w:val="008414D8"/>
    <w:rsid w:val="008415B8"/>
    <w:rsid w:val="00841685"/>
    <w:rsid w:val="0084172E"/>
    <w:rsid w:val="008418A3"/>
    <w:rsid w:val="008418D0"/>
    <w:rsid w:val="00841A44"/>
    <w:rsid w:val="00841B44"/>
    <w:rsid w:val="00841B74"/>
    <w:rsid w:val="00841C14"/>
    <w:rsid w:val="00841CDE"/>
    <w:rsid w:val="00841DF9"/>
    <w:rsid w:val="00841EED"/>
    <w:rsid w:val="00841F11"/>
    <w:rsid w:val="00841F26"/>
    <w:rsid w:val="00841F27"/>
    <w:rsid w:val="00841FE6"/>
    <w:rsid w:val="008420BA"/>
    <w:rsid w:val="008422A4"/>
    <w:rsid w:val="008423C2"/>
    <w:rsid w:val="008424CC"/>
    <w:rsid w:val="00842584"/>
    <w:rsid w:val="0084280E"/>
    <w:rsid w:val="00842BED"/>
    <w:rsid w:val="00842C8B"/>
    <w:rsid w:val="00842C92"/>
    <w:rsid w:val="00842D11"/>
    <w:rsid w:val="00842D6E"/>
    <w:rsid w:val="00842DE8"/>
    <w:rsid w:val="00842E54"/>
    <w:rsid w:val="00843167"/>
    <w:rsid w:val="00843185"/>
    <w:rsid w:val="0084320C"/>
    <w:rsid w:val="008432F7"/>
    <w:rsid w:val="008432FF"/>
    <w:rsid w:val="008433A2"/>
    <w:rsid w:val="00843532"/>
    <w:rsid w:val="00843634"/>
    <w:rsid w:val="00843642"/>
    <w:rsid w:val="008437BA"/>
    <w:rsid w:val="008439EC"/>
    <w:rsid w:val="00843BE4"/>
    <w:rsid w:val="00843C32"/>
    <w:rsid w:val="00843C5F"/>
    <w:rsid w:val="00843DCB"/>
    <w:rsid w:val="00843E05"/>
    <w:rsid w:val="00843F15"/>
    <w:rsid w:val="00843F80"/>
    <w:rsid w:val="00843FB7"/>
    <w:rsid w:val="00843FBD"/>
    <w:rsid w:val="008442E7"/>
    <w:rsid w:val="0084444A"/>
    <w:rsid w:val="00844536"/>
    <w:rsid w:val="00844640"/>
    <w:rsid w:val="008446A6"/>
    <w:rsid w:val="0084473F"/>
    <w:rsid w:val="0084493F"/>
    <w:rsid w:val="00844C23"/>
    <w:rsid w:val="00844DCB"/>
    <w:rsid w:val="00844EFA"/>
    <w:rsid w:val="00844F53"/>
    <w:rsid w:val="0084528F"/>
    <w:rsid w:val="008452C3"/>
    <w:rsid w:val="00845624"/>
    <w:rsid w:val="008456E2"/>
    <w:rsid w:val="0084574B"/>
    <w:rsid w:val="008459D8"/>
    <w:rsid w:val="008459F4"/>
    <w:rsid w:val="00845A91"/>
    <w:rsid w:val="00845BA4"/>
    <w:rsid w:val="00845C2B"/>
    <w:rsid w:val="00845C39"/>
    <w:rsid w:val="00845FDD"/>
    <w:rsid w:val="00846094"/>
    <w:rsid w:val="00846175"/>
    <w:rsid w:val="00846201"/>
    <w:rsid w:val="00846511"/>
    <w:rsid w:val="0084654F"/>
    <w:rsid w:val="00846561"/>
    <w:rsid w:val="0084661B"/>
    <w:rsid w:val="008466A7"/>
    <w:rsid w:val="00846763"/>
    <w:rsid w:val="00846858"/>
    <w:rsid w:val="00846880"/>
    <w:rsid w:val="0084692B"/>
    <w:rsid w:val="0084698A"/>
    <w:rsid w:val="008469FC"/>
    <w:rsid w:val="00846B16"/>
    <w:rsid w:val="00846B47"/>
    <w:rsid w:val="00846BF0"/>
    <w:rsid w:val="00846CDB"/>
    <w:rsid w:val="00846D06"/>
    <w:rsid w:val="00846D79"/>
    <w:rsid w:val="00846E2B"/>
    <w:rsid w:val="00846E82"/>
    <w:rsid w:val="00846F5E"/>
    <w:rsid w:val="008470CD"/>
    <w:rsid w:val="008470FC"/>
    <w:rsid w:val="008471C4"/>
    <w:rsid w:val="00847340"/>
    <w:rsid w:val="0084742D"/>
    <w:rsid w:val="008475CA"/>
    <w:rsid w:val="0084764E"/>
    <w:rsid w:val="00847661"/>
    <w:rsid w:val="008476E2"/>
    <w:rsid w:val="0084784F"/>
    <w:rsid w:val="0084786D"/>
    <w:rsid w:val="008478E2"/>
    <w:rsid w:val="00847908"/>
    <w:rsid w:val="00847A3A"/>
    <w:rsid w:val="00847B93"/>
    <w:rsid w:val="00847C55"/>
    <w:rsid w:val="00847CB1"/>
    <w:rsid w:val="00847E3B"/>
    <w:rsid w:val="00847E57"/>
    <w:rsid w:val="00847EB7"/>
    <w:rsid w:val="00847F66"/>
    <w:rsid w:val="00847F69"/>
    <w:rsid w:val="0085003D"/>
    <w:rsid w:val="008500CA"/>
    <w:rsid w:val="008501B4"/>
    <w:rsid w:val="00850210"/>
    <w:rsid w:val="00850213"/>
    <w:rsid w:val="0085036D"/>
    <w:rsid w:val="00850532"/>
    <w:rsid w:val="008505B8"/>
    <w:rsid w:val="0085073E"/>
    <w:rsid w:val="008507DE"/>
    <w:rsid w:val="008508ED"/>
    <w:rsid w:val="00850927"/>
    <w:rsid w:val="0085099D"/>
    <w:rsid w:val="008509F2"/>
    <w:rsid w:val="00850A67"/>
    <w:rsid w:val="00850B08"/>
    <w:rsid w:val="00850C2D"/>
    <w:rsid w:val="00850C7F"/>
    <w:rsid w:val="00850C8D"/>
    <w:rsid w:val="00850CCA"/>
    <w:rsid w:val="00850D73"/>
    <w:rsid w:val="00850EAE"/>
    <w:rsid w:val="00850F1B"/>
    <w:rsid w:val="0085101B"/>
    <w:rsid w:val="00851075"/>
    <w:rsid w:val="008515A5"/>
    <w:rsid w:val="00851645"/>
    <w:rsid w:val="0085168D"/>
    <w:rsid w:val="00851776"/>
    <w:rsid w:val="0085186F"/>
    <w:rsid w:val="0085189C"/>
    <w:rsid w:val="0085198C"/>
    <w:rsid w:val="00851AC0"/>
    <w:rsid w:val="00851B96"/>
    <w:rsid w:val="00851BB8"/>
    <w:rsid w:val="00851C07"/>
    <w:rsid w:val="00851E6D"/>
    <w:rsid w:val="00851E95"/>
    <w:rsid w:val="0085207F"/>
    <w:rsid w:val="008520A7"/>
    <w:rsid w:val="008520E4"/>
    <w:rsid w:val="008521A5"/>
    <w:rsid w:val="0085222B"/>
    <w:rsid w:val="0085242D"/>
    <w:rsid w:val="00852463"/>
    <w:rsid w:val="008525D0"/>
    <w:rsid w:val="008527E8"/>
    <w:rsid w:val="008528DE"/>
    <w:rsid w:val="008529AC"/>
    <w:rsid w:val="008529D9"/>
    <w:rsid w:val="00852A29"/>
    <w:rsid w:val="00852A68"/>
    <w:rsid w:val="00852C76"/>
    <w:rsid w:val="00852F2A"/>
    <w:rsid w:val="00852F72"/>
    <w:rsid w:val="00853258"/>
    <w:rsid w:val="0085328D"/>
    <w:rsid w:val="008532D7"/>
    <w:rsid w:val="008532DF"/>
    <w:rsid w:val="00853329"/>
    <w:rsid w:val="00853357"/>
    <w:rsid w:val="008533A0"/>
    <w:rsid w:val="008533D5"/>
    <w:rsid w:val="008535CD"/>
    <w:rsid w:val="00853610"/>
    <w:rsid w:val="00853650"/>
    <w:rsid w:val="00853A2F"/>
    <w:rsid w:val="00853B45"/>
    <w:rsid w:val="00853CAE"/>
    <w:rsid w:val="00853D32"/>
    <w:rsid w:val="00853DCF"/>
    <w:rsid w:val="00853FB0"/>
    <w:rsid w:val="00854131"/>
    <w:rsid w:val="0085414B"/>
    <w:rsid w:val="00854159"/>
    <w:rsid w:val="00854571"/>
    <w:rsid w:val="008546E5"/>
    <w:rsid w:val="00854775"/>
    <w:rsid w:val="00854842"/>
    <w:rsid w:val="00854934"/>
    <w:rsid w:val="00854B0E"/>
    <w:rsid w:val="00854B6E"/>
    <w:rsid w:val="00854BC4"/>
    <w:rsid w:val="00854CB8"/>
    <w:rsid w:val="00854CF8"/>
    <w:rsid w:val="00854EB4"/>
    <w:rsid w:val="00854F3D"/>
    <w:rsid w:val="00854F5B"/>
    <w:rsid w:val="00854FC9"/>
    <w:rsid w:val="0085502C"/>
    <w:rsid w:val="008551DB"/>
    <w:rsid w:val="0085524D"/>
    <w:rsid w:val="00855276"/>
    <w:rsid w:val="008552FE"/>
    <w:rsid w:val="00855314"/>
    <w:rsid w:val="0085532D"/>
    <w:rsid w:val="0085537C"/>
    <w:rsid w:val="008554CD"/>
    <w:rsid w:val="0085561E"/>
    <w:rsid w:val="00855746"/>
    <w:rsid w:val="008557D3"/>
    <w:rsid w:val="00855846"/>
    <w:rsid w:val="00855917"/>
    <w:rsid w:val="0085592F"/>
    <w:rsid w:val="008559BD"/>
    <w:rsid w:val="00855A3D"/>
    <w:rsid w:val="00855AB7"/>
    <w:rsid w:val="00855B33"/>
    <w:rsid w:val="00855B4E"/>
    <w:rsid w:val="00855B69"/>
    <w:rsid w:val="00855BF1"/>
    <w:rsid w:val="00855E6A"/>
    <w:rsid w:val="00855EB5"/>
    <w:rsid w:val="00855F17"/>
    <w:rsid w:val="008560A4"/>
    <w:rsid w:val="00856104"/>
    <w:rsid w:val="0085614F"/>
    <w:rsid w:val="00856222"/>
    <w:rsid w:val="00856252"/>
    <w:rsid w:val="00856328"/>
    <w:rsid w:val="0085660A"/>
    <w:rsid w:val="008566EF"/>
    <w:rsid w:val="0085670D"/>
    <w:rsid w:val="008567BC"/>
    <w:rsid w:val="0085686C"/>
    <w:rsid w:val="008568BB"/>
    <w:rsid w:val="00856920"/>
    <w:rsid w:val="00856AB6"/>
    <w:rsid w:val="00856C63"/>
    <w:rsid w:val="00856D4D"/>
    <w:rsid w:val="00856D64"/>
    <w:rsid w:val="00856DA9"/>
    <w:rsid w:val="00856DD8"/>
    <w:rsid w:val="00856E6D"/>
    <w:rsid w:val="0085703E"/>
    <w:rsid w:val="008570E8"/>
    <w:rsid w:val="008570F6"/>
    <w:rsid w:val="00857104"/>
    <w:rsid w:val="00857124"/>
    <w:rsid w:val="00857187"/>
    <w:rsid w:val="0085732D"/>
    <w:rsid w:val="00857420"/>
    <w:rsid w:val="00857429"/>
    <w:rsid w:val="008576EA"/>
    <w:rsid w:val="0085776C"/>
    <w:rsid w:val="008577CB"/>
    <w:rsid w:val="0085786E"/>
    <w:rsid w:val="00857910"/>
    <w:rsid w:val="00857A49"/>
    <w:rsid w:val="00857AD5"/>
    <w:rsid w:val="00857B2E"/>
    <w:rsid w:val="00857B6A"/>
    <w:rsid w:val="00857BAC"/>
    <w:rsid w:val="00857C39"/>
    <w:rsid w:val="00857CC8"/>
    <w:rsid w:val="00857CDF"/>
    <w:rsid w:val="00857D5F"/>
    <w:rsid w:val="00857DE7"/>
    <w:rsid w:val="00857E29"/>
    <w:rsid w:val="00857E7F"/>
    <w:rsid w:val="00857F11"/>
    <w:rsid w:val="00857F3B"/>
    <w:rsid w:val="00857FC0"/>
    <w:rsid w:val="00857FF9"/>
    <w:rsid w:val="00860081"/>
    <w:rsid w:val="00860144"/>
    <w:rsid w:val="008601AB"/>
    <w:rsid w:val="008601E5"/>
    <w:rsid w:val="0086059B"/>
    <w:rsid w:val="008605E5"/>
    <w:rsid w:val="0086074D"/>
    <w:rsid w:val="00860767"/>
    <w:rsid w:val="00860810"/>
    <w:rsid w:val="008608E0"/>
    <w:rsid w:val="0086093A"/>
    <w:rsid w:val="00860A34"/>
    <w:rsid w:val="00860E8D"/>
    <w:rsid w:val="00860EB7"/>
    <w:rsid w:val="00860F2D"/>
    <w:rsid w:val="00860F8A"/>
    <w:rsid w:val="008610BC"/>
    <w:rsid w:val="00861282"/>
    <w:rsid w:val="00861354"/>
    <w:rsid w:val="008613CD"/>
    <w:rsid w:val="008614C6"/>
    <w:rsid w:val="008614D4"/>
    <w:rsid w:val="008614DA"/>
    <w:rsid w:val="0086154B"/>
    <w:rsid w:val="0086158A"/>
    <w:rsid w:val="008615A4"/>
    <w:rsid w:val="0086180A"/>
    <w:rsid w:val="00861816"/>
    <w:rsid w:val="0086193F"/>
    <w:rsid w:val="008619D8"/>
    <w:rsid w:val="008619E0"/>
    <w:rsid w:val="00861A67"/>
    <w:rsid w:val="00861B96"/>
    <w:rsid w:val="00861DA5"/>
    <w:rsid w:val="00861DBF"/>
    <w:rsid w:val="00861DE1"/>
    <w:rsid w:val="00861E8B"/>
    <w:rsid w:val="008620E2"/>
    <w:rsid w:val="008622DF"/>
    <w:rsid w:val="00862402"/>
    <w:rsid w:val="0086252E"/>
    <w:rsid w:val="00862572"/>
    <w:rsid w:val="00862601"/>
    <w:rsid w:val="00862793"/>
    <w:rsid w:val="0086280F"/>
    <w:rsid w:val="00862828"/>
    <w:rsid w:val="008628A0"/>
    <w:rsid w:val="0086293B"/>
    <w:rsid w:val="00862A5E"/>
    <w:rsid w:val="00862CAD"/>
    <w:rsid w:val="00862D6A"/>
    <w:rsid w:val="00862D7F"/>
    <w:rsid w:val="00862DBB"/>
    <w:rsid w:val="00862E99"/>
    <w:rsid w:val="00862F3F"/>
    <w:rsid w:val="0086313A"/>
    <w:rsid w:val="0086324C"/>
    <w:rsid w:val="008633AF"/>
    <w:rsid w:val="00863663"/>
    <w:rsid w:val="0086378B"/>
    <w:rsid w:val="008637DD"/>
    <w:rsid w:val="008638A1"/>
    <w:rsid w:val="008639B8"/>
    <w:rsid w:val="00863AA2"/>
    <w:rsid w:val="00863AFE"/>
    <w:rsid w:val="00863B8F"/>
    <w:rsid w:val="00863BF7"/>
    <w:rsid w:val="00863CED"/>
    <w:rsid w:val="00863D11"/>
    <w:rsid w:val="00863D6B"/>
    <w:rsid w:val="00863E0E"/>
    <w:rsid w:val="00863EA2"/>
    <w:rsid w:val="00863EF3"/>
    <w:rsid w:val="00863EF7"/>
    <w:rsid w:val="00863F5D"/>
    <w:rsid w:val="008642B3"/>
    <w:rsid w:val="00864398"/>
    <w:rsid w:val="008644A6"/>
    <w:rsid w:val="008644EF"/>
    <w:rsid w:val="0086464A"/>
    <w:rsid w:val="0086465E"/>
    <w:rsid w:val="00864749"/>
    <w:rsid w:val="00864765"/>
    <w:rsid w:val="008648EB"/>
    <w:rsid w:val="00864A1A"/>
    <w:rsid w:val="00864A64"/>
    <w:rsid w:val="00864AF0"/>
    <w:rsid w:val="00864B84"/>
    <w:rsid w:val="00864CA0"/>
    <w:rsid w:val="00864CBB"/>
    <w:rsid w:val="00864EB0"/>
    <w:rsid w:val="008650DF"/>
    <w:rsid w:val="008653CB"/>
    <w:rsid w:val="008654AB"/>
    <w:rsid w:val="008654D1"/>
    <w:rsid w:val="008655FC"/>
    <w:rsid w:val="0086582C"/>
    <w:rsid w:val="0086592A"/>
    <w:rsid w:val="00865A1E"/>
    <w:rsid w:val="00865AC5"/>
    <w:rsid w:val="00865BD0"/>
    <w:rsid w:val="00865F3A"/>
    <w:rsid w:val="00866036"/>
    <w:rsid w:val="008660CD"/>
    <w:rsid w:val="008660FF"/>
    <w:rsid w:val="0086612C"/>
    <w:rsid w:val="008661A5"/>
    <w:rsid w:val="00866302"/>
    <w:rsid w:val="00866319"/>
    <w:rsid w:val="00866365"/>
    <w:rsid w:val="00866403"/>
    <w:rsid w:val="0086650B"/>
    <w:rsid w:val="0086685D"/>
    <w:rsid w:val="008669CC"/>
    <w:rsid w:val="00866BE8"/>
    <w:rsid w:val="00866CA2"/>
    <w:rsid w:val="00866D0C"/>
    <w:rsid w:val="00866D4F"/>
    <w:rsid w:val="00866E06"/>
    <w:rsid w:val="00866E3D"/>
    <w:rsid w:val="00866E6A"/>
    <w:rsid w:val="00866EF6"/>
    <w:rsid w:val="00866FC2"/>
    <w:rsid w:val="00866FEE"/>
    <w:rsid w:val="0086706B"/>
    <w:rsid w:val="0086714D"/>
    <w:rsid w:val="00867174"/>
    <w:rsid w:val="00867185"/>
    <w:rsid w:val="008671F0"/>
    <w:rsid w:val="00867322"/>
    <w:rsid w:val="00867547"/>
    <w:rsid w:val="008675F2"/>
    <w:rsid w:val="008677D5"/>
    <w:rsid w:val="00867933"/>
    <w:rsid w:val="00867963"/>
    <w:rsid w:val="00867CD0"/>
    <w:rsid w:val="00867CDD"/>
    <w:rsid w:val="00867F0F"/>
    <w:rsid w:val="00867F30"/>
    <w:rsid w:val="00867FC8"/>
    <w:rsid w:val="00870057"/>
    <w:rsid w:val="00870138"/>
    <w:rsid w:val="00870152"/>
    <w:rsid w:val="008701C0"/>
    <w:rsid w:val="00870220"/>
    <w:rsid w:val="0087023B"/>
    <w:rsid w:val="008702CF"/>
    <w:rsid w:val="00870394"/>
    <w:rsid w:val="00870454"/>
    <w:rsid w:val="0087063E"/>
    <w:rsid w:val="00870752"/>
    <w:rsid w:val="0087089F"/>
    <w:rsid w:val="0087095A"/>
    <w:rsid w:val="00870C39"/>
    <w:rsid w:val="00870D55"/>
    <w:rsid w:val="00870D70"/>
    <w:rsid w:val="00870E1A"/>
    <w:rsid w:val="00870EF9"/>
    <w:rsid w:val="00870FD2"/>
    <w:rsid w:val="0087106D"/>
    <w:rsid w:val="00871104"/>
    <w:rsid w:val="00871245"/>
    <w:rsid w:val="008712D2"/>
    <w:rsid w:val="008713C1"/>
    <w:rsid w:val="008713CE"/>
    <w:rsid w:val="0087143F"/>
    <w:rsid w:val="00871517"/>
    <w:rsid w:val="00871702"/>
    <w:rsid w:val="00871716"/>
    <w:rsid w:val="00871840"/>
    <w:rsid w:val="00871895"/>
    <w:rsid w:val="0087191C"/>
    <w:rsid w:val="0087195D"/>
    <w:rsid w:val="00871ADD"/>
    <w:rsid w:val="00871B0B"/>
    <w:rsid w:val="00871B64"/>
    <w:rsid w:val="00871B7F"/>
    <w:rsid w:val="00871D2A"/>
    <w:rsid w:val="00871EB9"/>
    <w:rsid w:val="00871F12"/>
    <w:rsid w:val="00871F31"/>
    <w:rsid w:val="00872196"/>
    <w:rsid w:val="008723AB"/>
    <w:rsid w:val="00872510"/>
    <w:rsid w:val="0087253E"/>
    <w:rsid w:val="0087263F"/>
    <w:rsid w:val="008726AF"/>
    <w:rsid w:val="0087274F"/>
    <w:rsid w:val="00872751"/>
    <w:rsid w:val="008727D1"/>
    <w:rsid w:val="00872A5C"/>
    <w:rsid w:val="00872AFE"/>
    <w:rsid w:val="00872B62"/>
    <w:rsid w:val="00872C23"/>
    <w:rsid w:val="00872C4D"/>
    <w:rsid w:val="00872EA3"/>
    <w:rsid w:val="0087318C"/>
    <w:rsid w:val="00873289"/>
    <w:rsid w:val="008732A5"/>
    <w:rsid w:val="00873347"/>
    <w:rsid w:val="008733AA"/>
    <w:rsid w:val="00873710"/>
    <w:rsid w:val="00873742"/>
    <w:rsid w:val="00873776"/>
    <w:rsid w:val="008738B4"/>
    <w:rsid w:val="00873927"/>
    <w:rsid w:val="00873AB8"/>
    <w:rsid w:val="00873B89"/>
    <w:rsid w:val="00873CE7"/>
    <w:rsid w:val="00873D6C"/>
    <w:rsid w:val="00873E44"/>
    <w:rsid w:val="00873EAF"/>
    <w:rsid w:val="00873F2C"/>
    <w:rsid w:val="00873FEF"/>
    <w:rsid w:val="008742C2"/>
    <w:rsid w:val="00874555"/>
    <w:rsid w:val="008746E0"/>
    <w:rsid w:val="00874837"/>
    <w:rsid w:val="0087498E"/>
    <w:rsid w:val="00874A5A"/>
    <w:rsid w:val="00874C21"/>
    <w:rsid w:val="008751B5"/>
    <w:rsid w:val="00875243"/>
    <w:rsid w:val="0087528B"/>
    <w:rsid w:val="00875302"/>
    <w:rsid w:val="00875361"/>
    <w:rsid w:val="0087536A"/>
    <w:rsid w:val="008753C4"/>
    <w:rsid w:val="0087541E"/>
    <w:rsid w:val="00875426"/>
    <w:rsid w:val="00875490"/>
    <w:rsid w:val="00875608"/>
    <w:rsid w:val="00875746"/>
    <w:rsid w:val="008758C0"/>
    <w:rsid w:val="008758E6"/>
    <w:rsid w:val="00875996"/>
    <w:rsid w:val="008759E9"/>
    <w:rsid w:val="00875ABE"/>
    <w:rsid w:val="00875B63"/>
    <w:rsid w:val="00875C6E"/>
    <w:rsid w:val="00875D49"/>
    <w:rsid w:val="00875E65"/>
    <w:rsid w:val="00875EA0"/>
    <w:rsid w:val="0087611E"/>
    <w:rsid w:val="0087617A"/>
    <w:rsid w:val="00876494"/>
    <w:rsid w:val="00876592"/>
    <w:rsid w:val="008768F8"/>
    <w:rsid w:val="008769FE"/>
    <w:rsid w:val="00876A46"/>
    <w:rsid w:val="00876B45"/>
    <w:rsid w:val="00876B75"/>
    <w:rsid w:val="00876D5C"/>
    <w:rsid w:val="00876D7D"/>
    <w:rsid w:val="00876DF4"/>
    <w:rsid w:val="00876F7B"/>
    <w:rsid w:val="00876F83"/>
    <w:rsid w:val="00877062"/>
    <w:rsid w:val="00877074"/>
    <w:rsid w:val="008770AA"/>
    <w:rsid w:val="008772B1"/>
    <w:rsid w:val="00877507"/>
    <w:rsid w:val="00877617"/>
    <w:rsid w:val="0087768D"/>
    <w:rsid w:val="008776FC"/>
    <w:rsid w:val="0087770D"/>
    <w:rsid w:val="008778A6"/>
    <w:rsid w:val="00877A2F"/>
    <w:rsid w:val="00877B6A"/>
    <w:rsid w:val="00877DEA"/>
    <w:rsid w:val="00877EDD"/>
    <w:rsid w:val="00877FAC"/>
    <w:rsid w:val="008800E1"/>
    <w:rsid w:val="008800F5"/>
    <w:rsid w:val="00880193"/>
    <w:rsid w:val="0088032E"/>
    <w:rsid w:val="00880384"/>
    <w:rsid w:val="00880786"/>
    <w:rsid w:val="00880978"/>
    <w:rsid w:val="00880A13"/>
    <w:rsid w:val="00880C00"/>
    <w:rsid w:val="00880C77"/>
    <w:rsid w:val="00880E46"/>
    <w:rsid w:val="00880E6C"/>
    <w:rsid w:val="00880EAE"/>
    <w:rsid w:val="0088103B"/>
    <w:rsid w:val="00881056"/>
    <w:rsid w:val="008811AA"/>
    <w:rsid w:val="008811B1"/>
    <w:rsid w:val="008811FB"/>
    <w:rsid w:val="0088122D"/>
    <w:rsid w:val="00881280"/>
    <w:rsid w:val="00881289"/>
    <w:rsid w:val="0088139F"/>
    <w:rsid w:val="00881427"/>
    <w:rsid w:val="00881451"/>
    <w:rsid w:val="00881453"/>
    <w:rsid w:val="008814AB"/>
    <w:rsid w:val="00881505"/>
    <w:rsid w:val="00881534"/>
    <w:rsid w:val="008816E2"/>
    <w:rsid w:val="008817EA"/>
    <w:rsid w:val="00881810"/>
    <w:rsid w:val="0088184A"/>
    <w:rsid w:val="00881979"/>
    <w:rsid w:val="0088199F"/>
    <w:rsid w:val="008819A7"/>
    <w:rsid w:val="00881D30"/>
    <w:rsid w:val="00881E55"/>
    <w:rsid w:val="00881EB3"/>
    <w:rsid w:val="00882050"/>
    <w:rsid w:val="0088206D"/>
    <w:rsid w:val="008821A0"/>
    <w:rsid w:val="008821DD"/>
    <w:rsid w:val="00882322"/>
    <w:rsid w:val="008823BF"/>
    <w:rsid w:val="008824B7"/>
    <w:rsid w:val="008825EF"/>
    <w:rsid w:val="0088275C"/>
    <w:rsid w:val="008827A3"/>
    <w:rsid w:val="008827C3"/>
    <w:rsid w:val="008828AF"/>
    <w:rsid w:val="00882920"/>
    <w:rsid w:val="00882926"/>
    <w:rsid w:val="0088295D"/>
    <w:rsid w:val="00882C0D"/>
    <w:rsid w:val="00882C21"/>
    <w:rsid w:val="00882CB6"/>
    <w:rsid w:val="00882ED0"/>
    <w:rsid w:val="00882FB9"/>
    <w:rsid w:val="00883112"/>
    <w:rsid w:val="0088313A"/>
    <w:rsid w:val="00883320"/>
    <w:rsid w:val="00883348"/>
    <w:rsid w:val="008833E2"/>
    <w:rsid w:val="0088344B"/>
    <w:rsid w:val="008834F3"/>
    <w:rsid w:val="008835CF"/>
    <w:rsid w:val="00883615"/>
    <w:rsid w:val="008836A7"/>
    <w:rsid w:val="00883749"/>
    <w:rsid w:val="00883765"/>
    <w:rsid w:val="00883899"/>
    <w:rsid w:val="00883C92"/>
    <w:rsid w:val="00883D04"/>
    <w:rsid w:val="00883D7F"/>
    <w:rsid w:val="00883D80"/>
    <w:rsid w:val="00883F0E"/>
    <w:rsid w:val="00883F62"/>
    <w:rsid w:val="00883F87"/>
    <w:rsid w:val="008840A2"/>
    <w:rsid w:val="008840BF"/>
    <w:rsid w:val="008841D8"/>
    <w:rsid w:val="008843D7"/>
    <w:rsid w:val="0088459E"/>
    <w:rsid w:val="008849EE"/>
    <w:rsid w:val="00884AB7"/>
    <w:rsid w:val="00884AE3"/>
    <w:rsid w:val="00884BE1"/>
    <w:rsid w:val="00884C8F"/>
    <w:rsid w:val="00884CF8"/>
    <w:rsid w:val="00884DF8"/>
    <w:rsid w:val="00884E00"/>
    <w:rsid w:val="00884E67"/>
    <w:rsid w:val="00884E89"/>
    <w:rsid w:val="00884F98"/>
    <w:rsid w:val="008850DA"/>
    <w:rsid w:val="008851A1"/>
    <w:rsid w:val="00885205"/>
    <w:rsid w:val="00885233"/>
    <w:rsid w:val="00885425"/>
    <w:rsid w:val="00885458"/>
    <w:rsid w:val="00885468"/>
    <w:rsid w:val="008854A2"/>
    <w:rsid w:val="008854F7"/>
    <w:rsid w:val="0088574B"/>
    <w:rsid w:val="00885B07"/>
    <w:rsid w:val="00885BD1"/>
    <w:rsid w:val="00885BD7"/>
    <w:rsid w:val="00885D05"/>
    <w:rsid w:val="00885F8D"/>
    <w:rsid w:val="00885F96"/>
    <w:rsid w:val="00886045"/>
    <w:rsid w:val="008860A0"/>
    <w:rsid w:val="008861EC"/>
    <w:rsid w:val="0088623C"/>
    <w:rsid w:val="008862FE"/>
    <w:rsid w:val="00886355"/>
    <w:rsid w:val="008863C5"/>
    <w:rsid w:val="008863FE"/>
    <w:rsid w:val="0088643C"/>
    <w:rsid w:val="0088664C"/>
    <w:rsid w:val="0088670E"/>
    <w:rsid w:val="0088682E"/>
    <w:rsid w:val="00886899"/>
    <w:rsid w:val="008868B0"/>
    <w:rsid w:val="00886999"/>
    <w:rsid w:val="008869E9"/>
    <w:rsid w:val="00886AB0"/>
    <w:rsid w:val="00886BD7"/>
    <w:rsid w:val="00886C17"/>
    <w:rsid w:val="00886C48"/>
    <w:rsid w:val="00886E4D"/>
    <w:rsid w:val="00886F29"/>
    <w:rsid w:val="00886F45"/>
    <w:rsid w:val="0088702A"/>
    <w:rsid w:val="00887127"/>
    <w:rsid w:val="00887292"/>
    <w:rsid w:val="008872E5"/>
    <w:rsid w:val="0088741C"/>
    <w:rsid w:val="008874DC"/>
    <w:rsid w:val="00887684"/>
    <w:rsid w:val="0088771D"/>
    <w:rsid w:val="008877A6"/>
    <w:rsid w:val="00887911"/>
    <w:rsid w:val="0088798C"/>
    <w:rsid w:val="00887A7F"/>
    <w:rsid w:val="00887AC8"/>
    <w:rsid w:val="00887E99"/>
    <w:rsid w:val="00887EC5"/>
    <w:rsid w:val="00887F7D"/>
    <w:rsid w:val="00887FC4"/>
    <w:rsid w:val="00890150"/>
    <w:rsid w:val="00890190"/>
    <w:rsid w:val="00890294"/>
    <w:rsid w:val="008902C5"/>
    <w:rsid w:val="00890467"/>
    <w:rsid w:val="00890481"/>
    <w:rsid w:val="00890533"/>
    <w:rsid w:val="00890575"/>
    <w:rsid w:val="008905A6"/>
    <w:rsid w:val="008905B5"/>
    <w:rsid w:val="008906EE"/>
    <w:rsid w:val="0089073B"/>
    <w:rsid w:val="00890767"/>
    <w:rsid w:val="008907F9"/>
    <w:rsid w:val="00890888"/>
    <w:rsid w:val="0089094B"/>
    <w:rsid w:val="00890FE1"/>
    <w:rsid w:val="00891124"/>
    <w:rsid w:val="0089114F"/>
    <w:rsid w:val="008911A4"/>
    <w:rsid w:val="00891258"/>
    <w:rsid w:val="00891301"/>
    <w:rsid w:val="008913EA"/>
    <w:rsid w:val="00891789"/>
    <w:rsid w:val="008917AB"/>
    <w:rsid w:val="00891897"/>
    <w:rsid w:val="00891A55"/>
    <w:rsid w:val="00891AAA"/>
    <w:rsid w:val="00891BD6"/>
    <w:rsid w:val="00891C15"/>
    <w:rsid w:val="00891D9F"/>
    <w:rsid w:val="00891DFD"/>
    <w:rsid w:val="00891E99"/>
    <w:rsid w:val="00891EBE"/>
    <w:rsid w:val="00891ECF"/>
    <w:rsid w:val="00891F79"/>
    <w:rsid w:val="00892163"/>
    <w:rsid w:val="00892286"/>
    <w:rsid w:val="008922FE"/>
    <w:rsid w:val="0089232A"/>
    <w:rsid w:val="00892394"/>
    <w:rsid w:val="008923A8"/>
    <w:rsid w:val="00892605"/>
    <w:rsid w:val="00892664"/>
    <w:rsid w:val="0089276C"/>
    <w:rsid w:val="008927E7"/>
    <w:rsid w:val="00892A17"/>
    <w:rsid w:val="00892A4C"/>
    <w:rsid w:val="00892B0B"/>
    <w:rsid w:val="00892C41"/>
    <w:rsid w:val="00892C43"/>
    <w:rsid w:val="00892D4E"/>
    <w:rsid w:val="00892D60"/>
    <w:rsid w:val="00892D99"/>
    <w:rsid w:val="00892E06"/>
    <w:rsid w:val="00892E1A"/>
    <w:rsid w:val="00892E61"/>
    <w:rsid w:val="00892EFD"/>
    <w:rsid w:val="00892F57"/>
    <w:rsid w:val="0089300F"/>
    <w:rsid w:val="008930F2"/>
    <w:rsid w:val="00893103"/>
    <w:rsid w:val="0089315F"/>
    <w:rsid w:val="0089321B"/>
    <w:rsid w:val="00893228"/>
    <w:rsid w:val="008932A4"/>
    <w:rsid w:val="00893373"/>
    <w:rsid w:val="008933AF"/>
    <w:rsid w:val="00893434"/>
    <w:rsid w:val="008934CF"/>
    <w:rsid w:val="008935CA"/>
    <w:rsid w:val="008935D8"/>
    <w:rsid w:val="00893713"/>
    <w:rsid w:val="0089377E"/>
    <w:rsid w:val="00893B89"/>
    <w:rsid w:val="00893BDB"/>
    <w:rsid w:val="00893D99"/>
    <w:rsid w:val="00893E16"/>
    <w:rsid w:val="00893E37"/>
    <w:rsid w:val="00893E79"/>
    <w:rsid w:val="00894038"/>
    <w:rsid w:val="008940F9"/>
    <w:rsid w:val="008941B9"/>
    <w:rsid w:val="00894243"/>
    <w:rsid w:val="008942EA"/>
    <w:rsid w:val="00894377"/>
    <w:rsid w:val="00894390"/>
    <w:rsid w:val="0089449F"/>
    <w:rsid w:val="0089457E"/>
    <w:rsid w:val="00894599"/>
    <w:rsid w:val="0089472D"/>
    <w:rsid w:val="00894733"/>
    <w:rsid w:val="008948F2"/>
    <w:rsid w:val="00894932"/>
    <w:rsid w:val="00894A08"/>
    <w:rsid w:val="00894A81"/>
    <w:rsid w:val="00894B0C"/>
    <w:rsid w:val="00894BD5"/>
    <w:rsid w:val="00894C2F"/>
    <w:rsid w:val="00894C91"/>
    <w:rsid w:val="00894D68"/>
    <w:rsid w:val="00894E72"/>
    <w:rsid w:val="00894E9E"/>
    <w:rsid w:val="00894F04"/>
    <w:rsid w:val="00894FB3"/>
    <w:rsid w:val="00895053"/>
    <w:rsid w:val="00895160"/>
    <w:rsid w:val="00895176"/>
    <w:rsid w:val="008951E5"/>
    <w:rsid w:val="0089531B"/>
    <w:rsid w:val="00895414"/>
    <w:rsid w:val="00895457"/>
    <w:rsid w:val="00895747"/>
    <w:rsid w:val="00895764"/>
    <w:rsid w:val="00895777"/>
    <w:rsid w:val="00895795"/>
    <w:rsid w:val="008957BC"/>
    <w:rsid w:val="008958FF"/>
    <w:rsid w:val="00895B0D"/>
    <w:rsid w:val="00895B52"/>
    <w:rsid w:val="00895BE6"/>
    <w:rsid w:val="00895CBE"/>
    <w:rsid w:val="00895D4B"/>
    <w:rsid w:val="00895D5D"/>
    <w:rsid w:val="00895DDA"/>
    <w:rsid w:val="00895E42"/>
    <w:rsid w:val="00895E57"/>
    <w:rsid w:val="00895E91"/>
    <w:rsid w:val="0089601C"/>
    <w:rsid w:val="008960BC"/>
    <w:rsid w:val="00896210"/>
    <w:rsid w:val="0089628E"/>
    <w:rsid w:val="008962DB"/>
    <w:rsid w:val="008964B1"/>
    <w:rsid w:val="00896524"/>
    <w:rsid w:val="008965CF"/>
    <w:rsid w:val="00896696"/>
    <w:rsid w:val="0089669B"/>
    <w:rsid w:val="0089675B"/>
    <w:rsid w:val="008967A6"/>
    <w:rsid w:val="00896A78"/>
    <w:rsid w:val="00896AAF"/>
    <w:rsid w:val="00896ABE"/>
    <w:rsid w:val="00896AF3"/>
    <w:rsid w:val="00896B03"/>
    <w:rsid w:val="00896B5C"/>
    <w:rsid w:val="00896C57"/>
    <w:rsid w:val="00896C8B"/>
    <w:rsid w:val="00896CB1"/>
    <w:rsid w:val="00896CC0"/>
    <w:rsid w:val="00897004"/>
    <w:rsid w:val="00897006"/>
    <w:rsid w:val="0089701F"/>
    <w:rsid w:val="00897089"/>
    <w:rsid w:val="00897093"/>
    <w:rsid w:val="008971FE"/>
    <w:rsid w:val="008972D5"/>
    <w:rsid w:val="008974A1"/>
    <w:rsid w:val="008975B4"/>
    <w:rsid w:val="0089776C"/>
    <w:rsid w:val="008977C7"/>
    <w:rsid w:val="00897876"/>
    <w:rsid w:val="00897A69"/>
    <w:rsid w:val="00897A9E"/>
    <w:rsid w:val="00897AF7"/>
    <w:rsid w:val="00897BD2"/>
    <w:rsid w:val="00897C15"/>
    <w:rsid w:val="00897C6F"/>
    <w:rsid w:val="00897CB9"/>
    <w:rsid w:val="00897D1F"/>
    <w:rsid w:val="00897E58"/>
    <w:rsid w:val="00897EA3"/>
    <w:rsid w:val="00897F4C"/>
    <w:rsid w:val="008A003E"/>
    <w:rsid w:val="008A0192"/>
    <w:rsid w:val="008A027C"/>
    <w:rsid w:val="008A031B"/>
    <w:rsid w:val="008A033D"/>
    <w:rsid w:val="008A06C8"/>
    <w:rsid w:val="008A0759"/>
    <w:rsid w:val="008A0987"/>
    <w:rsid w:val="008A0A68"/>
    <w:rsid w:val="008A0C18"/>
    <w:rsid w:val="008A0C88"/>
    <w:rsid w:val="008A0D09"/>
    <w:rsid w:val="008A0DC9"/>
    <w:rsid w:val="008A0E4B"/>
    <w:rsid w:val="008A0F00"/>
    <w:rsid w:val="008A1172"/>
    <w:rsid w:val="008A12E6"/>
    <w:rsid w:val="008A13FE"/>
    <w:rsid w:val="008A161C"/>
    <w:rsid w:val="008A165F"/>
    <w:rsid w:val="008A1669"/>
    <w:rsid w:val="008A169A"/>
    <w:rsid w:val="008A16E3"/>
    <w:rsid w:val="008A171A"/>
    <w:rsid w:val="008A18AB"/>
    <w:rsid w:val="008A18D4"/>
    <w:rsid w:val="008A1958"/>
    <w:rsid w:val="008A19C3"/>
    <w:rsid w:val="008A1C8F"/>
    <w:rsid w:val="008A1D9A"/>
    <w:rsid w:val="008A1F6D"/>
    <w:rsid w:val="008A219C"/>
    <w:rsid w:val="008A2277"/>
    <w:rsid w:val="008A2311"/>
    <w:rsid w:val="008A2416"/>
    <w:rsid w:val="008A268C"/>
    <w:rsid w:val="008A27D4"/>
    <w:rsid w:val="008A2846"/>
    <w:rsid w:val="008A28B6"/>
    <w:rsid w:val="008A2A40"/>
    <w:rsid w:val="008A2A64"/>
    <w:rsid w:val="008A2B6C"/>
    <w:rsid w:val="008A2C14"/>
    <w:rsid w:val="008A2C15"/>
    <w:rsid w:val="008A2CF8"/>
    <w:rsid w:val="008A2D60"/>
    <w:rsid w:val="008A2EB7"/>
    <w:rsid w:val="008A2F4E"/>
    <w:rsid w:val="008A30FC"/>
    <w:rsid w:val="008A31E2"/>
    <w:rsid w:val="008A31F8"/>
    <w:rsid w:val="008A331B"/>
    <w:rsid w:val="008A33D9"/>
    <w:rsid w:val="008A33E3"/>
    <w:rsid w:val="008A346B"/>
    <w:rsid w:val="008A347D"/>
    <w:rsid w:val="008A3635"/>
    <w:rsid w:val="008A3670"/>
    <w:rsid w:val="008A36F8"/>
    <w:rsid w:val="008A370A"/>
    <w:rsid w:val="008A374B"/>
    <w:rsid w:val="008A37D9"/>
    <w:rsid w:val="008A3989"/>
    <w:rsid w:val="008A3A18"/>
    <w:rsid w:val="008A3E48"/>
    <w:rsid w:val="008A3F01"/>
    <w:rsid w:val="008A3F9B"/>
    <w:rsid w:val="008A4056"/>
    <w:rsid w:val="008A4089"/>
    <w:rsid w:val="008A40B6"/>
    <w:rsid w:val="008A4137"/>
    <w:rsid w:val="008A4357"/>
    <w:rsid w:val="008A4397"/>
    <w:rsid w:val="008A4467"/>
    <w:rsid w:val="008A45E4"/>
    <w:rsid w:val="008A46E6"/>
    <w:rsid w:val="008A478B"/>
    <w:rsid w:val="008A480D"/>
    <w:rsid w:val="008A494F"/>
    <w:rsid w:val="008A4A39"/>
    <w:rsid w:val="008A4A66"/>
    <w:rsid w:val="008A4B34"/>
    <w:rsid w:val="008A4B6E"/>
    <w:rsid w:val="008A4C7F"/>
    <w:rsid w:val="008A4D99"/>
    <w:rsid w:val="008A4E72"/>
    <w:rsid w:val="008A5090"/>
    <w:rsid w:val="008A50B0"/>
    <w:rsid w:val="008A5138"/>
    <w:rsid w:val="008A519A"/>
    <w:rsid w:val="008A5241"/>
    <w:rsid w:val="008A54CE"/>
    <w:rsid w:val="008A54FE"/>
    <w:rsid w:val="008A5537"/>
    <w:rsid w:val="008A5659"/>
    <w:rsid w:val="008A5686"/>
    <w:rsid w:val="008A574D"/>
    <w:rsid w:val="008A585E"/>
    <w:rsid w:val="008A5959"/>
    <w:rsid w:val="008A5A88"/>
    <w:rsid w:val="008A5AC3"/>
    <w:rsid w:val="008A5AD3"/>
    <w:rsid w:val="008A5BB9"/>
    <w:rsid w:val="008A5BC4"/>
    <w:rsid w:val="008A5C44"/>
    <w:rsid w:val="008A5CBD"/>
    <w:rsid w:val="008A5E8F"/>
    <w:rsid w:val="008A5F07"/>
    <w:rsid w:val="008A6090"/>
    <w:rsid w:val="008A60C9"/>
    <w:rsid w:val="008A632B"/>
    <w:rsid w:val="008A6342"/>
    <w:rsid w:val="008A6860"/>
    <w:rsid w:val="008A69A5"/>
    <w:rsid w:val="008A6ADE"/>
    <w:rsid w:val="008A6F7D"/>
    <w:rsid w:val="008A6FA9"/>
    <w:rsid w:val="008A70EA"/>
    <w:rsid w:val="008A70F2"/>
    <w:rsid w:val="008A71CD"/>
    <w:rsid w:val="008A7245"/>
    <w:rsid w:val="008A728D"/>
    <w:rsid w:val="008A72B4"/>
    <w:rsid w:val="008A73F5"/>
    <w:rsid w:val="008A771E"/>
    <w:rsid w:val="008A774B"/>
    <w:rsid w:val="008A7785"/>
    <w:rsid w:val="008A7D15"/>
    <w:rsid w:val="008A7E0C"/>
    <w:rsid w:val="008B001F"/>
    <w:rsid w:val="008B0051"/>
    <w:rsid w:val="008B0064"/>
    <w:rsid w:val="008B008A"/>
    <w:rsid w:val="008B00A9"/>
    <w:rsid w:val="008B00CD"/>
    <w:rsid w:val="008B01E2"/>
    <w:rsid w:val="008B0205"/>
    <w:rsid w:val="008B029B"/>
    <w:rsid w:val="008B02DC"/>
    <w:rsid w:val="008B02F6"/>
    <w:rsid w:val="008B0624"/>
    <w:rsid w:val="008B0747"/>
    <w:rsid w:val="008B0759"/>
    <w:rsid w:val="008B08E8"/>
    <w:rsid w:val="008B09A3"/>
    <w:rsid w:val="008B09E7"/>
    <w:rsid w:val="008B09F0"/>
    <w:rsid w:val="008B0A25"/>
    <w:rsid w:val="008B0A44"/>
    <w:rsid w:val="008B0A8B"/>
    <w:rsid w:val="008B0B3D"/>
    <w:rsid w:val="008B0B70"/>
    <w:rsid w:val="008B0BC6"/>
    <w:rsid w:val="008B0C20"/>
    <w:rsid w:val="008B0C94"/>
    <w:rsid w:val="008B0CD3"/>
    <w:rsid w:val="008B0DC1"/>
    <w:rsid w:val="008B0EC0"/>
    <w:rsid w:val="008B0EF7"/>
    <w:rsid w:val="008B0F8B"/>
    <w:rsid w:val="008B1025"/>
    <w:rsid w:val="008B1257"/>
    <w:rsid w:val="008B1303"/>
    <w:rsid w:val="008B1338"/>
    <w:rsid w:val="008B13F6"/>
    <w:rsid w:val="008B1580"/>
    <w:rsid w:val="008B16D1"/>
    <w:rsid w:val="008B18A8"/>
    <w:rsid w:val="008B1A0E"/>
    <w:rsid w:val="008B1B09"/>
    <w:rsid w:val="008B1C02"/>
    <w:rsid w:val="008B1D47"/>
    <w:rsid w:val="008B1DC8"/>
    <w:rsid w:val="008B1F57"/>
    <w:rsid w:val="008B2125"/>
    <w:rsid w:val="008B2137"/>
    <w:rsid w:val="008B2149"/>
    <w:rsid w:val="008B2213"/>
    <w:rsid w:val="008B2261"/>
    <w:rsid w:val="008B2326"/>
    <w:rsid w:val="008B23C6"/>
    <w:rsid w:val="008B2464"/>
    <w:rsid w:val="008B24C3"/>
    <w:rsid w:val="008B2552"/>
    <w:rsid w:val="008B26DD"/>
    <w:rsid w:val="008B27D2"/>
    <w:rsid w:val="008B289A"/>
    <w:rsid w:val="008B2903"/>
    <w:rsid w:val="008B29FC"/>
    <w:rsid w:val="008B29FD"/>
    <w:rsid w:val="008B2C07"/>
    <w:rsid w:val="008B2CB9"/>
    <w:rsid w:val="008B3029"/>
    <w:rsid w:val="008B3030"/>
    <w:rsid w:val="008B31A7"/>
    <w:rsid w:val="008B3201"/>
    <w:rsid w:val="008B3253"/>
    <w:rsid w:val="008B33D2"/>
    <w:rsid w:val="008B3410"/>
    <w:rsid w:val="008B344B"/>
    <w:rsid w:val="008B346E"/>
    <w:rsid w:val="008B3788"/>
    <w:rsid w:val="008B37ED"/>
    <w:rsid w:val="008B398F"/>
    <w:rsid w:val="008B3A1D"/>
    <w:rsid w:val="008B3BF4"/>
    <w:rsid w:val="008B3D2B"/>
    <w:rsid w:val="008B3D59"/>
    <w:rsid w:val="008B3F35"/>
    <w:rsid w:val="008B409A"/>
    <w:rsid w:val="008B4132"/>
    <w:rsid w:val="008B43A3"/>
    <w:rsid w:val="008B4693"/>
    <w:rsid w:val="008B489F"/>
    <w:rsid w:val="008B4A09"/>
    <w:rsid w:val="008B4A53"/>
    <w:rsid w:val="008B4B2A"/>
    <w:rsid w:val="008B4D5C"/>
    <w:rsid w:val="008B4DA6"/>
    <w:rsid w:val="008B4DAB"/>
    <w:rsid w:val="008B4DC3"/>
    <w:rsid w:val="008B4ECA"/>
    <w:rsid w:val="008B4FD9"/>
    <w:rsid w:val="008B5019"/>
    <w:rsid w:val="008B50B3"/>
    <w:rsid w:val="008B512E"/>
    <w:rsid w:val="008B5180"/>
    <w:rsid w:val="008B51D6"/>
    <w:rsid w:val="008B535C"/>
    <w:rsid w:val="008B5367"/>
    <w:rsid w:val="008B5394"/>
    <w:rsid w:val="008B53C3"/>
    <w:rsid w:val="008B53D9"/>
    <w:rsid w:val="008B54AB"/>
    <w:rsid w:val="008B5536"/>
    <w:rsid w:val="008B5547"/>
    <w:rsid w:val="008B571F"/>
    <w:rsid w:val="008B58B4"/>
    <w:rsid w:val="008B58C0"/>
    <w:rsid w:val="008B594E"/>
    <w:rsid w:val="008B5950"/>
    <w:rsid w:val="008B5A17"/>
    <w:rsid w:val="008B5B21"/>
    <w:rsid w:val="008B5C44"/>
    <w:rsid w:val="008B5D96"/>
    <w:rsid w:val="008B5FC4"/>
    <w:rsid w:val="008B605C"/>
    <w:rsid w:val="008B6103"/>
    <w:rsid w:val="008B612B"/>
    <w:rsid w:val="008B6166"/>
    <w:rsid w:val="008B633A"/>
    <w:rsid w:val="008B65BB"/>
    <w:rsid w:val="008B67B4"/>
    <w:rsid w:val="008B6B4B"/>
    <w:rsid w:val="008B6E64"/>
    <w:rsid w:val="008B6F37"/>
    <w:rsid w:val="008B71E3"/>
    <w:rsid w:val="008B7277"/>
    <w:rsid w:val="008B72AA"/>
    <w:rsid w:val="008B731D"/>
    <w:rsid w:val="008B7510"/>
    <w:rsid w:val="008B7621"/>
    <w:rsid w:val="008B7658"/>
    <w:rsid w:val="008B76C8"/>
    <w:rsid w:val="008B7784"/>
    <w:rsid w:val="008B7A32"/>
    <w:rsid w:val="008B7A7F"/>
    <w:rsid w:val="008B7C2A"/>
    <w:rsid w:val="008B7C3B"/>
    <w:rsid w:val="008B7C94"/>
    <w:rsid w:val="008C00B2"/>
    <w:rsid w:val="008C0166"/>
    <w:rsid w:val="008C01F6"/>
    <w:rsid w:val="008C0221"/>
    <w:rsid w:val="008C0597"/>
    <w:rsid w:val="008C064B"/>
    <w:rsid w:val="008C066C"/>
    <w:rsid w:val="008C098E"/>
    <w:rsid w:val="008C0B62"/>
    <w:rsid w:val="008C0CC0"/>
    <w:rsid w:val="008C0CEC"/>
    <w:rsid w:val="008C0FE5"/>
    <w:rsid w:val="008C0FE6"/>
    <w:rsid w:val="008C0FEB"/>
    <w:rsid w:val="008C1102"/>
    <w:rsid w:val="008C1204"/>
    <w:rsid w:val="008C13F3"/>
    <w:rsid w:val="008C146E"/>
    <w:rsid w:val="008C152F"/>
    <w:rsid w:val="008C157B"/>
    <w:rsid w:val="008C162A"/>
    <w:rsid w:val="008C168F"/>
    <w:rsid w:val="008C173A"/>
    <w:rsid w:val="008C1757"/>
    <w:rsid w:val="008C1795"/>
    <w:rsid w:val="008C179C"/>
    <w:rsid w:val="008C17A1"/>
    <w:rsid w:val="008C17D9"/>
    <w:rsid w:val="008C180A"/>
    <w:rsid w:val="008C1828"/>
    <w:rsid w:val="008C1832"/>
    <w:rsid w:val="008C1AAD"/>
    <w:rsid w:val="008C1E1C"/>
    <w:rsid w:val="008C1F3B"/>
    <w:rsid w:val="008C203E"/>
    <w:rsid w:val="008C21DA"/>
    <w:rsid w:val="008C221F"/>
    <w:rsid w:val="008C225C"/>
    <w:rsid w:val="008C2309"/>
    <w:rsid w:val="008C2342"/>
    <w:rsid w:val="008C24B7"/>
    <w:rsid w:val="008C24C5"/>
    <w:rsid w:val="008C25FE"/>
    <w:rsid w:val="008C273D"/>
    <w:rsid w:val="008C2880"/>
    <w:rsid w:val="008C29A7"/>
    <w:rsid w:val="008C29F5"/>
    <w:rsid w:val="008C2AED"/>
    <w:rsid w:val="008C2AEF"/>
    <w:rsid w:val="008C2B64"/>
    <w:rsid w:val="008C2BD9"/>
    <w:rsid w:val="008C2CDD"/>
    <w:rsid w:val="008C2CE4"/>
    <w:rsid w:val="008C2D5E"/>
    <w:rsid w:val="008C2D7C"/>
    <w:rsid w:val="008C2E12"/>
    <w:rsid w:val="008C2F28"/>
    <w:rsid w:val="008C2F39"/>
    <w:rsid w:val="008C2F65"/>
    <w:rsid w:val="008C3179"/>
    <w:rsid w:val="008C3293"/>
    <w:rsid w:val="008C332A"/>
    <w:rsid w:val="008C357A"/>
    <w:rsid w:val="008C397D"/>
    <w:rsid w:val="008C3C0F"/>
    <w:rsid w:val="008C3DB2"/>
    <w:rsid w:val="008C3DBF"/>
    <w:rsid w:val="008C3E70"/>
    <w:rsid w:val="008C3F89"/>
    <w:rsid w:val="008C404B"/>
    <w:rsid w:val="008C418E"/>
    <w:rsid w:val="008C4232"/>
    <w:rsid w:val="008C42F9"/>
    <w:rsid w:val="008C4346"/>
    <w:rsid w:val="008C438E"/>
    <w:rsid w:val="008C4396"/>
    <w:rsid w:val="008C43BA"/>
    <w:rsid w:val="008C4415"/>
    <w:rsid w:val="008C441F"/>
    <w:rsid w:val="008C447A"/>
    <w:rsid w:val="008C454C"/>
    <w:rsid w:val="008C460D"/>
    <w:rsid w:val="008C46CA"/>
    <w:rsid w:val="008C47D4"/>
    <w:rsid w:val="008C488E"/>
    <w:rsid w:val="008C49EB"/>
    <w:rsid w:val="008C4AAC"/>
    <w:rsid w:val="008C4B2F"/>
    <w:rsid w:val="008C4C3D"/>
    <w:rsid w:val="008C4DAF"/>
    <w:rsid w:val="008C4E9E"/>
    <w:rsid w:val="008C4F1F"/>
    <w:rsid w:val="008C4FB1"/>
    <w:rsid w:val="008C4FC6"/>
    <w:rsid w:val="008C5208"/>
    <w:rsid w:val="008C5230"/>
    <w:rsid w:val="008C54D7"/>
    <w:rsid w:val="008C5649"/>
    <w:rsid w:val="008C568C"/>
    <w:rsid w:val="008C56F9"/>
    <w:rsid w:val="008C5735"/>
    <w:rsid w:val="008C5763"/>
    <w:rsid w:val="008C5981"/>
    <w:rsid w:val="008C5A64"/>
    <w:rsid w:val="008C5BC1"/>
    <w:rsid w:val="008C5D12"/>
    <w:rsid w:val="008C5D2B"/>
    <w:rsid w:val="008C5D52"/>
    <w:rsid w:val="008C5DDA"/>
    <w:rsid w:val="008C5F8F"/>
    <w:rsid w:val="008C5F95"/>
    <w:rsid w:val="008C6020"/>
    <w:rsid w:val="008C6084"/>
    <w:rsid w:val="008C60A1"/>
    <w:rsid w:val="008C60E3"/>
    <w:rsid w:val="008C6116"/>
    <w:rsid w:val="008C6135"/>
    <w:rsid w:val="008C6246"/>
    <w:rsid w:val="008C637E"/>
    <w:rsid w:val="008C63FE"/>
    <w:rsid w:val="008C64CA"/>
    <w:rsid w:val="008C6897"/>
    <w:rsid w:val="008C6947"/>
    <w:rsid w:val="008C6A18"/>
    <w:rsid w:val="008C6AE0"/>
    <w:rsid w:val="008C6B0A"/>
    <w:rsid w:val="008C6BE0"/>
    <w:rsid w:val="008C6D60"/>
    <w:rsid w:val="008C6E94"/>
    <w:rsid w:val="008C6EF0"/>
    <w:rsid w:val="008C708D"/>
    <w:rsid w:val="008C7200"/>
    <w:rsid w:val="008C721C"/>
    <w:rsid w:val="008C7236"/>
    <w:rsid w:val="008C7269"/>
    <w:rsid w:val="008C72D8"/>
    <w:rsid w:val="008C730F"/>
    <w:rsid w:val="008C732B"/>
    <w:rsid w:val="008C73C0"/>
    <w:rsid w:val="008C7570"/>
    <w:rsid w:val="008C75C4"/>
    <w:rsid w:val="008C75D3"/>
    <w:rsid w:val="008C75D7"/>
    <w:rsid w:val="008C763B"/>
    <w:rsid w:val="008C76FB"/>
    <w:rsid w:val="008C7834"/>
    <w:rsid w:val="008C7855"/>
    <w:rsid w:val="008C78C6"/>
    <w:rsid w:val="008C7AE8"/>
    <w:rsid w:val="008C7B71"/>
    <w:rsid w:val="008C7BD4"/>
    <w:rsid w:val="008C7C6E"/>
    <w:rsid w:val="008C7C76"/>
    <w:rsid w:val="008C7DD8"/>
    <w:rsid w:val="008C7EC8"/>
    <w:rsid w:val="008D006D"/>
    <w:rsid w:val="008D0110"/>
    <w:rsid w:val="008D039F"/>
    <w:rsid w:val="008D03A4"/>
    <w:rsid w:val="008D04D3"/>
    <w:rsid w:val="008D05BD"/>
    <w:rsid w:val="008D082E"/>
    <w:rsid w:val="008D0852"/>
    <w:rsid w:val="008D0927"/>
    <w:rsid w:val="008D099E"/>
    <w:rsid w:val="008D09AF"/>
    <w:rsid w:val="008D0A1A"/>
    <w:rsid w:val="008D0ACC"/>
    <w:rsid w:val="008D0D85"/>
    <w:rsid w:val="008D0E9D"/>
    <w:rsid w:val="008D0F30"/>
    <w:rsid w:val="008D0FEC"/>
    <w:rsid w:val="008D10B9"/>
    <w:rsid w:val="008D1349"/>
    <w:rsid w:val="008D1356"/>
    <w:rsid w:val="008D13E7"/>
    <w:rsid w:val="008D14B6"/>
    <w:rsid w:val="008D151A"/>
    <w:rsid w:val="008D155E"/>
    <w:rsid w:val="008D15B6"/>
    <w:rsid w:val="008D162B"/>
    <w:rsid w:val="008D1834"/>
    <w:rsid w:val="008D1839"/>
    <w:rsid w:val="008D1919"/>
    <w:rsid w:val="008D1945"/>
    <w:rsid w:val="008D19B3"/>
    <w:rsid w:val="008D1A57"/>
    <w:rsid w:val="008D1C14"/>
    <w:rsid w:val="008D1D39"/>
    <w:rsid w:val="008D1D73"/>
    <w:rsid w:val="008D1DCD"/>
    <w:rsid w:val="008D1E3E"/>
    <w:rsid w:val="008D1E57"/>
    <w:rsid w:val="008D1F16"/>
    <w:rsid w:val="008D20B7"/>
    <w:rsid w:val="008D2129"/>
    <w:rsid w:val="008D214F"/>
    <w:rsid w:val="008D2165"/>
    <w:rsid w:val="008D2258"/>
    <w:rsid w:val="008D2276"/>
    <w:rsid w:val="008D22E2"/>
    <w:rsid w:val="008D22FA"/>
    <w:rsid w:val="008D23CF"/>
    <w:rsid w:val="008D249E"/>
    <w:rsid w:val="008D25A8"/>
    <w:rsid w:val="008D26C9"/>
    <w:rsid w:val="008D276A"/>
    <w:rsid w:val="008D2831"/>
    <w:rsid w:val="008D2877"/>
    <w:rsid w:val="008D2894"/>
    <w:rsid w:val="008D2A3D"/>
    <w:rsid w:val="008D2A5C"/>
    <w:rsid w:val="008D2B29"/>
    <w:rsid w:val="008D2D75"/>
    <w:rsid w:val="008D2F0D"/>
    <w:rsid w:val="008D2F6A"/>
    <w:rsid w:val="008D3150"/>
    <w:rsid w:val="008D354B"/>
    <w:rsid w:val="008D354E"/>
    <w:rsid w:val="008D361F"/>
    <w:rsid w:val="008D3771"/>
    <w:rsid w:val="008D3792"/>
    <w:rsid w:val="008D3958"/>
    <w:rsid w:val="008D397D"/>
    <w:rsid w:val="008D39FB"/>
    <w:rsid w:val="008D3A6B"/>
    <w:rsid w:val="008D3AA5"/>
    <w:rsid w:val="008D3B5E"/>
    <w:rsid w:val="008D3C9E"/>
    <w:rsid w:val="008D3D1A"/>
    <w:rsid w:val="008D3DD4"/>
    <w:rsid w:val="008D3EF7"/>
    <w:rsid w:val="008D3F8E"/>
    <w:rsid w:val="008D3F92"/>
    <w:rsid w:val="008D400B"/>
    <w:rsid w:val="008D40F3"/>
    <w:rsid w:val="008D4115"/>
    <w:rsid w:val="008D4194"/>
    <w:rsid w:val="008D4199"/>
    <w:rsid w:val="008D4207"/>
    <w:rsid w:val="008D4289"/>
    <w:rsid w:val="008D43A3"/>
    <w:rsid w:val="008D43CF"/>
    <w:rsid w:val="008D455E"/>
    <w:rsid w:val="008D4813"/>
    <w:rsid w:val="008D4AB3"/>
    <w:rsid w:val="008D4B42"/>
    <w:rsid w:val="008D4B60"/>
    <w:rsid w:val="008D4CD0"/>
    <w:rsid w:val="008D4DC4"/>
    <w:rsid w:val="008D4DFD"/>
    <w:rsid w:val="008D4EED"/>
    <w:rsid w:val="008D512B"/>
    <w:rsid w:val="008D5274"/>
    <w:rsid w:val="008D5293"/>
    <w:rsid w:val="008D52D1"/>
    <w:rsid w:val="008D53C3"/>
    <w:rsid w:val="008D54C5"/>
    <w:rsid w:val="008D5651"/>
    <w:rsid w:val="008D57C9"/>
    <w:rsid w:val="008D599B"/>
    <w:rsid w:val="008D59A6"/>
    <w:rsid w:val="008D5B17"/>
    <w:rsid w:val="008D5C88"/>
    <w:rsid w:val="008D5DF3"/>
    <w:rsid w:val="008D61A8"/>
    <w:rsid w:val="008D6347"/>
    <w:rsid w:val="008D636B"/>
    <w:rsid w:val="008D63D9"/>
    <w:rsid w:val="008D63FF"/>
    <w:rsid w:val="008D654D"/>
    <w:rsid w:val="008D6552"/>
    <w:rsid w:val="008D65E7"/>
    <w:rsid w:val="008D66C3"/>
    <w:rsid w:val="008D673A"/>
    <w:rsid w:val="008D6811"/>
    <w:rsid w:val="008D6856"/>
    <w:rsid w:val="008D69DC"/>
    <w:rsid w:val="008D6A14"/>
    <w:rsid w:val="008D6A54"/>
    <w:rsid w:val="008D6BD4"/>
    <w:rsid w:val="008D6CBD"/>
    <w:rsid w:val="008D6E0C"/>
    <w:rsid w:val="008D6E43"/>
    <w:rsid w:val="008D6F7F"/>
    <w:rsid w:val="008D6FAC"/>
    <w:rsid w:val="008D6FBE"/>
    <w:rsid w:val="008D6FCE"/>
    <w:rsid w:val="008D7046"/>
    <w:rsid w:val="008D708A"/>
    <w:rsid w:val="008D709B"/>
    <w:rsid w:val="008D70D0"/>
    <w:rsid w:val="008D71CA"/>
    <w:rsid w:val="008D72FA"/>
    <w:rsid w:val="008D74DE"/>
    <w:rsid w:val="008D752C"/>
    <w:rsid w:val="008D753D"/>
    <w:rsid w:val="008D75CE"/>
    <w:rsid w:val="008D7844"/>
    <w:rsid w:val="008D78AA"/>
    <w:rsid w:val="008D794C"/>
    <w:rsid w:val="008D7DE2"/>
    <w:rsid w:val="008D7E5C"/>
    <w:rsid w:val="008D7F96"/>
    <w:rsid w:val="008D7FD1"/>
    <w:rsid w:val="008D7FED"/>
    <w:rsid w:val="008E0087"/>
    <w:rsid w:val="008E0118"/>
    <w:rsid w:val="008E0178"/>
    <w:rsid w:val="008E01AB"/>
    <w:rsid w:val="008E02ED"/>
    <w:rsid w:val="008E02FC"/>
    <w:rsid w:val="008E085B"/>
    <w:rsid w:val="008E0998"/>
    <w:rsid w:val="008E0B00"/>
    <w:rsid w:val="008E0F09"/>
    <w:rsid w:val="008E0F55"/>
    <w:rsid w:val="008E1015"/>
    <w:rsid w:val="008E10B0"/>
    <w:rsid w:val="008E1112"/>
    <w:rsid w:val="008E1156"/>
    <w:rsid w:val="008E1191"/>
    <w:rsid w:val="008E11B8"/>
    <w:rsid w:val="008E1297"/>
    <w:rsid w:val="008E137D"/>
    <w:rsid w:val="008E13F6"/>
    <w:rsid w:val="008E14ED"/>
    <w:rsid w:val="008E14EE"/>
    <w:rsid w:val="008E15F2"/>
    <w:rsid w:val="008E1A22"/>
    <w:rsid w:val="008E1C00"/>
    <w:rsid w:val="008E1C7E"/>
    <w:rsid w:val="008E1DF1"/>
    <w:rsid w:val="008E1E9E"/>
    <w:rsid w:val="008E1EC3"/>
    <w:rsid w:val="008E1F67"/>
    <w:rsid w:val="008E1F6F"/>
    <w:rsid w:val="008E20AA"/>
    <w:rsid w:val="008E24EF"/>
    <w:rsid w:val="008E2508"/>
    <w:rsid w:val="008E2549"/>
    <w:rsid w:val="008E257B"/>
    <w:rsid w:val="008E2656"/>
    <w:rsid w:val="008E266B"/>
    <w:rsid w:val="008E2683"/>
    <w:rsid w:val="008E26B2"/>
    <w:rsid w:val="008E2815"/>
    <w:rsid w:val="008E287D"/>
    <w:rsid w:val="008E28E7"/>
    <w:rsid w:val="008E2B6D"/>
    <w:rsid w:val="008E2C9C"/>
    <w:rsid w:val="008E304B"/>
    <w:rsid w:val="008E3132"/>
    <w:rsid w:val="008E33E1"/>
    <w:rsid w:val="008E35BC"/>
    <w:rsid w:val="008E35C2"/>
    <w:rsid w:val="008E368F"/>
    <w:rsid w:val="008E371B"/>
    <w:rsid w:val="008E380C"/>
    <w:rsid w:val="008E38D5"/>
    <w:rsid w:val="008E38F6"/>
    <w:rsid w:val="008E3965"/>
    <w:rsid w:val="008E399E"/>
    <w:rsid w:val="008E3A0C"/>
    <w:rsid w:val="008E3A66"/>
    <w:rsid w:val="008E3AB5"/>
    <w:rsid w:val="008E3AC0"/>
    <w:rsid w:val="008E3B3B"/>
    <w:rsid w:val="008E3C19"/>
    <w:rsid w:val="008E3C60"/>
    <w:rsid w:val="008E3D14"/>
    <w:rsid w:val="008E3D46"/>
    <w:rsid w:val="008E3E9A"/>
    <w:rsid w:val="008E3EAB"/>
    <w:rsid w:val="008E3FE4"/>
    <w:rsid w:val="008E41D5"/>
    <w:rsid w:val="008E4372"/>
    <w:rsid w:val="008E43A4"/>
    <w:rsid w:val="008E43F6"/>
    <w:rsid w:val="008E44C3"/>
    <w:rsid w:val="008E45EA"/>
    <w:rsid w:val="008E4757"/>
    <w:rsid w:val="008E4776"/>
    <w:rsid w:val="008E485D"/>
    <w:rsid w:val="008E48B5"/>
    <w:rsid w:val="008E49C5"/>
    <w:rsid w:val="008E4B9D"/>
    <w:rsid w:val="008E4BBA"/>
    <w:rsid w:val="008E4C0C"/>
    <w:rsid w:val="008E4C4E"/>
    <w:rsid w:val="008E4D3E"/>
    <w:rsid w:val="008E4D96"/>
    <w:rsid w:val="008E4E87"/>
    <w:rsid w:val="008E4F38"/>
    <w:rsid w:val="008E4F94"/>
    <w:rsid w:val="008E4F9F"/>
    <w:rsid w:val="008E5004"/>
    <w:rsid w:val="008E5062"/>
    <w:rsid w:val="008E5129"/>
    <w:rsid w:val="008E514B"/>
    <w:rsid w:val="008E52C7"/>
    <w:rsid w:val="008E556E"/>
    <w:rsid w:val="008E560D"/>
    <w:rsid w:val="008E5649"/>
    <w:rsid w:val="008E5716"/>
    <w:rsid w:val="008E57BF"/>
    <w:rsid w:val="008E5A64"/>
    <w:rsid w:val="008E5D24"/>
    <w:rsid w:val="008E5DE0"/>
    <w:rsid w:val="008E5FF5"/>
    <w:rsid w:val="008E61D5"/>
    <w:rsid w:val="008E629A"/>
    <w:rsid w:val="008E62B1"/>
    <w:rsid w:val="008E62B4"/>
    <w:rsid w:val="008E6303"/>
    <w:rsid w:val="008E6542"/>
    <w:rsid w:val="008E655D"/>
    <w:rsid w:val="008E6605"/>
    <w:rsid w:val="008E6990"/>
    <w:rsid w:val="008E69CB"/>
    <w:rsid w:val="008E69CD"/>
    <w:rsid w:val="008E6A0A"/>
    <w:rsid w:val="008E6AF7"/>
    <w:rsid w:val="008E6B0A"/>
    <w:rsid w:val="008E6B2D"/>
    <w:rsid w:val="008E6D8E"/>
    <w:rsid w:val="008E6DF8"/>
    <w:rsid w:val="008E700E"/>
    <w:rsid w:val="008E71AD"/>
    <w:rsid w:val="008E71EB"/>
    <w:rsid w:val="008E7205"/>
    <w:rsid w:val="008E725D"/>
    <w:rsid w:val="008E7285"/>
    <w:rsid w:val="008E72EA"/>
    <w:rsid w:val="008E72EB"/>
    <w:rsid w:val="008E73A7"/>
    <w:rsid w:val="008E74E7"/>
    <w:rsid w:val="008E7541"/>
    <w:rsid w:val="008E75D8"/>
    <w:rsid w:val="008E75EB"/>
    <w:rsid w:val="008E764E"/>
    <w:rsid w:val="008E7698"/>
    <w:rsid w:val="008E7724"/>
    <w:rsid w:val="008E7C3E"/>
    <w:rsid w:val="008E7C46"/>
    <w:rsid w:val="008E7C4E"/>
    <w:rsid w:val="008E7E17"/>
    <w:rsid w:val="008E7F3A"/>
    <w:rsid w:val="008F00B7"/>
    <w:rsid w:val="008F00DE"/>
    <w:rsid w:val="008F017A"/>
    <w:rsid w:val="008F019E"/>
    <w:rsid w:val="008F0287"/>
    <w:rsid w:val="008F029A"/>
    <w:rsid w:val="008F02DF"/>
    <w:rsid w:val="008F0328"/>
    <w:rsid w:val="008F0486"/>
    <w:rsid w:val="008F0529"/>
    <w:rsid w:val="008F0559"/>
    <w:rsid w:val="008F0787"/>
    <w:rsid w:val="008F07B5"/>
    <w:rsid w:val="008F0896"/>
    <w:rsid w:val="008F08A5"/>
    <w:rsid w:val="008F0915"/>
    <w:rsid w:val="008F092D"/>
    <w:rsid w:val="008F0C0F"/>
    <w:rsid w:val="008F0D02"/>
    <w:rsid w:val="008F0E4B"/>
    <w:rsid w:val="008F0FF6"/>
    <w:rsid w:val="008F12CA"/>
    <w:rsid w:val="008F1452"/>
    <w:rsid w:val="008F153E"/>
    <w:rsid w:val="008F15D8"/>
    <w:rsid w:val="008F15F9"/>
    <w:rsid w:val="008F1799"/>
    <w:rsid w:val="008F1CC1"/>
    <w:rsid w:val="008F1DF6"/>
    <w:rsid w:val="008F217B"/>
    <w:rsid w:val="008F2298"/>
    <w:rsid w:val="008F22BD"/>
    <w:rsid w:val="008F234E"/>
    <w:rsid w:val="008F2532"/>
    <w:rsid w:val="008F279A"/>
    <w:rsid w:val="008F27FE"/>
    <w:rsid w:val="008F29A9"/>
    <w:rsid w:val="008F2B13"/>
    <w:rsid w:val="008F2B94"/>
    <w:rsid w:val="008F2BD3"/>
    <w:rsid w:val="008F2BDF"/>
    <w:rsid w:val="008F2CE3"/>
    <w:rsid w:val="008F3041"/>
    <w:rsid w:val="008F3117"/>
    <w:rsid w:val="008F3248"/>
    <w:rsid w:val="008F32E1"/>
    <w:rsid w:val="008F3504"/>
    <w:rsid w:val="008F35F3"/>
    <w:rsid w:val="008F3784"/>
    <w:rsid w:val="008F3823"/>
    <w:rsid w:val="008F38D6"/>
    <w:rsid w:val="008F3959"/>
    <w:rsid w:val="008F39C2"/>
    <w:rsid w:val="008F3AC0"/>
    <w:rsid w:val="008F3B25"/>
    <w:rsid w:val="008F3B99"/>
    <w:rsid w:val="008F3BB6"/>
    <w:rsid w:val="008F3C42"/>
    <w:rsid w:val="008F3D3A"/>
    <w:rsid w:val="008F3DCB"/>
    <w:rsid w:val="008F3DCD"/>
    <w:rsid w:val="008F3EF7"/>
    <w:rsid w:val="008F3F25"/>
    <w:rsid w:val="008F3FD1"/>
    <w:rsid w:val="008F4093"/>
    <w:rsid w:val="008F422E"/>
    <w:rsid w:val="008F429B"/>
    <w:rsid w:val="008F47BD"/>
    <w:rsid w:val="008F4928"/>
    <w:rsid w:val="008F49A4"/>
    <w:rsid w:val="008F4BCE"/>
    <w:rsid w:val="008F4DBB"/>
    <w:rsid w:val="008F4EE3"/>
    <w:rsid w:val="008F4F52"/>
    <w:rsid w:val="008F4F81"/>
    <w:rsid w:val="008F54AF"/>
    <w:rsid w:val="008F551E"/>
    <w:rsid w:val="008F57BF"/>
    <w:rsid w:val="008F57CA"/>
    <w:rsid w:val="008F581E"/>
    <w:rsid w:val="008F596B"/>
    <w:rsid w:val="008F598A"/>
    <w:rsid w:val="008F5ADA"/>
    <w:rsid w:val="008F5C43"/>
    <w:rsid w:val="008F5D6F"/>
    <w:rsid w:val="008F5E9B"/>
    <w:rsid w:val="008F5FBB"/>
    <w:rsid w:val="008F6045"/>
    <w:rsid w:val="008F624A"/>
    <w:rsid w:val="008F62CF"/>
    <w:rsid w:val="008F6362"/>
    <w:rsid w:val="008F664D"/>
    <w:rsid w:val="008F6776"/>
    <w:rsid w:val="008F6821"/>
    <w:rsid w:val="008F682E"/>
    <w:rsid w:val="008F6868"/>
    <w:rsid w:val="008F6869"/>
    <w:rsid w:val="008F68B8"/>
    <w:rsid w:val="008F695E"/>
    <w:rsid w:val="008F6A24"/>
    <w:rsid w:val="008F6ACB"/>
    <w:rsid w:val="008F6E20"/>
    <w:rsid w:val="008F6E34"/>
    <w:rsid w:val="008F6E78"/>
    <w:rsid w:val="008F6E81"/>
    <w:rsid w:val="008F6F00"/>
    <w:rsid w:val="008F6F7B"/>
    <w:rsid w:val="008F701C"/>
    <w:rsid w:val="008F70B8"/>
    <w:rsid w:val="008F74CE"/>
    <w:rsid w:val="008F7532"/>
    <w:rsid w:val="008F759C"/>
    <w:rsid w:val="008F75E0"/>
    <w:rsid w:val="008F773F"/>
    <w:rsid w:val="008F77AC"/>
    <w:rsid w:val="008F7819"/>
    <w:rsid w:val="008F7983"/>
    <w:rsid w:val="008F7A01"/>
    <w:rsid w:val="008F7A1A"/>
    <w:rsid w:val="008F7B37"/>
    <w:rsid w:val="008F7B9D"/>
    <w:rsid w:val="008F7CA3"/>
    <w:rsid w:val="008F7CAA"/>
    <w:rsid w:val="008F7CEF"/>
    <w:rsid w:val="008F7D81"/>
    <w:rsid w:val="008F7D8B"/>
    <w:rsid w:val="00900060"/>
    <w:rsid w:val="00900237"/>
    <w:rsid w:val="00900323"/>
    <w:rsid w:val="00900373"/>
    <w:rsid w:val="00900532"/>
    <w:rsid w:val="009006F8"/>
    <w:rsid w:val="00900735"/>
    <w:rsid w:val="00900810"/>
    <w:rsid w:val="009008A3"/>
    <w:rsid w:val="00900A99"/>
    <w:rsid w:val="00900B7A"/>
    <w:rsid w:val="00900B9F"/>
    <w:rsid w:val="00900E37"/>
    <w:rsid w:val="00900E4D"/>
    <w:rsid w:val="00900F16"/>
    <w:rsid w:val="00900FA2"/>
    <w:rsid w:val="00901074"/>
    <w:rsid w:val="009011F5"/>
    <w:rsid w:val="009019EC"/>
    <w:rsid w:val="00901A96"/>
    <w:rsid w:val="00901B2A"/>
    <w:rsid w:val="00901B76"/>
    <w:rsid w:val="00901CC5"/>
    <w:rsid w:val="00901CD3"/>
    <w:rsid w:val="00901DB9"/>
    <w:rsid w:val="00901E1A"/>
    <w:rsid w:val="00901EA6"/>
    <w:rsid w:val="00901F15"/>
    <w:rsid w:val="00901F30"/>
    <w:rsid w:val="00902123"/>
    <w:rsid w:val="009021D0"/>
    <w:rsid w:val="00902336"/>
    <w:rsid w:val="0090239F"/>
    <w:rsid w:val="009024F1"/>
    <w:rsid w:val="00902810"/>
    <w:rsid w:val="00902932"/>
    <w:rsid w:val="009029A3"/>
    <w:rsid w:val="00902C11"/>
    <w:rsid w:val="00902F73"/>
    <w:rsid w:val="00902F79"/>
    <w:rsid w:val="009030A2"/>
    <w:rsid w:val="009030B7"/>
    <w:rsid w:val="009030EB"/>
    <w:rsid w:val="0090311D"/>
    <w:rsid w:val="00903227"/>
    <w:rsid w:val="0090322F"/>
    <w:rsid w:val="00903316"/>
    <w:rsid w:val="009034E8"/>
    <w:rsid w:val="0090352E"/>
    <w:rsid w:val="009037DC"/>
    <w:rsid w:val="00903994"/>
    <w:rsid w:val="00903AA3"/>
    <w:rsid w:val="00903C78"/>
    <w:rsid w:val="00903E7A"/>
    <w:rsid w:val="00903ED1"/>
    <w:rsid w:val="00904042"/>
    <w:rsid w:val="00904280"/>
    <w:rsid w:val="009044FE"/>
    <w:rsid w:val="009045D8"/>
    <w:rsid w:val="00904608"/>
    <w:rsid w:val="0090465D"/>
    <w:rsid w:val="00904943"/>
    <w:rsid w:val="00904A79"/>
    <w:rsid w:val="00904BA9"/>
    <w:rsid w:val="00904C0B"/>
    <w:rsid w:val="00904C7A"/>
    <w:rsid w:val="00904DF2"/>
    <w:rsid w:val="00904E82"/>
    <w:rsid w:val="0090503C"/>
    <w:rsid w:val="0090507A"/>
    <w:rsid w:val="009051BF"/>
    <w:rsid w:val="00905243"/>
    <w:rsid w:val="009052AD"/>
    <w:rsid w:val="009052FB"/>
    <w:rsid w:val="00905359"/>
    <w:rsid w:val="009053D8"/>
    <w:rsid w:val="00905574"/>
    <w:rsid w:val="009056F4"/>
    <w:rsid w:val="00905838"/>
    <w:rsid w:val="00905BFA"/>
    <w:rsid w:val="00905C11"/>
    <w:rsid w:val="00905CD2"/>
    <w:rsid w:val="00905D6A"/>
    <w:rsid w:val="00905E13"/>
    <w:rsid w:val="00905E70"/>
    <w:rsid w:val="009060AE"/>
    <w:rsid w:val="0090621A"/>
    <w:rsid w:val="009062EB"/>
    <w:rsid w:val="009063C2"/>
    <w:rsid w:val="0090656D"/>
    <w:rsid w:val="0090675B"/>
    <w:rsid w:val="00906860"/>
    <w:rsid w:val="0090692C"/>
    <w:rsid w:val="00906996"/>
    <w:rsid w:val="00906AE2"/>
    <w:rsid w:val="00906B4D"/>
    <w:rsid w:val="00906B64"/>
    <w:rsid w:val="00906B6D"/>
    <w:rsid w:val="00906D8E"/>
    <w:rsid w:val="00906E6B"/>
    <w:rsid w:val="00907030"/>
    <w:rsid w:val="009071B7"/>
    <w:rsid w:val="0090728D"/>
    <w:rsid w:val="0090785E"/>
    <w:rsid w:val="00907B6D"/>
    <w:rsid w:val="00910071"/>
    <w:rsid w:val="009100B4"/>
    <w:rsid w:val="009100D8"/>
    <w:rsid w:val="00910113"/>
    <w:rsid w:val="009101F5"/>
    <w:rsid w:val="00910295"/>
    <w:rsid w:val="009102A6"/>
    <w:rsid w:val="0091038D"/>
    <w:rsid w:val="00910450"/>
    <w:rsid w:val="00910500"/>
    <w:rsid w:val="00910550"/>
    <w:rsid w:val="009105D9"/>
    <w:rsid w:val="0091061A"/>
    <w:rsid w:val="00910741"/>
    <w:rsid w:val="009107E2"/>
    <w:rsid w:val="0091080E"/>
    <w:rsid w:val="00910875"/>
    <w:rsid w:val="00910944"/>
    <w:rsid w:val="00910973"/>
    <w:rsid w:val="009109A4"/>
    <w:rsid w:val="009109E0"/>
    <w:rsid w:val="00910A61"/>
    <w:rsid w:val="00910ABA"/>
    <w:rsid w:val="00910B61"/>
    <w:rsid w:val="00910C53"/>
    <w:rsid w:val="00910C96"/>
    <w:rsid w:val="00910DF8"/>
    <w:rsid w:val="00910E28"/>
    <w:rsid w:val="00910EC2"/>
    <w:rsid w:val="00910EE7"/>
    <w:rsid w:val="00910F8D"/>
    <w:rsid w:val="00910FBD"/>
    <w:rsid w:val="00910FD0"/>
    <w:rsid w:val="0091105B"/>
    <w:rsid w:val="0091111B"/>
    <w:rsid w:val="009111A6"/>
    <w:rsid w:val="009111D0"/>
    <w:rsid w:val="009112B4"/>
    <w:rsid w:val="009112EF"/>
    <w:rsid w:val="00911350"/>
    <w:rsid w:val="00911401"/>
    <w:rsid w:val="009114DC"/>
    <w:rsid w:val="00911763"/>
    <w:rsid w:val="0091178A"/>
    <w:rsid w:val="00911A04"/>
    <w:rsid w:val="00911AAA"/>
    <w:rsid w:val="00911AB1"/>
    <w:rsid w:val="00911C6C"/>
    <w:rsid w:val="00911CA6"/>
    <w:rsid w:val="00911D3C"/>
    <w:rsid w:val="00911D73"/>
    <w:rsid w:val="00911E5B"/>
    <w:rsid w:val="00911E87"/>
    <w:rsid w:val="00911F1B"/>
    <w:rsid w:val="00911F24"/>
    <w:rsid w:val="009120A0"/>
    <w:rsid w:val="00912137"/>
    <w:rsid w:val="0091215C"/>
    <w:rsid w:val="009121DE"/>
    <w:rsid w:val="00912277"/>
    <w:rsid w:val="0091231F"/>
    <w:rsid w:val="0091245B"/>
    <w:rsid w:val="009125C9"/>
    <w:rsid w:val="00912649"/>
    <w:rsid w:val="0091264B"/>
    <w:rsid w:val="009127D1"/>
    <w:rsid w:val="0091285E"/>
    <w:rsid w:val="00912870"/>
    <w:rsid w:val="00912B4F"/>
    <w:rsid w:val="00912C6A"/>
    <w:rsid w:val="00912C7B"/>
    <w:rsid w:val="00912EC2"/>
    <w:rsid w:val="00912F2C"/>
    <w:rsid w:val="009130E5"/>
    <w:rsid w:val="00913120"/>
    <w:rsid w:val="00913202"/>
    <w:rsid w:val="0091321E"/>
    <w:rsid w:val="009132A5"/>
    <w:rsid w:val="009132CA"/>
    <w:rsid w:val="00913343"/>
    <w:rsid w:val="00913346"/>
    <w:rsid w:val="009134AC"/>
    <w:rsid w:val="0091377B"/>
    <w:rsid w:val="00913786"/>
    <w:rsid w:val="009139E2"/>
    <w:rsid w:val="00913ACB"/>
    <w:rsid w:val="00913B98"/>
    <w:rsid w:val="00913BFB"/>
    <w:rsid w:val="00913C17"/>
    <w:rsid w:val="00913C2F"/>
    <w:rsid w:val="0091404D"/>
    <w:rsid w:val="00914071"/>
    <w:rsid w:val="009140EE"/>
    <w:rsid w:val="009140F8"/>
    <w:rsid w:val="0091437A"/>
    <w:rsid w:val="00914443"/>
    <w:rsid w:val="0091448C"/>
    <w:rsid w:val="0091456D"/>
    <w:rsid w:val="00914686"/>
    <w:rsid w:val="00914697"/>
    <w:rsid w:val="009146B1"/>
    <w:rsid w:val="009147AE"/>
    <w:rsid w:val="00914991"/>
    <w:rsid w:val="00914A5F"/>
    <w:rsid w:val="00914B1B"/>
    <w:rsid w:val="00914E73"/>
    <w:rsid w:val="009150E0"/>
    <w:rsid w:val="00915201"/>
    <w:rsid w:val="00915419"/>
    <w:rsid w:val="0091554F"/>
    <w:rsid w:val="009156D0"/>
    <w:rsid w:val="00915782"/>
    <w:rsid w:val="00915791"/>
    <w:rsid w:val="00915908"/>
    <w:rsid w:val="00915C2C"/>
    <w:rsid w:val="00915F14"/>
    <w:rsid w:val="00915F78"/>
    <w:rsid w:val="0091614C"/>
    <w:rsid w:val="00916171"/>
    <w:rsid w:val="00916237"/>
    <w:rsid w:val="00916335"/>
    <w:rsid w:val="0091643F"/>
    <w:rsid w:val="0091648F"/>
    <w:rsid w:val="009164A7"/>
    <w:rsid w:val="00916545"/>
    <w:rsid w:val="00916571"/>
    <w:rsid w:val="00916598"/>
    <w:rsid w:val="009166DF"/>
    <w:rsid w:val="009167F1"/>
    <w:rsid w:val="00916879"/>
    <w:rsid w:val="0091690A"/>
    <w:rsid w:val="009169B3"/>
    <w:rsid w:val="00916BCA"/>
    <w:rsid w:val="00916D71"/>
    <w:rsid w:val="00916F22"/>
    <w:rsid w:val="00917073"/>
    <w:rsid w:val="00917275"/>
    <w:rsid w:val="009172D2"/>
    <w:rsid w:val="0091746C"/>
    <w:rsid w:val="00917499"/>
    <w:rsid w:val="009174E5"/>
    <w:rsid w:val="00917646"/>
    <w:rsid w:val="00917750"/>
    <w:rsid w:val="009179E4"/>
    <w:rsid w:val="00917A05"/>
    <w:rsid w:val="00917B01"/>
    <w:rsid w:val="00917B95"/>
    <w:rsid w:val="00917CA2"/>
    <w:rsid w:val="00917CC3"/>
    <w:rsid w:val="00917CE3"/>
    <w:rsid w:val="00917D63"/>
    <w:rsid w:val="00917DB8"/>
    <w:rsid w:val="00917DC1"/>
    <w:rsid w:val="00917DFF"/>
    <w:rsid w:val="00917E31"/>
    <w:rsid w:val="00917F55"/>
    <w:rsid w:val="00920099"/>
    <w:rsid w:val="0092014C"/>
    <w:rsid w:val="0092019B"/>
    <w:rsid w:val="00920253"/>
    <w:rsid w:val="00920403"/>
    <w:rsid w:val="0092048D"/>
    <w:rsid w:val="00920495"/>
    <w:rsid w:val="009207B0"/>
    <w:rsid w:val="00920986"/>
    <w:rsid w:val="009209AC"/>
    <w:rsid w:val="00920B45"/>
    <w:rsid w:val="00920C1D"/>
    <w:rsid w:val="00920C4F"/>
    <w:rsid w:val="00920C91"/>
    <w:rsid w:val="00920D42"/>
    <w:rsid w:val="00920E0D"/>
    <w:rsid w:val="00920EA0"/>
    <w:rsid w:val="00921005"/>
    <w:rsid w:val="00921061"/>
    <w:rsid w:val="00921095"/>
    <w:rsid w:val="009210C2"/>
    <w:rsid w:val="00921126"/>
    <w:rsid w:val="0092117F"/>
    <w:rsid w:val="009211E8"/>
    <w:rsid w:val="00921235"/>
    <w:rsid w:val="009213A7"/>
    <w:rsid w:val="0092168C"/>
    <w:rsid w:val="009216DD"/>
    <w:rsid w:val="00921724"/>
    <w:rsid w:val="009217C1"/>
    <w:rsid w:val="00921832"/>
    <w:rsid w:val="0092187A"/>
    <w:rsid w:val="009218D5"/>
    <w:rsid w:val="009218F8"/>
    <w:rsid w:val="00921B8A"/>
    <w:rsid w:val="00921CA0"/>
    <w:rsid w:val="00921D34"/>
    <w:rsid w:val="00921E65"/>
    <w:rsid w:val="00921F1C"/>
    <w:rsid w:val="00922050"/>
    <w:rsid w:val="0092211F"/>
    <w:rsid w:val="00922137"/>
    <w:rsid w:val="00922509"/>
    <w:rsid w:val="00922579"/>
    <w:rsid w:val="009225CA"/>
    <w:rsid w:val="009227AD"/>
    <w:rsid w:val="009227CF"/>
    <w:rsid w:val="0092284F"/>
    <w:rsid w:val="009229EF"/>
    <w:rsid w:val="00922C2E"/>
    <w:rsid w:val="00922C37"/>
    <w:rsid w:val="00922C7B"/>
    <w:rsid w:val="00922CE1"/>
    <w:rsid w:val="00922D7B"/>
    <w:rsid w:val="00922E28"/>
    <w:rsid w:val="00922FF1"/>
    <w:rsid w:val="0092309C"/>
    <w:rsid w:val="009231A4"/>
    <w:rsid w:val="009234A7"/>
    <w:rsid w:val="009234DF"/>
    <w:rsid w:val="009234F1"/>
    <w:rsid w:val="00923796"/>
    <w:rsid w:val="009237E9"/>
    <w:rsid w:val="0092382E"/>
    <w:rsid w:val="0092387E"/>
    <w:rsid w:val="009239A1"/>
    <w:rsid w:val="00923B2B"/>
    <w:rsid w:val="00923B30"/>
    <w:rsid w:val="00923BAE"/>
    <w:rsid w:val="00923C25"/>
    <w:rsid w:val="00923C76"/>
    <w:rsid w:val="00923D1B"/>
    <w:rsid w:val="00923D21"/>
    <w:rsid w:val="00923E4D"/>
    <w:rsid w:val="00923F47"/>
    <w:rsid w:val="0092404D"/>
    <w:rsid w:val="00924070"/>
    <w:rsid w:val="009243B4"/>
    <w:rsid w:val="0092446C"/>
    <w:rsid w:val="009245FC"/>
    <w:rsid w:val="00924629"/>
    <w:rsid w:val="009246EC"/>
    <w:rsid w:val="009247FC"/>
    <w:rsid w:val="00924823"/>
    <w:rsid w:val="00924BF3"/>
    <w:rsid w:val="00924E51"/>
    <w:rsid w:val="00924F66"/>
    <w:rsid w:val="0092515A"/>
    <w:rsid w:val="00925271"/>
    <w:rsid w:val="009253D5"/>
    <w:rsid w:val="009253DF"/>
    <w:rsid w:val="00925719"/>
    <w:rsid w:val="009257DB"/>
    <w:rsid w:val="0092584F"/>
    <w:rsid w:val="009258D1"/>
    <w:rsid w:val="00925961"/>
    <w:rsid w:val="00925A1E"/>
    <w:rsid w:val="00925BBB"/>
    <w:rsid w:val="00925BF1"/>
    <w:rsid w:val="00925D99"/>
    <w:rsid w:val="00925DD6"/>
    <w:rsid w:val="00925E2C"/>
    <w:rsid w:val="00925EC1"/>
    <w:rsid w:val="00925F24"/>
    <w:rsid w:val="00925FAF"/>
    <w:rsid w:val="00925FCD"/>
    <w:rsid w:val="009260E7"/>
    <w:rsid w:val="009262C4"/>
    <w:rsid w:val="009264F3"/>
    <w:rsid w:val="0092660C"/>
    <w:rsid w:val="00926647"/>
    <w:rsid w:val="0092688C"/>
    <w:rsid w:val="00926973"/>
    <w:rsid w:val="00926AAB"/>
    <w:rsid w:val="00926CC5"/>
    <w:rsid w:val="00926D25"/>
    <w:rsid w:val="009271A7"/>
    <w:rsid w:val="009271CA"/>
    <w:rsid w:val="009271D4"/>
    <w:rsid w:val="00927233"/>
    <w:rsid w:val="009272DF"/>
    <w:rsid w:val="00927397"/>
    <w:rsid w:val="00927408"/>
    <w:rsid w:val="0092748A"/>
    <w:rsid w:val="009274A2"/>
    <w:rsid w:val="009276FB"/>
    <w:rsid w:val="009278EA"/>
    <w:rsid w:val="00927A06"/>
    <w:rsid w:val="00927A51"/>
    <w:rsid w:val="00927B9C"/>
    <w:rsid w:val="00927C4F"/>
    <w:rsid w:val="00930065"/>
    <w:rsid w:val="00930067"/>
    <w:rsid w:val="009301CE"/>
    <w:rsid w:val="00930425"/>
    <w:rsid w:val="009304BD"/>
    <w:rsid w:val="00930507"/>
    <w:rsid w:val="00930628"/>
    <w:rsid w:val="00930665"/>
    <w:rsid w:val="00930741"/>
    <w:rsid w:val="009307D3"/>
    <w:rsid w:val="00930819"/>
    <w:rsid w:val="00930884"/>
    <w:rsid w:val="00930891"/>
    <w:rsid w:val="009308FF"/>
    <w:rsid w:val="0093099A"/>
    <w:rsid w:val="00930C45"/>
    <w:rsid w:val="00930D86"/>
    <w:rsid w:val="00930DF1"/>
    <w:rsid w:val="00930E7F"/>
    <w:rsid w:val="00930EA4"/>
    <w:rsid w:val="00930EAF"/>
    <w:rsid w:val="00930EF8"/>
    <w:rsid w:val="0093114B"/>
    <w:rsid w:val="009311AC"/>
    <w:rsid w:val="00931432"/>
    <w:rsid w:val="009314DB"/>
    <w:rsid w:val="00931522"/>
    <w:rsid w:val="009315C5"/>
    <w:rsid w:val="009315FB"/>
    <w:rsid w:val="0093191A"/>
    <w:rsid w:val="00931996"/>
    <w:rsid w:val="009319D2"/>
    <w:rsid w:val="009319F4"/>
    <w:rsid w:val="00931A6B"/>
    <w:rsid w:val="00931AEC"/>
    <w:rsid w:val="00931D4C"/>
    <w:rsid w:val="009321DA"/>
    <w:rsid w:val="0093223E"/>
    <w:rsid w:val="0093230C"/>
    <w:rsid w:val="009323EB"/>
    <w:rsid w:val="0093252B"/>
    <w:rsid w:val="00932554"/>
    <w:rsid w:val="0093270A"/>
    <w:rsid w:val="009327A6"/>
    <w:rsid w:val="0093283D"/>
    <w:rsid w:val="0093288E"/>
    <w:rsid w:val="00932895"/>
    <w:rsid w:val="009328AE"/>
    <w:rsid w:val="009328B3"/>
    <w:rsid w:val="00932995"/>
    <w:rsid w:val="009329DB"/>
    <w:rsid w:val="00932A54"/>
    <w:rsid w:val="00932ADA"/>
    <w:rsid w:val="00932B7D"/>
    <w:rsid w:val="00932CE3"/>
    <w:rsid w:val="00932DAF"/>
    <w:rsid w:val="00932E7C"/>
    <w:rsid w:val="009330CF"/>
    <w:rsid w:val="009330E1"/>
    <w:rsid w:val="00933174"/>
    <w:rsid w:val="00933387"/>
    <w:rsid w:val="0093359A"/>
    <w:rsid w:val="0093364B"/>
    <w:rsid w:val="0093368A"/>
    <w:rsid w:val="0093371D"/>
    <w:rsid w:val="00933762"/>
    <w:rsid w:val="009337E0"/>
    <w:rsid w:val="00933970"/>
    <w:rsid w:val="00933A4C"/>
    <w:rsid w:val="00933A8F"/>
    <w:rsid w:val="00933E0C"/>
    <w:rsid w:val="00933E46"/>
    <w:rsid w:val="00933F0A"/>
    <w:rsid w:val="00933FAC"/>
    <w:rsid w:val="00933FEC"/>
    <w:rsid w:val="00933FFE"/>
    <w:rsid w:val="009340D4"/>
    <w:rsid w:val="00934188"/>
    <w:rsid w:val="00934228"/>
    <w:rsid w:val="00934297"/>
    <w:rsid w:val="009345E1"/>
    <w:rsid w:val="00934644"/>
    <w:rsid w:val="0093467C"/>
    <w:rsid w:val="009346EE"/>
    <w:rsid w:val="00934766"/>
    <w:rsid w:val="00934838"/>
    <w:rsid w:val="0093493F"/>
    <w:rsid w:val="009349D4"/>
    <w:rsid w:val="00934AB8"/>
    <w:rsid w:val="00934D11"/>
    <w:rsid w:val="00934D47"/>
    <w:rsid w:val="00934DA6"/>
    <w:rsid w:val="00934EB7"/>
    <w:rsid w:val="00934FDE"/>
    <w:rsid w:val="00935087"/>
    <w:rsid w:val="00935113"/>
    <w:rsid w:val="009351B7"/>
    <w:rsid w:val="0093522C"/>
    <w:rsid w:val="00935385"/>
    <w:rsid w:val="009355FB"/>
    <w:rsid w:val="0093564D"/>
    <w:rsid w:val="009357BB"/>
    <w:rsid w:val="00935971"/>
    <w:rsid w:val="00935AF1"/>
    <w:rsid w:val="00935B22"/>
    <w:rsid w:val="00935C36"/>
    <w:rsid w:val="00935CF5"/>
    <w:rsid w:val="00935D97"/>
    <w:rsid w:val="00935E08"/>
    <w:rsid w:val="0093603C"/>
    <w:rsid w:val="0093609D"/>
    <w:rsid w:val="009362D3"/>
    <w:rsid w:val="0093639D"/>
    <w:rsid w:val="009363A9"/>
    <w:rsid w:val="00936497"/>
    <w:rsid w:val="009365CD"/>
    <w:rsid w:val="00936694"/>
    <w:rsid w:val="00936855"/>
    <w:rsid w:val="00936948"/>
    <w:rsid w:val="009369B0"/>
    <w:rsid w:val="00936A49"/>
    <w:rsid w:val="00936AD5"/>
    <w:rsid w:val="00936AED"/>
    <w:rsid w:val="00936BD1"/>
    <w:rsid w:val="00936C0B"/>
    <w:rsid w:val="00936C93"/>
    <w:rsid w:val="00936CF9"/>
    <w:rsid w:val="00936D95"/>
    <w:rsid w:val="00936DDE"/>
    <w:rsid w:val="00936E68"/>
    <w:rsid w:val="00936F5F"/>
    <w:rsid w:val="00936F73"/>
    <w:rsid w:val="009372B5"/>
    <w:rsid w:val="009372D3"/>
    <w:rsid w:val="0093733F"/>
    <w:rsid w:val="00937345"/>
    <w:rsid w:val="0093738C"/>
    <w:rsid w:val="00937422"/>
    <w:rsid w:val="009374D6"/>
    <w:rsid w:val="009375A3"/>
    <w:rsid w:val="0093767D"/>
    <w:rsid w:val="009376B9"/>
    <w:rsid w:val="009377BA"/>
    <w:rsid w:val="0093785C"/>
    <w:rsid w:val="00937A14"/>
    <w:rsid w:val="00937D35"/>
    <w:rsid w:val="00937E75"/>
    <w:rsid w:val="00937FCE"/>
    <w:rsid w:val="00937FF2"/>
    <w:rsid w:val="0094003A"/>
    <w:rsid w:val="009401C1"/>
    <w:rsid w:val="009401C2"/>
    <w:rsid w:val="009401E1"/>
    <w:rsid w:val="009403B2"/>
    <w:rsid w:val="00940606"/>
    <w:rsid w:val="00940752"/>
    <w:rsid w:val="0094076D"/>
    <w:rsid w:val="00940812"/>
    <w:rsid w:val="009408F0"/>
    <w:rsid w:val="009409CC"/>
    <w:rsid w:val="00940A7C"/>
    <w:rsid w:val="00940AEF"/>
    <w:rsid w:val="00940B58"/>
    <w:rsid w:val="00940EB2"/>
    <w:rsid w:val="00941006"/>
    <w:rsid w:val="009410B8"/>
    <w:rsid w:val="0094110A"/>
    <w:rsid w:val="0094159D"/>
    <w:rsid w:val="009416AC"/>
    <w:rsid w:val="009416B0"/>
    <w:rsid w:val="009416EE"/>
    <w:rsid w:val="0094188A"/>
    <w:rsid w:val="00941A47"/>
    <w:rsid w:val="00941ADF"/>
    <w:rsid w:val="00941BFD"/>
    <w:rsid w:val="00941DE6"/>
    <w:rsid w:val="00941E1B"/>
    <w:rsid w:val="00942430"/>
    <w:rsid w:val="00942529"/>
    <w:rsid w:val="00942554"/>
    <w:rsid w:val="0094262C"/>
    <w:rsid w:val="00942932"/>
    <w:rsid w:val="0094295C"/>
    <w:rsid w:val="00942980"/>
    <w:rsid w:val="009429B4"/>
    <w:rsid w:val="00942C08"/>
    <w:rsid w:val="00942C9C"/>
    <w:rsid w:val="00942CAD"/>
    <w:rsid w:val="00942D24"/>
    <w:rsid w:val="00942F82"/>
    <w:rsid w:val="00942F8E"/>
    <w:rsid w:val="00942FC0"/>
    <w:rsid w:val="00942FDC"/>
    <w:rsid w:val="00942FEE"/>
    <w:rsid w:val="009431E2"/>
    <w:rsid w:val="0094323A"/>
    <w:rsid w:val="009434BD"/>
    <w:rsid w:val="009434DC"/>
    <w:rsid w:val="00943610"/>
    <w:rsid w:val="00943649"/>
    <w:rsid w:val="0094378A"/>
    <w:rsid w:val="0094378D"/>
    <w:rsid w:val="00943831"/>
    <w:rsid w:val="009439B8"/>
    <w:rsid w:val="00943B5F"/>
    <w:rsid w:val="00943C49"/>
    <w:rsid w:val="00943C96"/>
    <w:rsid w:val="00943DFE"/>
    <w:rsid w:val="00943E5B"/>
    <w:rsid w:val="00943F4F"/>
    <w:rsid w:val="009440FE"/>
    <w:rsid w:val="009442B6"/>
    <w:rsid w:val="00944385"/>
    <w:rsid w:val="0094438E"/>
    <w:rsid w:val="00944513"/>
    <w:rsid w:val="0094479A"/>
    <w:rsid w:val="009447AC"/>
    <w:rsid w:val="009447EF"/>
    <w:rsid w:val="0094480B"/>
    <w:rsid w:val="00944821"/>
    <w:rsid w:val="009448DB"/>
    <w:rsid w:val="00944921"/>
    <w:rsid w:val="009449C2"/>
    <w:rsid w:val="009449E6"/>
    <w:rsid w:val="00944A17"/>
    <w:rsid w:val="00944AF0"/>
    <w:rsid w:val="00944B75"/>
    <w:rsid w:val="00944BE8"/>
    <w:rsid w:val="00944BF6"/>
    <w:rsid w:val="00944CBD"/>
    <w:rsid w:val="00944D3A"/>
    <w:rsid w:val="00944DA2"/>
    <w:rsid w:val="00944E08"/>
    <w:rsid w:val="00944E09"/>
    <w:rsid w:val="00944E80"/>
    <w:rsid w:val="00944F67"/>
    <w:rsid w:val="00944F7D"/>
    <w:rsid w:val="00944FA0"/>
    <w:rsid w:val="0094507E"/>
    <w:rsid w:val="0094508E"/>
    <w:rsid w:val="00945188"/>
    <w:rsid w:val="009452FE"/>
    <w:rsid w:val="0094546A"/>
    <w:rsid w:val="0094546B"/>
    <w:rsid w:val="00945474"/>
    <w:rsid w:val="009455AD"/>
    <w:rsid w:val="0094596F"/>
    <w:rsid w:val="00945982"/>
    <w:rsid w:val="00945A2A"/>
    <w:rsid w:val="00945B25"/>
    <w:rsid w:val="00945B2B"/>
    <w:rsid w:val="00945CB7"/>
    <w:rsid w:val="00945CC1"/>
    <w:rsid w:val="00945D81"/>
    <w:rsid w:val="00945DCF"/>
    <w:rsid w:val="00945E0B"/>
    <w:rsid w:val="00946049"/>
    <w:rsid w:val="00946116"/>
    <w:rsid w:val="0094638D"/>
    <w:rsid w:val="00946496"/>
    <w:rsid w:val="00946505"/>
    <w:rsid w:val="00946512"/>
    <w:rsid w:val="0094661F"/>
    <w:rsid w:val="00946722"/>
    <w:rsid w:val="00946727"/>
    <w:rsid w:val="009468AC"/>
    <w:rsid w:val="009468AE"/>
    <w:rsid w:val="0094691A"/>
    <w:rsid w:val="0094699D"/>
    <w:rsid w:val="009469A2"/>
    <w:rsid w:val="00946AB5"/>
    <w:rsid w:val="00946AC3"/>
    <w:rsid w:val="00946ACB"/>
    <w:rsid w:val="00946B40"/>
    <w:rsid w:val="00946B46"/>
    <w:rsid w:val="00946BC4"/>
    <w:rsid w:val="00946C31"/>
    <w:rsid w:val="00946C43"/>
    <w:rsid w:val="00946C6B"/>
    <w:rsid w:val="00946D06"/>
    <w:rsid w:val="00946DA9"/>
    <w:rsid w:val="00946E2D"/>
    <w:rsid w:val="00946E3B"/>
    <w:rsid w:val="0094702F"/>
    <w:rsid w:val="00947116"/>
    <w:rsid w:val="00947133"/>
    <w:rsid w:val="00947186"/>
    <w:rsid w:val="009471B0"/>
    <w:rsid w:val="0094725E"/>
    <w:rsid w:val="00947314"/>
    <w:rsid w:val="0094733A"/>
    <w:rsid w:val="009473BD"/>
    <w:rsid w:val="0094756F"/>
    <w:rsid w:val="009478AF"/>
    <w:rsid w:val="009479DE"/>
    <w:rsid w:val="00947A09"/>
    <w:rsid w:val="00947AC6"/>
    <w:rsid w:val="00947BB0"/>
    <w:rsid w:val="00947D10"/>
    <w:rsid w:val="00947D2B"/>
    <w:rsid w:val="00947F10"/>
    <w:rsid w:val="00947FE5"/>
    <w:rsid w:val="009500A8"/>
    <w:rsid w:val="009501C1"/>
    <w:rsid w:val="00950337"/>
    <w:rsid w:val="00950595"/>
    <w:rsid w:val="00950648"/>
    <w:rsid w:val="009506EF"/>
    <w:rsid w:val="0095074D"/>
    <w:rsid w:val="00950759"/>
    <w:rsid w:val="009509F8"/>
    <w:rsid w:val="00950A03"/>
    <w:rsid w:val="00950B6E"/>
    <w:rsid w:val="00950BC1"/>
    <w:rsid w:val="00950BE8"/>
    <w:rsid w:val="00950C0E"/>
    <w:rsid w:val="00950CEA"/>
    <w:rsid w:val="00950CFC"/>
    <w:rsid w:val="00950DB3"/>
    <w:rsid w:val="00950EA1"/>
    <w:rsid w:val="00950F2C"/>
    <w:rsid w:val="00950F45"/>
    <w:rsid w:val="00950FDC"/>
    <w:rsid w:val="009510B6"/>
    <w:rsid w:val="009511C8"/>
    <w:rsid w:val="009512D5"/>
    <w:rsid w:val="00951316"/>
    <w:rsid w:val="00951364"/>
    <w:rsid w:val="009513C6"/>
    <w:rsid w:val="00951441"/>
    <w:rsid w:val="00951799"/>
    <w:rsid w:val="009517C9"/>
    <w:rsid w:val="0095187B"/>
    <w:rsid w:val="009519BF"/>
    <w:rsid w:val="00951A09"/>
    <w:rsid w:val="00951A90"/>
    <w:rsid w:val="00951AAB"/>
    <w:rsid w:val="00951AB7"/>
    <w:rsid w:val="00951B63"/>
    <w:rsid w:val="00951D13"/>
    <w:rsid w:val="00951D38"/>
    <w:rsid w:val="00951D78"/>
    <w:rsid w:val="00951DCE"/>
    <w:rsid w:val="00951E01"/>
    <w:rsid w:val="00951E13"/>
    <w:rsid w:val="0095212D"/>
    <w:rsid w:val="00952371"/>
    <w:rsid w:val="009523FB"/>
    <w:rsid w:val="0095250C"/>
    <w:rsid w:val="009525B5"/>
    <w:rsid w:val="00952686"/>
    <w:rsid w:val="009526AE"/>
    <w:rsid w:val="009527C4"/>
    <w:rsid w:val="00952807"/>
    <w:rsid w:val="00952811"/>
    <w:rsid w:val="00952859"/>
    <w:rsid w:val="009528D5"/>
    <w:rsid w:val="00952923"/>
    <w:rsid w:val="00952BC7"/>
    <w:rsid w:val="00952E22"/>
    <w:rsid w:val="00953088"/>
    <w:rsid w:val="0095317F"/>
    <w:rsid w:val="00953272"/>
    <w:rsid w:val="0095333D"/>
    <w:rsid w:val="009533BD"/>
    <w:rsid w:val="00953430"/>
    <w:rsid w:val="00953435"/>
    <w:rsid w:val="009534F4"/>
    <w:rsid w:val="00953703"/>
    <w:rsid w:val="00953831"/>
    <w:rsid w:val="009538EF"/>
    <w:rsid w:val="00953A08"/>
    <w:rsid w:val="00953B4C"/>
    <w:rsid w:val="00953C02"/>
    <w:rsid w:val="00953C14"/>
    <w:rsid w:val="00953D3C"/>
    <w:rsid w:val="00953DAD"/>
    <w:rsid w:val="00953E4B"/>
    <w:rsid w:val="00953EB0"/>
    <w:rsid w:val="00953ECF"/>
    <w:rsid w:val="00953FCA"/>
    <w:rsid w:val="00954093"/>
    <w:rsid w:val="009540FA"/>
    <w:rsid w:val="0095433D"/>
    <w:rsid w:val="00954423"/>
    <w:rsid w:val="009544BB"/>
    <w:rsid w:val="009544F6"/>
    <w:rsid w:val="00954623"/>
    <w:rsid w:val="00954625"/>
    <w:rsid w:val="00954796"/>
    <w:rsid w:val="00954856"/>
    <w:rsid w:val="00954919"/>
    <w:rsid w:val="00954A31"/>
    <w:rsid w:val="00954AD1"/>
    <w:rsid w:val="00954B5C"/>
    <w:rsid w:val="00954BFE"/>
    <w:rsid w:val="00954C10"/>
    <w:rsid w:val="00954C8B"/>
    <w:rsid w:val="00954D8F"/>
    <w:rsid w:val="00954E8D"/>
    <w:rsid w:val="00954FD6"/>
    <w:rsid w:val="009550DF"/>
    <w:rsid w:val="00955280"/>
    <w:rsid w:val="00955285"/>
    <w:rsid w:val="009552EC"/>
    <w:rsid w:val="009554D1"/>
    <w:rsid w:val="0095556F"/>
    <w:rsid w:val="009555DE"/>
    <w:rsid w:val="00955657"/>
    <w:rsid w:val="009556A0"/>
    <w:rsid w:val="009556F3"/>
    <w:rsid w:val="00955773"/>
    <w:rsid w:val="00955774"/>
    <w:rsid w:val="00955A54"/>
    <w:rsid w:val="00955A98"/>
    <w:rsid w:val="00955AF3"/>
    <w:rsid w:val="00955F19"/>
    <w:rsid w:val="00955F2E"/>
    <w:rsid w:val="009560B8"/>
    <w:rsid w:val="009561D7"/>
    <w:rsid w:val="009562A9"/>
    <w:rsid w:val="009562D4"/>
    <w:rsid w:val="009563DB"/>
    <w:rsid w:val="009563EB"/>
    <w:rsid w:val="00956431"/>
    <w:rsid w:val="0095656A"/>
    <w:rsid w:val="009565D0"/>
    <w:rsid w:val="009566A0"/>
    <w:rsid w:val="009566C7"/>
    <w:rsid w:val="00956858"/>
    <w:rsid w:val="00956859"/>
    <w:rsid w:val="009568F3"/>
    <w:rsid w:val="00956A02"/>
    <w:rsid w:val="00956AAB"/>
    <w:rsid w:val="00956B8A"/>
    <w:rsid w:val="00956BC5"/>
    <w:rsid w:val="00956C23"/>
    <w:rsid w:val="00956C4F"/>
    <w:rsid w:val="00956C63"/>
    <w:rsid w:val="00956CEE"/>
    <w:rsid w:val="00956E4A"/>
    <w:rsid w:val="00956F87"/>
    <w:rsid w:val="00956FAA"/>
    <w:rsid w:val="00957089"/>
    <w:rsid w:val="009570A3"/>
    <w:rsid w:val="00957156"/>
    <w:rsid w:val="00957491"/>
    <w:rsid w:val="009574CE"/>
    <w:rsid w:val="0095766B"/>
    <w:rsid w:val="0095773D"/>
    <w:rsid w:val="00957755"/>
    <w:rsid w:val="0095794A"/>
    <w:rsid w:val="0095794E"/>
    <w:rsid w:val="00957C61"/>
    <w:rsid w:val="00957CE0"/>
    <w:rsid w:val="00957D75"/>
    <w:rsid w:val="00957E4D"/>
    <w:rsid w:val="00957E7B"/>
    <w:rsid w:val="00957F0F"/>
    <w:rsid w:val="00957F17"/>
    <w:rsid w:val="00957FD9"/>
    <w:rsid w:val="00960082"/>
    <w:rsid w:val="00960172"/>
    <w:rsid w:val="009602FE"/>
    <w:rsid w:val="00960300"/>
    <w:rsid w:val="00960366"/>
    <w:rsid w:val="00960496"/>
    <w:rsid w:val="009604B2"/>
    <w:rsid w:val="00960758"/>
    <w:rsid w:val="0096083B"/>
    <w:rsid w:val="009608CA"/>
    <w:rsid w:val="009609CF"/>
    <w:rsid w:val="00960A95"/>
    <w:rsid w:val="00960B34"/>
    <w:rsid w:val="00960B5B"/>
    <w:rsid w:val="00960BD5"/>
    <w:rsid w:val="00960BFD"/>
    <w:rsid w:val="00960C9B"/>
    <w:rsid w:val="00960D74"/>
    <w:rsid w:val="00960E11"/>
    <w:rsid w:val="00960E47"/>
    <w:rsid w:val="00960F8E"/>
    <w:rsid w:val="0096128F"/>
    <w:rsid w:val="009612D2"/>
    <w:rsid w:val="0096135A"/>
    <w:rsid w:val="0096135D"/>
    <w:rsid w:val="009615A6"/>
    <w:rsid w:val="00961671"/>
    <w:rsid w:val="009618C2"/>
    <w:rsid w:val="0096190C"/>
    <w:rsid w:val="0096199C"/>
    <w:rsid w:val="009619B5"/>
    <w:rsid w:val="009619DD"/>
    <w:rsid w:val="00961A6B"/>
    <w:rsid w:val="00961B5F"/>
    <w:rsid w:val="00961DA9"/>
    <w:rsid w:val="00961DAD"/>
    <w:rsid w:val="00961DC1"/>
    <w:rsid w:val="00961E21"/>
    <w:rsid w:val="00961EFA"/>
    <w:rsid w:val="009620A7"/>
    <w:rsid w:val="00962225"/>
    <w:rsid w:val="009622A7"/>
    <w:rsid w:val="009622D7"/>
    <w:rsid w:val="009623E5"/>
    <w:rsid w:val="00962651"/>
    <w:rsid w:val="00962688"/>
    <w:rsid w:val="00962707"/>
    <w:rsid w:val="0096277F"/>
    <w:rsid w:val="00962853"/>
    <w:rsid w:val="00962A04"/>
    <w:rsid w:val="00962A25"/>
    <w:rsid w:val="00962A3F"/>
    <w:rsid w:val="00962BFF"/>
    <w:rsid w:val="00962DA5"/>
    <w:rsid w:val="00962E6D"/>
    <w:rsid w:val="0096309C"/>
    <w:rsid w:val="00963102"/>
    <w:rsid w:val="0096316A"/>
    <w:rsid w:val="00963216"/>
    <w:rsid w:val="009632AC"/>
    <w:rsid w:val="009633DE"/>
    <w:rsid w:val="00963482"/>
    <w:rsid w:val="009634AA"/>
    <w:rsid w:val="009634D7"/>
    <w:rsid w:val="009634D9"/>
    <w:rsid w:val="0096352A"/>
    <w:rsid w:val="00963535"/>
    <w:rsid w:val="00963539"/>
    <w:rsid w:val="00963567"/>
    <w:rsid w:val="009636AD"/>
    <w:rsid w:val="00963775"/>
    <w:rsid w:val="009637D6"/>
    <w:rsid w:val="00963832"/>
    <w:rsid w:val="009638B5"/>
    <w:rsid w:val="00963C5B"/>
    <w:rsid w:val="00963DAB"/>
    <w:rsid w:val="00963FFF"/>
    <w:rsid w:val="009641A6"/>
    <w:rsid w:val="009641BD"/>
    <w:rsid w:val="00964398"/>
    <w:rsid w:val="009643DB"/>
    <w:rsid w:val="00964450"/>
    <w:rsid w:val="00964554"/>
    <w:rsid w:val="009645BF"/>
    <w:rsid w:val="00964882"/>
    <w:rsid w:val="009648AF"/>
    <w:rsid w:val="00964944"/>
    <w:rsid w:val="00964AB2"/>
    <w:rsid w:val="00964B88"/>
    <w:rsid w:val="00964C66"/>
    <w:rsid w:val="00964DB4"/>
    <w:rsid w:val="00964E7D"/>
    <w:rsid w:val="00964F15"/>
    <w:rsid w:val="00964F72"/>
    <w:rsid w:val="009650B5"/>
    <w:rsid w:val="0096511F"/>
    <w:rsid w:val="009651A0"/>
    <w:rsid w:val="00965237"/>
    <w:rsid w:val="009656AE"/>
    <w:rsid w:val="00965850"/>
    <w:rsid w:val="0096591D"/>
    <w:rsid w:val="00965B5B"/>
    <w:rsid w:val="00965BA3"/>
    <w:rsid w:val="00965C8F"/>
    <w:rsid w:val="00965CCC"/>
    <w:rsid w:val="0096602E"/>
    <w:rsid w:val="009660B5"/>
    <w:rsid w:val="009660E4"/>
    <w:rsid w:val="00966201"/>
    <w:rsid w:val="009664F8"/>
    <w:rsid w:val="009665AA"/>
    <w:rsid w:val="00966639"/>
    <w:rsid w:val="009666BE"/>
    <w:rsid w:val="00966718"/>
    <w:rsid w:val="00966724"/>
    <w:rsid w:val="0096677D"/>
    <w:rsid w:val="00966A30"/>
    <w:rsid w:val="00966D95"/>
    <w:rsid w:val="00966EFD"/>
    <w:rsid w:val="00966EFF"/>
    <w:rsid w:val="00966F86"/>
    <w:rsid w:val="00966F8F"/>
    <w:rsid w:val="00966F9E"/>
    <w:rsid w:val="009670A0"/>
    <w:rsid w:val="0096710E"/>
    <w:rsid w:val="009671DA"/>
    <w:rsid w:val="009671EA"/>
    <w:rsid w:val="00967345"/>
    <w:rsid w:val="009673EF"/>
    <w:rsid w:val="00967496"/>
    <w:rsid w:val="009675AD"/>
    <w:rsid w:val="0096776C"/>
    <w:rsid w:val="009677A2"/>
    <w:rsid w:val="009677B1"/>
    <w:rsid w:val="0096781D"/>
    <w:rsid w:val="00967922"/>
    <w:rsid w:val="00967A61"/>
    <w:rsid w:val="00967A7C"/>
    <w:rsid w:val="00967A8D"/>
    <w:rsid w:val="00967C88"/>
    <w:rsid w:val="00967D7D"/>
    <w:rsid w:val="00967DC7"/>
    <w:rsid w:val="00967E0B"/>
    <w:rsid w:val="00967EB1"/>
    <w:rsid w:val="00967EFD"/>
    <w:rsid w:val="00967F41"/>
    <w:rsid w:val="00967F82"/>
    <w:rsid w:val="00970037"/>
    <w:rsid w:val="00970263"/>
    <w:rsid w:val="0097028A"/>
    <w:rsid w:val="009705D0"/>
    <w:rsid w:val="00970703"/>
    <w:rsid w:val="009707E1"/>
    <w:rsid w:val="00970947"/>
    <w:rsid w:val="00970B8B"/>
    <w:rsid w:val="00970BF8"/>
    <w:rsid w:val="00970C80"/>
    <w:rsid w:val="00970CE0"/>
    <w:rsid w:val="00970DF6"/>
    <w:rsid w:val="00970F8F"/>
    <w:rsid w:val="00970FEA"/>
    <w:rsid w:val="00971147"/>
    <w:rsid w:val="00971154"/>
    <w:rsid w:val="00971161"/>
    <w:rsid w:val="0097126A"/>
    <w:rsid w:val="00971289"/>
    <w:rsid w:val="009712A2"/>
    <w:rsid w:val="0097143D"/>
    <w:rsid w:val="009714F1"/>
    <w:rsid w:val="00971916"/>
    <w:rsid w:val="00971B55"/>
    <w:rsid w:val="00971CCE"/>
    <w:rsid w:val="00971D85"/>
    <w:rsid w:val="00971DCE"/>
    <w:rsid w:val="00971DE9"/>
    <w:rsid w:val="00971E7F"/>
    <w:rsid w:val="00971F63"/>
    <w:rsid w:val="009720C3"/>
    <w:rsid w:val="00972188"/>
    <w:rsid w:val="00972401"/>
    <w:rsid w:val="00972522"/>
    <w:rsid w:val="00972530"/>
    <w:rsid w:val="00972661"/>
    <w:rsid w:val="00972702"/>
    <w:rsid w:val="0097276B"/>
    <w:rsid w:val="009728B6"/>
    <w:rsid w:val="00972F95"/>
    <w:rsid w:val="009730E5"/>
    <w:rsid w:val="009730ED"/>
    <w:rsid w:val="00973300"/>
    <w:rsid w:val="009733DB"/>
    <w:rsid w:val="0097346E"/>
    <w:rsid w:val="00973550"/>
    <w:rsid w:val="009735E6"/>
    <w:rsid w:val="00973693"/>
    <w:rsid w:val="0097371A"/>
    <w:rsid w:val="00973A03"/>
    <w:rsid w:val="00973AD3"/>
    <w:rsid w:val="00973BF6"/>
    <w:rsid w:val="00973C69"/>
    <w:rsid w:val="00973F79"/>
    <w:rsid w:val="009740FE"/>
    <w:rsid w:val="0097428A"/>
    <w:rsid w:val="009742B3"/>
    <w:rsid w:val="00974601"/>
    <w:rsid w:val="00974611"/>
    <w:rsid w:val="009746CA"/>
    <w:rsid w:val="00974755"/>
    <w:rsid w:val="00974802"/>
    <w:rsid w:val="009748BD"/>
    <w:rsid w:val="00974AC2"/>
    <w:rsid w:val="00974C5E"/>
    <w:rsid w:val="00974C6F"/>
    <w:rsid w:val="00974E3F"/>
    <w:rsid w:val="00974EC2"/>
    <w:rsid w:val="00975089"/>
    <w:rsid w:val="009750C4"/>
    <w:rsid w:val="00975328"/>
    <w:rsid w:val="0097537B"/>
    <w:rsid w:val="009754DC"/>
    <w:rsid w:val="0097556B"/>
    <w:rsid w:val="009755C7"/>
    <w:rsid w:val="009755EF"/>
    <w:rsid w:val="0097568F"/>
    <w:rsid w:val="009756AD"/>
    <w:rsid w:val="009756C9"/>
    <w:rsid w:val="009756DF"/>
    <w:rsid w:val="0097570F"/>
    <w:rsid w:val="00975720"/>
    <w:rsid w:val="0097578D"/>
    <w:rsid w:val="009758A4"/>
    <w:rsid w:val="00975912"/>
    <w:rsid w:val="00975AE5"/>
    <w:rsid w:val="00975C86"/>
    <w:rsid w:val="00975CCE"/>
    <w:rsid w:val="00975E72"/>
    <w:rsid w:val="00975E94"/>
    <w:rsid w:val="00975FF1"/>
    <w:rsid w:val="00976007"/>
    <w:rsid w:val="00976046"/>
    <w:rsid w:val="0097616B"/>
    <w:rsid w:val="00976178"/>
    <w:rsid w:val="009762E3"/>
    <w:rsid w:val="0097635C"/>
    <w:rsid w:val="009763F3"/>
    <w:rsid w:val="00976489"/>
    <w:rsid w:val="009767E5"/>
    <w:rsid w:val="0097686F"/>
    <w:rsid w:val="009769C9"/>
    <w:rsid w:val="009769D5"/>
    <w:rsid w:val="00976AB3"/>
    <w:rsid w:val="00976C0B"/>
    <w:rsid w:val="00976E96"/>
    <w:rsid w:val="00977101"/>
    <w:rsid w:val="00977176"/>
    <w:rsid w:val="009772D3"/>
    <w:rsid w:val="0097732E"/>
    <w:rsid w:val="00977448"/>
    <w:rsid w:val="00977491"/>
    <w:rsid w:val="009774B8"/>
    <w:rsid w:val="009774DB"/>
    <w:rsid w:val="00977815"/>
    <w:rsid w:val="00977838"/>
    <w:rsid w:val="00977869"/>
    <w:rsid w:val="009778E1"/>
    <w:rsid w:val="00977908"/>
    <w:rsid w:val="00977986"/>
    <w:rsid w:val="009779F2"/>
    <w:rsid w:val="00977B0A"/>
    <w:rsid w:val="00977B2E"/>
    <w:rsid w:val="00977B37"/>
    <w:rsid w:val="00977B82"/>
    <w:rsid w:val="00977D98"/>
    <w:rsid w:val="00977F4F"/>
    <w:rsid w:val="00977F8F"/>
    <w:rsid w:val="00977F91"/>
    <w:rsid w:val="00977FD4"/>
    <w:rsid w:val="009800A1"/>
    <w:rsid w:val="009800C0"/>
    <w:rsid w:val="00980151"/>
    <w:rsid w:val="0098026B"/>
    <w:rsid w:val="00980340"/>
    <w:rsid w:val="009803CB"/>
    <w:rsid w:val="009804C2"/>
    <w:rsid w:val="009806D7"/>
    <w:rsid w:val="00980721"/>
    <w:rsid w:val="00980907"/>
    <w:rsid w:val="00980A7F"/>
    <w:rsid w:val="00980EC6"/>
    <w:rsid w:val="009810A4"/>
    <w:rsid w:val="009810F7"/>
    <w:rsid w:val="009811FD"/>
    <w:rsid w:val="00981249"/>
    <w:rsid w:val="0098124D"/>
    <w:rsid w:val="00981255"/>
    <w:rsid w:val="009812E2"/>
    <w:rsid w:val="009812E3"/>
    <w:rsid w:val="009814B9"/>
    <w:rsid w:val="00981671"/>
    <w:rsid w:val="009816E6"/>
    <w:rsid w:val="00981A90"/>
    <w:rsid w:val="00981B9C"/>
    <w:rsid w:val="00981BCF"/>
    <w:rsid w:val="00981C2D"/>
    <w:rsid w:val="00981C73"/>
    <w:rsid w:val="00981E69"/>
    <w:rsid w:val="009821C8"/>
    <w:rsid w:val="00982271"/>
    <w:rsid w:val="009822C1"/>
    <w:rsid w:val="009823AA"/>
    <w:rsid w:val="009823D2"/>
    <w:rsid w:val="0098252E"/>
    <w:rsid w:val="009827E6"/>
    <w:rsid w:val="00982ABE"/>
    <w:rsid w:val="00982E02"/>
    <w:rsid w:val="00982EE0"/>
    <w:rsid w:val="00982F24"/>
    <w:rsid w:val="0098300D"/>
    <w:rsid w:val="00983027"/>
    <w:rsid w:val="00983622"/>
    <w:rsid w:val="009836A7"/>
    <w:rsid w:val="009836BB"/>
    <w:rsid w:val="00983783"/>
    <w:rsid w:val="009837D0"/>
    <w:rsid w:val="009838C6"/>
    <w:rsid w:val="00983C95"/>
    <w:rsid w:val="00983CDA"/>
    <w:rsid w:val="00983D2C"/>
    <w:rsid w:val="00983D9E"/>
    <w:rsid w:val="00983DDD"/>
    <w:rsid w:val="00983E32"/>
    <w:rsid w:val="00983EB8"/>
    <w:rsid w:val="00984177"/>
    <w:rsid w:val="0098420C"/>
    <w:rsid w:val="0098441A"/>
    <w:rsid w:val="00984459"/>
    <w:rsid w:val="0098446B"/>
    <w:rsid w:val="00984503"/>
    <w:rsid w:val="00984681"/>
    <w:rsid w:val="0098472F"/>
    <w:rsid w:val="00984786"/>
    <w:rsid w:val="0098482E"/>
    <w:rsid w:val="00984A5E"/>
    <w:rsid w:val="00984B04"/>
    <w:rsid w:val="00984B4B"/>
    <w:rsid w:val="00984B7F"/>
    <w:rsid w:val="00984BC2"/>
    <w:rsid w:val="00984C8A"/>
    <w:rsid w:val="00984DAD"/>
    <w:rsid w:val="00984DEF"/>
    <w:rsid w:val="00984DFC"/>
    <w:rsid w:val="00984E80"/>
    <w:rsid w:val="0098500A"/>
    <w:rsid w:val="0098513A"/>
    <w:rsid w:val="00985165"/>
    <w:rsid w:val="009851A0"/>
    <w:rsid w:val="009851CB"/>
    <w:rsid w:val="00985271"/>
    <w:rsid w:val="0098533E"/>
    <w:rsid w:val="00985354"/>
    <w:rsid w:val="00985393"/>
    <w:rsid w:val="009853D4"/>
    <w:rsid w:val="009854CE"/>
    <w:rsid w:val="00985610"/>
    <w:rsid w:val="009856FA"/>
    <w:rsid w:val="00985721"/>
    <w:rsid w:val="009858F8"/>
    <w:rsid w:val="00985A18"/>
    <w:rsid w:val="00985BC5"/>
    <w:rsid w:val="00985C1F"/>
    <w:rsid w:val="00985CB7"/>
    <w:rsid w:val="00985D7A"/>
    <w:rsid w:val="00985D83"/>
    <w:rsid w:val="00985F4D"/>
    <w:rsid w:val="0098602D"/>
    <w:rsid w:val="009860A3"/>
    <w:rsid w:val="009860B8"/>
    <w:rsid w:val="00986141"/>
    <w:rsid w:val="009861FA"/>
    <w:rsid w:val="00986367"/>
    <w:rsid w:val="009863FD"/>
    <w:rsid w:val="00986433"/>
    <w:rsid w:val="009864CA"/>
    <w:rsid w:val="009864CE"/>
    <w:rsid w:val="00986525"/>
    <w:rsid w:val="0098654D"/>
    <w:rsid w:val="00986743"/>
    <w:rsid w:val="009867F6"/>
    <w:rsid w:val="009869AC"/>
    <w:rsid w:val="00986CC8"/>
    <w:rsid w:val="00986DB2"/>
    <w:rsid w:val="0098731D"/>
    <w:rsid w:val="009873AA"/>
    <w:rsid w:val="009873B7"/>
    <w:rsid w:val="009873C7"/>
    <w:rsid w:val="0098744A"/>
    <w:rsid w:val="009874AD"/>
    <w:rsid w:val="00987545"/>
    <w:rsid w:val="0098759C"/>
    <w:rsid w:val="00987658"/>
    <w:rsid w:val="009876E4"/>
    <w:rsid w:val="009876F9"/>
    <w:rsid w:val="00987800"/>
    <w:rsid w:val="00987AE3"/>
    <w:rsid w:val="00987C09"/>
    <w:rsid w:val="00987C45"/>
    <w:rsid w:val="00987D93"/>
    <w:rsid w:val="00987E5E"/>
    <w:rsid w:val="00987EDE"/>
    <w:rsid w:val="00987F48"/>
    <w:rsid w:val="00987FB4"/>
    <w:rsid w:val="00990031"/>
    <w:rsid w:val="009903CD"/>
    <w:rsid w:val="00990406"/>
    <w:rsid w:val="00990525"/>
    <w:rsid w:val="0099083E"/>
    <w:rsid w:val="00990926"/>
    <w:rsid w:val="00990AD5"/>
    <w:rsid w:val="00990B2C"/>
    <w:rsid w:val="00990CA4"/>
    <w:rsid w:val="00990D97"/>
    <w:rsid w:val="00990DAD"/>
    <w:rsid w:val="00990DB2"/>
    <w:rsid w:val="00990F2F"/>
    <w:rsid w:val="00990FF9"/>
    <w:rsid w:val="009910E9"/>
    <w:rsid w:val="0099116F"/>
    <w:rsid w:val="009911BC"/>
    <w:rsid w:val="009911CE"/>
    <w:rsid w:val="00991271"/>
    <w:rsid w:val="00991275"/>
    <w:rsid w:val="00991452"/>
    <w:rsid w:val="00991527"/>
    <w:rsid w:val="00991796"/>
    <w:rsid w:val="009917B5"/>
    <w:rsid w:val="00991815"/>
    <w:rsid w:val="009918CB"/>
    <w:rsid w:val="009919EA"/>
    <w:rsid w:val="009919F1"/>
    <w:rsid w:val="009919FD"/>
    <w:rsid w:val="00991A5B"/>
    <w:rsid w:val="00991ABC"/>
    <w:rsid w:val="00991D58"/>
    <w:rsid w:val="00991E3B"/>
    <w:rsid w:val="00991E5C"/>
    <w:rsid w:val="00991F12"/>
    <w:rsid w:val="00991F7D"/>
    <w:rsid w:val="00991FE4"/>
    <w:rsid w:val="0099219C"/>
    <w:rsid w:val="00992205"/>
    <w:rsid w:val="0099224A"/>
    <w:rsid w:val="00992310"/>
    <w:rsid w:val="0099231A"/>
    <w:rsid w:val="00992344"/>
    <w:rsid w:val="009926E7"/>
    <w:rsid w:val="009927D3"/>
    <w:rsid w:val="00992974"/>
    <w:rsid w:val="00992A68"/>
    <w:rsid w:val="00992ABD"/>
    <w:rsid w:val="00992B1B"/>
    <w:rsid w:val="00992B84"/>
    <w:rsid w:val="00992B9C"/>
    <w:rsid w:val="00992BFF"/>
    <w:rsid w:val="00992C7D"/>
    <w:rsid w:val="00992D0C"/>
    <w:rsid w:val="00992FB5"/>
    <w:rsid w:val="00993118"/>
    <w:rsid w:val="009931D8"/>
    <w:rsid w:val="009931DB"/>
    <w:rsid w:val="009931E4"/>
    <w:rsid w:val="0099331E"/>
    <w:rsid w:val="0099335B"/>
    <w:rsid w:val="00993369"/>
    <w:rsid w:val="00993477"/>
    <w:rsid w:val="0099347F"/>
    <w:rsid w:val="0099353C"/>
    <w:rsid w:val="0099355B"/>
    <w:rsid w:val="00993895"/>
    <w:rsid w:val="009938AD"/>
    <w:rsid w:val="00993CBA"/>
    <w:rsid w:val="00993F30"/>
    <w:rsid w:val="0099402F"/>
    <w:rsid w:val="00994075"/>
    <w:rsid w:val="009940C7"/>
    <w:rsid w:val="00994137"/>
    <w:rsid w:val="0099429E"/>
    <w:rsid w:val="009942E7"/>
    <w:rsid w:val="009943E1"/>
    <w:rsid w:val="00994663"/>
    <w:rsid w:val="0099466E"/>
    <w:rsid w:val="0099468F"/>
    <w:rsid w:val="00994736"/>
    <w:rsid w:val="00994750"/>
    <w:rsid w:val="00994772"/>
    <w:rsid w:val="00994A5C"/>
    <w:rsid w:val="00994B69"/>
    <w:rsid w:val="00994CAB"/>
    <w:rsid w:val="00994D9B"/>
    <w:rsid w:val="00994DAB"/>
    <w:rsid w:val="00994DBB"/>
    <w:rsid w:val="00994E32"/>
    <w:rsid w:val="00994E87"/>
    <w:rsid w:val="00994EE9"/>
    <w:rsid w:val="00994F26"/>
    <w:rsid w:val="00994F2C"/>
    <w:rsid w:val="00994FBC"/>
    <w:rsid w:val="00995018"/>
    <w:rsid w:val="009950CA"/>
    <w:rsid w:val="009950ED"/>
    <w:rsid w:val="009952E8"/>
    <w:rsid w:val="00995397"/>
    <w:rsid w:val="009953AA"/>
    <w:rsid w:val="009953BB"/>
    <w:rsid w:val="00995427"/>
    <w:rsid w:val="009954EC"/>
    <w:rsid w:val="00995547"/>
    <w:rsid w:val="00995554"/>
    <w:rsid w:val="009957C7"/>
    <w:rsid w:val="009957C9"/>
    <w:rsid w:val="00995838"/>
    <w:rsid w:val="00995839"/>
    <w:rsid w:val="009958C2"/>
    <w:rsid w:val="009959F6"/>
    <w:rsid w:val="00995A7F"/>
    <w:rsid w:val="00995BB5"/>
    <w:rsid w:val="00995BDA"/>
    <w:rsid w:val="00996037"/>
    <w:rsid w:val="00996125"/>
    <w:rsid w:val="0099614C"/>
    <w:rsid w:val="0099617B"/>
    <w:rsid w:val="00996197"/>
    <w:rsid w:val="009965A2"/>
    <w:rsid w:val="009965FE"/>
    <w:rsid w:val="009966D4"/>
    <w:rsid w:val="00996730"/>
    <w:rsid w:val="009967BF"/>
    <w:rsid w:val="009967F5"/>
    <w:rsid w:val="00996847"/>
    <w:rsid w:val="00996A65"/>
    <w:rsid w:val="00996AAD"/>
    <w:rsid w:val="00996AD2"/>
    <w:rsid w:val="00996AFE"/>
    <w:rsid w:val="00996B17"/>
    <w:rsid w:val="00996BED"/>
    <w:rsid w:val="00996D34"/>
    <w:rsid w:val="00996D4E"/>
    <w:rsid w:val="00996E42"/>
    <w:rsid w:val="00996E9E"/>
    <w:rsid w:val="00996EB7"/>
    <w:rsid w:val="0099700F"/>
    <w:rsid w:val="0099709A"/>
    <w:rsid w:val="009970E2"/>
    <w:rsid w:val="009970FC"/>
    <w:rsid w:val="0099728E"/>
    <w:rsid w:val="009972B1"/>
    <w:rsid w:val="009972BD"/>
    <w:rsid w:val="009972C9"/>
    <w:rsid w:val="009973D9"/>
    <w:rsid w:val="00997710"/>
    <w:rsid w:val="00997788"/>
    <w:rsid w:val="00997929"/>
    <w:rsid w:val="00997962"/>
    <w:rsid w:val="00997CEA"/>
    <w:rsid w:val="00997E03"/>
    <w:rsid w:val="00997E13"/>
    <w:rsid w:val="00997E72"/>
    <w:rsid w:val="00997E94"/>
    <w:rsid w:val="00997ECD"/>
    <w:rsid w:val="00997F55"/>
    <w:rsid w:val="009A011C"/>
    <w:rsid w:val="009A015D"/>
    <w:rsid w:val="009A024D"/>
    <w:rsid w:val="009A04C1"/>
    <w:rsid w:val="009A065D"/>
    <w:rsid w:val="009A0CE0"/>
    <w:rsid w:val="009A0EB2"/>
    <w:rsid w:val="009A0EC1"/>
    <w:rsid w:val="009A0EE2"/>
    <w:rsid w:val="009A10AE"/>
    <w:rsid w:val="009A10F6"/>
    <w:rsid w:val="009A1116"/>
    <w:rsid w:val="009A1133"/>
    <w:rsid w:val="009A1274"/>
    <w:rsid w:val="009A1378"/>
    <w:rsid w:val="009A1656"/>
    <w:rsid w:val="009A16B0"/>
    <w:rsid w:val="009A16B4"/>
    <w:rsid w:val="009A171D"/>
    <w:rsid w:val="009A1755"/>
    <w:rsid w:val="009A187D"/>
    <w:rsid w:val="009A1B8A"/>
    <w:rsid w:val="009A1B98"/>
    <w:rsid w:val="009A2088"/>
    <w:rsid w:val="009A20F7"/>
    <w:rsid w:val="009A2135"/>
    <w:rsid w:val="009A2189"/>
    <w:rsid w:val="009A21CE"/>
    <w:rsid w:val="009A2271"/>
    <w:rsid w:val="009A2383"/>
    <w:rsid w:val="009A23E7"/>
    <w:rsid w:val="009A24DC"/>
    <w:rsid w:val="009A2510"/>
    <w:rsid w:val="009A2705"/>
    <w:rsid w:val="009A2794"/>
    <w:rsid w:val="009A280F"/>
    <w:rsid w:val="009A291A"/>
    <w:rsid w:val="009A29B8"/>
    <w:rsid w:val="009A29DC"/>
    <w:rsid w:val="009A2A3F"/>
    <w:rsid w:val="009A2A6A"/>
    <w:rsid w:val="009A2B31"/>
    <w:rsid w:val="009A2C13"/>
    <w:rsid w:val="009A2CCF"/>
    <w:rsid w:val="009A2D71"/>
    <w:rsid w:val="009A2D90"/>
    <w:rsid w:val="009A2DBB"/>
    <w:rsid w:val="009A2ED2"/>
    <w:rsid w:val="009A3116"/>
    <w:rsid w:val="009A3132"/>
    <w:rsid w:val="009A31C4"/>
    <w:rsid w:val="009A3267"/>
    <w:rsid w:val="009A3333"/>
    <w:rsid w:val="009A346F"/>
    <w:rsid w:val="009A34FB"/>
    <w:rsid w:val="009A3505"/>
    <w:rsid w:val="009A355E"/>
    <w:rsid w:val="009A377C"/>
    <w:rsid w:val="009A3780"/>
    <w:rsid w:val="009A3CFE"/>
    <w:rsid w:val="009A3D09"/>
    <w:rsid w:val="009A3D2B"/>
    <w:rsid w:val="009A3D4B"/>
    <w:rsid w:val="009A3D55"/>
    <w:rsid w:val="009A3DCB"/>
    <w:rsid w:val="009A4143"/>
    <w:rsid w:val="009A41AC"/>
    <w:rsid w:val="009A422E"/>
    <w:rsid w:val="009A428D"/>
    <w:rsid w:val="009A4375"/>
    <w:rsid w:val="009A43E2"/>
    <w:rsid w:val="009A4459"/>
    <w:rsid w:val="009A44BB"/>
    <w:rsid w:val="009A457D"/>
    <w:rsid w:val="009A48CF"/>
    <w:rsid w:val="009A4A5D"/>
    <w:rsid w:val="009A4B15"/>
    <w:rsid w:val="009A4B7A"/>
    <w:rsid w:val="009A4BE3"/>
    <w:rsid w:val="009A4C8B"/>
    <w:rsid w:val="009A4C9F"/>
    <w:rsid w:val="009A4D90"/>
    <w:rsid w:val="009A4DB3"/>
    <w:rsid w:val="009A4E22"/>
    <w:rsid w:val="009A4F9D"/>
    <w:rsid w:val="009A504B"/>
    <w:rsid w:val="009A5073"/>
    <w:rsid w:val="009A50C9"/>
    <w:rsid w:val="009A50DF"/>
    <w:rsid w:val="009A547A"/>
    <w:rsid w:val="009A5583"/>
    <w:rsid w:val="009A55FD"/>
    <w:rsid w:val="009A5707"/>
    <w:rsid w:val="009A570A"/>
    <w:rsid w:val="009A57A2"/>
    <w:rsid w:val="009A57C0"/>
    <w:rsid w:val="009A5860"/>
    <w:rsid w:val="009A5898"/>
    <w:rsid w:val="009A58F9"/>
    <w:rsid w:val="009A593B"/>
    <w:rsid w:val="009A5991"/>
    <w:rsid w:val="009A59BC"/>
    <w:rsid w:val="009A5A3B"/>
    <w:rsid w:val="009A5AC4"/>
    <w:rsid w:val="009A5AE5"/>
    <w:rsid w:val="009A5B10"/>
    <w:rsid w:val="009A5BCD"/>
    <w:rsid w:val="009A5DA5"/>
    <w:rsid w:val="009A5E95"/>
    <w:rsid w:val="009A60B1"/>
    <w:rsid w:val="009A6160"/>
    <w:rsid w:val="009A621C"/>
    <w:rsid w:val="009A62EE"/>
    <w:rsid w:val="009A62FB"/>
    <w:rsid w:val="009A63E7"/>
    <w:rsid w:val="009A67A0"/>
    <w:rsid w:val="009A67C9"/>
    <w:rsid w:val="009A6809"/>
    <w:rsid w:val="009A68A5"/>
    <w:rsid w:val="009A6A9E"/>
    <w:rsid w:val="009A6AB0"/>
    <w:rsid w:val="009A6D73"/>
    <w:rsid w:val="009A7137"/>
    <w:rsid w:val="009A718E"/>
    <w:rsid w:val="009A73E9"/>
    <w:rsid w:val="009A7542"/>
    <w:rsid w:val="009A7556"/>
    <w:rsid w:val="009A756B"/>
    <w:rsid w:val="009A77F7"/>
    <w:rsid w:val="009A78CA"/>
    <w:rsid w:val="009A7976"/>
    <w:rsid w:val="009A7AF3"/>
    <w:rsid w:val="009A7C8D"/>
    <w:rsid w:val="009A7D51"/>
    <w:rsid w:val="009A7D8A"/>
    <w:rsid w:val="009A7E86"/>
    <w:rsid w:val="009A7ECC"/>
    <w:rsid w:val="009A7EDD"/>
    <w:rsid w:val="009A7F41"/>
    <w:rsid w:val="009B015D"/>
    <w:rsid w:val="009B0209"/>
    <w:rsid w:val="009B0296"/>
    <w:rsid w:val="009B034A"/>
    <w:rsid w:val="009B0358"/>
    <w:rsid w:val="009B04B6"/>
    <w:rsid w:val="009B0560"/>
    <w:rsid w:val="009B05A1"/>
    <w:rsid w:val="009B05FB"/>
    <w:rsid w:val="009B0730"/>
    <w:rsid w:val="009B083F"/>
    <w:rsid w:val="009B09E4"/>
    <w:rsid w:val="009B0A48"/>
    <w:rsid w:val="009B0B1B"/>
    <w:rsid w:val="009B0CE4"/>
    <w:rsid w:val="009B0D0C"/>
    <w:rsid w:val="009B0D98"/>
    <w:rsid w:val="009B0DEA"/>
    <w:rsid w:val="009B0E85"/>
    <w:rsid w:val="009B0F34"/>
    <w:rsid w:val="009B120B"/>
    <w:rsid w:val="009B12A2"/>
    <w:rsid w:val="009B1357"/>
    <w:rsid w:val="009B1374"/>
    <w:rsid w:val="009B1423"/>
    <w:rsid w:val="009B144F"/>
    <w:rsid w:val="009B1524"/>
    <w:rsid w:val="009B1586"/>
    <w:rsid w:val="009B15DD"/>
    <w:rsid w:val="009B1673"/>
    <w:rsid w:val="009B1742"/>
    <w:rsid w:val="009B1798"/>
    <w:rsid w:val="009B19CC"/>
    <w:rsid w:val="009B1A54"/>
    <w:rsid w:val="009B1DC7"/>
    <w:rsid w:val="009B1E7E"/>
    <w:rsid w:val="009B1F07"/>
    <w:rsid w:val="009B1FB5"/>
    <w:rsid w:val="009B20BD"/>
    <w:rsid w:val="009B2108"/>
    <w:rsid w:val="009B21B5"/>
    <w:rsid w:val="009B24C7"/>
    <w:rsid w:val="009B24DD"/>
    <w:rsid w:val="009B2567"/>
    <w:rsid w:val="009B26DC"/>
    <w:rsid w:val="009B26F4"/>
    <w:rsid w:val="009B2732"/>
    <w:rsid w:val="009B27F9"/>
    <w:rsid w:val="009B284A"/>
    <w:rsid w:val="009B287D"/>
    <w:rsid w:val="009B298F"/>
    <w:rsid w:val="009B29B5"/>
    <w:rsid w:val="009B2B27"/>
    <w:rsid w:val="009B2BAC"/>
    <w:rsid w:val="009B2BC9"/>
    <w:rsid w:val="009B2D0C"/>
    <w:rsid w:val="009B2EDA"/>
    <w:rsid w:val="009B2F6C"/>
    <w:rsid w:val="009B2FE0"/>
    <w:rsid w:val="009B3148"/>
    <w:rsid w:val="009B3153"/>
    <w:rsid w:val="009B31CD"/>
    <w:rsid w:val="009B326B"/>
    <w:rsid w:val="009B3385"/>
    <w:rsid w:val="009B338B"/>
    <w:rsid w:val="009B33A7"/>
    <w:rsid w:val="009B35A1"/>
    <w:rsid w:val="009B36E7"/>
    <w:rsid w:val="009B397D"/>
    <w:rsid w:val="009B3A48"/>
    <w:rsid w:val="009B3B40"/>
    <w:rsid w:val="009B3B62"/>
    <w:rsid w:val="009B3BB0"/>
    <w:rsid w:val="009B3C0E"/>
    <w:rsid w:val="009B3CAD"/>
    <w:rsid w:val="009B3CFB"/>
    <w:rsid w:val="009B3E9F"/>
    <w:rsid w:val="009B3F2D"/>
    <w:rsid w:val="009B3F59"/>
    <w:rsid w:val="009B3F5C"/>
    <w:rsid w:val="009B3F8C"/>
    <w:rsid w:val="009B4034"/>
    <w:rsid w:val="009B407E"/>
    <w:rsid w:val="009B418A"/>
    <w:rsid w:val="009B426B"/>
    <w:rsid w:val="009B437D"/>
    <w:rsid w:val="009B4437"/>
    <w:rsid w:val="009B4445"/>
    <w:rsid w:val="009B44C8"/>
    <w:rsid w:val="009B4615"/>
    <w:rsid w:val="009B46E4"/>
    <w:rsid w:val="009B476F"/>
    <w:rsid w:val="009B4901"/>
    <w:rsid w:val="009B49B9"/>
    <w:rsid w:val="009B49E8"/>
    <w:rsid w:val="009B4C45"/>
    <w:rsid w:val="009B4D9D"/>
    <w:rsid w:val="009B4E02"/>
    <w:rsid w:val="009B50F9"/>
    <w:rsid w:val="009B5135"/>
    <w:rsid w:val="009B51A8"/>
    <w:rsid w:val="009B530D"/>
    <w:rsid w:val="009B5512"/>
    <w:rsid w:val="009B5570"/>
    <w:rsid w:val="009B5643"/>
    <w:rsid w:val="009B56CC"/>
    <w:rsid w:val="009B56DA"/>
    <w:rsid w:val="009B56FE"/>
    <w:rsid w:val="009B582F"/>
    <w:rsid w:val="009B596F"/>
    <w:rsid w:val="009B5A3B"/>
    <w:rsid w:val="009B5A80"/>
    <w:rsid w:val="009B5B8D"/>
    <w:rsid w:val="009B5BBB"/>
    <w:rsid w:val="009B5C12"/>
    <w:rsid w:val="009B5C17"/>
    <w:rsid w:val="009B5C78"/>
    <w:rsid w:val="009B5CF4"/>
    <w:rsid w:val="009B5D07"/>
    <w:rsid w:val="009B5D3C"/>
    <w:rsid w:val="009B5DDB"/>
    <w:rsid w:val="009B5E2E"/>
    <w:rsid w:val="009B5F18"/>
    <w:rsid w:val="009B6009"/>
    <w:rsid w:val="009B6046"/>
    <w:rsid w:val="009B60A6"/>
    <w:rsid w:val="009B60E8"/>
    <w:rsid w:val="009B615E"/>
    <w:rsid w:val="009B62FC"/>
    <w:rsid w:val="009B646D"/>
    <w:rsid w:val="009B6471"/>
    <w:rsid w:val="009B659F"/>
    <w:rsid w:val="009B65D3"/>
    <w:rsid w:val="009B6996"/>
    <w:rsid w:val="009B69D8"/>
    <w:rsid w:val="009B6B14"/>
    <w:rsid w:val="009B6BEB"/>
    <w:rsid w:val="009B6C1E"/>
    <w:rsid w:val="009B6EB3"/>
    <w:rsid w:val="009B7000"/>
    <w:rsid w:val="009B70B6"/>
    <w:rsid w:val="009B70C5"/>
    <w:rsid w:val="009B71BE"/>
    <w:rsid w:val="009B71D0"/>
    <w:rsid w:val="009B7330"/>
    <w:rsid w:val="009B736E"/>
    <w:rsid w:val="009B7434"/>
    <w:rsid w:val="009B74FC"/>
    <w:rsid w:val="009B7529"/>
    <w:rsid w:val="009B752C"/>
    <w:rsid w:val="009B7596"/>
    <w:rsid w:val="009B75C9"/>
    <w:rsid w:val="009B7651"/>
    <w:rsid w:val="009B778D"/>
    <w:rsid w:val="009B77A7"/>
    <w:rsid w:val="009B789F"/>
    <w:rsid w:val="009B78A6"/>
    <w:rsid w:val="009B7AC1"/>
    <w:rsid w:val="009B7D9A"/>
    <w:rsid w:val="009B7DA4"/>
    <w:rsid w:val="009B7E68"/>
    <w:rsid w:val="009B7EF0"/>
    <w:rsid w:val="009B7FA7"/>
    <w:rsid w:val="009B7FBB"/>
    <w:rsid w:val="009C0001"/>
    <w:rsid w:val="009C005B"/>
    <w:rsid w:val="009C0101"/>
    <w:rsid w:val="009C0128"/>
    <w:rsid w:val="009C0194"/>
    <w:rsid w:val="009C0257"/>
    <w:rsid w:val="009C03C0"/>
    <w:rsid w:val="009C04AE"/>
    <w:rsid w:val="009C04E1"/>
    <w:rsid w:val="009C057D"/>
    <w:rsid w:val="009C05E8"/>
    <w:rsid w:val="009C06DD"/>
    <w:rsid w:val="009C0816"/>
    <w:rsid w:val="009C08BD"/>
    <w:rsid w:val="009C0A07"/>
    <w:rsid w:val="009C0A8A"/>
    <w:rsid w:val="009C0B99"/>
    <w:rsid w:val="009C0BF4"/>
    <w:rsid w:val="009C0DF0"/>
    <w:rsid w:val="009C0E5F"/>
    <w:rsid w:val="009C0F00"/>
    <w:rsid w:val="009C1064"/>
    <w:rsid w:val="009C11A2"/>
    <w:rsid w:val="009C11CF"/>
    <w:rsid w:val="009C1216"/>
    <w:rsid w:val="009C133C"/>
    <w:rsid w:val="009C145A"/>
    <w:rsid w:val="009C16C1"/>
    <w:rsid w:val="009C17F0"/>
    <w:rsid w:val="009C1975"/>
    <w:rsid w:val="009C1A4E"/>
    <w:rsid w:val="009C1A62"/>
    <w:rsid w:val="009C1BFB"/>
    <w:rsid w:val="009C1CB8"/>
    <w:rsid w:val="009C1D0A"/>
    <w:rsid w:val="009C1DDF"/>
    <w:rsid w:val="009C1E1A"/>
    <w:rsid w:val="009C1E5F"/>
    <w:rsid w:val="009C1EE4"/>
    <w:rsid w:val="009C1F34"/>
    <w:rsid w:val="009C1FA0"/>
    <w:rsid w:val="009C2079"/>
    <w:rsid w:val="009C235C"/>
    <w:rsid w:val="009C25F5"/>
    <w:rsid w:val="009C26A1"/>
    <w:rsid w:val="009C2791"/>
    <w:rsid w:val="009C2795"/>
    <w:rsid w:val="009C27AE"/>
    <w:rsid w:val="009C2879"/>
    <w:rsid w:val="009C2957"/>
    <w:rsid w:val="009C2982"/>
    <w:rsid w:val="009C2996"/>
    <w:rsid w:val="009C2B34"/>
    <w:rsid w:val="009C2CC7"/>
    <w:rsid w:val="009C2E0A"/>
    <w:rsid w:val="009C2E1C"/>
    <w:rsid w:val="009C2EEA"/>
    <w:rsid w:val="009C2EFA"/>
    <w:rsid w:val="009C2FA6"/>
    <w:rsid w:val="009C3370"/>
    <w:rsid w:val="009C33F7"/>
    <w:rsid w:val="009C34BE"/>
    <w:rsid w:val="009C35D2"/>
    <w:rsid w:val="009C38ED"/>
    <w:rsid w:val="009C39A9"/>
    <w:rsid w:val="009C39C1"/>
    <w:rsid w:val="009C39DA"/>
    <w:rsid w:val="009C39E4"/>
    <w:rsid w:val="009C3A83"/>
    <w:rsid w:val="009C3CE8"/>
    <w:rsid w:val="009C3D12"/>
    <w:rsid w:val="009C3D38"/>
    <w:rsid w:val="009C3EFF"/>
    <w:rsid w:val="009C3FB4"/>
    <w:rsid w:val="009C4083"/>
    <w:rsid w:val="009C40F1"/>
    <w:rsid w:val="009C42C1"/>
    <w:rsid w:val="009C42D1"/>
    <w:rsid w:val="009C44E3"/>
    <w:rsid w:val="009C45F9"/>
    <w:rsid w:val="009C4719"/>
    <w:rsid w:val="009C4776"/>
    <w:rsid w:val="009C486E"/>
    <w:rsid w:val="009C50A9"/>
    <w:rsid w:val="009C52B8"/>
    <w:rsid w:val="009C537C"/>
    <w:rsid w:val="009C5474"/>
    <w:rsid w:val="009C554A"/>
    <w:rsid w:val="009C556F"/>
    <w:rsid w:val="009C5648"/>
    <w:rsid w:val="009C567F"/>
    <w:rsid w:val="009C5820"/>
    <w:rsid w:val="009C5941"/>
    <w:rsid w:val="009C5A1E"/>
    <w:rsid w:val="009C5A88"/>
    <w:rsid w:val="009C5A92"/>
    <w:rsid w:val="009C5AEC"/>
    <w:rsid w:val="009C5AF7"/>
    <w:rsid w:val="009C5BE9"/>
    <w:rsid w:val="009C5C22"/>
    <w:rsid w:val="009C5C58"/>
    <w:rsid w:val="009C5C6E"/>
    <w:rsid w:val="009C5E43"/>
    <w:rsid w:val="009C5EC8"/>
    <w:rsid w:val="009C5FF6"/>
    <w:rsid w:val="009C612A"/>
    <w:rsid w:val="009C6157"/>
    <w:rsid w:val="009C61C2"/>
    <w:rsid w:val="009C62A3"/>
    <w:rsid w:val="009C6304"/>
    <w:rsid w:val="009C63A8"/>
    <w:rsid w:val="009C6596"/>
    <w:rsid w:val="009C65AA"/>
    <w:rsid w:val="009C65BB"/>
    <w:rsid w:val="009C674F"/>
    <w:rsid w:val="009C6C3F"/>
    <w:rsid w:val="009C6D87"/>
    <w:rsid w:val="009C6F04"/>
    <w:rsid w:val="009C6F9F"/>
    <w:rsid w:val="009C700D"/>
    <w:rsid w:val="009C7157"/>
    <w:rsid w:val="009C7282"/>
    <w:rsid w:val="009C72A0"/>
    <w:rsid w:val="009C72BD"/>
    <w:rsid w:val="009C72C2"/>
    <w:rsid w:val="009C7391"/>
    <w:rsid w:val="009C73CA"/>
    <w:rsid w:val="009C74CA"/>
    <w:rsid w:val="009C7514"/>
    <w:rsid w:val="009C7620"/>
    <w:rsid w:val="009C764B"/>
    <w:rsid w:val="009C78C8"/>
    <w:rsid w:val="009C795F"/>
    <w:rsid w:val="009C79A7"/>
    <w:rsid w:val="009C79B0"/>
    <w:rsid w:val="009C7B3B"/>
    <w:rsid w:val="009C7B74"/>
    <w:rsid w:val="009C7BF1"/>
    <w:rsid w:val="009C7C9E"/>
    <w:rsid w:val="009C7CBD"/>
    <w:rsid w:val="009C7CDF"/>
    <w:rsid w:val="009C7CEF"/>
    <w:rsid w:val="009C7D80"/>
    <w:rsid w:val="009D0063"/>
    <w:rsid w:val="009D0166"/>
    <w:rsid w:val="009D018E"/>
    <w:rsid w:val="009D02A6"/>
    <w:rsid w:val="009D036F"/>
    <w:rsid w:val="009D051D"/>
    <w:rsid w:val="009D05EE"/>
    <w:rsid w:val="009D0764"/>
    <w:rsid w:val="009D079A"/>
    <w:rsid w:val="009D08FE"/>
    <w:rsid w:val="009D090C"/>
    <w:rsid w:val="009D0924"/>
    <w:rsid w:val="009D0C9B"/>
    <w:rsid w:val="009D0CAE"/>
    <w:rsid w:val="009D0F17"/>
    <w:rsid w:val="009D0F95"/>
    <w:rsid w:val="009D0FBC"/>
    <w:rsid w:val="009D0FDA"/>
    <w:rsid w:val="009D1085"/>
    <w:rsid w:val="009D1088"/>
    <w:rsid w:val="009D1140"/>
    <w:rsid w:val="009D1168"/>
    <w:rsid w:val="009D120A"/>
    <w:rsid w:val="009D12E4"/>
    <w:rsid w:val="009D12F7"/>
    <w:rsid w:val="009D1407"/>
    <w:rsid w:val="009D15C5"/>
    <w:rsid w:val="009D1659"/>
    <w:rsid w:val="009D16A0"/>
    <w:rsid w:val="009D16A7"/>
    <w:rsid w:val="009D16A8"/>
    <w:rsid w:val="009D1733"/>
    <w:rsid w:val="009D193D"/>
    <w:rsid w:val="009D19DD"/>
    <w:rsid w:val="009D1A4F"/>
    <w:rsid w:val="009D1AFB"/>
    <w:rsid w:val="009D1B26"/>
    <w:rsid w:val="009D1CF5"/>
    <w:rsid w:val="009D1D11"/>
    <w:rsid w:val="009D1DE2"/>
    <w:rsid w:val="009D2038"/>
    <w:rsid w:val="009D2068"/>
    <w:rsid w:val="009D20E8"/>
    <w:rsid w:val="009D2100"/>
    <w:rsid w:val="009D225C"/>
    <w:rsid w:val="009D2309"/>
    <w:rsid w:val="009D231D"/>
    <w:rsid w:val="009D2391"/>
    <w:rsid w:val="009D24A5"/>
    <w:rsid w:val="009D25A5"/>
    <w:rsid w:val="009D2744"/>
    <w:rsid w:val="009D2780"/>
    <w:rsid w:val="009D2861"/>
    <w:rsid w:val="009D2C39"/>
    <w:rsid w:val="009D2C46"/>
    <w:rsid w:val="009D2C67"/>
    <w:rsid w:val="009D2CFE"/>
    <w:rsid w:val="009D2D8E"/>
    <w:rsid w:val="009D2DD7"/>
    <w:rsid w:val="009D2E17"/>
    <w:rsid w:val="009D2EDB"/>
    <w:rsid w:val="009D2FC5"/>
    <w:rsid w:val="009D30FF"/>
    <w:rsid w:val="009D344B"/>
    <w:rsid w:val="009D3468"/>
    <w:rsid w:val="009D357F"/>
    <w:rsid w:val="009D35FC"/>
    <w:rsid w:val="009D378C"/>
    <w:rsid w:val="009D389E"/>
    <w:rsid w:val="009D3A11"/>
    <w:rsid w:val="009D3A97"/>
    <w:rsid w:val="009D3B00"/>
    <w:rsid w:val="009D3DD6"/>
    <w:rsid w:val="009D3DF8"/>
    <w:rsid w:val="009D3ED7"/>
    <w:rsid w:val="009D3F78"/>
    <w:rsid w:val="009D3F83"/>
    <w:rsid w:val="009D3F88"/>
    <w:rsid w:val="009D4009"/>
    <w:rsid w:val="009D42EF"/>
    <w:rsid w:val="009D4307"/>
    <w:rsid w:val="009D4381"/>
    <w:rsid w:val="009D438E"/>
    <w:rsid w:val="009D4435"/>
    <w:rsid w:val="009D45AE"/>
    <w:rsid w:val="009D46B3"/>
    <w:rsid w:val="009D46F7"/>
    <w:rsid w:val="009D49A6"/>
    <w:rsid w:val="009D4AAA"/>
    <w:rsid w:val="009D4ACD"/>
    <w:rsid w:val="009D4BF2"/>
    <w:rsid w:val="009D4C13"/>
    <w:rsid w:val="009D4C80"/>
    <w:rsid w:val="009D4D34"/>
    <w:rsid w:val="009D4D83"/>
    <w:rsid w:val="009D4F24"/>
    <w:rsid w:val="009D5645"/>
    <w:rsid w:val="009D5821"/>
    <w:rsid w:val="009D58EC"/>
    <w:rsid w:val="009D5ADE"/>
    <w:rsid w:val="009D5CF5"/>
    <w:rsid w:val="009D5F0F"/>
    <w:rsid w:val="009D5F31"/>
    <w:rsid w:val="009D5F50"/>
    <w:rsid w:val="009D5FAE"/>
    <w:rsid w:val="009D5FB6"/>
    <w:rsid w:val="009D602C"/>
    <w:rsid w:val="009D603A"/>
    <w:rsid w:val="009D63CA"/>
    <w:rsid w:val="009D6407"/>
    <w:rsid w:val="009D645B"/>
    <w:rsid w:val="009D667B"/>
    <w:rsid w:val="009D690B"/>
    <w:rsid w:val="009D6A34"/>
    <w:rsid w:val="009D6B1A"/>
    <w:rsid w:val="009D6D3F"/>
    <w:rsid w:val="009D6E0C"/>
    <w:rsid w:val="009D6F84"/>
    <w:rsid w:val="009D7037"/>
    <w:rsid w:val="009D7047"/>
    <w:rsid w:val="009D7065"/>
    <w:rsid w:val="009D7184"/>
    <w:rsid w:val="009D7257"/>
    <w:rsid w:val="009D740B"/>
    <w:rsid w:val="009D750D"/>
    <w:rsid w:val="009D7567"/>
    <w:rsid w:val="009D763B"/>
    <w:rsid w:val="009D7676"/>
    <w:rsid w:val="009D76BF"/>
    <w:rsid w:val="009D793B"/>
    <w:rsid w:val="009D7B4B"/>
    <w:rsid w:val="009D7D21"/>
    <w:rsid w:val="009D7DFC"/>
    <w:rsid w:val="009D7F2B"/>
    <w:rsid w:val="009D7F8E"/>
    <w:rsid w:val="009D7FB1"/>
    <w:rsid w:val="009E0154"/>
    <w:rsid w:val="009E03FF"/>
    <w:rsid w:val="009E0437"/>
    <w:rsid w:val="009E043B"/>
    <w:rsid w:val="009E04C7"/>
    <w:rsid w:val="009E0505"/>
    <w:rsid w:val="009E052E"/>
    <w:rsid w:val="009E0742"/>
    <w:rsid w:val="009E0816"/>
    <w:rsid w:val="009E0959"/>
    <w:rsid w:val="009E0B34"/>
    <w:rsid w:val="009E0B60"/>
    <w:rsid w:val="009E0B9D"/>
    <w:rsid w:val="009E1167"/>
    <w:rsid w:val="009E11DA"/>
    <w:rsid w:val="009E1372"/>
    <w:rsid w:val="009E15B3"/>
    <w:rsid w:val="009E1718"/>
    <w:rsid w:val="009E174C"/>
    <w:rsid w:val="009E18AC"/>
    <w:rsid w:val="009E18D9"/>
    <w:rsid w:val="009E19FE"/>
    <w:rsid w:val="009E1A2D"/>
    <w:rsid w:val="009E1BF8"/>
    <w:rsid w:val="009E1EF7"/>
    <w:rsid w:val="009E1F22"/>
    <w:rsid w:val="009E1FA9"/>
    <w:rsid w:val="009E2101"/>
    <w:rsid w:val="009E2730"/>
    <w:rsid w:val="009E275E"/>
    <w:rsid w:val="009E27FD"/>
    <w:rsid w:val="009E2830"/>
    <w:rsid w:val="009E294B"/>
    <w:rsid w:val="009E29B9"/>
    <w:rsid w:val="009E2A41"/>
    <w:rsid w:val="009E2AFE"/>
    <w:rsid w:val="009E2FB0"/>
    <w:rsid w:val="009E300D"/>
    <w:rsid w:val="009E311F"/>
    <w:rsid w:val="009E321A"/>
    <w:rsid w:val="009E32EB"/>
    <w:rsid w:val="009E332B"/>
    <w:rsid w:val="009E3364"/>
    <w:rsid w:val="009E3371"/>
    <w:rsid w:val="009E33E3"/>
    <w:rsid w:val="009E3475"/>
    <w:rsid w:val="009E34EB"/>
    <w:rsid w:val="009E3587"/>
    <w:rsid w:val="009E35B7"/>
    <w:rsid w:val="009E3BAE"/>
    <w:rsid w:val="009E3DC2"/>
    <w:rsid w:val="009E3E18"/>
    <w:rsid w:val="009E3E3A"/>
    <w:rsid w:val="009E3E8F"/>
    <w:rsid w:val="009E3F64"/>
    <w:rsid w:val="009E40D1"/>
    <w:rsid w:val="009E40E8"/>
    <w:rsid w:val="009E426D"/>
    <w:rsid w:val="009E4305"/>
    <w:rsid w:val="009E43D9"/>
    <w:rsid w:val="009E44E8"/>
    <w:rsid w:val="009E4609"/>
    <w:rsid w:val="009E46FA"/>
    <w:rsid w:val="009E4744"/>
    <w:rsid w:val="009E47D4"/>
    <w:rsid w:val="009E496B"/>
    <w:rsid w:val="009E4A48"/>
    <w:rsid w:val="009E4A5A"/>
    <w:rsid w:val="009E4E2C"/>
    <w:rsid w:val="009E4EED"/>
    <w:rsid w:val="009E506F"/>
    <w:rsid w:val="009E50FB"/>
    <w:rsid w:val="009E52BA"/>
    <w:rsid w:val="009E54C9"/>
    <w:rsid w:val="009E54D0"/>
    <w:rsid w:val="009E559D"/>
    <w:rsid w:val="009E56BB"/>
    <w:rsid w:val="009E57C3"/>
    <w:rsid w:val="009E5BB1"/>
    <w:rsid w:val="009E5BB6"/>
    <w:rsid w:val="009E5D42"/>
    <w:rsid w:val="009E5E6B"/>
    <w:rsid w:val="009E5E81"/>
    <w:rsid w:val="009E5ED1"/>
    <w:rsid w:val="009E5ED5"/>
    <w:rsid w:val="009E5F4B"/>
    <w:rsid w:val="009E5F7C"/>
    <w:rsid w:val="009E606D"/>
    <w:rsid w:val="009E6072"/>
    <w:rsid w:val="009E60B5"/>
    <w:rsid w:val="009E61A5"/>
    <w:rsid w:val="009E625A"/>
    <w:rsid w:val="009E6330"/>
    <w:rsid w:val="009E64A0"/>
    <w:rsid w:val="009E668C"/>
    <w:rsid w:val="009E66A3"/>
    <w:rsid w:val="009E6857"/>
    <w:rsid w:val="009E6915"/>
    <w:rsid w:val="009E6967"/>
    <w:rsid w:val="009E6C1D"/>
    <w:rsid w:val="009E6C2A"/>
    <w:rsid w:val="009E6DBD"/>
    <w:rsid w:val="009E6DDC"/>
    <w:rsid w:val="009E6F51"/>
    <w:rsid w:val="009E6F7F"/>
    <w:rsid w:val="009E6FD2"/>
    <w:rsid w:val="009E7138"/>
    <w:rsid w:val="009E7141"/>
    <w:rsid w:val="009E720B"/>
    <w:rsid w:val="009E72AD"/>
    <w:rsid w:val="009E74D0"/>
    <w:rsid w:val="009E750F"/>
    <w:rsid w:val="009E7565"/>
    <w:rsid w:val="009E77A9"/>
    <w:rsid w:val="009E783D"/>
    <w:rsid w:val="009E78A6"/>
    <w:rsid w:val="009E78C2"/>
    <w:rsid w:val="009E7909"/>
    <w:rsid w:val="009E7A5B"/>
    <w:rsid w:val="009E7A70"/>
    <w:rsid w:val="009E7AC3"/>
    <w:rsid w:val="009E7AD5"/>
    <w:rsid w:val="009E7F15"/>
    <w:rsid w:val="009E7F70"/>
    <w:rsid w:val="009E7FC9"/>
    <w:rsid w:val="009F006B"/>
    <w:rsid w:val="009F0111"/>
    <w:rsid w:val="009F01F1"/>
    <w:rsid w:val="009F02EF"/>
    <w:rsid w:val="009F054E"/>
    <w:rsid w:val="009F05A0"/>
    <w:rsid w:val="009F061F"/>
    <w:rsid w:val="009F0A89"/>
    <w:rsid w:val="009F0A90"/>
    <w:rsid w:val="009F0AF6"/>
    <w:rsid w:val="009F0B18"/>
    <w:rsid w:val="009F0B8E"/>
    <w:rsid w:val="009F1081"/>
    <w:rsid w:val="009F10D6"/>
    <w:rsid w:val="009F12B9"/>
    <w:rsid w:val="009F13FD"/>
    <w:rsid w:val="009F148B"/>
    <w:rsid w:val="009F168A"/>
    <w:rsid w:val="009F16FB"/>
    <w:rsid w:val="009F174A"/>
    <w:rsid w:val="009F1893"/>
    <w:rsid w:val="009F1A07"/>
    <w:rsid w:val="009F1A92"/>
    <w:rsid w:val="009F1C47"/>
    <w:rsid w:val="009F1CA2"/>
    <w:rsid w:val="009F1CE3"/>
    <w:rsid w:val="009F1D75"/>
    <w:rsid w:val="009F1E95"/>
    <w:rsid w:val="009F2010"/>
    <w:rsid w:val="009F2097"/>
    <w:rsid w:val="009F21E6"/>
    <w:rsid w:val="009F22A4"/>
    <w:rsid w:val="009F22B3"/>
    <w:rsid w:val="009F22C1"/>
    <w:rsid w:val="009F232A"/>
    <w:rsid w:val="009F23C9"/>
    <w:rsid w:val="009F2567"/>
    <w:rsid w:val="009F25B9"/>
    <w:rsid w:val="009F27DD"/>
    <w:rsid w:val="009F285E"/>
    <w:rsid w:val="009F29D6"/>
    <w:rsid w:val="009F2A8D"/>
    <w:rsid w:val="009F2C01"/>
    <w:rsid w:val="009F2C0C"/>
    <w:rsid w:val="009F2C2D"/>
    <w:rsid w:val="009F2C9A"/>
    <w:rsid w:val="009F2CB5"/>
    <w:rsid w:val="009F2D02"/>
    <w:rsid w:val="009F2D68"/>
    <w:rsid w:val="009F2D6B"/>
    <w:rsid w:val="009F2F54"/>
    <w:rsid w:val="009F2F9D"/>
    <w:rsid w:val="009F2FD1"/>
    <w:rsid w:val="009F3020"/>
    <w:rsid w:val="009F3150"/>
    <w:rsid w:val="009F3294"/>
    <w:rsid w:val="009F3432"/>
    <w:rsid w:val="009F35B4"/>
    <w:rsid w:val="009F35FA"/>
    <w:rsid w:val="009F3666"/>
    <w:rsid w:val="009F36B7"/>
    <w:rsid w:val="009F3740"/>
    <w:rsid w:val="009F3825"/>
    <w:rsid w:val="009F3925"/>
    <w:rsid w:val="009F3935"/>
    <w:rsid w:val="009F3B31"/>
    <w:rsid w:val="009F3B3C"/>
    <w:rsid w:val="009F3B96"/>
    <w:rsid w:val="009F3D17"/>
    <w:rsid w:val="009F3D77"/>
    <w:rsid w:val="009F3E30"/>
    <w:rsid w:val="009F3FEB"/>
    <w:rsid w:val="009F4023"/>
    <w:rsid w:val="009F406C"/>
    <w:rsid w:val="009F408A"/>
    <w:rsid w:val="009F41A7"/>
    <w:rsid w:val="009F4483"/>
    <w:rsid w:val="009F45C3"/>
    <w:rsid w:val="009F4628"/>
    <w:rsid w:val="009F4644"/>
    <w:rsid w:val="009F4774"/>
    <w:rsid w:val="009F4847"/>
    <w:rsid w:val="009F4867"/>
    <w:rsid w:val="009F48BE"/>
    <w:rsid w:val="009F48D9"/>
    <w:rsid w:val="009F48EA"/>
    <w:rsid w:val="009F4929"/>
    <w:rsid w:val="009F49D6"/>
    <w:rsid w:val="009F4B20"/>
    <w:rsid w:val="009F4B51"/>
    <w:rsid w:val="009F4B56"/>
    <w:rsid w:val="009F4B5B"/>
    <w:rsid w:val="009F4B82"/>
    <w:rsid w:val="009F4D1B"/>
    <w:rsid w:val="009F4D36"/>
    <w:rsid w:val="009F4D50"/>
    <w:rsid w:val="009F4D75"/>
    <w:rsid w:val="009F4E31"/>
    <w:rsid w:val="009F4F43"/>
    <w:rsid w:val="009F51A5"/>
    <w:rsid w:val="009F5211"/>
    <w:rsid w:val="009F5248"/>
    <w:rsid w:val="009F52B9"/>
    <w:rsid w:val="009F53F0"/>
    <w:rsid w:val="009F5607"/>
    <w:rsid w:val="009F562B"/>
    <w:rsid w:val="009F5686"/>
    <w:rsid w:val="009F5702"/>
    <w:rsid w:val="009F57BA"/>
    <w:rsid w:val="009F5857"/>
    <w:rsid w:val="009F591C"/>
    <w:rsid w:val="009F5C4D"/>
    <w:rsid w:val="009F5CF7"/>
    <w:rsid w:val="009F5DD5"/>
    <w:rsid w:val="009F5E88"/>
    <w:rsid w:val="009F5EF7"/>
    <w:rsid w:val="009F5F67"/>
    <w:rsid w:val="009F5FFF"/>
    <w:rsid w:val="009F60F2"/>
    <w:rsid w:val="009F6360"/>
    <w:rsid w:val="009F6383"/>
    <w:rsid w:val="009F63CB"/>
    <w:rsid w:val="009F64C7"/>
    <w:rsid w:val="009F65C8"/>
    <w:rsid w:val="009F6714"/>
    <w:rsid w:val="009F67CA"/>
    <w:rsid w:val="009F67F3"/>
    <w:rsid w:val="009F6974"/>
    <w:rsid w:val="009F69BC"/>
    <w:rsid w:val="009F6A67"/>
    <w:rsid w:val="009F6A7B"/>
    <w:rsid w:val="009F6BC6"/>
    <w:rsid w:val="009F6BFA"/>
    <w:rsid w:val="009F6C27"/>
    <w:rsid w:val="009F6C3B"/>
    <w:rsid w:val="009F6CD2"/>
    <w:rsid w:val="009F6F87"/>
    <w:rsid w:val="009F713C"/>
    <w:rsid w:val="009F7218"/>
    <w:rsid w:val="009F72A6"/>
    <w:rsid w:val="009F7326"/>
    <w:rsid w:val="009F73FA"/>
    <w:rsid w:val="009F7519"/>
    <w:rsid w:val="009F7636"/>
    <w:rsid w:val="009F766A"/>
    <w:rsid w:val="009F78AB"/>
    <w:rsid w:val="009F78AC"/>
    <w:rsid w:val="009F797B"/>
    <w:rsid w:val="009F7B25"/>
    <w:rsid w:val="009F7CEB"/>
    <w:rsid w:val="009F7D74"/>
    <w:rsid w:val="009F7E76"/>
    <w:rsid w:val="009F7F88"/>
    <w:rsid w:val="00A0001D"/>
    <w:rsid w:val="00A00115"/>
    <w:rsid w:val="00A003AC"/>
    <w:rsid w:val="00A003F2"/>
    <w:rsid w:val="00A0041B"/>
    <w:rsid w:val="00A00454"/>
    <w:rsid w:val="00A004D3"/>
    <w:rsid w:val="00A00561"/>
    <w:rsid w:val="00A00754"/>
    <w:rsid w:val="00A0076E"/>
    <w:rsid w:val="00A00793"/>
    <w:rsid w:val="00A00979"/>
    <w:rsid w:val="00A00980"/>
    <w:rsid w:val="00A00A6B"/>
    <w:rsid w:val="00A00AD4"/>
    <w:rsid w:val="00A00BED"/>
    <w:rsid w:val="00A00C48"/>
    <w:rsid w:val="00A00C93"/>
    <w:rsid w:val="00A00E71"/>
    <w:rsid w:val="00A00F70"/>
    <w:rsid w:val="00A0123D"/>
    <w:rsid w:val="00A013EC"/>
    <w:rsid w:val="00A01445"/>
    <w:rsid w:val="00A01553"/>
    <w:rsid w:val="00A0157C"/>
    <w:rsid w:val="00A015AE"/>
    <w:rsid w:val="00A0160E"/>
    <w:rsid w:val="00A01947"/>
    <w:rsid w:val="00A019A4"/>
    <w:rsid w:val="00A01C8B"/>
    <w:rsid w:val="00A01D41"/>
    <w:rsid w:val="00A020F6"/>
    <w:rsid w:val="00A02221"/>
    <w:rsid w:val="00A023DB"/>
    <w:rsid w:val="00A02477"/>
    <w:rsid w:val="00A025AA"/>
    <w:rsid w:val="00A02607"/>
    <w:rsid w:val="00A02727"/>
    <w:rsid w:val="00A0277F"/>
    <w:rsid w:val="00A027D1"/>
    <w:rsid w:val="00A02869"/>
    <w:rsid w:val="00A02905"/>
    <w:rsid w:val="00A02914"/>
    <w:rsid w:val="00A02919"/>
    <w:rsid w:val="00A0295E"/>
    <w:rsid w:val="00A02CC7"/>
    <w:rsid w:val="00A02D36"/>
    <w:rsid w:val="00A02DB8"/>
    <w:rsid w:val="00A02E4D"/>
    <w:rsid w:val="00A02F99"/>
    <w:rsid w:val="00A0335B"/>
    <w:rsid w:val="00A0348C"/>
    <w:rsid w:val="00A034E4"/>
    <w:rsid w:val="00A03535"/>
    <w:rsid w:val="00A03757"/>
    <w:rsid w:val="00A0384F"/>
    <w:rsid w:val="00A038BB"/>
    <w:rsid w:val="00A03912"/>
    <w:rsid w:val="00A0394B"/>
    <w:rsid w:val="00A039A4"/>
    <w:rsid w:val="00A039E4"/>
    <w:rsid w:val="00A039FA"/>
    <w:rsid w:val="00A03A95"/>
    <w:rsid w:val="00A03BA3"/>
    <w:rsid w:val="00A03CD5"/>
    <w:rsid w:val="00A03D4E"/>
    <w:rsid w:val="00A03E0A"/>
    <w:rsid w:val="00A03E67"/>
    <w:rsid w:val="00A03E68"/>
    <w:rsid w:val="00A03F1E"/>
    <w:rsid w:val="00A03F6A"/>
    <w:rsid w:val="00A03FAD"/>
    <w:rsid w:val="00A04230"/>
    <w:rsid w:val="00A04410"/>
    <w:rsid w:val="00A04471"/>
    <w:rsid w:val="00A045D0"/>
    <w:rsid w:val="00A046BC"/>
    <w:rsid w:val="00A04734"/>
    <w:rsid w:val="00A047CB"/>
    <w:rsid w:val="00A04874"/>
    <w:rsid w:val="00A04931"/>
    <w:rsid w:val="00A04968"/>
    <w:rsid w:val="00A04ADA"/>
    <w:rsid w:val="00A04BC1"/>
    <w:rsid w:val="00A04BD2"/>
    <w:rsid w:val="00A04CB7"/>
    <w:rsid w:val="00A04D65"/>
    <w:rsid w:val="00A04F0F"/>
    <w:rsid w:val="00A04F5E"/>
    <w:rsid w:val="00A04F7D"/>
    <w:rsid w:val="00A0501F"/>
    <w:rsid w:val="00A050AE"/>
    <w:rsid w:val="00A05124"/>
    <w:rsid w:val="00A05257"/>
    <w:rsid w:val="00A05269"/>
    <w:rsid w:val="00A054A0"/>
    <w:rsid w:val="00A05844"/>
    <w:rsid w:val="00A05928"/>
    <w:rsid w:val="00A059D0"/>
    <w:rsid w:val="00A05A1A"/>
    <w:rsid w:val="00A05BA7"/>
    <w:rsid w:val="00A05C7F"/>
    <w:rsid w:val="00A05CA3"/>
    <w:rsid w:val="00A05DB7"/>
    <w:rsid w:val="00A05DDE"/>
    <w:rsid w:val="00A05E70"/>
    <w:rsid w:val="00A05F31"/>
    <w:rsid w:val="00A05F48"/>
    <w:rsid w:val="00A05FCF"/>
    <w:rsid w:val="00A06097"/>
    <w:rsid w:val="00A060BA"/>
    <w:rsid w:val="00A0612A"/>
    <w:rsid w:val="00A0624E"/>
    <w:rsid w:val="00A06348"/>
    <w:rsid w:val="00A0634F"/>
    <w:rsid w:val="00A063DF"/>
    <w:rsid w:val="00A064B6"/>
    <w:rsid w:val="00A06588"/>
    <w:rsid w:val="00A0672A"/>
    <w:rsid w:val="00A068B9"/>
    <w:rsid w:val="00A06915"/>
    <w:rsid w:val="00A0694D"/>
    <w:rsid w:val="00A06BCB"/>
    <w:rsid w:val="00A06D82"/>
    <w:rsid w:val="00A06E45"/>
    <w:rsid w:val="00A0719A"/>
    <w:rsid w:val="00A071D1"/>
    <w:rsid w:val="00A072C9"/>
    <w:rsid w:val="00A07434"/>
    <w:rsid w:val="00A07510"/>
    <w:rsid w:val="00A0757E"/>
    <w:rsid w:val="00A07651"/>
    <w:rsid w:val="00A0796D"/>
    <w:rsid w:val="00A07A05"/>
    <w:rsid w:val="00A07A1E"/>
    <w:rsid w:val="00A07A25"/>
    <w:rsid w:val="00A07C57"/>
    <w:rsid w:val="00A07EB2"/>
    <w:rsid w:val="00A07ECD"/>
    <w:rsid w:val="00A0DDCF"/>
    <w:rsid w:val="00A1009B"/>
    <w:rsid w:val="00A10113"/>
    <w:rsid w:val="00A101A3"/>
    <w:rsid w:val="00A10611"/>
    <w:rsid w:val="00A1066D"/>
    <w:rsid w:val="00A10671"/>
    <w:rsid w:val="00A106A4"/>
    <w:rsid w:val="00A108D0"/>
    <w:rsid w:val="00A10902"/>
    <w:rsid w:val="00A10915"/>
    <w:rsid w:val="00A10A52"/>
    <w:rsid w:val="00A10AB3"/>
    <w:rsid w:val="00A10AFD"/>
    <w:rsid w:val="00A10B0F"/>
    <w:rsid w:val="00A10B6F"/>
    <w:rsid w:val="00A10C86"/>
    <w:rsid w:val="00A10DD1"/>
    <w:rsid w:val="00A10E2D"/>
    <w:rsid w:val="00A10E30"/>
    <w:rsid w:val="00A10E64"/>
    <w:rsid w:val="00A10E8C"/>
    <w:rsid w:val="00A10F78"/>
    <w:rsid w:val="00A10F7E"/>
    <w:rsid w:val="00A10FEE"/>
    <w:rsid w:val="00A110FA"/>
    <w:rsid w:val="00A11250"/>
    <w:rsid w:val="00A11413"/>
    <w:rsid w:val="00A1145D"/>
    <w:rsid w:val="00A11497"/>
    <w:rsid w:val="00A114F7"/>
    <w:rsid w:val="00A115A6"/>
    <w:rsid w:val="00A116C5"/>
    <w:rsid w:val="00A11736"/>
    <w:rsid w:val="00A11989"/>
    <w:rsid w:val="00A11A30"/>
    <w:rsid w:val="00A11C21"/>
    <w:rsid w:val="00A11DAE"/>
    <w:rsid w:val="00A11E69"/>
    <w:rsid w:val="00A11EA2"/>
    <w:rsid w:val="00A11F85"/>
    <w:rsid w:val="00A12144"/>
    <w:rsid w:val="00A122E4"/>
    <w:rsid w:val="00A12530"/>
    <w:rsid w:val="00A125CF"/>
    <w:rsid w:val="00A12646"/>
    <w:rsid w:val="00A12785"/>
    <w:rsid w:val="00A12911"/>
    <w:rsid w:val="00A12A1D"/>
    <w:rsid w:val="00A12B63"/>
    <w:rsid w:val="00A12CA9"/>
    <w:rsid w:val="00A12CED"/>
    <w:rsid w:val="00A12D66"/>
    <w:rsid w:val="00A12D97"/>
    <w:rsid w:val="00A12E9D"/>
    <w:rsid w:val="00A13207"/>
    <w:rsid w:val="00A1358F"/>
    <w:rsid w:val="00A135A0"/>
    <w:rsid w:val="00A13657"/>
    <w:rsid w:val="00A136F2"/>
    <w:rsid w:val="00A136FA"/>
    <w:rsid w:val="00A137C9"/>
    <w:rsid w:val="00A1388D"/>
    <w:rsid w:val="00A138D6"/>
    <w:rsid w:val="00A1393B"/>
    <w:rsid w:val="00A13A57"/>
    <w:rsid w:val="00A13FE6"/>
    <w:rsid w:val="00A140C7"/>
    <w:rsid w:val="00A140DA"/>
    <w:rsid w:val="00A1419D"/>
    <w:rsid w:val="00A1419E"/>
    <w:rsid w:val="00A141AD"/>
    <w:rsid w:val="00A142C4"/>
    <w:rsid w:val="00A142E2"/>
    <w:rsid w:val="00A14326"/>
    <w:rsid w:val="00A1458C"/>
    <w:rsid w:val="00A14710"/>
    <w:rsid w:val="00A1476A"/>
    <w:rsid w:val="00A147E6"/>
    <w:rsid w:val="00A148FC"/>
    <w:rsid w:val="00A14A15"/>
    <w:rsid w:val="00A14AF4"/>
    <w:rsid w:val="00A14B47"/>
    <w:rsid w:val="00A14D37"/>
    <w:rsid w:val="00A14DAD"/>
    <w:rsid w:val="00A14E6C"/>
    <w:rsid w:val="00A14F04"/>
    <w:rsid w:val="00A1502F"/>
    <w:rsid w:val="00A1507D"/>
    <w:rsid w:val="00A15171"/>
    <w:rsid w:val="00A154FA"/>
    <w:rsid w:val="00A1563E"/>
    <w:rsid w:val="00A15705"/>
    <w:rsid w:val="00A1577D"/>
    <w:rsid w:val="00A15814"/>
    <w:rsid w:val="00A15824"/>
    <w:rsid w:val="00A15870"/>
    <w:rsid w:val="00A15B5B"/>
    <w:rsid w:val="00A15B70"/>
    <w:rsid w:val="00A15C52"/>
    <w:rsid w:val="00A15DF6"/>
    <w:rsid w:val="00A15E1E"/>
    <w:rsid w:val="00A15F1D"/>
    <w:rsid w:val="00A16277"/>
    <w:rsid w:val="00A162D3"/>
    <w:rsid w:val="00A162D4"/>
    <w:rsid w:val="00A16373"/>
    <w:rsid w:val="00A1659B"/>
    <w:rsid w:val="00A165D4"/>
    <w:rsid w:val="00A165E3"/>
    <w:rsid w:val="00A165F6"/>
    <w:rsid w:val="00A16683"/>
    <w:rsid w:val="00A16836"/>
    <w:rsid w:val="00A16859"/>
    <w:rsid w:val="00A16884"/>
    <w:rsid w:val="00A168FD"/>
    <w:rsid w:val="00A16918"/>
    <w:rsid w:val="00A16A52"/>
    <w:rsid w:val="00A16A82"/>
    <w:rsid w:val="00A16CB9"/>
    <w:rsid w:val="00A16E83"/>
    <w:rsid w:val="00A16F9B"/>
    <w:rsid w:val="00A17005"/>
    <w:rsid w:val="00A1706F"/>
    <w:rsid w:val="00A17117"/>
    <w:rsid w:val="00A17142"/>
    <w:rsid w:val="00A17323"/>
    <w:rsid w:val="00A173FE"/>
    <w:rsid w:val="00A17423"/>
    <w:rsid w:val="00A17442"/>
    <w:rsid w:val="00A17488"/>
    <w:rsid w:val="00A17773"/>
    <w:rsid w:val="00A17808"/>
    <w:rsid w:val="00A17839"/>
    <w:rsid w:val="00A178E0"/>
    <w:rsid w:val="00A17C5B"/>
    <w:rsid w:val="00A17C6D"/>
    <w:rsid w:val="00A17C90"/>
    <w:rsid w:val="00A17CD7"/>
    <w:rsid w:val="00A17D76"/>
    <w:rsid w:val="00A17DF1"/>
    <w:rsid w:val="00A17E85"/>
    <w:rsid w:val="00A17EB6"/>
    <w:rsid w:val="00A17F5D"/>
    <w:rsid w:val="00A17FC3"/>
    <w:rsid w:val="00A17FE0"/>
    <w:rsid w:val="00A2007B"/>
    <w:rsid w:val="00A20162"/>
    <w:rsid w:val="00A20359"/>
    <w:rsid w:val="00A203DB"/>
    <w:rsid w:val="00A2050E"/>
    <w:rsid w:val="00A205DB"/>
    <w:rsid w:val="00A20681"/>
    <w:rsid w:val="00A20834"/>
    <w:rsid w:val="00A208F7"/>
    <w:rsid w:val="00A20968"/>
    <w:rsid w:val="00A2096F"/>
    <w:rsid w:val="00A20BD0"/>
    <w:rsid w:val="00A20CD4"/>
    <w:rsid w:val="00A20D61"/>
    <w:rsid w:val="00A20DFC"/>
    <w:rsid w:val="00A20DFE"/>
    <w:rsid w:val="00A21019"/>
    <w:rsid w:val="00A2104A"/>
    <w:rsid w:val="00A211A1"/>
    <w:rsid w:val="00A21240"/>
    <w:rsid w:val="00A212E5"/>
    <w:rsid w:val="00A21339"/>
    <w:rsid w:val="00A2142E"/>
    <w:rsid w:val="00A21438"/>
    <w:rsid w:val="00A214E3"/>
    <w:rsid w:val="00A21500"/>
    <w:rsid w:val="00A2165D"/>
    <w:rsid w:val="00A21723"/>
    <w:rsid w:val="00A219B5"/>
    <w:rsid w:val="00A21A51"/>
    <w:rsid w:val="00A21B27"/>
    <w:rsid w:val="00A21BE3"/>
    <w:rsid w:val="00A21D54"/>
    <w:rsid w:val="00A21E63"/>
    <w:rsid w:val="00A21F11"/>
    <w:rsid w:val="00A2207E"/>
    <w:rsid w:val="00A221EB"/>
    <w:rsid w:val="00A2228A"/>
    <w:rsid w:val="00A22465"/>
    <w:rsid w:val="00A2257B"/>
    <w:rsid w:val="00A2258F"/>
    <w:rsid w:val="00A22670"/>
    <w:rsid w:val="00A22694"/>
    <w:rsid w:val="00A226C0"/>
    <w:rsid w:val="00A22742"/>
    <w:rsid w:val="00A22858"/>
    <w:rsid w:val="00A22882"/>
    <w:rsid w:val="00A22949"/>
    <w:rsid w:val="00A2299A"/>
    <w:rsid w:val="00A22B6D"/>
    <w:rsid w:val="00A22C54"/>
    <w:rsid w:val="00A22D0B"/>
    <w:rsid w:val="00A22FAF"/>
    <w:rsid w:val="00A2301B"/>
    <w:rsid w:val="00A23097"/>
    <w:rsid w:val="00A2336D"/>
    <w:rsid w:val="00A235D5"/>
    <w:rsid w:val="00A237F2"/>
    <w:rsid w:val="00A2383B"/>
    <w:rsid w:val="00A2385B"/>
    <w:rsid w:val="00A238BA"/>
    <w:rsid w:val="00A239FB"/>
    <w:rsid w:val="00A23A0F"/>
    <w:rsid w:val="00A23A86"/>
    <w:rsid w:val="00A23A90"/>
    <w:rsid w:val="00A23C46"/>
    <w:rsid w:val="00A23DA8"/>
    <w:rsid w:val="00A24050"/>
    <w:rsid w:val="00A24542"/>
    <w:rsid w:val="00A245D6"/>
    <w:rsid w:val="00A24668"/>
    <w:rsid w:val="00A24836"/>
    <w:rsid w:val="00A24837"/>
    <w:rsid w:val="00A248E7"/>
    <w:rsid w:val="00A2492C"/>
    <w:rsid w:val="00A249DA"/>
    <w:rsid w:val="00A249DD"/>
    <w:rsid w:val="00A24B79"/>
    <w:rsid w:val="00A24C28"/>
    <w:rsid w:val="00A24C45"/>
    <w:rsid w:val="00A24D33"/>
    <w:rsid w:val="00A24E10"/>
    <w:rsid w:val="00A24F07"/>
    <w:rsid w:val="00A250BD"/>
    <w:rsid w:val="00A25117"/>
    <w:rsid w:val="00A25119"/>
    <w:rsid w:val="00A2515F"/>
    <w:rsid w:val="00A2520B"/>
    <w:rsid w:val="00A2532C"/>
    <w:rsid w:val="00A253DD"/>
    <w:rsid w:val="00A25527"/>
    <w:rsid w:val="00A255AF"/>
    <w:rsid w:val="00A255B8"/>
    <w:rsid w:val="00A2566A"/>
    <w:rsid w:val="00A2569B"/>
    <w:rsid w:val="00A256C5"/>
    <w:rsid w:val="00A2573F"/>
    <w:rsid w:val="00A25937"/>
    <w:rsid w:val="00A25A25"/>
    <w:rsid w:val="00A25DF1"/>
    <w:rsid w:val="00A25E37"/>
    <w:rsid w:val="00A25E87"/>
    <w:rsid w:val="00A25E9F"/>
    <w:rsid w:val="00A25EC5"/>
    <w:rsid w:val="00A25F74"/>
    <w:rsid w:val="00A260BE"/>
    <w:rsid w:val="00A260CC"/>
    <w:rsid w:val="00A260E7"/>
    <w:rsid w:val="00A26139"/>
    <w:rsid w:val="00A26350"/>
    <w:rsid w:val="00A26388"/>
    <w:rsid w:val="00A2648A"/>
    <w:rsid w:val="00A26511"/>
    <w:rsid w:val="00A2660C"/>
    <w:rsid w:val="00A26755"/>
    <w:rsid w:val="00A267BF"/>
    <w:rsid w:val="00A268B7"/>
    <w:rsid w:val="00A26A7B"/>
    <w:rsid w:val="00A26B04"/>
    <w:rsid w:val="00A26C9D"/>
    <w:rsid w:val="00A26D04"/>
    <w:rsid w:val="00A26D6E"/>
    <w:rsid w:val="00A26D90"/>
    <w:rsid w:val="00A26F2C"/>
    <w:rsid w:val="00A26F4B"/>
    <w:rsid w:val="00A270A7"/>
    <w:rsid w:val="00A27342"/>
    <w:rsid w:val="00A273BF"/>
    <w:rsid w:val="00A274D8"/>
    <w:rsid w:val="00A275EB"/>
    <w:rsid w:val="00A27963"/>
    <w:rsid w:val="00A27966"/>
    <w:rsid w:val="00A279A3"/>
    <w:rsid w:val="00A279D0"/>
    <w:rsid w:val="00A27A95"/>
    <w:rsid w:val="00A27CBC"/>
    <w:rsid w:val="00A27CFD"/>
    <w:rsid w:val="00A27D03"/>
    <w:rsid w:val="00A27F84"/>
    <w:rsid w:val="00A3031F"/>
    <w:rsid w:val="00A303CF"/>
    <w:rsid w:val="00A30422"/>
    <w:rsid w:val="00A304F5"/>
    <w:rsid w:val="00A30542"/>
    <w:rsid w:val="00A3064C"/>
    <w:rsid w:val="00A3068F"/>
    <w:rsid w:val="00A306A2"/>
    <w:rsid w:val="00A306F2"/>
    <w:rsid w:val="00A3081A"/>
    <w:rsid w:val="00A30866"/>
    <w:rsid w:val="00A30934"/>
    <w:rsid w:val="00A30BB3"/>
    <w:rsid w:val="00A30BC8"/>
    <w:rsid w:val="00A30C6A"/>
    <w:rsid w:val="00A30D42"/>
    <w:rsid w:val="00A30DAB"/>
    <w:rsid w:val="00A30DFD"/>
    <w:rsid w:val="00A30E02"/>
    <w:rsid w:val="00A30F1C"/>
    <w:rsid w:val="00A30F26"/>
    <w:rsid w:val="00A31048"/>
    <w:rsid w:val="00A31168"/>
    <w:rsid w:val="00A3125C"/>
    <w:rsid w:val="00A31273"/>
    <w:rsid w:val="00A312A7"/>
    <w:rsid w:val="00A31363"/>
    <w:rsid w:val="00A31369"/>
    <w:rsid w:val="00A31465"/>
    <w:rsid w:val="00A3156C"/>
    <w:rsid w:val="00A315F5"/>
    <w:rsid w:val="00A31757"/>
    <w:rsid w:val="00A318AD"/>
    <w:rsid w:val="00A31C2D"/>
    <w:rsid w:val="00A31C2E"/>
    <w:rsid w:val="00A31C5D"/>
    <w:rsid w:val="00A31D7F"/>
    <w:rsid w:val="00A31DFB"/>
    <w:rsid w:val="00A31EA7"/>
    <w:rsid w:val="00A31EB2"/>
    <w:rsid w:val="00A31F8C"/>
    <w:rsid w:val="00A32099"/>
    <w:rsid w:val="00A320AF"/>
    <w:rsid w:val="00A32106"/>
    <w:rsid w:val="00A32108"/>
    <w:rsid w:val="00A32186"/>
    <w:rsid w:val="00A32244"/>
    <w:rsid w:val="00A32286"/>
    <w:rsid w:val="00A322CD"/>
    <w:rsid w:val="00A32402"/>
    <w:rsid w:val="00A3245A"/>
    <w:rsid w:val="00A324F4"/>
    <w:rsid w:val="00A324FB"/>
    <w:rsid w:val="00A32792"/>
    <w:rsid w:val="00A329E2"/>
    <w:rsid w:val="00A32A5B"/>
    <w:rsid w:val="00A32B15"/>
    <w:rsid w:val="00A32CAB"/>
    <w:rsid w:val="00A32D41"/>
    <w:rsid w:val="00A32E18"/>
    <w:rsid w:val="00A32ED9"/>
    <w:rsid w:val="00A32EF3"/>
    <w:rsid w:val="00A32F74"/>
    <w:rsid w:val="00A32FD6"/>
    <w:rsid w:val="00A3305C"/>
    <w:rsid w:val="00A3313D"/>
    <w:rsid w:val="00A33243"/>
    <w:rsid w:val="00A3337A"/>
    <w:rsid w:val="00A333A1"/>
    <w:rsid w:val="00A33455"/>
    <w:rsid w:val="00A33690"/>
    <w:rsid w:val="00A336F4"/>
    <w:rsid w:val="00A33948"/>
    <w:rsid w:val="00A33A8F"/>
    <w:rsid w:val="00A33C0E"/>
    <w:rsid w:val="00A33D50"/>
    <w:rsid w:val="00A33D59"/>
    <w:rsid w:val="00A33E0C"/>
    <w:rsid w:val="00A33EB2"/>
    <w:rsid w:val="00A33F81"/>
    <w:rsid w:val="00A33FB8"/>
    <w:rsid w:val="00A341D2"/>
    <w:rsid w:val="00A341D8"/>
    <w:rsid w:val="00A34243"/>
    <w:rsid w:val="00A3440A"/>
    <w:rsid w:val="00A34835"/>
    <w:rsid w:val="00A34848"/>
    <w:rsid w:val="00A3494F"/>
    <w:rsid w:val="00A349D4"/>
    <w:rsid w:val="00A34A3E"/>
    <w:rsid w:val="00A34AC4"/>
    <w:rsid w:val="00A34B03"/>
    <w:rsid w:val="00A34B44"/>
    <w:rsid w:val="00A34B97"/>
    <w:rsid w:val="00A34BED"/>
    <w:rsid w:val="00A34D70"/>
    <w:rsid w:val="00A34F0D"/>
    <w:rsid w:val="00A34F64"/>
    <w:rsid w:val="00A3522C"/>
    <w:rsid w:val="00A3532B"/>
    <w:rsid w:val="00A35383"/>
    <w:rsid w:val="00A3550C"/>
    <w:rsid w:val="00A35691"/>
    <w:rsid w:val="00A3571C"/>
    <w:rsid w:val="00A3589F"/>
    <w:rsid w:val="00A35A31"/>
    <w:rsid w:val="00A35B1A"/>
    <w:rsid w:val="00A35CC0"/>
    <w:rsid w:val="00A35D31"/>
    <w:rsid w:val="00A35DC8"/>
    <w:rsid w:val="00A35E71"/>
    <w:rsid w:val="00A360CF"/>
    <w:rsid w:val="00A36192"/>
    <w:rsid w:val="00A362F5"/>
    <w:rsid w:val="00A362FB"/>
    <w:rsid w:val="00A363F9"/>
    <w:rsid w:val="00A36440"/>
    <w:rsid w:val="00A364C0"/>
    <w:rsid w:val="00A36537"/>
    <w:rsid w:val="00A36659"/>
    <w:rsid w:val="00A366AD"/>
    <w:rsid w:val="00A36723"/>
    <w:rsid w:val="00A36844"/>
    <w:rsid w:val="00A36ACC"/>
    <w:rsid w:val="00A36B19"/>
    <w:rsid w:val="00A36B72"/>
    <w:rsid w:val="00A36BB6"/>
    <w:rsid w:val="00A36C3A"/>
    <w:rsid w:val="00A36EA7"/>
    <w:rsid w:val="00A36F7A"/>
    <w:rsid w:val="00A37038"/>
    <w:rsid w:val="00A37068"/>
    <w:rsid w:val="00A370A6"/>
    <w:rsid w:val="00A37101"/>
    <w:rsid w:val="00A37220"/>
    <w:rsid w:val="00A3725D"/>
    <w:rsid w:val="00A37275"/>
    <w:rsid w:val="00A37655"/>
    <w:rsid w:val="00A37A35"/>
    <w:rsid w:val="00A37AB4"/>
    <w:rsid w:val="00A37AFA"/>
    <w:rsid w:val="00A37B83"/>
    <w:rsid w:val="00A37CCD"/>
    <w:rsid w:val="00A37D09"/>
    <w:rsid w:val="00A37D7F"/>
    <w:rsid w:val="00A37E28"/>
    <w:rsid w:val="00A37F01"/>
    <w:rsid w:val="00A37FDA"/>
    <w:rsid w:val="00A401A2"/>
    <w:rsid w:val="00A4029D"/>
    <w:rsid w:val="00A402A0"/>
    <w:rsid w:val="00A40584"/>
    <w:rsid w:val="00A407A4"/>
    <w:rsid w:val="00A407E2"/>
    <w:rsid w:val="00A4089A"/>
    <w:rsid w:val="00A40A9E"/>
    <w:rsid w:val="00A40B1C"/>
    <w:rsid w:val="00A40B8F"/>
    <w:rsid w:val="00A40BCC"/>
    <w:rsid w:val="00A40BE5"/>
    <w:rsid w:val="00A40CAA"/>
    <w:rsid w:val="00A40CB1"/>
    <w:rsid w:val="00A40D44"/>
    <w:rsid w:val="00A40DCC"/>
    <w:rsid w:val="00A40EDD"/>
    <w:rsid w:val="00A40F3E"/>
    <w:rsid w:val="00A4109E"/>
    <w:rsid w:val="00A411D3"/>
    <w:rsid w:val="00A412A7"/>
    <w:rsid w:val="00A41409"/>
    <w:rsid w:val="00A4149C"/>
    <w:rsid w:val="00A41509"/>
    <w:rsid w:val="00A41522"/>
    <w:rsid w:val="00A41695"/>
    <w:rsid w:val="00A416C6"/>
    <w:rsid w:val="00A416D6"/>
    <w:rsid w:val="00A4175F"/>
    <w:rsid w:val="00A4177B"/>
    <w:rsid w:val="00A41838"/>
    <w:rsid w:val="00A41A18"/>
    <w:rsid w:val="00A41A55"/>
    <w:rsid w:val="00A41BA7"/>
    <w:rsid w:val="00A41BFB"/>
    <w:rsid w:val="00A41CF1"/>
    <w:rsid w:val="00A41E77"/>
    <w:rsid w:val="00A41F0B"/>
    <w:rsid w:val="00A4215D"/>
    <w:rsid w:val="00A42323"/>
    <w:rsid w:val="00A42370"/>
    <w:rsid w:val="00A4238C"/>
    <w:rsid w:val="00A42480"/>
    <w:rsid w:val="00A42543"/>
    <w:rsid w:val="00A4267D"/>
    <w:rsid w:val="00A4273F"/>
    <w:rsid w:val="00A42A3D"/>
    <w:rsid w:val="00A42A72"/>
    <w:rsid w:val="00A42AD7"/>
    <w:rsid w:val="00A42B74"/>
    <w:rsid w:val="00A42B8E"/>
    <w:rsid w:val="00A42D47"/>
    <w:rsid w:val="00A42D97"/>
    <w:rsid w:val="00A42E13"/>
    <w:rsid w:val="00A42EFD"/>
    <w:rsid w:val="00A42F42"/>
    <w:rsid w:val="00A43141"/>
    <w:rsid w:val="00A43145"/>
    <w:rsid w:val="00A431DE"/>
    <w:rsid w:val="00A43236"/>
    <w:rsid w:val="00A4324F"/>
    <w:rsid w:val="00A43256"/>
    <w:rsid w:val="00A4333E"/>
    <w:rsid w:val="00A4339C"/>
    <w:rsid w:val="00A433D4"/>
    <w:rsid w:val="00A4342D"/>
    <w:rsid w:val="00A43577"/>
    <w:rsid w:val="00A43762"/>
    <w:rsid w:val="00A43799"/>
    <w:rsid w:val="00A439FD"/>
    <w:rsid w:val="00A43A3B"/>
    <w:rsid w:val="00A43C47"/>
    <w:rsid w:val="00A43CA9"/>
    <w:rsid w:val="00A43CD2"/>
    <w:rsid w:val="00A43F2A"/>
    <w:rsid w:val="00A43F76"/>
    <w:rsid w:val="00A440BA"/>
    <w:rsid w:val="00A4430A"/>
    <w:rsid w:val="00A44364"/>
    <w:rsid w:val="00A443FB"/>
    <w:rsid w:val="00A44445"/>
    <w:rsid w:val="00A44558"/>
    <w:rsid w:val="00A446C9"/>
    <w:rsid w:val="00A448EB"/>
    <w:rsid w:val="00A4491E"/>
    <w:rsid w:val="00A44B37"/>
    <w:rsid w:val="00A44B75"/>
    <w:rsid w:val="00A44C10"/>
    <w:rsid w:val="00A44CD3"/>
    <w:rsid w:val="00A44F8E"/>
    <w:rsid w:val="00A44FD2"/>
    <w:rsid w:val="00A4502A"/>
    <w:rsid w:val="00A451C8"/>
    <w:rsid w:val="00A454F8"/>
    <w:rsid w:val="00A4554F"/>
    <w:rsid w:val="00A455B3"/>
    <w:rsid w:val="00A45650"/>
    <w:rsid w:val="00A456A6"/>
    <w:rsid w:val="00A458BA"/>
    <w:rsid w:val="00A458F8"/>
    <w:rsid w:val="00A4597D"/>
    <w:rsid w:val="00A459AC"/>
    <w:rsid w:val="00A45A13"/>
    <w:rsid w:val="00A45A84"/>
    <w:rsid w:val="00A45B08"/>
    <w:rsid w:val="00A45B12"/>
    <w:rsid w:val="00A45B5C"/>
    <w:rsid w:val="00A45C00"/>
    <w:rsid w:val="00A45CAE"/>
    <w:rsid w:val="00A45CE1"/>
    <w:rsid w:val="00A45DE6"/>
    <w:rsid w:val="00A45E5C"/>
    <w:rsid w:val="00A46026"/>
    <w:rsid w:val="00A460C0"/>
    <w:rsid w:val="00A4623E"/>
    <w:rsid w:val="00A462F9"/>
    <w:rsid w:val="00A463E1"/>
    <w:rsid w:val="00A463FE"/>
    <w:rsid w:val="00A4646D"/>
    <w:rsid w:val="00A46475"/>
    <w:rsid w:val="00A46622"/>
    <w:rsid w:val="00A46821"/>
    <w:rsid w:val="00A46926"/>
    <w:rsid w:val="00A46C8A"/>
    <w:rsid w:val="00A471D3"/>
    <w:rsid w:val="00A4721C"/>
    <w:rsid w:val="00A47307"/>
    <w:rsid w:val="00A4730F"/>
    <w:rsid w:val="00A4736E"/>
    <w:rsid w:val="00A473CE"/>
    <w:rsid w:val="00A4746E"/>
    <w:rsid w:val="00A47511"/>
    <w:rsid w:val="00A4761D"/>
    <w:rsid w:val="00A47701"/>
    <w:rsid w:val="00A4771D"/>
    <w:rsid w:val="00A4775E"/>
    <w:rsid w:val="00A47892"/>
    <w:rsid w:val="00A47A11"/>
    <w:rsid w:val="00A47B4C"/>
    <w:rsid w:val="00A47CE9"/>
    <w:rsid w:val="00A47D49"/>
    <w:rsid w:val="00A47D62"/>
    <w:rsid w:val="00A47DCF"/>
    <w:rsid w:val="00A47DF0"/>
    <w:rsid w:val="00A47F32"/>
    <w:rsid w:val="00A47FF1"/>
    <w:rsid w:val="00A500EB"/>
    <w:rsid w:val="00A50247"/>
    <w:rsid w:val="00A50323"/>
    <w:rsid w:val="00A50422"/>
    <w:rsid w:val="00A50438"/>
    <w:rsid w:val="00A50455"/>
    <w:rsid w:val="00A5047C"/>
    <w:rsid w:val="00A50646"/>
    <w:rsid w:val="00A50659"/>
    <w:rsid w:val="00A50670"/>
    <w:rsid w:val="00A506B5"/>
    <w:rsid w:val="00A5075E"/>
    <w:rsid w:val="00A5078D"/>
    <w:rsid w:val="00A508F8"/>
    <w:rsid w:val="00A50A20"/>
    <w:rsid w:val="00A50A41"/>
    <w:rsid w:val="00A50B64"/>
    <w:rsid w:val="00A50B94"/>
    <w:rsid w:val="00A50DAE"/>
    <w:rsid w:val="00A50E1D"/>
    <w:rsid w:val="00A50EFB"/>
    <w:rsid w:val="00A510F5"/>
    <w:rsid w:val="00A51120"/>
    <w:rsid w:val="00A5127B"/>
    <w:rsid w:val="00A512A6"/>
    <w:rsid w:val="00A51349"/>
    <w:rsid w:val="00A51523"/>
    <w:rsid w:val="00A516A8"/>
    <w:rsid w:val="00A516B3"/>
    <w:rsid w:val="00A516FC"/>
    <w:rsid w:val="00A5195F"/>
    <w:rsid w:val="00A519C2"/>
    <w:rsid w:val="00A519CD"/>
    <w:rsid w:val="00A51A6F"/>
    <w:rsid w:val="00A51B1D"/>
    <w:rsid w:val="00A51C87"/>
    <w:rsid w:val="00A51CCE"/>
    <w:rsid w:val="00A51EAF"/>
    <w:rsid w:val="00A5220A"/>
    <w:rsid w:val="00A522E1"/>
    <w:rsid w:val="00A52418"/>
    <w:rsid w:val="00A524AA"/>
    <w:rsid w:val="00A524EB"/>
    <w:rsid w:val="00A52531"/>
    <w:rsid w:val="00A5254B"/>
    <w:rsid w:val="00A526DF"/>
    <w:rsid w:val="00A52873"/>
    <w:rsid w:val="00A52897"/>
    <w:rsid w:val="00A5293B"/>
    <w:rsid w:val="00A52A98"/>
    <w:rsid w:val="00A52BF3"/>
    <w:rsid w:val="00A52D50"/>
    <w:rsid w:val="00A52EF5"/>
    <w:rsid w:val="00A53175"/>
    <w:rsid w:val="00A5319D"/>
    <w:rsid w:val="00A531A7"/>
    <w:rsid w:val="00A531DE"/>
    <w:rsid w:val="00A53317"/>
    <w:rsid w:val="00A5335D"/>
    <w:rsid w:val="00A53392"/>
    <w:rsid w:val="00A53422"/>
    <w:rsid w:val="00A5366F"/>
    <w:rsid w:val="00A536F4"/>
    <w:rsid w:val="00A53715"/>
    <w:rsid w:val="00A539A1"/>
    <w:rsid w:val="00A539AE"/>
    <w:rsid w:val="00A53B52"/>
    <w:rsid w:val="00A53C91"/>
    <w:rsid w:val="00A53E4D"/>
    <w:rsid w:val="00A54099"/>
    <w:rsid w:val="00A54151"/>
    <w:rsid w:val="00A541CF"/>
    <w:rsid w:val="00A54343"/>
    <w:rsid w:val="00A54498"/>
    <w:rsid w:val="00A544BC"/>
    <w:rsid w:val="00A54656"/>
    <w:rsid w:val="00A54672"/>
    <w:rsid w:val="00A54815"/>
    <w:rsid w:val="00A54836"/>
    <w:rsid w:val="00A54870"/>
    <w:rsid w:val="00A54A07"/>
    <w:rsid w:val="00A54C13"/>
    <w:rsid w:val="00A54CCC"/>
    <w:rsid w:val="00A54DD0"/>
    <w:rsid w:val="00A54F10"/>
    <w:rsid w:val="00A54F19"/>
    <w:rsid w:val="00A54FB3"/>
    <w:rsid w:val="00A551D4"/>
    <w:rsid w:val="00A552BC"/>
    <w:rsid w:val="00A5530C"/>
    <w:rsid w:val="00A555CD"/>
    <w:rsid w:val="00A5567F"/>
    <w:rsid w:val="00A55693"/>
    <w:rsid w:val="00A556FA"/>
    <w:rsid w:val="00A557D1"/>
    <w:rsid w:val="00A5588E"/>
    <w:rsid w:val="00A55A8F"/>
    <w:rsid w:val="00A55A9B"/>
    <w:rsid w:val="00A55BB5"/>
    <w:rsid w:val="00A55CFB"/>
    <w:rsid w:val="00A55D14"/>
    <w:rsid w:val="00A55F75"/>
    <w:rsid w:val="00A5607A"/>
    <w:rsid w:val="00A56239"/>
    <w:rsid w:val="00A56356"/>
    <w:rsid w:val="00A5639F"/>
    <w:rsid w:val="00A56410"/>
    <w:rsid w:val="00A5648C"/>
    <w:rsid w:val="00A564D5"/>
    <w:rsid w:val="00A5659D"/>
    <w:rsid w:val="00A568DA"/>
    <w:rsid w:val="00A56AD5"/>
    <w:rsid w:val="00A56D42"/>
    <w:rsid w:val="00A56DB0"/>
    <w:rsid w:val="00A56E13"/>
    <w:rsid w:val="00A56E6A"/>
    <w:rsid w:val="00A56EBF"/>
    <w:rsid w:val="00A56F5C"/>
    <w:rsid w:val="00A570BE"/>
    <w:rsid w:val="00A570C4"/>
    <w:rsid w:val="00A5715C"/>
    <w:rsid w:val="00A5718F"/>
    <w:rsid w:val="00A5736C"/>
    <w:rsid w:val="00A5748A"/>
    <w:rsid w:val="00A57670"/>
    <w:rsid w:val="00A57796"/>
    <w:rsid w:val="00A577D0"/>
    <w:rsid w:val="00A5787F"/>
    <w:rsid w:val="00A57887"/>
    <w:rsid w:val="00A57929"/>
    <w:rsid w:val="00A5793E"/>
    <w:rsid w:val="00A5798F"/>
    <w:rsid w:val="00A57A8A"/>
    <w:rsid w:val="00A57ADD"/>
    <w:rsid w:val="00A57C58"/>
    <w:rsid w:val="00A57D10"/>
    <w:rsid w:val="00A57DA5"/>
    <w:rsid w:val="00A57DA7"/>
    <w:rsid w:val="00A57FE5"/>
    <w:rsid w:val="00A60084"/>
    <w:rsid w:val="00A602F1"/>
    <w:rsid w:val="00A602F5"/>
    <w:rsid w:val="00A602FE"/>
    <w:rsid w:val="00A6033A"/>
    <w:rsid w:val="00A60375"/>
    <w:rsid w:val="00A603C3"/>
    <w:rsid w:val="00A60500"/>
    <w:rsid w:val="00A6055D"/>
    <w:rsid w:val="00A60577"/>
    <w:rsid w:val="00A60595"/>
    <w:rsid w:val="00A605A2"/>
    <w:rsid w:val="00A605BB"/>
    <w:rsid w:val="00A60697"/>
    <w:rsid w:val="00A60899"/>
    <w:rsid w:val="00A60A5E"/>
    <w:rsid w:val="00A60A7A"/>
    <w:rsid w:val="00A60AB8"/>
    <w:rsid w:val="00A60B0A"/>
    <w:rsid w:val="00A60F06"/>
    <w:rsid w:val="00A60F3C"/>
    <w:rsid w:val="00A60F95"/>
    <w:rsid w:val="00A61292"/>
    <w:rsid w:val="00A61474"/>
    <w:rsid w:val="00A6149C"/>
    <w:rsid w:val="00A614DA"/>
    <w:rsid w:val="00A6159A"/>
    <w:rsid w:val="00A615C8"/>
    <w:rsid w:val="00A6175A"/>
    <w:rsid w:val="00A6179D"/>
    <w:rsid w:val="00A617F5"/>
    <w:rsid w:val="00A61895"/>
    <w:rsid w:val="00A6189A"/>
    <w:rsid w:val="00A61908"/>
    <w:rsid w:val="00A61A05"/>
    <w:rsid w:val="00A61E7D"/>
    <w:rsid w:val="00A61EBC"/>
    <w:rsid w:val="00A61FB0"/>
    <w:rsid w:val="00A62269"/>
    <w:rsid w:val="00A624B6"/>
    <w:rsid w:val="00A625A2"/>
    <w:rsid w:val="00A627EB"/>
    <w:rsid w:val="00A62833"/>
    <w:rsid w:val="00A628B0"/>
    <w:rsid w:val="00A628C6"/>
    <w:rsid w:val="00A62A81"/>
    <w:rsid w:val="00A62AC0"/>
    <w:rsid w:val="00A62BC8"/>
    <w:rsid w:val="00A62CF0"/>
    <w:rsid w:val="00A62D95"/>
    <w:rsid w:val="00A62E59"/>
    <w:rsid w:val="00A630C1"/>
    <w:rsid w:val="00A630E4"/>
    <w:rsid w:val="00A632C9"/>
    <w:rsid w:val="00A63310"/>
    <w:rsid w:val="00A6333A"/>
    <w:rsid w:val="00A633CA"/>
    <w:rsid w:val="00A633F4"/>
    <w:rsid w:val="00A63479"/>
    <w:rsid w:val="00A6349F"/>
    <w:rsid w:val="00A634B8"/>
    <w:rsid w:val="00A6360C"/>
    <w:rsid w:val="00A636F2"/>
    <w:rsid w:val="00A63721"/>
    <w:rsid w:val="00A63A38"/>
    <w:rsid w:val="00A63B3A"/>
    <w:rsid w:val="00A63D61"/>
    <w:rsid w:val="00A64080"/>
    <w:rsid w:val="00A643C0"/>
    <w:rsid w:val="00A64523"/>
    <w:rsid w:val="00A645A3"/>
    <w:rsid w:val="00A646C3"/>
    <w:rsid w:val="00A64789"/>
    <w:rsid w:val="00A647D0"/>
    <w:rsid w:val="00A649B9"/>
    <w:rsid w:val="00A64AF0"/>
    <w:rsid w:val="00A64BC0"/>
    <w:rsid w:val="00A64C1A"/>
    <w:rsid w:val="00A64D9C"/>
    <w:rsid w:val="00A64DC8"/>
    <w:rsid w:val="00A64F12"/>
    <w:rsid w:val="00A64F7F"/>
    <w:rsid w:val="00A64FCE"/>
    <w:rsid w:val="00A6508F"/>
    <w:rsid w:val="00A650C6"/>
    <w:rsid w:val="00A65126"/>
    <w:rsid w:val="00A6512A"/>
    <w:rsid w:val="00A651CF"/>
    <w:rsid w:val="00A6528C"/>
    <w:rsid w:val="00A6539A"/>
    <w:rsid w:val="00A6556C"/>
    <w:rsid w:val="00A6557A"/>
    <w:rsid w:val="00A6559A"/>
    <w:rsid w:val="00A655B5"/>
    <w:rsid w:val="00A65605"/>
    <w:rsid w:val="00A65688"/>
    <w:rsid w:val="00A65763"/>
    <w:rsid w:val="00A65764"/>
    <w:rsid w:val="00A6578B"/>
    <w:rsid w:val="00A65803"/>
    <w:rsid w:val="00A65A3D"/>
    <w:rsid w:val="00A65CA3"/>
    <w:rsid w:val="00A65CB1"/>
    <w:rsid w:val="00A65CB8"/>
    <w:rsid w:val="00A65FDB"/>
    <w:rsid w:val="00A6605B"/>
    <w:rsid w:val="00A6606F"/>
    <w:rsid w:val="00A66214"/>
    <w:rsid w:val="00A66215"/>
    <w:rsid w:val="00A66237"/>
    <w:rsid w:val="00A66282"/>
    <w:rsid w:val="00A662E0"/>
    <w:rsid w:val="00A6631A"/>
    <w:rsid w:val="00A6658F"/>
    <w:rsid w:val="00A665FB"/>
    <w:rsid w:val="00A6666C"/>
    <w:rsid w:val="00A66754"/>
    <w:rsid w:val="00A6678B"/>
    <w:rsid w:val="00A66859"/>
    <w:rsid w:val="00A6687D"/>
    <w:rsid w:val="00A668AB"/>
    <w:rsid w:val="00A669B2"/>
    <w:rsid w:val="00A66A77"/>
    <w:rsid w:val="00A66BDA"/>
    <w:rsid w:val="00A66C09"/>
    <w:rsid w:val="00A66C43"/>
    <w:rsid w:val="00A66D6F"/>
    <w:rsid w:val="00A66E4A"/>
    <w:rsid w:val="00A66FCC"/>
    <w:rsid w:val="00A66FD2"/>
    <w:rsid w:val="00A672AD"/>
    <w:rsid w:val="00A672B6"/>
    <w:rsid w:val="00A6735F"/>
    <w:rsid w:val="00A673FA"/>
    <w:rsid w:val="00A6747D"/>
    <w:rsid w:val="00A675FD"/>
    <w:rsid w:val="00A677BC"/>
    <w:rsid w:val="00A67869"/>
    <w:rsid w:val="00A67AC2"/>
    <w:rsid w:val="00A67E19"/>
    <w:rsid w:val="00A67ED8"/>
    <w:rsid w:val="00A67FB9"/>
    <w:rsid w:val="00A70017"/>
    <w:rsid w:val="00A70065"/>
    <w:rsid w:val="00A7010E"/>
    <w:rsid w:val="00A70130"/>
    <w:rsid w:val="00A701BA"/>
    <w:rsid w:val="00A701EE"/>
    <w:rsid w:val="00A7047F"/>
    <w:rsid w:val="00A7050B"/>
    <w:rsid w:val="00A70558"/>
    <w:rsid w:val="00A70572"/>
    <w:rsid w:val="00A7060F"/>
    <w:rsid w:val="00A70699"/>
    <w:rsid w:val="00A707CC"/>
    <w:rsid w:val="00A7088E"/>
    <w:rsid w:val="00A70A97"/>
    <w:rsid w:val="00A70AC9"/>
    <w:rsid w:val="00A70B61"/>
    <w:rsid w:val="00A70DA5"/>
    <w:rsid w:val="00A70DFE"/>
    <w:rsid w:val="00A71007"/>
    <w:rsid w:val="00A71109"/>
    <w:rsid w:val="00A7119F"/>
    <w:rsid w:val="00A711F4"/>
    <w:rsid w:val="00A71235"/>
    <w:rsid w:val="00A7123F"/>
    <w:rsid w:val="00A7127F"/>
    <w:rsid w:val="00A714F5"/>
    <w:rsid w:val="00A714FD"/>
    <w:rsid w:val="00A71510"/>
    <w:rsid w:val="00A716CE"/>
    <w:rsid w:val="00A7173C"/>
    <w:rsid w:val="00A7182D"/>
    <w:rsid w:val="00A7185D"/>
    <w:rsid w:val="00A718E1"/>
    <w:rsid w:val="00A71949"/>
    <w:rsid w:val="00A719A6"/>
    <w:rsid w:val="00A719F9"/>
    <w:rsid w:val="00A71AB4"/>
    <w:rsid w:val="00A71B19"/>
    <w:rsid w:val="00A71B40"/>
    <w:rsid w:val="00A71BB4"/>
    <w:rsid w:val="00A71D48"/>
    <w:rsid w:val="00A71DDA"/>
    <w:rsid w:val="00A71F08"/>
    <w:rsid w:val="00A72018"/>
    <w:rsid w:val="00A720BA"/>
    <w:rsid w:val="00A72270"/>
    <w:rsid w:val="00A723DF"/>
    <w:rsid w:val="00A7245C"/>
    <w:rsid w:val="00A724D9"/>
    <w:rsid w:val="00A72509"/>
    <w:rsid w:val="00A725DC"/>
    <w:rsid w:val="00A72749"/>
    <w:rsid w:val="00A72751"/>
    <w:rsid w:val="00A7281F"/>
    <w:rsid w:val="00A72834"/>
    <w:rsid w:val="00A728D9"/>
    <w:rsid w:val="00A72929"/>
    <w:rsid w:val="00A72A99"/>
    <w:rsid w:val="00A72B96"/>
    <w:rsid w:val="00A72EFA"/>
    <w:rsid w:val="00A72F03"/>
    <w:rsid w:val="00A72F25"/>
    <w:rsid w:val="00A72FCA"/>
    <w:rsid w:val="00A731AB"/>
    <w:rsid w:val="00A732AE"/>
    <w:rsid w:val="00A734C4"/>
    <w:rsid w:val="00A73764"/>
    <w:rsid w:val="00A737BF"/>
    <w:rsid w:val="00A737E8"/>
    <w:rsid w:val="00A7396A"/>
    <w:rsid w:val="00A73B00"/>
    <w:rsid w:val="00A73C54"/>
    <w:rsid w:val="00A73C84"/>
    <w:rsid w:val="00A73C8C"/>
    <w:rsid w:val="00A73CCE"/>
    <w:rsid w:val="00A73D90"/>
    <w:rsid w:val="00A73FAC"/>
    <w:rsid w:val="00A7413F"/>
    <w:rsid w:val="00A741EF"/>
    <w:rsid w:val="00A7448E"/>
    <w:rsid w:val="00A74897"/>
    <w:rsid w:val="00A7489B"/>
    <w:rsid w:val="00A748A1"/>
    <w:rsid w:val="00A74ACB"/>
    <w:rsid w:val="00A74BAF"/>
    <w:rsid w:val="00A74DCC"/>
    <w:rsid w:val="00A74F18"/>
    <w:rsid w:val="00A74F2D"/>
    <w:rsid w:val="00A75007"/>
    <w:rsid w:val="00A750E3"/>
    <w:rsid w:val="00A750E6"/>
    <w:rsid w:val="00A7513B"/>
    <w:rsid w:val="00A751C3"/>
    <w:rsid w:val="00A751FF"/>
    <w:rsid w:val="00A7522B"/>
    <w:rsid w:val="00A7529E"/>
    <w:rsid w:val="00A75505"/>
    <w:rsid w:val="00A755DF"/>
    <w:rsid w:val="00A7573B"/>
    <w:rsid w:val="00A75768"/>
    <w:rsid w:val="00A757F0"/>
    <w:rsid w:val="00A75896"/>
    <w:rsid w:val="00A7597F"/>
    <w:rsid w:val="00A75B34"/>
    <w:rsid w:val="00A75B63"/>
    <w:rsid w:val="00A75BBE"/>
    <w:rsid w:val="00A75C8C"/>
    <w:rsid w:val="00A75D0D"/>
    <w:rsid w:val="00A75D85"/>
    <w:rsid w:val="00A760E4"/>
    <w:rsid w:val="00A761AF"/>
    <w:rsid w:val="00A76326"/>
    <w:rsid w:val="00A76348"/>
    <w:rsid w:val="00A7648D"/>
    <w:rsid w:val="00A76498"/>
    <w:rsid w:val="00A7649A"/>
    <w:rsid w:val="00A7649E"/>
    <w:rsid w:val="00A7655C"/>
    <w:rsid w:val="00A7660E"/>
    <w:rsid w:val="00A7664E"/>
    <w:rsid w:val="00A76872"/>
    <w:rsid w:val="00A768B0"/>
    <w:rsid w:val="00A76B72"/>
    <w:rsid w:val="00A76B79"/>
    <w:rsid w:val="00A76B9D"/>
    <w:rsid w:val="00A76CE5"/>
    <w:rsid w:val="00A76E16"/>
    <w:rsid w:val="00A76F5D"/>
    <w:rsid w:val="00A776F6"/>
    <w:rsid w:val="00A777CB"/>
    <w:rsid w:val="00A779F2"/>
    <w:rsid w:val="00A77B50"/>
    <w:rsid w:val="00A77C0C"/>
    <w:rsid w:val="00A77ED0"/>
    <w:rsid w:val="00A77F16"/>
    <w:rsid w:val="00A8001D"/>
    <w:rsid w:val="00A8003F"/>
    <w:rsid w:val="00A80079"/>
    <w:rsid w:val="00A800D3"/>
    <w:rsid w:val="00A802E0"/>
    <w:rsid w:val="00A8032D"/>
    <w:rsid w:val="00A80400"/>
    <w:rsid w:val="00A80446"/>
    <w:rsid w:val="00A80477"/>
    <w:rsid w:val="00A8049C"/>
    <w:rsid w:val="00A80550"/>
    <w:rsid w:val="00A80617"/>
    <w:rsid w:val="00A80655"/>
    <w:rsid w:val="00A8065C"/>
    <w:rsid w:val="00A80736"/>
    <w:rsid w:val="00A80799"/>
    <w:rsid w:val="00A8081D"/>
    <w:rsid w:val="00A808DA"/>
    <w:rsid w:val="00A809B8"/>
    <w:rsid w:val="00A80B74"/>
    <w:rsid w:val="00A80C6C"/>
    <w:rsid w:val="00A80D18"/>
    <w:rsid w:val="00A80DF4"/>
    <w:rsid w:val="00A80E2C"/>
    <w:rsid w:val="00A80E87"/>
    <w:rsid w:val="00A80FBE"/>
    <w:rsid w:val="00A81008"/>
    <w:rsid w:val="00A81033"/>
    <w:rsid w:val="00A81120"/>
    <w:rsid w:val="00A81386"/>
    <w:rsid w:val="00A81492"/>
    <w:rsid w:val="00A8156C"/>
    <w:rsid w:val="00A815E8"/>
    <w:rsid w:val="00A81895"/>
    <w:rsid w:val="00A819A3"/>
    <w:rsid w:val="00A81A27"/>
    <w:rsid w:val="00A81A6E"/>
    <w:rsid w:val="00A81B2E"/>
    <w:rsid w:val="00A81BE9"/>
    <w:rsid w:val="00A81D09"/>
    <w:rsid w:val="00A81E1F"/>
    <w:rsid w:val="00A81E52"/>
    <w:rsid w:val="00A81E96"/>
    <w:rsid w:val="00A81F37"/>
    <w:rsid w:val="00A81F45"/>
    <w:rsid w:val="00A8203B"/>
    <w:rsid w:val="00A82089"/>
    <w:rsid w:val="00A821B3"/>
    <w:rsid w:val="00A821C3"/>
    <w:rsid w:val="00A82233"/>
    <w:rsid w:val="00A82472"/>
    <w:rsid w:val="00A826A6"/>
    <w:rsid w:val="00A8273D"/>
    <w:rsid w:val="00A82896"/>
    <w:rsid w:val="00A829C6"/>
    <w:rsid w:val="00A82A3F"/>
    <w:rsid w:val="00A82A82"/>
    <w:rsid w:val="00A82B12"/>
    <w:rsid w:val="00A82B45"/>
    <w:rsid w:val="00A82D27"/>
    <w:rsid w:val="00A82D78"/>
    <w:rsid w:val="00A82E72"/>
    <w:rsid w:val="00A82EC7"/>
    <w:rsid w:val="00A83028"/>
    <w:rsid w:val="00A8305E"/>
    <w:rsid w:val="00A830A7"/>
    <w:rsid w:val="00A831F1"/>
    <w:rsid w:val="00A83201"/>
    <w:rsid w:val="00A832D4"/>
    <w:rsid w:val="00A832F3"/>
    <w:rsid w:val="00A8330E"/>
    <w:rsid w:val="00A833F5"/>
    <w:rsid w:val="00A837C3"/>
    <w:rsid w:val="00A83814"/>
    <w:rsid w:val="00A839F3"/>
    <w:rsid w:val="00A83A3D"/>
    <w:rsid w:val="00A83B84"/>
    <w:rsid w:val="00A83BB1"/>
    <w:rsid w:val="00A83D5E"/>
    <w:rsid w:val="00A83DE2"/>
    <w:rsid w:val="00A83E59"/>
    <w:rsid w:val="00A83F6E"/>
    <w:rsid w:val="00A840A9"/>
    <w:rsid w:val="00A84229"/>
    <w:rsid w:val="00A844BB"/>
    <w:rsid w:val="00A84620"/>
    <w:rsid w:val="00A8466C"/>
    <w:rsid w:val="00A84682"/>
    <w:rsid w:val="00A846A2"/>
    <w:rsid w:val="00A846EA"/>
    <w:rsid w:val="00A846EB"/>
    <w:rsid w:val="00A84817"/>
    <w:rsid w:val="00A8488E"/>
    <w:rsid w:val="00A84C09"/>
    <w:rsid w:val="00A84D11"/>
    <w:rsid w:val="00A84D75"/>
    <w:rsid w:val="00A84E51"/>
    <w:rsid w:val="00A84EA0"/>
    <w:rsid w:val="00A84EDC"/>
    <w:rsid w:val="00A84F32"/>
    <w:rsid w:val="00A85022"/>
    <w:rsid w:val="00A85147"/>
    <w:rsid w:val="00A85179"/>
    <w:rsid w:val="00A851C3"/>
    <w:rsid w:val="00A85242"/>
    <w:rsid w:val="00A853C9"/>
    <w:rsid w:val="00A85450"/>
    <w:rsid w:val="00A8549F"/>
    <w:rsid w:val="00A854BD"/>
    <w:rsid w:val="00A854F7"/>
    <w:rsid w:val="00A8551A"/>
    <w:rsid w:val="00A8562E"/>
    <w:rsid w:val="00A85663"/>
    <w:rsid w:val="00A857CE"/>
    <w:rsid w:val="00A857D5"/>
    <w:rsid w:val="00A857D6"/>
    <w:rsid w:val="00A85859"/>
    <w:rsid w:val="00A8593C"/>
    <w:rsid w:val="00A85B38"/>
    <w:rsid w:val="00A85C3F"/>
    <w:rsid w:val="00A85C57"/>
    <w:rsid w:val="00A85D1D"/>
    <w:rsid w:val="00A85F15"/>
    <w:rsid w:val="00A85F44"/>
    <w:rsid w:val="00A85FBB"/>
    <w:rsid w:val="00A86033"/>
    <w:rsid w:val="00A86083"/>
    <w:rsid w:val="00A86386"/>
    <w:rsid w:val="00A86569"/>
    <w:rsid w:val="00A867C0"/>
    <w:rsid w:val="00A867C5"/>
    <w:rsid w:val="00A86866"/>
    <w:rsid w:val="00A86A79"/>
    <w:rsid w:val="00A86ADC"/>
    <w:rsid w:val="00A86B1E"/>
    <w:rsid w:val="00A86B34"/>
    <w:rsid w:val="00A86BE4"/>
    <w:rsid w:val="00A86E84"/>
    <w:rsid w:val="00A870AA"/>
    <w:rsid w:val="00A87289"/>
    <w:rsid w:val="00A874D7"/>
    <w:rsid w:val="00A876CD"/>
    <w:rsid w:val="00A8771F"/>
    <w:rsid w:val="00A877CF"/>
    <w:rsid w:val="00A87914"/>
    <w:rsid w:val="00A87954"/>
    <w:rsid w:val="00A87B08"/>
    <w:rsid w:val="00A87B0F"/>
    <w:rsid w:val="00A87BDD"/>
    <w:rsid w:val="00A87E0F"/>
    <w:rsid w:val="00A87E15"/>
    <w:rsid w:val="00A9001D"/>
    <w:rsid w:val="00A900BB"/>
    <w:rsid w:val="00A900BE"/>
    <w:rsid w:val="00A90224"/>
    <w:rsid w:val="00A902A1"/>
    <w:rsid w:val="00A903A4"/>
    <w:rsid w:val="00A90446"/>
    <w:rsid w:val="00A90565"/>
    <w:rsid w:val="00A90641"/>
    <w:rsid w:val="00A906FF"/>
    <w:rsid w:val="00A908B5"/>
    <w:rsid w:val="00A90A97"/>
    <w:rsid w:val="00A90AD4"/>
    <w:rsid w:val="00A90B4F"/>
    <w:rsid w:val="00A90D3B"/>
    <w:rsid w:val="00A90DC5"/>
    <w:rsid w:val="00A90E68"/>
    <w:rsid w:val="00A90EC4"/>
    <w:rsid w:val="00A910BB"/>
    <w:rsid w:val="00A91322"/>
    <w:rsid w:val="00A91359"/>
    <w:rsid w:val="00A913F0"/>
    <w:rsid w:val="00A9148B"/>
    <w:rsid w:val="00A915B6"/>
    <w:rsid w:val="00A915F6"/>
    <w:rsid w:val="00A916AC"/>
    <w:rsid w:val="00A9174B"/>
    <w:rsid w:val="00A917A8"/>
    <w:rsid w:val="00A918AC"/>
    <w:rsid w:val="00A9193E"/>
    <w:rsid w:val="00A9198E"/>
    <w:rsid w:val="00A919B3"/>
    <w:rsid w:val="00A91C45"/>
    <w:rsid w:val="00A91CB6"/>
    <w:rsid w:val="00A91FD3"/>
    <w:rsid w:val="00A92007"/>
    <w:rsid w:val="00A9200E"/>
    <w:rsid w:val="00A92013"/>
    <w:rsid w:val="00A9215A"/>
    <w:rsid w:val="00A9216C"/>
    <w:rsid w:val="00A92176"/>
    <w:rsid w:val="00A92401"/>
    <w:rsid w:val="00A924B4"/>
    <w:rsid w:val="00A92540"/>
    <w:rsid w:val="00A925E3"/>
    <w:rsid w:val="00A926C2"/>
    <w:rsid w:val="00A926FA"/>
    <w:rsid w:val="00A9278D"/>
    <w:rsid w:val="00A927A8"/>
    <w:rsid w:val="00A927D1"/>
    <w:rsid w:val="00A927FA"/>
    <w:rsid w:val="00A9291D"/>
    <w:rsid w:val="00A92962"/>
    <w:rsid w:val="00A929E8"/>
    <w:rsid w:val="00A92AAE"/>
    <w:rsid w:val="00A92C72"/>
    <w:rsid w:val="00A92C8C"/>
    <w:rsid w:val="00A92CA6"/>
    <w:rsid w:val="00A92CD0"/>
    <w:rsid w:val="00A92E37"/>
    <w:rsid w:val="00A9301C"/>
    <w:rsid w:val="00A930A6"/>
    <w:rsid w:val="00A93131"/>
    <w:rsid w:val="00A9315B"/>
    <w:rsid w:val="00A932E1"/>
    <w:rsid w:val="00A93328"/>
    <w:rsid w:val="00A9334F"/>
    <w:rsid w:val="00A936A1"/>
    <w:rsid w:val="00A936C8"/>
    <w:rsid w:val="00A9373A"/>
    <w:rsid w:val="00A937BA"/>
    <w:rsid w:val="00A937E8"/>
    <w:rsid w:val="00A938A9"/>
    <w:rsid w:val="00A93B72"/>
    <w:rsid w:val="00A93BDF"/>
    <w:rsid w:val="00A93D24"/>
    <w:rsid w:val="00A93F4E"/>
    <w:rsid w:val="00A940FC"/>
    <w:rsid w:val="00A94210"/>
    <w:rsid w:val="00A9426E"/>
    <w:rsid w:val="00A942C0"/>
    <w:rsid w:val="00A942D3"/>
    <w:rsid w:val="00A945A2"/>
    <w:rsid w:val="00A94652"/>
    <w:rsid w:val="00A9465A"/>
    <w:rsid w:val="00A948D3"/>
    <w:rsid w:val="00A948F4"/>
    <w:rsid w:val="00A94916"/>
    <w:rsid w:val="00A949BD"/>
    <w:rsid w:val="00A949EB"/>
    <w:rsid w:val="00A94A0F"/>
    <w:rsid w:val="00A94B04"/>
    <w:rsid w:val="00A94C34"/>
    <w:rsid w:val="00A94CA7"/>
    <w:rsid w:val="00A94CCE"/>
    <w:rsid w:val="00A94D5E"/>
    <w:rsid w:val="00A94DBD"/>
    <w:rsid w:val="00A94E6C"/>
    <w:rsid w:val="00A94E77"/>
    <w:rsid w:val="00A950DC"/>
    <w:rsid w:val="00A951E2"/>
    <w:rsid w:val="00A957A8"/>
    <w:rsid w:val="00A958B2"/>
    <w:rsid w:val="00A959D1"/>
    <w:rsid w:val="00A959E6"/>
    <w:rsid w:val="00A95A33"/>
    <w:rsid w:val="00A95A59"/>
    <w:rsid w:val="00A95A66"/>
    <w:rsid w:val="00A95CC4"/>
    <w:rsid w:val="00A95D48"/>
    <w:rsid w:val="00A95ED0"/>
    <w:rsid w:val="00A9603F"/>
    <w:rsid w:val="00A96051"/>
    <w:rsid w:val="00A960E1"/>
    <w:rsid w:val="00A9612C"/>
    <w:rsid w:val="00A9615C"/>
    <w:rsid w:val="00A9620B"/>
    <w:rsid w:val="00A962B4"/>
    <w:rsid w:val="00A962FB"/>
    <w:rsid w:val="00A96368"/>
    <w:rsid w:val="00A964DA"/>
    <w:rsid w:val="00A96647"/>
    <w:rsid w:val="00A966FD"/>
    <w:rsid w:val="00A96929"/>
    <w:rsid w:val="00A96A97"/>
    <w:rsid w:val="00A96ADA"/>
    <w:rsid w:val="00A96CEC"/>
    <w:rsid w:val="00A971A2"/>
    <w:rsid w:val="00A9720A"/>
    <w:rsid w:val="00A972EC"/>
    <w:rsid w:val="00A972F0"/>
    <w:rsid w:val="00A972FE"/>
    <w:rsid w:val="00A973A8"/>
    <w:rsid w:val="00A97468"/>
    <w:rsid w:val="00A975BB"/>
    <w:rsid w:val="00A97722"/>
    <w:rsid w:val="00A978A7"/>
    <w:rsid w:val="00A9797E"/>
    <w:rsid w:val="00A9799E"/>
    <w:rsid w:val="00A97C37"/>
    <w:rsid w:val="00A97CAA"/>
    <w:rsid w:val="00A97D99"/>
    <w:rsid w:val="00A97DF2"/>
    <w:rsid w:val="00A97EC7"/>
    <w:rsid w:val="00A97FB2"/>
    <w:rsid w:val="00AA004C"/>
    <w:rsid w:val="00AA0082"/>
    <w:rsid w:val="00AA0156"/>
    <w:rsid w:val="00AA019F"/>
    <w:rsid w:val="00AA022E"/>
    <w:rsid w:val="00AA02E3"/>
    <w:rsid w:val="00AA0401"/>
    <w:rsid w:val="00AA05BD"/>
    <w:rsid w:val="00AA05E0"/>
    <w:rsid w:val="00AA0704"/>
    <w:rsid w:val="00AA0715"/>
    <w:rsid w:val="00AA0788"/>
    <w:rsid w:val="00AA095C"/>
    <w:rsid w:val="00AA09C2"/>
    <w:rsid w:val="00AA0A5B"/>
    <w:rsid w:val="00AA0A66"/>
    <w:rsid w:val="00AA0C0C"/>
    <w:rsid w:val="00AA0C10"/>
    <w:rsid w:val="00AA1143"/>
    <w:rsid w:val="00AA11A4"/>
    <w:rsid w:val="00AA126A"/>
    <w:rsid w:val="00AA1277"/>
    <w:rsid w:val="00AA13A1"/>
    <w:rsid w:val="00AA144F"/>
    <w:rsid w:val="00AA1493"/>
    <w:rsid w:val="00AA14D3"/>
    <w:rsid w:val="00AA15B8"/>
    <w:rsid w:val="00AA1625"/>
    <w:rsid w:val="00AA1671"/>
    <w:rsid w:val="00AA17C9"/>
    <w:rsid w:val="00AA187C"/>
    <w:rsid w:val="00AA1A2D"/>
    <w:rsid w:val="00AA1B04"/>
    <w:rsid w:val="00AA1BCE"/>
    <w:rsid w:val="00AA1D35"/>
    <w:rsid w:val="00AA1DE7"/>
    <w:rsid w:val="00AA1E36"/>
    <w:rsid w:val="00AA1F4E"/>
    <w:rsid w:val="00AA221F"/>
    <w:rsid w:val="00AA2275"/>
    <w:rsid w:val="00AA23ED"/>
    <w:rsid w:val="00AA2578"/>
    <w:rsid w:val="00AA25D2"/>
    <w:rsid w:val="00AA27A3"/>
    <w:rsid w:val="00AA2875"/>
    <w:rsid w:val="00AA2942"/>
    <w:rsid w:val="00AA2ADF"/>
    <w:rsid w:val="00AA2B21"/>
    <w:rsid w:val="00AA2B80"/>
    <w:rsid w:val="00AA2C1F"/>
    <w:rsid w:val="00AA2CC6"/>
    <w:rsid w:val="00AA2CEF"/>
    <w:rsid w:val="00AA2E4B"/>
    <w:rsid w:val="00AA2EA4"/>
    <w:rsid w:val="00AA2FA6"/>
    <w:rsid w:val="00AA302C"/>
    <w:rsid w:val="00AA322A"/>
    <w:rsid w:val="00AA3247"/>
    <w:rsid w:val="00AA34F4"/>
    <w:rsid w:val="00AA3511"/>
    <w:rsid w:val="00AA356D"/>
    <w:rsid w:val="00AA36F6"/>
    <w:rsid w:val="00AA388C"/>
    <w:rsid w:val="00AA3943"/>
    <w:rsid w:val="00AA3982"/>
    <w:rsid w:val="00AA3A3B"/>
    <w:rsid w:val="00AA3DDA"/>
    <w:rsid w:val="00AA3ED0"/>
    <w:rsid w:val="00AA3FD1"/>
    <w:rsid w:val="00AA4096"/>
    <w:rsid w:val="00AA4181"/>
    <w:rsid w:val="00AA41DC"/>
    <w:rsid w:val="00AA43EF"/>
    <w:rsid w:val="00AA445F"/>
    <w:rsid w:val="00AA44E9"/>
    <w:rsid w:val="00AA452F"/>
    <w:rsid w:val="00AA4658"/>
    <w:rsid w:val="00AA467B"/>
    <w:rsid w:val="00AA4791"/>
    <w:rsid w:val="00AA47C0"/>
    <w:rsid w:val="00AA492C"/>
    <w:rsid w:val="00AA49E7"/>
    <w:rsid w:val="00AA4A6F"/>
    <w:rsid w:val="00AA4B0D"/>
    <w:rsid w:val="00AA4C1F"/>
    <w:rsid w:val="00AA4C4A"/>
    <w:rsid w:val="00AA4D16"/>
    <w:rsid w:val="00AA4D25"/>
    <w:rsid w:val="00AA4DC0"/>
    <w:rsid w:val="00AA4F8B"/>
    <w:rsid w:val="00AA5018"/>
    <w:rsid w:val="00AA5100"/>
    <w:rsid w:val="00AA5104"/>
    <w:rsid w:val="00AA5114"/>
    <w:rsid w:val="00AA511F"/>
    <w:rsid w:val="00AA51A8"/>
    <w:rsid w:val="00AA51AD"/>
    <w:rsid w:val="00AA5248"/>
    <w:rsid w:val="00AA5282"/>
    <w:rsid w:val="00AA5326"/>
    <w:rsid w:val="00AA535B"/>
    <w:rsid w:val="00AA53D8"/>
    <w:rsid w:val="00AA543A"/>
    <w:rsid w:val="00AA5740"/>
    <w:rsid w:val="00AA5824"/>
    <w:rsid w:val="00AA5827"/>
    <w:rsid w:val="00AA59EF"/>
    <w:rsid w:val="00AA5BA8"/>
    <w:rsid w:val="00AA5C6B"/>
    <w:rsid w:val="00AA5CEF"/>
    <w:rsid w:val="00AA5E19"/>
    <w:rsid w:val="00AA5EF4"/>
    <w:rsid w:val="00AA5F07"/>
    <w:rsid w:val="00AA5F3D"/>
    <w:rsid w:val="00AA5F9D"/>
    <w:rsid w:val="00AA5F9F"/>
    <w:rsid w:val="00AA6001"/>
    <w:rsid w:val="00AA606A"/>
    <w:rsid w:val="00AA614E"/>
    <w:rsid w:val="00AA64C9"/>
    <w:rsid w:val="00AA6656"/>
    <w:rsid w:val="00AA674D"/>
    <w:rsid w:val="00AA6A72"/>
    <w:rsid w:val="00AA6B79"/>
    <w:rsid w:val="00AA6BCF"/>
    <w:rsid w:val="00AA6C57"/>
    <w:rsid w:val="00AA6C91"/>
    <w:rsid w:val="00AA6D6D"/>
    <w:rsid w:val="00AA6DBC"/>
    <w:rsid w:val="00AA6E3D"/>
    <w:rsid w:val="00AA7004"/>
    <w:rsid w:val="00AA704E"/>
    <w:rsid w:val="00AA7160"/>
    <w:rsid w:val="00AA7298"/>
    <w:rsid w:val="00AA7357"/>
    <w:rsid w:val="00AA7358"/>
    <w:rsid w:val="00AA737B"/>
    <w:rsid w:val="00AA73AE"/>
    <w:rsid w:val="00AA73C0"/>
    <w:rsid w:val="00AA73E9"/>
    <w:rsid w:val="00AA74B6"/>
    <w:rsid w:val="00AA74CC"/>
    <w:rsid w:val="00AA766E"/>
    <w:rsid w:val="00AA76A7"/>
    <w:rsid w:val="00AA77A0"/>
    <w:rsid w:val="00AA77B5"/>
    <w:rsid w:val="00AA77CF"/>
    <w:rsid w:val="00AA78EC"/>
    <w:rsid w:val="00AA792F"/>
    <w:rsid w:val="00AA7978"/>
    <w:rsid w:val="00AA79C4"/>
    <w:rsid w:val="00AA7A6A"/>
    <w:rsid w:val="00AA7C95"/>
    <w:rsid w:val="00AA7D22"/>
    <w:rsid w:val="00AA7E6C"/>
    <w:rsid w:val="00AA7F45"/>
    <w:rsid w:val="00AA7F97"/>
    <w:rsid w:val="00AB0188"/>
    <w:rsid w:val="00AB0207"/>
    <w:rsid w:val="00AB02C5"/>
    <w:rsid w:val="00AB0386"/>
    <w:rsid w:val="00AB03F7"/>
    <w:rsid w:val="00AB0528"/>
    <w:rsid w:val="00AB05A2"/>
    <w:rsid w:val="00AB06E4"/>
    <w:rsid w:val="00AB07E0"/>
    <w:rsid w:val="00AB0810"/>
    <w:rsid w:val="00AB0832"/>
    <w:rsid w:val="00AB09C3"/>
    <w:rsid w:val="00AB0AA5"/>
    <w:rsid w:val="00AB0AEC"/>
    <w:rsid w:val="00AB0B2E"/>
    <w:rsid w:val="00AB0B77"/>
    <w:rsid w:val="00AB0B80"/>
    <w:rsid w:val="00AB0CF6"/>
    <w:rsid w:val="00AB0D2B"/>
    <w:rsid w:val="00AB0EF8"/>
    <w:rsid w:val="00AB0FCB"/>
    <w:rsid w:val="00AB13A7"/>
    <w:rsid w:val="00AB1413"/>
    <w:rsid w:val="00AB166C"/>
    <w:rsid w:val="00AB172A"/>
    <w:rsid w:val="00AB1771"/>
    <w:rsid w:val="00AB194C"/>
    <w:rsid w:val="00AB197D"/>
    <w:rsid w:val="00AB1B02"/>
    <w:rsid w:val="00AB1B30"/>
    <w:rsid w:val="00AB1B5E"/>
    <w:rsid w:val="00AB1B99"/>
    <w:rsid w:val="00AB1BFB"/>
    <w:rsid w:val="00AB1D13"/>
    <w:rsid w:val="00AB1D64"/>
    <w:rsid w:val="00AB1E9D"/>
    <w:rsid w:val="00AB1EB2"/>
    <w:rsid w:val="00AB1F06"/>
    <w:rsid w:val="00AB1F6A"/>
    <w:rsid w:val="00AB211D"/>
    <w:rsid w:val="00AB2179"/>
    <w:rsid w:val="00AB21A5"/>
    <w:rsid w:val="00AB21AB"/>
    <w:rsid w:val="00AB2260"/>
    <w:rsid w:val="00AB22D7"/>
    <w:rsid w:val="00AB22F3"/>
    <w:rsid w:val="00AB2503"/>
    <w:rsid w:val="00AB25E6"/>
    <w:rsid w:val="00AB2681"/>
    <w:rsid w:val="00AB26A5"/>
    <w:rsid w:val="00AB26C2"/>
    <w:rsid w:val="00AB276C"/>
    <w:rsid w:val="00AB2890"/>
    <w:rsid w:val="00AB2959"/>
    <w:rsid w:val="00AB29A9"/>
    <w:rsid w:val="00AB29B4"/>
    <w:rsid w:val="00AB2B88"/>
    <w:rsid w:val="00AB2BC8"/>
    <w:rsid w:val="00AB2CA5"/>
    <w:rsid w:val="00AB2D32"/>
    <w:rsid w:val="00AB2D42"/>
    <w:rsid w:val="00AB2F10"/>
    <w:rsid w:val="00AB3025"/>
    <w:rsid w:val="00AB3110"/>
    <w:rsid w:val="00AB332B"/>
    <w:rsid w:val="00AB3342"/>
    <w:rsid w:val="00AB334C"/>
    <w:rsid w:val="00AB33CA"/>
    <w:rsid w:val="00AB3538"/>
    <w:rsid w:val="00AB3607"/>
    <w:rsid w:val="00AB37A5"/>
    <w:rsid w:val="00AB3893"/>
    <w:rsid w:val="00AB38AA"/>
    <w:rsid w:val="00AB39DD"/>
    <w:rsid w:val="00AB3A10"/>
    <w:rsid w:val="00AB3BCF"/>
    <w:rsid w:val="00AB3BF5"/>
    <w:rsid w:val="00AB3C79"/>
    <w:rsid w:val="00AB3CAA"/>
    <w:rsid w:val="00AB3D8A"/>
    <w:rsid w:val="00AB408B"/>
    <w:rsid w:val="00AB40A1"/>
    <w:rsid w:val="00AB4238"/>
    <w:rsid w:val="00AB435B"/>
    <w:rsid w:val="00AB43E8"/>
    <w:rsid w:val="00AB4416"/>
    <w:rsid w:val="00AB44C5"/>
    <w:rsid w:val="00AB467E"/>
    <w:rsid w:val="00AB47D1"/>
    <w:rsid w:val="00AB48B9"/>
    <w:rsid w:val="00AB4C16"/>
    <w:rsid w:val="00AB4C18"/>
    <w:rsid w:val="00AB4C1C"/>
    <w:rsid w:val="00AB4C98"/>
    <w:rsid w:val="00AB4D1C"/>
    <w:rsid w:val="00AB5163"/>
    <w:rsid w:val="00AB51A2"/>
    <w:rsid w:val="00AB5231"/>
    <w:rsid w:val="00AB54FD"/>
    <w:rsid w:val="00AB5526"/>
    <w:rsid w:val="00AB553B"/>
    <w:rsid w:val="00AB5654"/>
    <w:rsid w:val="00AB56C9"/>
    <w:rsid w:val="00AB574F"/>
    <w:rsid w:val="00AB593E"/>
    <w:rsid w:val="00AB594D"/>
    <w:rsid w:val="00AB596C"/>
    <w:rsid w:val="00AB5984"/>
    <w:rsid w:val="00AB59BC"/>
    <w:rsid w:val="00AB5C2B"/>
    <w:rsid w:val="00AB5CAE"/>
    <w:rsid w:val="00AB5F33"/>
    <w:rsid w:val="00AB5F55"/>
    <w:rsid w:val="00AB5F72"/>
    <w:rsid w:val="00AB6265"/>
    <w:rsid w:val="00AB62A2"/>
    <w:rsid w:val="00AB62A7"/>
    <w:rsid w:val="00AB62B3"/>
    <w:rsid w:val="00AB62E3"/>
    <w:rsid w:val="00AB633F"/>
    <w:rsid w:val="00AB637D"/>
    <w:rsid w:val="00AB6481"/>
    <w:rsid w:val="00AB6514"/>
    <w:rsid w:val="00AB653D"/>
    <w:rsid w:val="00AB66D2"/>
    <w:rsid w:val="00AB672D"/>
    <w:rsid w:val="00AB676E"/>
    <w:rsid w:val="00AB68A3"/>
    <w:rsid w:val="00AB68D2"/>
    <w:rsid w:val="00AB696C"/>
    <w:rsid w:val="00AB6B7D"/>
    <w:rsid w:val="00AB6B8C"/>
    <w:rsid w:val="00AB6BA3"/>
    <w:rsid w:val="00AB6BAC"/>
    <w:rsid w:val="00AB6BC9"/>
    <w:rsid w:val="00AB6C4A"/>
    <w:rsid w:val="00AB6DC0"/>
    <w:rsid w:val="00AB6F75"/>
    <w:rsid w:val="00AB6FC7"/>
    <w:rsid w:val="00AB7075"/>
    <w:rsid w:val="00AB7096"/>
    <w:rsid w:val="00AB70B4"/>
    <w:rsid w:val="00AB70DF"/>
    <w:rsid w:val="00AB7287"/>
    <w:rsid w:val="00AB72AB"/>
    <w:rsid w:val="00AB7366"/>
    <w:rsid w:val="00AB7416"/>
    <w:rsid w:val="00AB7489"/>
    <w:rsid w:val="00AB74F6"/>
    <w:rsid w:val="00AB7543"/>
    <w:rsid w:val="00AB768F"/>
    <w:rsid w:val="00AB769E"/>
    <w:rsid w:val="00AB777D"/>
    <w:rsid w:val="00AB77A4"/>
    <w:rsid w:val="00AB7A6E"/>
    <w:rsid w:val="00AB7A87"/>
    <w:rsid w:val="00AB7C7B"/>
    <w:rsid w:val="00AB7F65"/>
    <w:rsid w:val="00AB7FB6"/>
    <w:rsid w:val="00AC0023"/>
    <w:rsid w:val="00AC01D2"/>
    <w:rsid w:val="00AC0332"/>
    <w:rsid w:val="00AC04C4"/>
    <w:rsid w:val="00AC05E6"/>
    <w:rsid w:val="00AC05F2"/>
    <w:rsid w:val="00AC06F9"/>
    <w:rsid w:val="00AC0831"/>
    <w:rsid w:val="00AC0924"/>
    <w:rsid w:val="00AC0A62"/>
    <w:rsid w:val="00AC0C0E"/>
    <w:rsid w:val="00AC0C37"/>
    <w:rsid w:val="00AC0CC8"/>
    <w:rsid w:val="00AC0DEB"/>
    <w:rsid w:val="00AC0E0D"/>
    <w:rsid w:val="00AC0E4C"/>
    <w:rsid w:val="00AC0F4B"/>
    <w:rsid w:val="00AC106C"/>
    <w:rsid w:val="00AC10FF"/>
    <w:rsid w:val="00AC1109"/>
    <w:rsid w:val="00AC1197"/>
    <w:rsid w:val="00AC123D"/>
    <w:rsid w:val="00AC1278"/>
    <w:rsid w:val="00AC135C"/>
    <w:rsid w:val="00AC1362"/>
    <w:rsid w:val="00AC13DD"/>
    <w:rsid w:val="00AC1559"/>
    <w:rsid w:val="00AC164F"/>
    <w:rsid w:val="00AC199B"/>
    <w:rsid w:val="00AC19F1"/>
    <w:rsid w:val="00AC1AD5"/>
    <w:rsid w:val="00AC1B68"/>
    <w:rsid w:val="00AC1B82"/>
    <w:rsid w:val="00AC1B88"/>
    <w:rsid w:val="00AC1B9B"/>
    <w:rsid w:val="00AC1C85"/>
    <w:rsid w:val="00AC1D20"/>
    <w:rsid w:val="00AC1D6C"/>
    <w:rsid w:val="00AC1EF9"/>
    <w:rsid w:val="00AC22DF"/>
    <w:rsid w:val="00AC2432"/>
    <w:rsid w:val="00AC2452"/>
    <w:rsid w:val="00AC2455"/>
    <w:rsid w:val="00AC25C0"/>
    <w:rsid w:val="00AC25ED"/>
    <w:rsid w:val="00AC269C"/>
    <w:rsid w:val="00AC2720"/>
    <w:rsid w:val="00AC2757"/>
    <w:rsid w:val="00AC278D"/>
    <w:rsid w:val="00AC28B2"/>
    <w:rsid w:val="00AC29AC"/>
    <w:rsid w:val="00AC2ADE"/>
    <w:rsid w:val="00AC2B10"/>
    <w:rsid w:val="00AC2B6D"/>
    <w:rsid w:val="00AC2BBF"/>
    <w:rsid w:val="00AC2C09"/>
    <w:rsid w:val="00AC2D18"/>
    <w:rsid w:val="00AC2D4B"/>
    <w:rsid w:val="00AC2E0B"/>
    <w:rsid w:val="00AC2E2E"/>
    <w:rsid w:val="00AC302F"/>
    <w:rsid w:val="00AC32A4"/>
    <w:rsid w:val="00AC34F8"/>
    <w:rsid w:val="00AC35DB"/>
    <w:rsid w:val="00AC376F"/>
    <w:rsid w:val="00AC37C3"/>
    <w:rsid w:val="00AC3804"/>
    <w:rsid w:val="00AC3811"/>
    <w:rsid w:val="00AC38AC"/>
    <w:rsid w:val="00AC38B9"/>
    <w:rsid w:val="00AC3A85"/>
    <w:rsid w:val="00AC3AC8"/>
    <w:rsid w:val="00AC3B8E"/>
    <w:rsid w:val="00AC3C4C"/>
    <w:rsid w:val="00AC3D2F"/>
    <w:rsid w:val="00AC3D3D"/>
    <w:rsid w:val="00AC3D82"/>
    <w:rsid w:val="00AC3EDB"/>
    <w:rsid w:val="00AC3F09"/>
    <w:rsid w:val="00AC3FF3"/>
    <w:rsid w:val="00AC41BA"/>
    <w:rsid w:val="00AC42C7"/>
    <w:rsid w:val="00AC431E"/>
    <w:rsid w:val="00AC4367"/>
    <w:rsid w:val="00AC438B"/>
    <w:rsid w:val="00AC446F"/>
    <w:rsid w:val="00AC46C4"/>
    <w:rsid w:val="00AC470B"/>
    <w:rsid w:val="00AC48AE"/>
    <w:rsid w:val="00AC4A27"/>
    <w:rsid w:val="00AC4AA9"/>
    <w:rsid w:val="00AC4BD8"/>
    <w:rsid w:val="00AC4E28"/>
    <w:rsid w:val="00AC4EDD"/>
    <w:rsid w:val="00AC4F3C"/>
    <w:rsid w:val="00AC4F64"/>
    <w:rsid w:val="00AC4F98"/>
    <w:rsid w:val="00AC5011"/>
    <w:rsid w:val="00AC5204"/>
    <w:rsid w:val="00AC546A"/>
    <w:rsid w:val="00AC5648"/>
    <w:rsid w:val="00AC56F4"/>
    <w:rsid w:val="00AC5714"/>
    <w:rsid w:val="00AC584A"/>
    <w:rsid w:val="00AC591A"/>
    <w:rsid w:val="00AC5958"/>
    <w:rsid w:val="00AC5D46"/>
    <w:rsid w:val="00AC5D7A"/>
    <w:rsid w:val="00AC5E8C"/>
    <w:rsid w:val="00AC5F7F"/>
    <w:rsid w:val="00AC5F8A"/>
    <w:rsid w:val="00AC5FE6"/>
    <w:rsid w:val="00AC600C"/>
    <w:rsid w:val="00AC65F1"/>
    <w:rsid w:val="00AC664D"/>
    <w:rsid w:val="00AC6946"/>
    <w:rsid w:val="00AC696B"/>
    <w:rsid w:val="00AC6A4D"/>
    <w:rsid w:val="00AC6A67"/>
    <w:rsid w:val="00AC6B94"/>
    <w:rsid w:val="00AC6D8F"/>
    <w:rsid w:val="00AC6E9E"/>
    <w:rsid w:val="00AC6EA4"/>
    <w:rsid w:val="00AC6EC6"/>
    <w:rsid w:val="00AC6F0F"/>
    <w:rsid w:val="00AC6F8D"/>
    <w:rsid w:val="00AC700B"/>
    <w:rsid w:val="00AC7085"/>
    <w:rsid w:val="00AC71C0"/>
    <w:rsid w:val="00AC7213"/>
    <w:rsid w:val="00AC726B"/>
    <w:rsid w:val="00AC72F5"/>
    <w:rsid w:val="00AC735E"/>
    <w:rsid w:val="00AC73C0"/>
    <w:rsid w:val="00AC743D"/>
    <w:rsid w:val="00AC778B"/>
    <w:rsid w:val="00AC79EF"/>
    <w:rsid w:val="00AC7BDA"/>
    <w:rsid w:val="00AC7BDF"/>
    <w:rsid w:val="00AC7DB1"/>
    <w:rsid w:val="00AC7E31"/>
    <w:rsid w:val="00AC7E42"/>
    <w:rsid w:val="00AC7EFF"/>
    <w:rsid w:val="00AC7F92"/>
    <w:rsid w:val="00AD009B"/>
    <w:rsid w:val="00AD00F6"/>
    <w:rsid w:val="00AD018C"/>
    <w:rsid w:val="00AD0250"/>
    <w:rsid w:val="00AD0416"/>
    <w:rsid w:val="00AD0434"/>
    <w:rsid w:val="00AD04A2"/>
    <w:rsid w:val="00AD0528"/>
    <w:rsid w:val="00AD0713"/>
    <w:rsid w:val="00AD0832"/>
    <w:rsid w:val="00AD0849"/>
    <w:rsid w:val="00AD0970"/>
    <w:rsid w:val="00AD0A11"/>
    <w:rsid w:val="00AD0A19"/>
    <w:rsid w:val="00AD0A9F"/>
    <w:rsid w:val="00AD0AAF"/>
    <w:rsid w:val="00AD0CBD"/>
    <w:rsid w:val="00AD0CC0"/>
    <w:rsid w:val="00AD0CF0"/>
    <w:rsid w:val="00AD0DAF"/>
    <w:rsid w:val="00AD0E55"/>
    <w:rsid w:val="00AD0EF7"/>
    <w:rsid w:val="00AD0F0B"/>
    <w:rsid w:val="00AD10D0"/>
    <w:rsid w:val="00AD11F0"/>
    <w:rsid w:val="00AD11FF"/>
    <w:rsid w:val="00AD12AC"/>
    <w:rsid w:val="00AD1448"/>
    <w:rsid w:val="00AD1558"/>
    <w:rsid w:val="00AD167C"/>
    <w:rsid w:val="00AD16DD"/>
    <w:rsid w:val="00AD170E"/>
    <w:rsid w:val="00AD17F4"/>
    <w:rsid w:val="00AD1872"/>
    <w:rsid w:val="00AD1982"/>
    <w:rsid w:val="00AD19FA"/>
    <w:rsid w:val="00AD1A37"/>
    <w:rsid w:val="00AD1BA7"/>
    <w:rsid w:val="00AD1BF5"/>
    <w:rsid w:val="00AD1E85"/>
    <w:rsid w:val="00AD204B"/>
    <w:rsid w:val="00AD210A"/>
    <w:rsid w:val="00AD2127"/>
    <w:rsid w:val="00AD2133"/>
    <w:rsid w:val="00AD242D"/>
    <w:rsid w:val="00AD248F"/>
    <w:rsid w:val="00AD24F0"/>
    <w:rsid w:val="00AD261E"/>
    <w:rsid w:val="00AD28FB"/>
    <w:rsid w:val="00AD2904"/>
    <w:rsid w:val="00AD2B17"/>
    <w:rsid w:val="00AD2D11"/>
    <w:rsid w:val="00AD2D49"/>
    <w:rsid w:val="00AD2E02"/>
    <w:rsid w:val="00AD2F7F"/>
    <w:rsid w:val="00AD2F9B"/>
    <w:rsid w:val="00AD2FD8"/>
    <w:rsid w:val="00AD3152"/>
    <w:rsid w:val="00AD316D"/>
    <w:rsid w:val="00AD3244"/>
    <w:rsid w:val="00AD3288"/>
    <w:rsid w:val="00AD32B5"/>
    <w:rsid w:val="00AD334C"/>
    <w:rsid w:val="00AD33E2"/>
    <w:rsid w:val="00AD3554"/>
    <w:rsid w:val="00AD364A"/>
    <w:rsid w:val="00AD36B9"/>
    <w:rsid w:val="00AD37F7"/>
    <w:rsid w:val="00AD3803"/>
    <w:rsid w:val="00AD38DE"/>
    <w:rsid w:val="00AD3A2E"/>
    <w:rsid w:val="00AD3A33"/>
    <w:rsid w:val="00AD3A3D"/>
    <w:rsid w:val="00AD3AF1"/>
    <w:rsid w:val="00AD3B08"/>
    <w:rsid w:val="00AD3B7C"/>
    <w:rsid w:val="00AD3C23"/>
    <w:rsid w:val="00AD3D0D"/>
    <w:rsid w:val="00AD3FD2"/>
    <w:rsid w:val="00AD403C"/>
    <w:rsid w:val="00AD403E"/>
    <w:rsid w:val="00AD4203"/>
    <w:rsid w:val="00AD434C"/>
    <w:rsid w:val="00AD454E"/>
    <w:rsid w:val="00AD46F3"/>
    <w:rsid w:val="00AD46F8"/>
    <w:rsid w:val="00AD4742"/>
    <w:rsid w:val="00AD47CC"/>
    <w:rsid w:val="00AD483B"/>
    <w:rsid w:val="00AD4B40"/>
    <w:rsid w:val="00AD4D81"/>
    <w:rsid w:val="00AD4E0C"/>
    <w:rsid w:val="00AD4EAC"/>
    <w:rsid w:val="00AD4EF5"/>
    <w:rsid w:val="00AD5084"/>
    <w:rsid w:val="00AD516A"/>
    <w:rsid w:val="00AD5254"/>
    <w:rsid w:val="00AD52B6"/>
    <w:rsid w:val="00AD53EF"/>
    <w:rsid w:val="00AD5464"/>
    <w:rsid w:val="00AD546E"/>
    <w:rsid w:val="00AD54E3"/>
    <w:rsid w:val="00AD5510"/>
    <w:rsid w:val="00AD5567"/>
    <w:rsid w:val="00AD57E4"/>
    <w:rsid w:val="00AD57EB"/>
    <w:rsid w:val="00AD5848"/>
    <w:rsid w:val="00AD58A6"/>
    <w:rsid w:val="00AD58C3"/>
    <w:rsid w:val="00AD598E"/>
    <w:rsid w:val="00AD5A30"/>
    <w:rsid w:val="00AD5E39"/>
    <w:rsid w:val="00AD5FF5"/>
    <w:rsid w:val="00AD608F"/>
    <w:rsid w:val="00AD61B3"/>
    <w:rsid w:val="00AD6491"/>
    <w:rsid w:val="00AD657B"/>
    <w:rsid w:val="00AD66BB"/>
    <w:rsid w:val="00AD6764"/>
    <w:rsid w:val="00AD6784"/>
    <w:rsid w:val="00AD67B6"/>
    <w:rsid w:val="00AD6FC8"/>
    <w:rsid w:val="00AD6FD5"/>
    <w:rsid w:val="00AD709C"/>
    <w:rsid w:val="00AD7161"/>
    <w:rsid w:val="00AD723C"/>
    <w:rsid w:val="00AD7288"/>
    <w:rsid w:val="00AD73B1"/>
    <w:rsid w:val="00AD73CE"/>
    <w:rsid w:val="00AD74CD"/>
    <w:rsid w:val="00AD751C"/>
    <w:rsid w:val="00AD7626"/>
    <w:rsid w:val="00AD76B6"/>
    <w:rsid w:val="00AD7864"/>
    <w:rsid w:val="00AD7891"/>
    <w:rsid w:val="00AD7990"/>
    <w:rsid w:val="00AD7A3D"/>
    <w:rsid w:val="00AD7B85"/>
    <w:rsid w:val="00AD7CFC"/>
    <w:rsid w:val="00AD7F07"/>
    <w:rsid w:val="00AD7FE5"/>
    <w:rsid w:val="00AE0192"/>
    <w:rsid w:val="00AE05C0"/>
    <w:rsid w:val="00AE0649"/>
    <w:rsid w:val="00AE06CA"/>
    <w:rsid w:val="00AE0758"/>
    <w:rsid w:val="00AE088F"/>
    <w:rsid w:val="00AE08C7"/>
    <w:rsid w:val="00AE08F8"/>
    <w:rsid w:val="00AE0ACA"/>
    <w:rsid w:val="00AE0B2C"/>
    <w:rsid w:val="00AE0B69"/>
    <w:rsid w:val="00AE0CC1"/>
    <w:rsid w:val="00AE0D59"/>
    <w:rsid w:val="00AE0D5B"/>
    <w:rsid w:val="00AE0F0E"/>
    <w:rsid w:val="00AE11AC"/>
    <w:rsid w:val="00AE1248"/>
    <w:rsid w:val="00AE12BF"/>
    <w:rsid w:val="00AE1318"/>
    <w:rsid w:val="00AE144B"/>
    <w:rsid w:val="00AE159D"/>
    <w:rsid w:val="00AE1704"/>
    <w:rsid w:val="00AE1715"/>
    <w:rsid w:val="00AE17AB"/>
    <w:rsid w:val="00AE1865"/>
    <w:rsid w:val="00AE199B"/>
    <w:rsid w:val="00AE199E"/>
    <w:rsid w:val="00AE19CD"/>
    <w:rsid w:val="00AE1ABA"/>
    <w:rsid w:val="00AE1C20"/>
    <w:rsid w:val="00AE1D36"/>
    <w:rsid w:val="00AE1DEC"/>
    <w:rsid w:val="00AE1E20"/>
    <w:rsid w:val="00AE1EE2"/>
    <w:rsid w:val="00AE213C"/>
    <w:rsid w:val="00AE2200"/>
    <w:rsid w:val="00AE223B"/>
    <w:rsid w:val="00AE22D4"/>
    <w:rsid w:val="00AE24D4"/>
    <w:rsid w:val="00AE2569"/>
    <w:rsid w:val="00AE2977"/>
    <w:rsid w:val="00AE2AF8"/>
    <w:rsid w:val="00AE2CB3"/>
    <w:rsid w:val="00AE2D32"/>
    <w:rsid w:val="00AE2E2F"/>
    <w:rsid w:val="00AE2F00"/>
    <w:rsid w:val="00AE309B"/>
    <w:rsid w:val="00AE30E5"/>
    <w:rsid w:val="00AE314D"/>
    <w:rsid w:val="00AE31AC"/>
    <w:rsid w:val="00AE3292"/>
    <w:rsid w:val="00AE3330"/>
    <w:rsid w:val="00AE33AF"/>
    <w:rsid w:val="00AE33D9"/>
    <w:rsid w:val="00AE34A7"/>
    <w:rsid w:val="00AE3637"/>
    <w:rsid w:val="00AE364D"/>
    <w:rsid w:val="00AE384E"/>
    <w:rsid w:val="00AE3B45"/>
    <w:rsid w:val="00AE3C23"/>
    <w:rsid w:val="00AE3C57"/>
    <w:rsid w:val="00AE3E7A"/>
    <w:rsid w:val="00AE3EB2"/>
    <w:rsid w:val="00AE3F24"/>
    <w:rsid w:val="00AE3F2F"/>
    <w:rsid w:val="00AE3F64"/>
    <w:rsid w:val="00AE4059"/>
    <w:rsid w:val="00AE4104"/>
    <w:rsid w:val="00AE4216"/>
    <w:rsid w:val="00AE4248"/>
    <w:rsid w:val="00AE4292"/>
    <w:rsid w:val="00AE4446"/>
    <w:rsid w:val="00AE4485"/>
    <w:rsid w:val="00AE45B6"/>
    <w:rsid w:val="00AE4603"/>
    <w:rsid w:val="00AE46FD"/>
    <w:rsid w:val="00AE47DD"/>
    <w:rsid w:val="00AE47FE"/>
    <w:rsid w:val="00AE4868"/>
    <w:rsid w:val="00AE4885"/>
    <w:rsid w:val="00AE48F4"/>
    <w:rsid w:val="00AE491B"/>
    <w:rsid w:val="00AE4943"/>
    <w:rsid w:val="00AE4AC6"/>
    <w:rsid w:val="00AE4B7A"/>
    <w:rsid w:val="00AE4BC9"/>
    <w:rsid w:val="00AE4C04"/>
    <w:rsid w:val="00AE4E59"/>
    <w:rsid w:val="00AE4F1D"/>
    <w:rsid w:val="00AE4F7C"/>
    <w:rsid w:val="00AE4FA2"/>
    <w:rsid w:val="00AE4FB4"/>
    <w:rsid w:val="00AE5023"/>
    <w:rsid w:val="00AE5141"/>
    <w:rsid w:val="00AE5186"/>
    <w:rsid w:val="00AE521B"/>
    <w:rsid w:val="00AE5402"/>
    <w:rsid w:val="00AE5458"/>
    <w:rsid w:val="00AE55B6"/>
    <w:rsid w:val="00AE5671"/>
    <w:rsid w:val="00AE569A"/>
    <w:rsid w:val="00AE56E4"/>
    <w:rsid w:val="00AE5770"/>
    <w:rsid w:val="00AE57CC"/>
    <w:rsid w:val="00AE5898"/>
    <w:rsid w:val="00AE5978"/>
    <w:rsid w:val="00AE59BE"/>
    <w:rsid w:val="00AE5A1C"/>
    <w:rsid w:val="00AE5B13"/>
    <w:rsid w:val="00AE5B74"/>
    <w:rsid w:val="00AE5EB2"/>
    <w:rsid w:val="00AE5EBC"/>
    <w:rsid w:val="00AE5EDF"/>
    <w:rsid w:val="00AE5F06"/>
    <w:rsid w:val="00AE5F4F"/>
    <w:rsid w:val="00AE5FF8"/>
    <w:rsid w:val="00AE6079"/>
    <w:rsid w:val="00AE6341"/>
    <w:rsid w:val="00AE635E"/>
    <w:rsid w:val="00AE64E5"/>
    <w:rsid w:val="00AE65E4"/>
    <w:rsid w:val="00AE663A"/>
    <w:rsid w:val="00AE6658"/>
    <w:rsid w:val="00AE6805"/>
    <w:rsid w:val="00AE69B7"/>
    <w:rsid w:val="00AE6B26"/>
    <w:rsid w:val="00AE6B3B"/>
    <w:rsid w:val="00AE6D1C"/>
    <w:rsid w:val="00AE6D86"/>
    <w:rsid w:val="00AE708F"/>
    <w:rsid w:val="00AE7135"/>
    <w:rsid w:val="00AE7250"/>
    <w:rsid w:val="00AE72DA"/>
    <w:rsid w:val="00AE7342"/>
    <w:rsid w:val="00AE73E3"/>
    <w:rsid w:val="00AE7423"/>
    <w:rsid w:val="00AE742E"/>
    <w:rsid w:val="00AE744F"/>
    <w:rsid w:val="00AE745B"/>
    <w:rsid w:val="00AE77F9"/>
    <w:rsid w:val="00AE78AF"/>
    <w:rsid w:val="00AE794C"/>
    <w:rsid w:val="00AE79F9"/>
    <w:rsid w:val="00AE7A06"/>
    <w:rsid w:val="00AE7B01"/>
    <w:rsid w:val="00AE7C5F"/>
    <w:rsid w:val="00AE7CED"/>
    <w:rsid w:val="00AE7D2A"/>
    <w:rsid w:val="00AE7D30"/>
    <w:rsid w:val="00AE7D55"/>
    <w:rsid w:val="00AE7D61"/>
    <w:rsid w:val="00AE7DC4"/>
    <w:rsid w:val="00AE7E18"/>
    <w:rsid w:val="00AE7E2A"/>
    <w:rsid w:val="00AE7EA1"/>
    <w:rsid w:val="00AF01A0"/>
    <w:rsid w:val="00AF0313"/>
    <w:rsid w:val="00AF0356"/>
    <w:rsid w:val="00AF037C"/>
    <w:rsid w:val="00AF0532"/>
    <w:rsid w:val="00AF0639"/>
    <w:rsid w:val="00AF0694"/>
    <w:rsid w:val="00AF0730"/>
    <w:rsid w:val="00AF080D"/>
    <w:rsid w:val="00AF0837"/>
    <w:rsid w:val="00AF08EB"/>
    <w:rsid w:val="00AF09BC"/>
    <w:rsid w:val="00AF0A1D"/>
    <w:rsid w:val="00AF0ADC"/>
    <w:rsid w:val="00AF0C1B"/>
    <w:rsid w:val="00AF0E12"/>
    <w:rsid w:val="00AF0F80"/>
    <w:rsid w:val="00AF10C4"/>
    <w:rsid w:val="00AF1152"/>
    <w:rsid w:val="00AF119A"/>
    <w:rsid w:val="00AF12FC"/>
    <w:rsid w:val="00AF1312"/>
    <w:rsid w:val="00AF1368"/>
    <w:rsid w:val="00AF1430"/>
    <w:rsid w:val="00AF16FE"/>
    <w:rsid w:val="00AF1737"/>
    <w:rsid w:val="00AF17F8"/>
    <w:rsid w:val="00AF1965"/>
    <w:rsid w:val="00AF198E"/>
    <w:rsid w:val="00AF1A5F"/>
    <w:rsid w:val="00AF1A68"/>
    <w:rsid w:val="00AF1B1B"/>
    <w:rsid w:val="00AF1B20"/>
    <w:rsid w:val="00AF1B4A"/>
    <w:rsid w:val="00AF1D74"/>
    <w:rsid w:val="00AF1FC6"/>
    <w:rsid w:val="00AF20A1"/>
    <w:rsid w:val="00AF20D4"/>
    <w:rsid w:val="00AF22B9"/>
    <w:rsid w:val="00AF22CC"/>
    <w:rsid w:val="00AF237B"/>
    <w:rsid w:val="00AF2418"/>
    <w:rsid w:val="00AF24FC"/>
    <w:rsid w:val="00AF25E8"/>
    <w:rsid w:val="00AF27BA"/>
    <w:rsid w:val="00AF27E8"/>
    <w:rsid w:val="00AF282F"/>
    <w:rsid w:val="00AF29BD"/>
    <w:rsid w:val="00AF2C52"/>
    <w:rsid w:val="00AF2CE8"/>
    <w:rsid w:val="00AF2CF0"/>
    <w:rsid w:val="00AF2D55"/>
    <w:rsid w:val="00AF307F"/>
    <w:rsid w:val="00AF32D6"/>
    <w:rsid w:val="00AF3347"/>
    <w:rsid w:val="00AF33D9"/>
    <w:rsid w:val="00AF3471"/>
    <w:rsid w:val="00AF3502"/>
    <w:rsid w:val="00AF356F"/>
    <w:rsid w:val="00AF35C7"/>
    <w:rsid w:val="00AF366F"/>
    <w:rsid w:val="00AF390D"/>
    <w:rsid w:val="00AF392C"/>
    <w:rsid w:val="00AF39E1"/>
    <w:rsid w:val="00AF3A9F"/>
    <w:rsid w:val="00AF3CAB"/>
    <w:rsid w:val="00AF3D9D"/>
    <w:rsid w:val="00AF3F07"/>
    <w:rsid w:val="00AF3FAF"/>
    <w:rsid w:val="00AF40C6"/>
    <w:rsid w:val="00AF4107"/>
    <w:rsid w:val="00AF4175"/>
    <w:rsid w:val="00AF4244"/>
    <w:rsid w:val="00AF430C"/>
    <w:rsid w:val="00AF433A"/>
    <w:rsid w:val="00AF4346"/>
    <w:rsid w:val="00AF446C"/>
    <w:rsid w:val="00AF4731"/>
    <w:rsid w:val="00AF478A"/>
    <w:rsid w:val="00AF49BE"/>
    <w:rsid w:val="00AF4A21"/>
    <w:rsid w:val="00AF4A4A"/>
    <w:rsid w:val="00AF4AB4"/>
    <w:rsid w:val="00AF4D6C"/>
    <w:rsid w:val="00AF4DB7"/>
    <w:rsid w:val="00AF4F35"/>
    <w:rsid w:val="00AF4F5D"/>
    <w:rsid w:val="00AF4FAC"/>
    <w:rsid w:val="00AF4FB2"/>
    <w:rsid w:val="00AF4FBE"/>
    <w:rsid w:val="00AF5128"/>
    <w:rsid w:val="00AF540A"/>
    <w:rsid w:val="00AF5430"/>
    <w:rsid w:val="00AF5609"/>
    <w:rsid w:val="00AF57A0"/>
    <w:rsid w:val="00AF5A38"/>
    <w:rsid w:val="00AF5B33"/>
    <w:rsid w:val="00AF5BAC"/>
    <w:rsid w:val="00AF5D24"/>
    <w:rsid w:val="00AF5EE6"/>
    <w:rsid w:val="00AF5F09"/>
    <w:rsid w:val="00AF5F71"/>
    <w:rsid w:val="00AF60EA"/>
    <w:rsid w:val="00AF60EC"/>
    <w:rsid w:val="00AF6160"/>
    <w:rsid w:val="00AF6223"/>
    <w:rsid w:val="00AF6255"/>
    <w:rsid w:val="00AF6466"/>
    <w:rsid w:val="00AF64AC"/>
    <w:rsid w:val="00AF685D"/>
    <w:rsid w:val="00AF6879"/>
    <w:rsid w:val="00AF6920"/>
    <w:rsid w:val="00AF6B9C"/>
    <w:rsid w:val="00AF6C37"/>
    <w:rsid w:val="00AF6C9A"/>
    <w:rsid w:val="00AF6CC3"/>
    <w:rsid w:val="00AF6D14"/>
    <w:rsid w:val="00AF6F1C"/>
    <w:rsid w:val="00AF6F62"/>
    <w:rsid w:val="00AF6FF7"/>
    <w:rsid w:val="00AF70DF"/>
    <w:rsid w:val="00AF72C6"/>
    <w:rsid w:val="00AF7325"/>
    <w:rsid w:val="00AF7362"/>
    <w:rsid w:val="00AF73B2"/>
    <w:rsid w:val="00AF75A3"/>
    <w:rsid w:val="00AF7627"/>
    <w:rsid w:val="00AF765E"/>
    <w:rsid w:val="00AF7683"/>
    <w:rsid w:val="00AF76E8"/>
    <w:rsid w:val="00AF778C"/>
    <w:rsid w:val="00AF7907"/>
    <w:rsid w:val="00AF7AB4"/>
    <w:rsid w:val="00AF7BA0"/>
    <w:rsid w:val="00AF7D7E"/>
    <w:rsid w:val="00AF7E52"/>
    <w:rsid w:val="00AF7EBA"/>
    <w:rsid w:val="00B00050"/>
    <w:rsid w:val="00B00260"/>
    <w:rsid w:val="00B003E4"/>
    <w:rsid w:val="00B004BA"/>
    <w:rsid w:val="00B004F2"/>
    <w:rsid w:val="00B00654"/>
    <w:rsid w:val="00B006F6"/>
    <w:rsid w:val="00B00740"/>
    <w:rsid w:val="00B008C5"/>
    <w:rsid w:val="00B0093A"/>
    <w:rsid w:val="00B00949"/>
    <w:rsid w:val="00B00A1D"/>
    <w:rsid w:val="00B00ACE"/>
    <w:rsid w:val="00B00B47"/>
    <w:rsid w:val="00B00B98"/>
    <w:rsid w:val="00B00BD8"/>
    <w:rsid w:val="00B00CB4"/>
    <w:rsid w:val="00B00D96"/>
    <w:rsid w:val="00B00DD7"/>
    <w:rsid w:val="00B00F8F"/>
    <w:rsid w:val="00B00FC1"/>
    <w:rsid w:val="00B00FFF"/>
    <w:rsid w:val="00B01172"/>
    <w:rsid w:val="00B011D7"/>
    <w:rsid w:val="00B012B4"/>
    <w:rsid w:val="00B01341"/>
    <w:rsid w:val="00B0136C"/>
    <w:rsid w:val="00B013F1"/>
    <w:rsid w:val="00B01499"/>
    <w:rsid w:val="00B014EB"/>
    <w:rsid w:val="00B0154C"/>
    <w:rsid w:val="00B017AF"/>
    <w:rsid w:val="00B017E6"/>
    <w:rsid w:val="00B0197C"/>
    <w:rsid w:val="00B01C14"/>
    <w:rsid w:val="00B01CB8"/>
    <w:rsid w:val="00B01CEC"/>
    <w:rsid w:val="00B01D94"/>
    <w:rsid w:val="00B01E01"/>
    <w:rsid w:val="00B01E56"/>
    <w:rsid w:val="00B01FFB"/>
    <w:rsid w:val="00B020A8"/>
    <w:rsid w:val="00B022E2"/>
    <w:rsid w:val="00B023F5"/>
    <w:rsid w:val="00B02559"/>
    <w:rsid w:val="00B025EE"/>
    <w:rsid w:val="00B026BA"/>
    <w:rsid w:val="00B026E0"/>
    <w:rsid w:val="00B026E8"/>
    <w:rsid w:val="00B02728"/>
    <w:rsid w:val="00B0287C"/>
    <w:rsid w:val="00B02917"/>
    <w:rsid w:val="00B02A99"/>
    <w:rsid w:val="00B02B83"/>
    <w:rsid w:val="00B02D4D"/>
    <w:rsid w:val="00B02D4E"/>
    <w:rsid w:val="00B02F5B"/>
    <w:rsid w:val="00B031E4"/>
    <w:rsid w:val="00B03200"/>
    <w:rsid w:val="00B03222"/>
    <w:rsid w:val="00B032A2"/>
    <w:rsid w:val="00B03312"/>
    <w:rsid w:val="00B033AE"/>
    <w:rsid w:val="00B034AD"/>
    <w:rsid w:val="00B034D5"/>
    <w:rsid w:val="00B0361D"/>
    <w:rsid w:val="00B0365D"/>
    <w:rsid w:val="00B03713"/>
    <w:rsid w:val="00B03729"/>
    <w:rsid w:val="00B037AF"/>
    <w:rsid w:val="00B03965"/>
    <w:rsid w:val="00B0396A"/>
    <w:rsid w:val="00B03A45"/>
    <w:rsid w:val="00B03BCA"/>
    <w:rsid w:val="00B03BD3"/>
    <w:rsid w:val="00B03CF9"/>
    <w:rsid w:val="00B03EFA"/>
    <w:rsid w:val="00B03F75"/>
    <w:rsid w:val="00B04134"/>
    <w:rsid w:val="00B0413D"/>
    <w:rsid w:val="00B04326"/>
    <w:rsid w:val="00B0448F"/>
    <w:rsid w:val="00B04507"/>
    <w:rsid w:val="00B0453C"/>
    <w:rsid w:val="00B04658"/>
    <w:rsid w:val="00B04705"/>
    <w:rsid w:val="00B04767"/>
    <w:rsid w:val="00B04816"/>
    <w:rsid w:val="00B0483D"/>
    <w:rsid w:val="00B049CE"/>
    <w:rsid w:val="00B04A34"/>
    <w:rsid w:val="00B04AE9"/>
    <w:rsid w:val="00B04CC5"/>
    <w:rsid w:val="00B04D38"/>
    <w:rsid w:val="00B04E4A"/>
    <w:rsid w:val="00B04E98"/>
    <w:rsid w:val="00B04F25"/>
    <w:rsid w:val="00B04FE0"/>
    <w:rsid w:val="00B05033"/>
    <w:rsid w:val="00B0509E"/>
    <w:rsid w:val="00B051C2"/>
    <w:rsid w:val="00B055DD"/>
    <w:rsid w:val="00B05780"/>
    <w:rsid w:val="00B057F2"/>
    <w:rsid w:val="00B05D01"/>
    <w:rsid w:val="00B05D1C"/>
    <w:rsid w:val="00B05DE6"/>
    <w:rsid w:val="00B05DFE"/>
    <w:rsid w:val="00B05E24"/>
    <w:rsid w:val="00B05FDA"/>
    <w:rsid w:val="00B060A1"/>
    <w:rsid w:val="00B06541"/>
    <w:rsid w:val="00B065D0"/>
    <w:rsid w:val="00B0661D"/>
    <w:rsid w:val="00B06627"/>
    <w:rsid w:val="00B0669D"/>
    <w:rsid w:val="00B066C9"/>
    <w:rsid w:val="00B06784"/>
    <w:rsid w:val="00B06797"/>
    <w:rsid w:val="00B0690D"/>
    <w:rsid w:val="00B0699B"/>
    <w:rsid w:val="00B0699C"/>
    <w:rsid w:val="00B06A51"/>
    <w:rsid w:val="00B06CC3"/>
    <w:rsid w:val="00B06D4F"/>
    <w:rsid w:val="00B06DE8"/>
    <w:rsid w:val="00B06DFF"/>
    <w:rsid w:val="00B06EF2"/>
    <w:rsid w:val="00B06F86"/>
    <w:rsid w:val="00B07025"/>
    <w:rsid w:val="00B070B4"/>
    <w:rsid w:val="00B0729A"/>
    <w:rsid w:val="00B072BC"/>
    <w:rsid w:val="00B072BF"/>
    <w:rsid w:val="00B07349"/>
    <w:rsid w:val="00B073A1"/>
    <w:rsid w:val="00B073AB"/>
    <w:rsid w:val="00B073EB"/>
    <w:rsid w:val="00B0740C"/>
    <w:rsid w:val="00B075A2"/>
    <w:rsid w:val="00B0771D"/>
    <w:rsid w:val="00B07865"/>
    <w:rsid w:val="00B07892"/>
    <w:rsid w:val="00B07AB0"/>
    <w:rsid w:val="00B07CAD"/>
    <w:rsid w:val="00B07DC2"/>
    <w:rsid w:val="00B07E69"/>
    <w:rsid w:val="00B07E6B"/>
    <w:rsid w:val="00B07E97"/>
    <w:rsid w:val="00B10048"/>
    <w:rsid w:val="00B1025C"/>
    <w:rsid w:val="00B10294"/>
    <w:rsid w:val="00B103D4"/>
    <w:rsid w:val="00B105C9"/>
    <w:rsid w:val="00B1074B"/>
    <w:rsid w:val="00B10834"/>
    <w:rsid w:val="00B1086C"/>
    <w:rsid w:val="00B1094E"/>
    <w:rsid w:val="00B10A10"/>
    <w:rsid w:val="00B10B83"/>
    <w:rsid w:val="00B10DF9"/>
    <w:rsid w:val="00B10E96"/>
    <w:rsid w:val="00B10FEE"/>
    <w:rsid w:val="00B1101D"/>
    <w:rsid w:val="00B11092"/>
    <w:rsid w:val="00B110E9"/>
    <w:rsid w:val="00B11183"/>
    <w:rsid w:val="00B1122E"/>
    <w:rsid w:val="00B112F9"/>
    <w:rsid w:val="00B113E5"/>
    <w:rsid w:val="00B11407"/>
    <w:rsid w:val="00B1150C"/>
    <w:rsid w:val="00B1160D"/>
    <w:rsid w:val="00B11631"/>
    <w:rsid w:val="00B1181E"/>
    <w:rsid w:val="00B11892"/>
    <w:rsid w:val="00B118F7"/>
    <w:rsid w:val="00B11916"/>
    <w:rsid w:val="00B11B31"/>
    <w:rsid w:val="00B11B58"/>
    <w:rsid w:val="00B11B79"/>
    <w:rsid w:val="00B11C81"/>
    <w:rsid w:val="00B11D5B"/>
    <w:rsid w:val="00B11E19"/>
    <w:rsid w:val="00B11E4A"/>
    <w:rsid w:val="00B11E4D"/>
    <w:rsid w:val="00B11E70"/>
    <w:rsid w:val="00B12139"/>
    <w:rsid w:val="00B121C5"/>
    <w:rsid w:val="00B121E5"/>
    <w:rsid w:val="00B12245"/>
    <w:rsid w:val="00B1230C"/>
    <w:rsid w:val="00B12383"/>
    <w:rsid w:val="00B1238A"/>
    <w:rsid w:val="00B1252E"/>
    <w:rsid w:val="00B12580"/>
    <w:rsid w:val="00B1258C"/>
    <w:rsid w:val="00B12644"/>
    <w:rsid w:val="00B12765"/>
    <w:rsid w:val="00B127B8"/>
    <w:rsid w:val="00B12A09"/>
    <w:rsid w:val="00B12B17"/>
    <w:rsid w:val="00B12B1A"/>
    <w:rsid w:val="00B12C1D"/>
    <w:rsid w:val="00B12DD0"/>
    <w:rsid w:val="00B12EDD"/>
    <w:rsid w:val="00B12F73"/>
    <w:rsid w:val="00B1304F"/>
    <w:rsid w:val="00B1321A"/>
    <w:rsid w:val="00B13236"/>
    <w:rsid w:val="00B132C2"/>
    <w:rsid w:val="00B133B7"/>
    <w:rsid w:val="00B133D7"/>
    <w:rsid w:val="00B13924"/>
    <w:rsid w:val="00B1392B"/>
    <w:rsid w:val="00B13942"/>
    <w:rsid w:val="00B139C7"/>
    <w:rsid w:val="00B13B03"/>
    <w:rsid w:val="00B13B50"/>
    <w:rsid w:val="00B13B80"/>
    <w:rsid w:val="00B13C9A"/>
    <w:rsid w:val="00B13CB9"/>
    <w:rsid w:val="00B13E6F"/>
    <w:rsid w:val="00B14049"/>
    <w:rsid w:val="00B140A0"/>
    <w:rsid w:val="00B14354"/>
    <w:rsid w:val="00B145E6"/>
    <w:rsid w:val="00B14667"/>
    <w:rsid w:val="00B147EC"/>
    <w:rsid w:val="00B14853"/>
    <w:rsid w:val="00B149AF"/>
    <w:rsid w:val="00B14B39"/>
    <w:rsid w:val="00B14B56"/>
    <w:rsid w:val="00B14B8B"/>
    <w:rsid w:val="00B14BEE"/>
    <w:rsid w:val="00B14D46"/>
    <w:rsid w:val="00B14D7E"/>
    <w:rsid w:val="00B14E8D"/>
    <w:rsid w:val="00B150D7"/>
    <w:rsid w:val="00B153D4"/>
    <w:rsid w:val="00B15430"/>
    <w:rsid w:val="00B1578F"/>
    <w:rsid w:val="00B15959"/>
    <w:rsid w:val="00B15A27"/>
    <w:rsid w:val="00B15C12"/>
    <w:rsid w:val="00B161E1"/>
    <w:rsid w:val="00B1650D"/>
    <w:rsid w:val="00B16683"/>
    <w:rsid w:val="00B166B6"/>
    <w:rsid w:val="00B167BD"/>
    <w:rsid w:val="00B16942"/>
    <w:rsid w:val="00B16D91"/>
    <w:rsid w:val="00B16DAA"/>
    <w:rsid w:val="00B16E02"/>
    <w:rsid w:val="00B16E16"/>
    <w:rsid w:val="00B170B0"/>
    <w:rsid w:val="00B170B9"/>
    <w:rsid w:val="00B17115"/>
    <w:rsid w:val="00B173C9"/>
    <w:rsid w:val="00B1758C"/>
    <w:rsid w:val="00B1762A"/>
    <w:rsid w:val="00B177F5"/>
    <w:rsid w:val="00B17860"/>
    <w:rsid w:val="00B17A19"/>
    <w:rsid w:val="00B17AEE"/>
    <w:rsid w:val="00B17C2F"/>
    <w:rsid w:val="00B17E8E"/>
    <w:rsid w:val="00B17EA7"/>
    <w:rsid w:val="00B17EC3"/>
    <w:rsid w:val="00B202F8"/>
    <w:rsid w:val="00B20314"/>
    <w:rsid w:val="00B20435"/>
    <w:rsid w:val="00B20451"/>
    <w:rsid w:val="00B20616"/>
    <w:rsid w:val="00B207B6"/>
    <w:rsid w:val="00B207EF"/>
    <w:rsid w:val="00B20881"/>
    <w:rsid w:val="00B20902"/>
    <w:rsid w:val="00B2093E"/>
    <w:rsid w:val="00B20947"/>
    <w:rsid w:val="00B20A64"/>
    <w:rsid w:val="00B20A6A"/>
    <w:rsid w:val="00B20AE4"/>
    <w:rsid w:val="00B20C9F"/>
    <w:rsid w:val="00B20E2D"/>
    <w:rsid w:val="00B20ED3"/>
    <w:rsid w:val="00B20F3A"/>
    <w:rsid w:val="00B20F7D"/>
    <w:rsid w:val="00B210FB"/>
    <w:rsid w:val="00B2111C"/>
    <w:rsid w:val="00B2120A"/>
    <w:rsid w:val="00B2120F"/>
    <w:rsid w:val="00B21357"/>
    <w:rsid w:val="00B21452"/>
    <w:rsid w:val="00B21488"/>
    <w:rsid w:val="00B21506"/>
    <w:rsid w:val="00B21607"/>
    <w:rsid w:val="00B21790"/>
    <w:rsid w:val="00B2181D"/>
    <w:rsid w:val="00B21833"/>
    <w:rsid w:val="00B21A22"/>
    <w:rsid w:val="00B21BF5"/>
    <w:rsid w:val="00B21CDF"/>
    <w:rsid w:val="00B21E88"/>
    <w:rsid w:val="00B21F84"/>
    <w:rsid w:val="00B22128"/>
    <w:rsid w:val="00B221D1"/>
    <w:rsid w:val="00B221EB"/>
    <w:rsid w:val="00B2226C"/>
    <w:rsid w:val="00B2238A"/>
    <w:rsid w:val="00B224B4"/>
    <w:rsid w:val="00B225B5"/>
    <w:rsid w:val="00B225EA"/>
    <w:rsid w:val="00B22602"/>
    <w:rsid w:val="00B226D0"/>
    <w:rsid w:val="00B22718"/>
    <w:rsid w:val="00B22788"/>
    <w:rsid w:val="00B227F7"/>
    <w:rsid w:val="00B22805"/>
    <w:rsid w:val="00B2282F"/>
    <w:rsid w:val="00B2289B"/>
    <w:rsid w:val="00B2290D"/>
    <w:rsid w:val="00B22965"/>
    <w:rsid w:val="00B229BC"/>
    <w:rsid w:val="00B22A38"/>
    <w:rsid w:val="00B22B01"/>
    <w:rsid w:val="00B22D53"/>
    <w:rsid w:val="00B22EB7"/>
    <w:rsid w:val="00B22EF9"/>
    <w:rsid w:val="00B23001"/>
    <w:rsid w:val="00B23016"/>
    <w:rsid w:val="00B2301C"/>
    <w:rsid w:val="00B23194"/>
    <w:rsid w:val="00B23419"/>
    <w:rsid w:val="00B23424"/>
    <w:rsid w:val="00B235A9"/>
    <w:rsid w:val="00B23783"/>
    <w:rsid w:val="00B23785"/>
    <w:rsid w:val="00B239D9"/>
    <w:rsid w:val="00B239E2"/>
    <w:rsid w:val="00B23A8F"/>
    <w:rsid w:val="00B23B92"/>
    <w:rsid w:val="00B23D03"/>
    <w:rsid w:val="00B23E1D"/>
    <w:rsid w:val="00B23E3D"/>
    <w:rsid w:val="00B23E67"/>
    <w:rsid w:val="00B240AE"/>
    <w:rsid w:val="00B244B0"/>
    <w:rsid w:val="00B245EF"/>
    <w:rsid w:val="00B24624"/>
    <w:rsid w:val="00B24647"/>
    <w:rsid w:val="00B24783"/>
    <w:rsid w:val="00B247C3"/>
    <w:rsid w:val="00B247EA"/>
    <w:rsid w:val="00B2480D"/>
    <w:rsid w:val="00B2485E"/>
    <w:rsid w:val="00B24940"/>
    <w:rsid w:val="00B24BE9"/>
    <w:rsid w:val="00B24BF1"/>
    <w:rsid w:val="00B24C7E"/>
    <w:rsid w:val="00B24CA8"/>
    <w:rsid w:val="00B24DF1"/>
    <w:rsid w:val="00B24EB1"/>
    <w:rsid w:val="00B24F99"/>
    <w:rsid w:val="00B250BD"/>
    <w:rsid w:val="00B251A8"/>
    <w:rsid w:val="00B25392"/>
    <w:rsid w:val="00B253E3"/>
    <w:rsid w:val="00B25495"/>
    <w:rsid w:val="00B25656"/>
    <w:rsid w:val="00B25753"/>
    <w:rsid w:val="00B2577D"/>
    <w:rsid w:val="00B2581C"/>
    <w:rsid w:val="00B25841"/>
    <w:rsid w:val="00B25C4E"/>
    <w:rsid w:val="00B25CDA"/>
    <w:rsid w:val="00B25D22"/>
    <w:rsid w:val="00B25ED0"/>
    <w:rsid w:val="00B260B1"/>
    <w:rsid w:val="00B26144"/>
    <w:rsid w:val="00B26177"/>
    <w:rsid w:val="00B262A6"/>
    <w:rsid w:val="00B262DA"/>
    <w:rsid w:val="00B262E9"/>
    <w:rsid w:val="00B2635A"/>
    <w:rsid w:val="00B26361"/>
    <w:rsid w:val="00B26452"/>
    <w:rsid w:val="00B26544"/>
    <w:rsid w:val="00B26608"/>
    <w:rsid w:val="00B26651"/>
    <w:rsid w:val="00B267E1"/>
    <w:rsid w:val="00B2680C"/>
    <w:rsid w:val="00B26847"/>
    <w:rsid w:val="00B26A63"/>
    <w:rsid w:val="00B26B50"/>
    <w:rsid w:val="00B26D02"/>
    <w:rsid w:val="00B26FEA"/>
    <w:rsid w:val="00B27026"/>
    <w:rsid w:val="00B270A9"/>
    <w:rsid w:val="00B2715E"/>
    <w:rsid w:val="00B27253"/>
    <w:rsid w:val="00B2729F"/>
    <w:rsid w:val="00B273AA"/>
    <w:rsid w:val="00B273E5"/>
    <w:rsid w:val="00B274BA"/>
    <w:rsid w:val="00B274DB"/>
    <w:rsid w:val="00B275E8"/>
    <w:rsid w:val="00B275F3"/>
    <w:rsid w:val="00B2767F"/>
    <w:rsid w:val="00B27707"/>
    <w:rsid w:val="00B2775D"/>
    <w:rsid w:val="00B277B1"/>
    <w:rsid w:val="00B277E8"/>
    <w:rsid w:val="00B277F0"/>
    <w:rsid w:val="00B27923"/>
    <w:rsid w:val="00B27985"/>
    <w:rsid w:val="00B27BB8"/>
    <w:rsid w:val="00B27D08"/>
    <w:rsid w:val="00B27E27"/>
    <w:rsid w:val="00B27EE8"/>
    <w:rsid w:val="00B27F8B"/>
    <w:rsid w:val="00B30006"/>
    <w:rsid w:val="00B30077"/>
    <w:rsid w:val="00B30104"/>
    <w:rsid w:val="00B301DF"/>
    <w:rsid w:val="00B303D2"/>
    <w:rsid w:val="00B304A5"/>
    <w:rsid w:val="00B304D2"/>
    <w:rsid w:val="00B304F3"/>
    <w:rsid w:val="00B3058D"/>
    <w:rsid w:val="00B3065A"/>
    <w:rsid w:val="00B306D3"/>
    <w:rsid w:val="00B309F1"/>
    <w:rsid w:val="00B30A5B"/>
    <w:rsid w:val="00B30A87"/>
    <w:rsid w:val="00B30C80"/>
    <w:rsid w:val="00B30F5C"/>
    <w:rsid w:val="00B30F88"/>
    <w:rsid w:val="00B3105A"/>
    <w:rsid w:val="00B3107A"/>
    <w:rsid w:val="00B31190"/>
    <w:rsid w:val="00B31439"/>
    <w:rsid w:val="00B3149F"/>
    <w:rsid w:val="00B314C0"/>
    <w:rsid w:val="00B314F4"/>
    <w:rsid w:val="00B3161C"/>
    <w:rsid w:val="00B319B5"/>
    <w:rsid w:val="00B319F2"/>
    <w:rsid w:val="00B31C7B"/>
    <w:rsid w:val="00B31D11"/>
    <w:rsid w:val="00B31E3A"/>
    <w:rsid w:val="00B31E42"/>
    <w:rsid w:val="00B31F12"/>
    <w:rsid w:val="00B31F2F"/>
    <w:rsid w:val="00B321A0"/>
    <w:rsid w:val="00B321E7"/>
    <w:rsid w:val="00B322B3"/>
    <w:rsid w:val="00B32335"/>
    <w:rsid w:val="00B32551"/>
    <w:rsid w:val="00B3261F"/>
    <w:rsid w:val="00B32667"/>
    <w:rsid w:val="00B32722"/>
    <w:rsid w:val="00B3278E"/>
    <w:rsid w:val="00B328A9"/>
    <w:rsid w:val="00B328C4"/>
    <w:rsid w:val="00B32954"/>
    <w:rsid w:val="00B32981"/>
    <w:rsid w:val="00B32A7D"/>
    <w:rsid w:val="00B32AAA"/>
    <w:rsid w:val="00B32C23"/>
    <w:rsid w:val="00B32C59"/>
    <w:rsid w:val="00B32D82"/>
    <w:rsid w:val="00B32EA7"/>
    <w:rsid w:val="00B32F39"/>
    <w:rsid w:val="00B32FBB"/>
    <w:rsid w:val="00B33019"/>
    <w:rsid w:val="00B33023"/>
    <w:rsid w:val="00B33331"/>
    <w:rsid w:val="00B3348E"/>
    <w:rsid w:val="00B335A4"/>
    <w:rsid w:val="00B335EA"/>
    <w:rsid w:val="00B33674"/>
    <w:rsid w:val="00B336EC"/>
    <w:rsid w:val="00B337B4"/>
    <w:rsid w:val="00B33809"/>
    <w:rsid w:val="00B3383E"/>
    <w:rsid w:val="00B338DA"/>
    <w:rsid w:val="00B33AA1"/>
    <w:rsid w:val="00B33B26"/>
    <w:rsid w:val="00B33C11"/>
    <w:rsid w:val="00B33CCA"/>
    <w:rsid w:val="00B33DB4"/>
    <w:rsid w:val="00B33EAF"/>
    <w:rsid w:val="00B34068"/>
    <w:rsid w:val="00B34257"/>
    <w:rsid w:val="00B343ED"/>
    <w:rsid w:val="00B344A6"/>
    <w:rsid w:val="00B3458C"/>
    <w:rsid w:val="00B345DD"/>
    <w:rsid w:val="00B34842"/>
    <w:rsid w:val="00B348B8"/>
    <w:rsid w:val="00B349F3"/>
    <w:rsid w:val="00B34B2A"/>
    <w:rsid w:val="00B34D3F"/>
    <w:rsid w:val="00B34D4D"/>
    <w:rsid w:val="00B34DF1"/>
    <w:rsid w:val="00B34ECF"/>
    <w:rsid w:val="00B34F23"/>
    <w:rsid w:val="00B34FE2"/>
    <w:rsid w:val="00B35191"/>
    <w:rsid w:val="00B352C8"/>
    <w:rsid w:val="00B35366"/>
    <w:rsid w:val="00B35631"/>
    <w:rsid w:val="00B356D4"/>
    <w:rsid w:val="00B35B29"/>
    <w:rsid w:val="00B35B8C"/>
    <w:rsid w:val="00B35C3F"/>
    <w:rsid w:val="00B35C96"/>
    <w:rsid w:val="00B35E3F"/>
    <w:rsid w:val="00B35E93"/>
    <w:rsid w:val="00B35F4F"/>
    <w:rsid w:val="00B35FE3"/>
    <w:rsid w:val="00B3607D"/>
    <w:rsid w:val="00B36185"/>
    <w:rsid w:val="00B361BF"/>
    <w:rsid w:val="00B362F4"/>
    <w:rsid w:val="00B363CC"/>
    <w:rsid w:val="00B36414"/>
    <w:rsid w:val="00B3642A"/>
    <w:rsid w:val="00B364DA"/>
    <w:rsid w:val="00B36606"/>
    <w:rsid w:val="00B366B7"/>
    <w:rsid w:val="00B3679F"/>
    <w:rsid w:val="00B36823"/>
    <w:rsid w:val="00B36A08"/>
    <w:rsid w:val="00B36A0B"/>
    <w:rsid w:val="00B36ADA"/>
    <w:rsid w:val="00B36AF5"/>
    <w:rsid w:val="00B36C46"/>
    <w:rsid w:val="00B36CAE"/>
    <w:rsid w:val="00B36D7B"/>
    <w:rsid w:val="00B36DCB"/>
    <w:rsid w:val="00B36DD4"/>
    <w:rsid w:val="00B36F7A"/>
    <w:rsid w:val="00B36FB7"/>
    <w:rsid w:val="00B36FC9"/>
    <w:rsid w:val="00B372FC"/>
    <w:rsid w:val="00B375AF"/>
    <w:rsid w:val="00B376EB"/>
    <w:rsid w:val="00B37728"/>
    <w:rsid w:val="00B379D2"/>
    <w:rsid w:val="00B379FA"/>
    <w:rsid w:val="00B37A03"/>
    <w:rsid w:val="00B37C5E"/>
    <w:rsid w:val="00B37D3F"/>
    <w:rsid w:val="00B37D46"/>
    <w:rsid w:val="00B37D5D"/>
    <w:rsid w:val="00B37EA0"/>
    <w:rsid w:val="00B37FB1"/>
    <w:rsid w:val="00B4006B"/>
    <w:rsid w:val="00B400A7"/>
    <w:rsid w:val="00B40389"/>
    <w:rsid w:val="00B40446"/>
    <w:rsid w:val="00B4045B"/>
    <w:rsid w:val="00B404BC"/>
    <w:rsid w:val="00B407B1"/>
    <w:rsid w:val="00B408C1"/>
    <w:rsid w:val="00B408CA"/>
    <w:rsid w:val="00B4091E"/>
    <w:rsid w:val="00B40999"/>
    <w:rsid w:val="00B409FC"/>
    <w:rsid w:val="00B40A38"/>
    <w:rsid w:val="00B40B22"/>
    <w:rsid w:val="00B40C70"/>
    <w:rsid w:val="00B40C9D"/>
    <w:rsid w:val="00B40D3D"/>
    <w:rsid w:val="00B41061"/>
    <w:rsid w:val="00B41459"/>
    <w:rsid w:val="00B41478"/>
    <w:rsid w:val="00B414B1"/>
    <w:rsid w:val="00B41511"/>
    <w:rsid w:val="00B4178E"/>
    <w:rsid w:val="00B417C6"/>
    <w:rsid w:val="00B417F8"/>
    <w:rsid w:val="00B418AF"/>
    <w:rsid w:val="00B4192B"/>
    <w:rsid w:val="00B41931"/>
    <w:rsid w:val="00B41971"/>
    <w:rsid w:val="00B41A52"/>
    <w:rsid w:val="00B41AA2"/>
    <w:rsid w:val="00B41CB1"/>
    <w:rsid w:val="00B41D08"/>
    <w:rsid w:val="00B41FAB"/>
    <w:rsid w:val="00B41FC2"/>
    <w:rsid w:val="00B4208A"/>
    <w:rsid w:val="00B420F0"/>
    <w:rsid w:val="00B42146"/>
    <w:rsid w:val="00B4219E"/>
    <w:rsid w:val="00B421B4"/>
    <w:rsid w:val="00B42298"/>
    <w:rsid w:val="00B422DA"/>
    <w:rsid w:val="00B423D9"/>
    <w:rsid w:val="00B423FC"/>
    <w:rsid w:val="00B4244F"/>
    <w:rsid w:val="00B424D5"/>
    <w:rsid w:val="00B42580"/>
    <w:rsid w:val="00B42634"/>
    <w:rsid w:val="00B42689"/>
    <w:rsid w:val="00B427B4"/>
    <w:rsid w:val="00B428FB"/>
    <w:rsid w:val="00B42908"/>
    <w:rsid w:val="00B42ACD"/>
    <w:rsid w:val="00B42C27"/>
    <w:rsid w:val="00B42D53"/>
    <w:rsid w:val="00B42DF4"/>
    <w:rsid w:val="00B42EF3"/>
    <w:rsid w:val="00B43032"/>
    <w:rsid w:val="00B43097"/>
    <w:rsid w:val="00B4315A"/>
    <w:rsid w:val="00B43279"/>
    <w:rsid w:val="00B432A4"/>
    <w:rsid w:val="00B432AA"/>
    <w:rsid w:val="00B434B1"/>
    <w:rsid w:val="00B4350D"/>
    <w:rsid w:val="00B43720"/>
    <w:rsid w:val="00B437C1"/>
    <w:rsid w:val="00B437F4"/>
    <w:rsid w:val="00B43876"/>
    <w:rsid w:val="00B438A6"/>
    <w:rsid w:val="00B438A7"/>
    <w:rsid w:val="00B4393B"/>
    <w:rsid w:val="00B4396D"/>
    <w:rsid w:val="00B43979"/>
    <w:rsid w:val="00B43A2A"/>
    <w:rsid w:val="00B43A2F"/>
    <w:rsid w:val="00B43A4E"/>
    <w:rsid w:val="00B43CE6"/>
    <w:rsid w:val="00B43D07"/>
    <w:rsid w:val="00B43D2D"/>
    <w:rsid w:val="00B43DAD"/>
    <w:rsid w:val="00B43E21"/>
    <w:rsid w:val="00B4412E"/>
    <w:rsid w:val="00B442C9"/>
    <w:rsid w:val="00B444D7"/>
    <w:rsid w:val="00B447FF"/>
    <w:rsid w:val="00B4484F"/>
    <w:rsid w:val="00B4489B"/>
    <w:rsid w:val="00B44961"/>
    <w:rsid w:val="00B449E1"/>
    <w:rsid w:val="00B449E3"/>
    <w:rsid w:val="00B44A23"/>
    <w:rsid w:val="00B44B54"/>
    <w:rsid w:val="00B44B6C"/>
    <w:rsid w:val="00B44C83"/>
    <w:rsid w:val="00B44C87"/>
    <w:rsid w:val="00B44D83"/>
    <w:rsid w:val="00B44DB5"/>
    <w:rsid w:val="00B44DD3"/>
    <w:rsid w:val="00B44E0C"/>
    <w:rsid w:val="00B44E15"/>
    <w:rsid w:val="00B44EA9"/>
    <w:rsid w:val="00B44F6E"/>
    <w:rsid w:val="00B45185"/>
    <w:rsid w:val="00B45371"/>
    <w:rsid w:val="00B4542C"/>
    <w:rsid w:val="00B454CD"/>
    <w:rsid w:val="00B4552D"/>
    <w:rsid w:val="00B455C5"/>
    <w:rsid w:val="00B45697"/>
    <w:rsid w:val="00B45806"/>
    <w:rsid w:val="00B459D6"/>
    <w:rsid w:val="00B45A68"/>
    <w:rsid w:val="00B45AF2"/>
    <w:rsid w:val="00B45BF7"/>
    <w:rsid w:val="00B45C0E"/>
    <w:rsid w:val="00B45CC7"/>
    <w:rsid w:val="00B45DB4"/>
    <w:rsid w:val="00B45DFA"/>
    <w:rsid w:val="00B45ED3"/>
    <w:rsid w:val="00B45F1D"/>
    <w:rsid w:val="00B45FB8"/>
    <w:rsid w:val="00B45FC8"/>
    <w:rsid w:val="00B45FFC"/>
    <w:rsid w:val="00B46201"/>
    <w:rsid w:val="00B4621E"/>
    <w:rsid w:val="00B4625B"/>
    <w:rsid w:val="00B462A5"/>
    <w:rsid w:val="00B464BC"/>
    <w:rsid w:val="00B46634"/>
    <w:rsid w:val="00B4668B"/>
    <w:rsid w:val="00B4678F"/>
    <w:rsid w:val="00B4682E"/>
    <w:rsid w:val="00B46938"/>
    <w:rsid w:val="00B469D9"/>
    <w:rsid w:val="00B46AAA"/>
    <w:rsid w:val="00B46BF3"/>
    <w:rsid w:val="00B46C32"/>
    <w:rsid w:val="00B46C4D"/>
    <w:rsid w:val="00B46CF6"/>
    <w:rsid w:val="00B46D06"/>
    <w:rsid w:val="00B46D08"/>
    <w:rsid w:val="00B46E48"/>
    <w:rsid w:val="00B46EA6"/>
    <w:rsid w:val="00B46EEB"/>
    <w:rsid w:val="00B46EFE"/>
    <w:rsid w:val="00B46F70"/>
    <w:rsid w:val="00B470C2"/>
    <w:rsid w:val="00B471C7"/>
    <w:rsid w:val="00B473FF"/>
    <w:rsid w:val="00B474DB"/>
    <w:rsid w:val="00B47B36"/>
    <w:rsid w:val="00B47B92"/>
    <w:rsid w:val="00B47C9D"/>
    <w:rsid w:val="00B47EE3"/>
    <w:rsid w:val="00B50075"/>
    <w:rsid w:val="00B500F4"/>
    <w:rsid w:val="00B50382"/>
    <w:rsid w:val="00B50476"/>
    <w:rsid w:val="00B50564"/>
    <w:rsid w:val="00B50705"/>
    <w:rsid w:val="00B50712"/>
    <w:rsid w:val="00B50797"/>
    <w:rsid w:val="00B507CB"/>
    <w:rsid w:val="00B50813"/>
    <w:rsid w:val="00B50847"/>
    <w:rsid w:val="00B508C8"/>
    <w:rsid w:val="00B50A54"/>
    <w:rsid w:val="00B50AD4"/>
    <w:rsid w:val="00B50CF4"/>
    <w:rsid w:val="00B50D23"/>
    <w:rsid w:val="00B50F9A"/>
    <w:rsid w:val="00B510A3"/>
    <w:rsid w:val="00B5115A"/>
    <w:rsid w:val="00B51202"/>
    <w:rsid w:val="00B512F9"/>
    <w:rsid w:val="00B51361"/>
    <w:rsid w:val="00B51609"/>
    <w:rsid w:val="00B5180E"/>
    <w:rsid w:val="00B51862"/>
    <w:rsid w:val="00B518A4"/>
    <w:rsid w:val="00B518C8"/>
    <w:rsid w:val="00B51906"/>
    <w:rsid w:val="00B51A19"/>
    <w:rsid w:val="00B51A9A"/>
    <w:rsid w:val="00B51B40"/>
    <w:rsid w:val="00B51B67"/>
    <w:rsid w:val="00B51B69"/>
    <w:rsid w:val="00B51C07"/>
    <w:rsid w:val="00B51C83"/>
    <w:rsid w:val="00B51CFE"/>
    <w:rsid w:val="00B51EFB"/>
    <w:rsid w:val="00B51F8D"/>
    <w:rsid w:val="00B51F93"/>
    <w:rsid w:val="00B5207E"/>
    <w:rsid w:val="00B523E0"/>
    <w:rsid w:val="00B5243B"/>
    <w:rsid w:val="00B5247A"/>
    <w:rsid w:val="00B52538"/>
    <w:rsid w:val="00B5265C"/>
    <w:rsid w:val="00B52666"/>
    <w:rsid w:val="00B52670"/>
    <w:rsid w:val="00B526FD"/>
    <w:rsid w:val="00B52711"/>
    <w:rsid w:val="00B527A9"/>
    <w:rsid w:val="00B52841"/>
    <w:rsid w:val="00B52871"/>
    <w:rsid w:val="00B52A8C"/>
    <w:rsid w:val="00B52AE4"/>
    <w:rsid w:val="00B52B91"/>
    <w:rsid w:val="00B52BF6"/>
    <w:rsid w:val="00B52D89"/>
    <w:rsid w:val="00B52EBF"/>
    <w:rsid w:val="00B52F46"/>
    <w:rsid w:val="00B5306B"/>
    <w:rsid w:val="00B530CA"/>
    <w:rsid w:val="00B531BF"/>
    <w:rsid w:val="00B5338B"/>
    <w:rsid w:val="00B533DA"/>
    <w:rsid w:val="00B534A7"/>
    <w:rsid w:val="00B536BC"/>
    <w:rsid w:val="00B537C3"/>
    <w:rsid w:val="00B53833"/>
    <w:rsid w:val="00B53847"/>
    <w:rsid w:val="00B53A10"/>
    <w:rsid w:val="00B53C03"/>
    <w:rsid w:val="00B53D67"/>
    <w:rsid w:val="00B53F14"/>
    <w:rsid w:val="00B53F51"/>
    <w:rsid w:val="00B53F55"/>
    <w:rsid w:val="00B54047"/>
    <w:rsid w:val="00B54051"/>
    <w:rsid w:val="00B540B9"/>
    <w:rsid w:val="00B541C7"/>
    <w:rsid w:val="00B54205"/>
    <w:rsid w:val="00B54263"/>
    <w:rsid w:val="00B542B8"/>
    <w:rsid w:val="00B5436D"/>
    <w:rsid w:val="00B54380"/>
    <w:rsid w:val="00B544FE"/>
    <w:rsid w:val="00B5450E"/>
    <w:rsid w:val="00B545B4"/>
    <w:rsid w:val="00B546A1"/>
    <w:rsid w:val="00B54761"/>
    <w:rsid w:val="00B54981"/>
    <w:rsid w:val="00B549DB"/>
    <w:rsid w:val="00B549DC"/>
    <w:rsid w:val="00B54A63"/>
    <w:rsid w:val="00B54AA6"/>
    <w:rsid w:val="00B54CD7"/>
    <w:rsid w:val="00B54D15"/>
    <w:rsid w:val="00B54D77"/>
    <w:rsid w:val="00B54E22"/>
    <w:rsid w:val="00B54E97"/>
    <w:rsid w:val="00B54EC4"/>
    <w:rsid w:val="00B54F1E"/>
    <w:rsid w:val="00B54F66"/>
    <w:rsid w:val="00B54FA9"/>
    <w:rsid w:val="00B54FD6"/>
    <w:rsid w:val="00B55189"/>
    <w:rsid w:val="00B5524A"/>
    <w:rsid w:val="00B5539A"/>
    <w:rsid w:val="00B553C8"/>
    <w:rsid w:val="00B553CF"/>
    <w:rsid w:val="00B55430"/>
    <w:rsid w:val="00B555DE"/>
    <w:rsid w:val="00B55942"/>
    <w:rsid w:val="00B5598A"/>
    <w:rsid w:val="00B55999"/>
    <w:rsid w:val="00B55B4C"/>
    <w:rsid w:val="00B55C30"/>
    <w:rsid w:val="00B55D7B"/>
    <w:rsid w:val="00B55DEF"/>
    <w:rsid w:val="00B55F59"/>
    <w:rsid w:val="00B55FC1"/>
    <w:rsid w:val="00B56017"/>
    <w:rsid w:val="00B56175"/>
    <w:rsid w:val="00B561CF"/>
    <w:rsid w:val="00B561DC"/>
    <w:rsid w:val="00B56202"/>
    <w:rsid w:val="00B562AD"/>
    <w:rsid w:val="00B56523"/>
    <w:rsid w:val="00B56560"/>
    <w:rsid w:val="00B5660D"/>
    <w:rsid w:val="00B5682F"/>
    <w:rsid w:val="00B5698A"/>
    <w:rsid w:val="00B56A19"/>
    <w:rsid w:val="00B56B27"/>
    <w:rsid w:val="00B56BCC"/>
    <w:rsid w:val="00B56BE7"/>
    <w:rsid w:val="00B56C08"/>
    <w:rsid w:val="00B56C70"/>
    <w:rsid w:val="00B56DD6"/>
    <w:rsid w:val="00B56EB0"/>
    <w:rsid w:val="00B56F0B"/>
    <w:rsid w:val="00B57008"/>
    <w:rsid w:val="00B57017"/>
    <w:rsid w:val="00B5708F"/>
    <w:rsid w:val="00B571D8"/>
    <w:rsid w:val="00B57224"/>
    <w:rsid w:val="00B57301"/>
    <w:rsid w:val="00B57304"/>
    <w:rsid w:val="00B5773C"/>
    <w:rsid w:val="00B57763"/>
    <w:rsid w:val="00B577B9"/>
    <w:rsid w:val="00B57842"/>
    <w:rsid w:val="00B5789E"/>
    <w:rsid w:val="00B5792A"/>
    <w:rsid w:val="00B579AD"/>
    <w:rsid w:val="00B57A25"/>
    <w:rsid w:val="00B57B7C"/>
    <w:rsid w:val="00B57FD1"/>
    <w:rsid w:val="00B57FF4"/>
    <w:rsid w:val="00B6018D"/>
    <w:rsid w:val="00B60206"/>
    <w:rsid w:val="00B602C5"/>
    <w:rsid w:val="00B603DC"/>
    <w:rsid w:val="00B60410"/>
    <w:rsid w:val="00B6051B"/>
    <w:rsid w:val="00B6067C"/>
    <w:rsid w:val="00B60736"/>
    <w:rsid w:val="00B6074F"/>
    <w:rsid w:val="00B60801"/>
    <w:rsid w:val="00B60A0A"/>
    <w:rsid w:val="00B60A4E"/>
    <w:rsid w:val="00B60A8E"/>
    <w:rsid w:val="00B60BF4"/>
    <w:rsid w:val="00B60C0C"/>
    <w:rsid w:val="00B60ECD"/>
    <w:rsid w:val="00B60F6B"/>
    <w:rsid w:val="00B61017"/>
    <w:rsid w:val="00B61031"/>
    <w:rsid w:val="00B61087"/>
    <w:rsid w:val="00B61165"/>
    <w:rsid w:val="00B611C4"/>
    <w:rsid w:val="00B61235"/>
    <w:rsid w:val="00B61349"/>
    <w:rsid w:val="00B614C7"/>
    <w:rsid w:val="00B61622"/>
    <w:rsid w:val="00B616DA"/>
    <w:rsid w:val="00B61738"/>
    <w:rsid w:val="00B618A3"/>
    <w:rsid w:val="00B6199F"/>
    <w:rsid w:val="00B61C8F"/>
    <w:rsid w:val="00B61EDF"/>
    <w:rsid w:val="00B6231B"/>
    <w:rsid w:val="00B6234A"/>
    <w:rsid w:val="00B623B6"/>
    <w:rsid w:val="00B62490"/>
    <w:rsid w:val="00B62519"/>
    <w:rsid w:val="00B62525"/>
    <w:rsid w:val="00B626D9"/>
    <w:rsid w:val="00B62725"/>
    <w:rsid w:val="00B6276B"/>
    <w:rsid w:val="00B627D3"/>
    <w:rsid w:val="00B627E7"/>
    <w:rsid w:val="00B62856"/>
    <w:rsid w:val="00B62913"/>
    <w:rsid w:val="00B62B6B"/>
    <w:rsid w:val="00B62C51"/>
    <w:rsid w:val="00B62F79"/>
    <w:rsid w:val="00B62FC7"/>
    <w:rsid w:val="00B6300E"/>
    <w:rsid w:val="00B63265"/>
    <w:rsid w:val="00B632B3"/>
    <w:rsid w:val="00B6335A"/>
    <w:rsid w:val="00B63594"/>
    <w:rsid w:val="00B635D8"/>
    <w:rsid w:val="00B63614"/>
    <w:rsid w:val="00B63893"/>
    <w:rsid w:val="00B6395B"/>
    <w:rsid w:val="00B63A31"/>
    <w:rsid w:val="00B63A76"/>
    <w:rsid w:val="00B63B4A"/>
    <w:rsid w:val="00B63C6E"/>
    <w:rsid w:val="00B63D13"/>
    <w:rsid w:val="00B640C4"/>
    <w:rsid w:val="00B642B7"/>
    <w:rsid w:val="00B642E9"/>
    <w:rsid w:val="00B642F7"/>
    <w:rsid w:val="00B644B6"/>
    <w:rsid w:val="00B645CA"/>
    <w:rsid w:val="00B645FC"/>
    <w:rsid w:val="00B64985"/>
    <w:rsid w:val="00B649F6"/>
    <w:rsid w:val="00B64A07"/>
    <w:rsid w:val="00B64A22"/>
    <w:rsid w:val="00B64ACD"/>
    <w:rsid w:val="00B64AF2"/>
    <w:rsid w:val="00B64C5A"/>
    <w:rsid w:val="00B64DDE"/>
    <w:rsid w:val="00B64EE4"/>
    <w:rsid w:val="00B65006"/>
    <w:rsid w:val="00B65085"/>
    <w:rsid w:val="00B6509A"/>
    <w:rsid w:val="00B650A2"/>
    <w:rsid w:val="00B65150"/>
    <w:rsid w:val="00B65166"/>
    <w:rsid w:val="00B6531E"/>
    <w:rsid w:val="00B653C5"/>
    <w:rsid w:val="00B65472"/>
    <w:rsid w:val="00B654D3"/>
    <w:rsid w:val="00B654E3"/>
    <w:rsid w:val="00B65682"/>
    <w:rsid w:val="00B65784"/>
    <w:rsid w:val="00B65878"/>
    <w:rsid w:val="00B65886"/>
    <w:rsid w:val="00B65890"/>
    <w:rsid w:val="00B658D7"/>
    <w:rsid w:val="00B65974"/>
    <w:rsid w:val="00B659F2"/>
    <w:rsid w:val="00B65A4B"/>
    <w:rsid w:val="00B65A92"/>
    <w:rsid w:val="00B65BA0"/>
    <w:rsid w:val="00B65BD1"/>
    <w:rsid w:val="00B65BF6"/>
    <w:rsid w:val="00B65E5B"/>
    <w:rsid w:val="00B6605E"/>
    <w:rsid w:val="00B660BD"/>
    <w:rsid w:val="00B660ED"/>
    <w:rsid w:val="00B6615A"/>
    <w:rsid w:val="00B661A4"/>
    <w:rsid w:val="00B6624B"/>
    <w:rsid w:val="00B66476"/>
    <w:rsid w:val="00B665F3"/>
    <w:rsid w:val="00B667D0"/>
    <w:rsid w:val="00B66907"/>
    <w:rsid w:val="00B6697F"/>
    <w:rsid w:val="00B669CD"/>
    <w:rsid w:val="00B66A0D"/>
    <w:rsid w:val="00B66AA2"/>
    <w:rsid w:val="00B66AED"/>
    <w:rsid w:val="00B66C28"/>
    <w:rsid w:val="00B66C59"/>
    <w:rsid w:val="00B66D26"/>
    <w:rsid w:val="00B66D96"/>
    <w:rsid w:val="00B66EC1"/>
    <w:rsid w:val="00B66EDB"/>
    <w:rsid w:val="00B66EE1"/>
    <w:rsid w:val="00B66EF2"/>
    <w:rsid w:val="00B67002"/>
    <w:rsid w:val="00B6705A"/>
    <w:rsid w:val="00B670B4"/>
    <w:rsid w:val="00B67233"/>
    <w:rsid w:val="00B6725E"/>
    <w:rsid w:val="00B672C8"/>
    <w:rsid w:val="00B673AD"/>
    <w:rsid w:val="00B67552"/>
    <w:rsid w:val="00B675AF"/>
    <w:rsid w:val="00B675B4"/>
    <w:rsid w:val="00B67641"/>
    <w:rsid w:val="00B676E9"/>
    <w:rsid w:val="00B677A2"/>
    <w:rsid w:val="00B67858"/>
    <w:rsid w:val="00B67904"/>
    <w:rsid w:val="00B679F8"/>
    <w:rsid w:val="00B67A81"/>
    <w:rsid w:val="00B67BB9"/>
    <w:rsid w:val="00B67F47"/>
    <w:rsid w:val="00B67FC0"/>
    <w:rsid w:val="00B700FA"/>
    <w:rsid w:val="00B702D2"/>
    <w:rsid w:val="00B7057A"/>
    <w:rsid w:val="00B705DB"/>
    <w:rsid w:val="00B706F4"/>
    <w:rsid w:val="00B708CA"/>
    <w:rsid w:val="00B708D5"/>
    <w:rsid w:val="00B70B14"/>
    <w:rsid w:val="00B70BEF"/>
    <w:rsid w:val="00B70C09"/>
    <w:rsid w:val="00B70C37"/>
    <w:rsid w:val="00B70E2B"/>
    <w:rsid w:val="00B70E9B"/>
    <w:rsid w:val="00B70EB3"/>
    <w:rsid w:val="00B70F22"/>
    <w:rsid w:val="00B7105A"/>
    <w:rsid w:val="00B71117"/>
    <w:rsid w:val="00B71129"/>
    <w:rsid w:val="00B7115F"/>
    <w:rsid w:val="00B712A0"/>
    <w:rsid w:val="00B712E3"/>
    <w:rsid w:val="00B71321"/>
    <w:rsid w:val="00B713E9"/>
    <w:rsid w:val="00B7162E"/>
    <w:rsid w:val="00B71752"/>
    <w:rsid w:val="00B7181B"/>
    <w:rsid w:val="00B7194A"/>
    <w:rsid w:val="00B71A68"/>
    <w:rsid w:val="00B71B54"/>
    <w:rsid w:val="00B71C02"/>
    <w:rsid w:val="00B71CB5"/>
    <w:rsid w:val="00B71CE2"/>
    <w:rsid w:val="00B71D7A"/>
    <w:rsid w:val="00B71DC8"/>
    <w:rsid w:val="00B72244"/>
    <w:rsid w:val="00B72415"/>
    <w:rsid w:val="00B726A9"/>
    <w:rsid w:val="00B72774"/>
    <w:rsid w:val="00B72874"/>
    <w:rsid w:val="00B7288C"/>
    <w:rsid w:val="00B728FE"/>
    <w:rsid w:val="00B72C9C"/>
    <w:rsid w:val="00B72D8A"/>
    <w:rsid w:val="00B72E89"/>
    <w:rsid w:val="00B72FB2"/>
    <w:rsid w:val="00B73135"/>
    <w:rsid w:val="00B7315B"/>
    <w:rsid w:val="00B73291"/>
    <w:rsid w:val="00B73447"/>
    <w:rsid w:val="00B73510"/>
    <w:rsid w:val="00B7365A"/>
    <w:rsid w:val="00B73690"/>
    <w:rsid w:val="00B73714"/>
    <w:rsid w:val="00B73871"/>
    <w:rsid w:val="00B73A1C"/>
    <w:rsid w:val="00B73B84"/>
    <w:rsid w:val="00B73C32"/>
    <w:rsid w:val="00B73C38"/>
    <w:rsid w:val="00B73E48"/>
    <w:rsid w:val="00B73EB2"/>
    <w:rsid w:val="00B73EF0"/>
    <w:rsid w:val="00B73F8B"/>
    <w:rsid w:val="00B74261"/>
    <w:rsid w:val="00B74348"/>
    <w:rsid w:val="00B743AF"/>
    <w:rsid w:val="00B74434"/>
    <w:rsid w:val="00B74462"/>
    <w:rsid w:val="00B74672"/>
    <w:rsid w:val="00B746E1"/>
    <w:rsid w:val="00B74805"/>
    <w:rsid w:val="00B74963"/>
    <w:rsid w:val="00B74C87"/>
    <w:rsid w:val="00B74E02"/>
    <w:rsid w:val="00B74EC1"/>
    <w:rsid w:val="00B74ECA"/>
    <w:rsid w:val="00B74EE4"/>
    <w:rsid w:val="00B74F69"/>
    <w:rsid w:val="00B7501D"/>
    <w:rsid w:val="00B75091"/>
    <w:rsid w:val="00B75266"/>
    <w:rsid w:val="00B75437"/>
    <w:rsid w:val="00B75519"/>
    <w:rsid w:val="00B756D6"/>
    <w:rsid w:val="00B756DE"/>
    <w:rsid w:val="00B757C7"/>
    <w:rsid w:val="00B7582B"/>
    <w:rsid w:val="00B75830"/>
    <w:rsid w:val="00B75A14"/>
    <w:rsid w:val="00B75B0D"/>
    <w:rsid w:val="00B75BB9"/>
    <w:rsid w:val="00B75C13"/>
    <w:rsid w:val="00B75C50"/>
    <w:rsid w:val="00B75D40"/>
    <w:rsid w:val="00B75EA2"/>
    <w:rsid w:val="00B75F9D"/>
    <w:rsid w:val="00B76047"/>
    <w:rsid w:val="00B761D5"/>
    <w:rsid w:val="00B76269"/>
    <w:rsid w:val="00B762F4"/>
    <w:rsid w:val="00B7634D"/>
    <w:rsid w:val="00B76364"/>
    <w:rsid w:val="00B764D4"/>
    <w:rsid w:val="00B765D6"/>
    <w:rsid w:val="00B7672F"/>
    <w:rsid w:val="00B7678D"/>
    <w:rsid w:val="00B76874"/>
    <w:rsid w:val="00B768AF"/>
    <w:rsid w:val="00B768F6"/>
    <w:rsid w:val="00B769D9"/>
    <w:rsid w:val="00B76A7E"/>
    <w:rsid w:val="00B76AD2"/>
    <w:rsid w:val="00B76B4C"/>
    <w:rsid w:val="00B76BCB"/>
    <w:rsid w:val="00B76BCD"/>
    <w:rsid w:val="00B76CB5"/>
    <w:rsid w:val="00B76D20"/>
    <w:rsid w:val="00B76D98"/>
    <w:rsid w:val="00B76E2C"/>
    <w:rsid w:val="00B76E9F"/>
    <w:rsid w:val="00B76ED8"/>
    <w:rsid w:val="00B76F84"/>
    <w:rsid w:val="00B77158"/>
    <w:rsid w:val="00B771B3"/>
    <w:rsid w:val="00B772AE"/>
    <w:rsid w:val="00B772D9"/>
    <w:rsid w:val="00B7750B"/>
    <w:rsid w:val="00B775CD"/>
    <w:rsid w:val="00B77741"/>
    <w:rsid w:val="00B77775"/>
    <w:rsid w:val="00B7785A"/>
    <w:rsid w:val="00B7789C"/>
    <w:rsid w:val="00B778D1"/>
    <w:rsid w:val="00B77941"/>
    <w:rsid w:val="00B779DC"/>
    <w:rsid w:val="00B779EE"/>
    <w:rsid w:val="00B77A2A"/>
    <w:rsid w:val="00B77B2D"/>
    <w:rsid w:val="00B77B76"/>
    <w:rsid w:val="00B77C11"/>
    <w:rsid w:val="00B77D10"/>
    <w:rsid w:val="00B77DE3"/>
    <w:rsid w:val="00B800EF"/>
    <w:rsid w:val="00B80106"/>
    <w:rsid w:val="00B8014B"/>
    <w:rsid w:val="00B80360"/>
    <w:rsid w:val="00B80427"/>
    <w:rsid w:val="00B8044A"/>
    <w:rsid w:val="00B804EE"/>
    <w:rsid w:val="00B8054B"/>
    <w:rsid w:val="00B80573"/>
    <w:rsid w:val="00B80648"/>
    <w:rsid w:val="00B806ED"/>
    <w:rsid w:val="00B807DE"/>
    <w:rsid w:val="00B80A45"/>
    <w:rsid w:val="00B80A8E"/>
    <w:rsid w:val="00B80B01"/>
    <w:rsid w:val="00B80B10"/>
    <w:rsid w:val="00B80B13"/>
    <w:rsid w:val="00B80B19"/>
    <w:rsid w:val="00B80BA0"/>
    <w:rsid w:val="00B80D75"/>
    <w:rsid w:val="00B80EA0"/>
    <w:rsid w:val="00B80EAA"/>
    <w:rsid w:val="00B80F07"/>
    <w:rsid w:val="00B80F63"/>
    <w:rsid w:val="00B81027"/>
    <w:rsid w:val="00B8108C"/>
    <w:rsid w:val="00B8109B"/>
    <w:rsid w:val="00B8119B"/>
    <w:rsid w:val="00B81234"/>
    <w:rsid w:val="00B81315"/>
    <w:rsid w:val="00B8163C"/>
    <w:rsid w:val="00B81707"/>
    <w:rsid w:val="00B8178A"/>
    <w:rsid w:val="00B817C0"/>
    <w:rsid w:val="00B819DD"/>
    <w:rsid w:val="00B81AE1"/>
    <w:rsid w:val="00B81BA0"/>
    <w:rsid w:val="00B81BAC"/>
    <w:rsid w:val="00B81BB2"/>
    <w:rsid w:val="00B81CA5"/>
    <w:rsid w:val="00B81E6D"/>
    <w:rsid w:val="00B81FE7"/>
    <w:rsid w:val="00B8202B"/>
    <w:rsid w:val="00B8212B"/>
    <w:rsid w:val="00B82295"/>
    <w:rsid w:val="00B822FA"/>
    <w:rsid w:val="00B8238E"/>
    <w:rsid w:val="00B82396"/>
    <w:rsid w:val="00B82403"/>
    <w:rsid w:val="00B82450"/>
    <w:rsid w:val="00B824E1"/>
    <w:rsid w:val="00B824E3"/>
    <w:rsid w:val="00B825FC"/>
    <w:rsid w:val="00B826A8"/>
    <w:rsid w:val="00B826B9"/>
    <w:rsid w:val="00B826BF"/>
    <w:rsid w:val="00B826F8"/>
    <w:rsid w:val="00B828F5"/>
    <w:rsid w:val="00B82900"/>
    <w:rsid w:val="00B82C40"/>
    <w:rsid w:val="00B82D53"/>
    <w:rsid w:val="00B82E7C"/>
    <w:rsid w:val="00B82E8B"/>
    <w:rsid w:val="00B82F17"/>
    <w:rsid w:val="00B83256"/>
    <w:rsid w:val="00B8332F"/>
    <w:rsid w:val="00B833B2"/>
    <w:rsid w:val="00B83666"/>
    <w:rsid w:val="00B836BD"/>
    <w:rsid w:val="00B83782"/>
    <w:rsid w:val="00B83846"/>
    <w:rsid w:val="00B8385D"/>
    <w:rsid w:val="00B83BA0"/>
    <w:rsid w:val="00B83C96"/>
    <w:rsid w:val="00B83CED"/>
    <w:rsid w:val="00B83E86"/>
    <w:rsid w:val="00B83F50"/>
    <w:rsid w:val="00B83FDE"/>
    <w:rsid w:val="00B841D0"/>
    <w:rsid w:val="00B841D4"/>
    <w:rsid w:val="00B842C6"/>
    <w:rsid w:val="00B84423"/>
    <w:rsid w:val="00B844F5"/>
    <w:rsid w:val="00B8460F"/>
    <w:rsid w:val="00B84641"/>
    <w:rsid w:val="00B847B4"/>
    <w:rsid w:val="00B8490E"/>
    <w:rsid w:val="00B84922"/>
    <w:rsid w:val="00B84A78"/>
    <w:rsid w:val="00B84AC9"/>
    <w:rsid w:val="00B84B18"/>
    <w:rsid w:val="00B84BC0"/>
    <w:rsid w:val="00B84FF6"/>
    <w:rsid w:val="00B851AA"/>
    <w:rsid w:val="00B85214"/>
    <w:rsid w:val="00B85497"/>
    <w:rsid w:val="00B854A0"/>
    <w:rsid w:val="00B85521"/>
    <w:rsid w:val="00B856E3"/>
    <w:rsid w:val="00B8580B"/>
    <w:rsid w:val="00B85834"/>
    <w:rsid w:val="00B85923"/>
    <w:rsid w:val="00B859EA"/>
    <w:rsid w:val="00B85AE1"/>
    <w:rsid w:val="00B85C04"/>
    <w:rsid w:val="00B85C05"/>
    <w:rsid w:val="00B85D61"/>
    <w:rsid w:val="00B85E82"/>
    <w:rsid w:val="00B86065"/>
    <w:rsid w:val="00B86158"/>
    <w:rsid w:val="00B8615B"/>
    <w:rsid w:val="00B86201"/>
    <w:rsid w:val="00B86211"/>
    <w:rsid w:val="00B86312"/>
    <w:rsid w:val="00B863F3"/>
    <w:rsid w:val="00B86478"/>
    <w:rsid w:val="00B864A4"/>
    <w:rsid w:val="00B86810"/>
    <w:rsid w:val="00B869ED"/>
    <w:rsid w:val="00B86ABA"/>
    <w:rsid w:val="00B86C56"/>
    <w:rsid w:val="00B86C82"/>
    <w:rsid w:val="00B86F3E"/>
    <w:rsid w:val="00B86FF9"/>
    <w:rsid w:val="00B873B4"/>
    <w:rsid w:val="00B87515"/>
    <w:rsid w:val="00B87542"/>
    <w:rsid w:val="00B87815"/>
    <w:rsid w:val="00B8787C"/>
    <w:rsid w:val="00B8789F"/>
    <w:rsid w:val="00B878AD"/>
    <w:rsid w:val="00B87996"/>
    <w:rsid w:val="00B879E1"/>
    <w:rsid w:val="00B87A03"/>
    <w:rsid w:val="00B87A6C"/>
    <w:rsid w:val="00B87B42"/>
    <w:rsid w:val="00B87BCA"/>
    <w:rsid w:val="00B87C51"/>
    <w:rsid w:val="00B87C54"/>
    <w:rsid w:val="00B87D30"/>
    <w:rsid w:val="00B87DF6"/>
    <w:rsid w:val="00B87EFA"/>
    <w:rsid w:val="00B87F6D"/>
    <w:rsid w:val="00B90041"/>
    <w:rsid w:val="00B90063"/>
    <w:rsid w:val="00B901F6"/>
    <w:rsid w:val="00B902B4"/>
    <w:rsid w:val="00B9037D"/>
    <w:rsid w:val="00B90522"/>
    <w:rsid w:val="00B90609"/>
    <w:rsid w:val="00B9062A"/>
    <w:rsid w:val="00B908E2"/>
    <w:rsid w:val="00B908EA"/>
    <w:rsid w:val="00B9092F"/>
    <w:rsid w:val="00B90AB9"/>
    <w:rsid w:val="00B90E75"/>
    <w:rsid w:val="00B90EC2"/>
    <w:rsid w:val="00B90F40"/>
    <w:rsid w:val="00B90F76"/>
    <w:rsid w:val="00B9109E"/>
    <w:rsid w:val="00B910F0"/>
    <w:rsid w:val="00B9122A"/>
    <w:rsid w:val="00B91239"/>
    <w:rsid w:val="00B912C4"/>
    <w:rsid w:val="00B912EC"/>
    <w:rsid w:val="00B9136B"/>
    <w:rsid w:val="00B91384"/>
    <w:rsid w:val="00B914E5"/>
    <w:rsid w:val="00B91519"/>
    <w:rsid w:val="00B9161D"/>
    <w:rsid w:val="00B9171A"/>
    <w:rsid w:val="00B918B6"/>
    <w:rsid w:val="00B9195C"/>
    <w:rsid w:val="00B9196E"/>
    <w:rsid w:val="00B91A56"/>
    <w:rsid w:val="00B91B8D"/>
    <w:rsid w:val="00B91BB6"/>
    <w:rsid w:val="00B91CB1"/>
    <w:rsid w:val="00B91D44"/>
    <w:rsid w:val="00B91D91"/>
    <w:rsid w:val="00B91DC6"/>
    <w:rsid w:val="00B91EC8"/>
    <w:rsid w:val="00B91ECF"/>
    <w:rsid w:val="00B91F26"/>
    <w:rsid w:val="00B91F2D"/>
    <w:rsid w:val="00B91F91"/>
    <w:rsid w:val="00B92039"/>
    <w:rsid w:val="00B92261"/>
    <w:rsid w:val="00B922B1"/>
    <w:rsid w:val="00B923B7"/>
    <w:rsid w:val="00B924BF"/>
    <w:rsid w:val="00B925DF"/>
    <w:rsid w:val="00B9274D"/>
    <w:rsid w:val="00B9275E"/>
    <w:rsid w:val="00B929C3"/>
    <w:rsid w:val="00B92A02"/>
    <w:rsid w:val="00B92AA3"/>
    <w:rsid w:val="00B92ABA"/>
    <w:rsid w:val="00B92ABE"/>
    <w:rsid w:val="00B92AC3"/>
    <w:rsid w:val="00B92CFA"/>
    <w:rsid w:val="00B92DC6"/>
    <w:rsid w:val="00B92DD8"/>
    <w:rsid w:val="00B92DE3"/>
    <w:rsid w:val="00B92DF9"/>
    <w:rsid w:val="00B931B6"/>
    <w:rsid w:val="00B9323D"/>
    <w:rsid w:val="00B932ED"/>
    <w:rsid w:val="00B9332E"/>
    <w:rsid w:val="00B9334D"/>
    <w:rsid w:val="00B933A4"/>
    <w:rsid w:val="00B933A7"/>
    <w:rsid w:val="00B933BF"/>
    <w:rsid w:val="00B934A6"/>
    <w:rsid w:val="00B93533"/>
    <w:rsid w:val="00B935CA"/>
    <w:rsid w:val="00B936EC"/>
    <w:rsid w:val="00B9378D"/>
    <w:rsid w:val="00B937D4"/>
    <w:rsid w:val="00B93863"/>
    <w:rsid w:val="00B93905"/>
    <w:rsid w:val="00B93A69"/>
    <w:rsid w:val="00B93C72"/>
    <w:rsid w:val="00B93FA0"/>
    <w:rsid w:val="00B940D4"/>
    <w:rsid w:val="00B940E4"/>
    <w:rsid w:val="00B940E9"/>
    <w:rsid w:val="00B94142"/>
    <w:rsid w:val="00B94232"/>
    <w:rsid w:val="00B94426"/>
    <w:rsid w:val="00B9443A"/>
    <w:rsid w:val="00B9452F"/>
    <w:rsid w:val="00B945DE"/>
    <w:rsid w:val="00B94819"/>
    <w:rsid w:val="00B94919"/>
    <w:rsid w:val="00B94A25"/>
    <w:rsid w:val="00B94A89"/>
    <w:rsid w:val="00B94B39"/>
    <w:rsid w:val="00B94CD7"/>
    <w:rsid w:val="00B94D29"/>
    <w:rsid w:val="00B94D36"/>
    <w:rsid w:val="00B94E1D"/>
    <w:rsid w:val="00B950FE"/>
    <w:rsid w:val="00B95131"/>
    <w:rsid w:val="00B95363"/>
    <w:rsid w:val="00B9536A"/>
    <w:rsid w:val="00B9541A"/>
    <w:rsid w:val="00B954E0"/>
    <w:rsid w:val="00B9566A"/>
    <w:rsid w:val="00B956D7"/>
    <w:rsid w:val="00B9575D"/>
    <w:rsid w:val="00B95779"/>
    <w:rsid w:val="00B958B0"/>
    <w:rsid w:val="00B95A26"/>
    <w:rsid w:val="00B95D9A"/>
    <w:rsid w:val="00B95DA9"/>
    <w:rsid w:val="00B95FB6"/>
    <w:rsid w:val="00B96073"/>
    <w:rsid w:val="00B96121"/>
    <w:rsid w:val="00B96265"/>
    <w:rsid w:val="00B962FF"/>
    <w:rsid w:val="00B9631F"/>
    <w:rsid w:val="00B96462"/>
    <w:rsid w:val="00B9650E"/>
    <w:rsid w:val="00B96723"/>
    <w:rsid w:val="00B967A4"/>
    <w:rsid w:val="00B969CD"/>
    <w:rsid w:val="00B969FF"/>
    <w:rsid w:val="00B96AD2"/>
    <w:rsid w:val="00B96AE5"/>
    <w:rsid w:val="00B96B22"/>
    <w:rsid w:val="00B96C76"/>
    <w:rsid w:val="00B96DDD"/>
    <w:rsid w:val="00B96DED"/>
    <w:rsid w:val="00B96E63"/>
    <w:rsid w:val="00B96E6B"/>
    <w:rsid w:val="00B96EEC"/>
    <w:rsid w:val="00B97061"/>
    <w:rsid w:val="00B9712B"/>
    <w:rsid w:val="00B971ED"/>
    <w:rsid w:val="00B972A9"/>
    <w:rsid w:val="00B972B3"/>
    <w:rsid w:val="00B97376"/>
    <w:rsid w:val="00B97390"/>
    <w:rsid w:val="00B973A6"/>
    <w:rsid w:val="00B9740E"/>
    <w:rsid w:val="00B97506"/>
    <w:rsid w:val="00B97593"/>
    <w:rsid w:val="00B97635"/>
    <w:rsid w:val="00B97718"/>
    <w:rsid w:val="00B97821"/>
    <w:rsid w:val="00B97881"/>
    <w:rsid w:val="00B97987"/>
    <w:rsid w:val="00B979F4"/>
    <w:rsid w:val="00B97A11"/>
    <w:rsid w:val="00B97A7A"/>
    <w:rsid w:val="00B97B9C"/>
    <w:rsid w:val="00B97BD7"/>
    <w:rsid w:val="00B97C80"/>
    <w:rsid w:val="00B97CEF"/>
    <w:rsid w:val="00B97F54"/>
    <w:rsid w:val="00BA0199"/>
    <w:rsid w:val="00BA02EA"/>
    <w:rsid w:val="00BA0373"/>
    <w:rsid w:val="00BA03B5"/>
    <w:rsid w:val="00BA04A9"/>
    <w:rsid w:val="00BA057A"/>
    <w:rsid w:val="00BA05A2"/>
    <w:rsid w:val="00BA0691"/>
    <w:rsid w:val="00BA06AD"/>
    <w:rsid w:val="00BA07C9"/>
    <w:rsid w:val="00BA0AEE"/>
    <w:rsid w:val="00BA0AF5"/>
    <w:rsid w:val="00BA0B5A"/>
    <w:rsid w:val="00BA0BC3"/>
    <w:rsid w:val="00BA0C31"/>
    <w:rsid w:val="00BA0D69"/>
    <w:rsid w:val="00BA0DD8"/>
    <w:rsid w:val="00BA0E0A"/>
    <w:rsid w:val="00BA0F68"/>
    <w:rsid w:val="00BA0F73"/>
    <w:rsid w:val="00BA0FB6"/>
    <w:rsid w:val="00BA114D"/>
    <w:rsid w:val="00BA118C"/>
    <w:rsid w:val="00BA122D"/>
    <w:rsid w:val="00BA1290"/>
    <w:rsid w:val="00BA13F9"/>
    <w:rsid w:val="00BA142B"/>
    <w:rsid w:val="00BA142E"/>
    <w:rsid w:val="00BA14D8"/>
    <w:rsid w:val="00BA157A"/>
    <w:rsid w:val="00BA1668"/>
    <w:rsid w:val="00BA1894"/>
    <w:rsid w:val="00BA1896"/>
    <w:rsid w:val="00BA1BB6"/>
    <w:rsid w:val="00BA1C40"/>
    <w:rsid w:val="00BA1C9B"/>
    <w:rsid w:val="00BA1D5D"/>
    <w:rsid w:val="00BA1D81"/>
    <w:rsid w:val="00BA1D8A"/>
    <w:rsid w:val="00BA1DA3"/>
    <w:rsid w:val="00BA1DBE"/>
    <w:rsid w:val="00BA2011"/>
    <w:rsid w:val="00BA2088"/>
    <w:rsid w:val="00BA2109"/>
    <w:rsid w:val="00BA2236"/>
    <w:rsid w:val="00BA2248"/>
    <w:rsid w:val="00BA228D"/>
    <w:rsid w:val="00BA22FF"/>
    <w:rsid w:val="00BA2624"/>
    <w:rsid w:val="00BA2696"/>
    <w:rsid w:val="00BA26AB"/>
    <w:rsid w:val="00BA270E"/>
    <w:rsid w:val="00BA285F"/>
    <w:rsid w:val="00BA28A3"/>
    <w:rsid w:val="00BA28CD"/>
    <w:rsid w:val="00BA28D6"/>
    <w:rsid w:val="00BA2A23"/>
    <w:rsid w:val="00BA2ACD"/>
    <w:rsid w:val="00BA2E5D"/>
    <w:rsid w:val="00BA2E82"/>
    <w:rsid w:val="00BA2ED2"/>
    <w:rsid w:val="00BA2F13"/>
    <w:rsid w:val="00BA2FF1"/>
    <w:rsid w:val="00BA315C"/>
    <w:rsid w:val="00BA3179"/>
    <w:rsid w:val="00BA3200"/>
    <w:rsid w:val="00BA322A"/>
    <w:rsid w:val="00BA327C"/>
    <w:rsid w:val="00BA3393"/>
    <w:rsid w:val="00BA33C2"/>
    <w:rsid w:val="00BA33E2"/>
    <w:rsid w:val="00BA343C"/>
    <w:rsid w:val="00BA3473"/>
    <w:rsid w:val="00BA34D4"/>
    <w:rsid w:val="00BA35CA"/>
    <w:rsid w:val="00BA3627"/>
    <w:rsid w:val="00BA36D6"/>
    <w:rsid w:val="00BA370F"/>
    <w:rsid w:val="00BA3730"/>
    <w:rsid w:val="00BA3741"/>
    <w:rsid w:val="00BA379B"/>
    <w:rsid w:val="00BA3842"/>
    <w:rsid w:val="00BA39EB"/>
    <w:rsid w:val="00BA3EA8"/>
    <w:rsid w:val="00BA3F57"/>
    <w:rsid w:val="00BA3FD0"/>
    <w:rsid w:val="00BA3FDA"/>
    <w:rsid w:val="00BA4020"/>
    <w:rsid w:val="00BA40FF"/>
    <w:rsid w:val="00BA4171"/>
    <w:rsid w:val="00BA4355"/>
    <w:rsid w:val="00BA43A2"/>
    <w:rsid w:val="00BA45F4"/>
    <w:rsid w:val="00BA464C"/>
    <w:rsid w:val="00BA46A0"/>
    <w:rsid w:val="00BA483C"/>
    <w:rsid w:val="00BA484D"/>
    <w:rsid w:val="00BA491A"/>
    <w:rsid w:val="00BA49C6"/>
    <w:rsid w:val="00BA4B62"/>
    <w:rsid w:val="00BA4BF7"/>
    <w:rsid w:val="00BA4CAA"/>
    <w:rsid w:val="00BA4CF6"/>
    <w:rsid w:val="00BA4D0A"/>
    <w:rsid w:val="00BA4D53"/>
    <w:rsid w:val="00BA4D6A"/>
    <w:rsid w:val="00BA4FF1"/>
    <w:rsid w:val="00BA501D"/>
    <w:rsid w:val="00BA5052"/>
    <w:rsid w:val="00BA5125"/>
    <w:rsid w:val="00BA517D"/>
    <w:rsid w:val="00BA51AD"/>
    <w:rsid w:val="00BA51F2"/>
    <w:rsid w:val="00BA5202"/>
    <w:rsid w:val="00BA5209"/>
    <w:rsid w:val="00BA527C"/>
    <w:rsid w:val="00BA5285"/>
    <w:rsid w:val="00BA537A"/>
    <w:rsid w:val="00BA53BC"/>
    <w:rsid w:val="00BA548D"/>
    <w:rsid w:val="00BA5703"/>
    <w:rsid w:val="00BA574D"/>
    <w:rsid w:val="00BA57A7"/>
    <w:rsid w:val="00BA57C2"/>
    <w:rsid w:val="00BA59BA"/>
    <w:rsid w:val="00BA5A25"/>
    <w:rsid w:val="00BA5B00"/>
    <w:rsid w:val="00BA5C69"/>
    <w:rsid w:val="00BA5DD7"/>
    <w:rsid w:val="00BA5DDC"/>
    <w:rsid w:val="00BA5E2B"/>
    <w:rsid w:val="00BA6008"/>
    <w:rsid w:val="00BA61CD"/>
    <w:rsid w:val="00BA620F"/>
    <w:rsid w:val="00BA6281"/>
    <w:rsid w:val="00BA62AE"/>
    <w:rsid w:val="00BA64C3"/>
    <w:rsid w:val="00BA683E"/>
    <w:rsid w:val="00BA6C1B"/>
    <w:rsid w:val="00BA6C3C"/>
    <w:rsid w:val="00BA6D36"/>
    <w:rsid w:val="00BA6F6A"/>
    <w:rsid w:val="00BA70F7"/>
    <w:rsid w:val="00BA712C"/>
    <w:rsid w:val="00BA72FD"/>
    <w:rsid w:val="00BA7334"/>
    <w:rsid w:val="00BA739E"/>
    <w:rsid w:val="00BA73AC"/>
    <w:rsid w:val="00BA74F1"/>
    <w:rsid w:val="00BA7762"/>
    <w:rsid w:val="00BA7794"/>
    <w:rsid w:val="00BA7847"/>
    <w:rsid w:val="00BA78FE"/>
    <w:rsid w:val="00BA7A4B"/>
    <w:rsid w:val="00BA7A57"/>
    <w:rsid w:val="00BA7B6A"/>
    <w:rsid w:val="00BA7E09"/>
    <w:rsid w:val="00BA7EBD"/>
    <w:rsid w:val="00BA7EED"/>
    <w:rsid w:val="00BB001D"/>
    <w:rsid w:val="00BB00E8"/>
    <w:rsid w:val="00BB0200"/>
    <w:rsid w:val="00BB023B"/>
    <w:rsid w:val="00BB03A7"/>
    <w:rsid w:val="00BB03F1"/>
    <w:rsid w:val="00BB0574"/>
    <w:rsid w:val="00BB063A"/>
    <w:rsid w:val="00BB0668"/>
    <w:rsid w:val="00BB081B"/>
    <w:rsid w:val="00BB0ADC"/>
    <w:rsid w:val="00BB0B8C"/>
    <w:rsid w:val="00BB0D42"/>
    <w:rsid w:val="00BB0D57"/>
    <w:rsid w:val="00BB0DC2"/>
    <w:rsid w:val="00BB0E77"/>
    <w:rsid w:val="00BB0F1D"/>
    <w:rsid w:val="00BB11DD"/>
    <w:rsid w:val="00BB12C8"/>
    <w:rsid w:val="00BB143A"/>
    <w:rsid w:val="00BB14F9"/>
    <w:rsid w:val="00BB152F"/>
    <w:rsid w:val="00BB155D"/>
    <w:rsid w:val="00BB1565"/>
    <w:rsid w:val="00BB164B"/>
    <w:rsid w:val="00BB1A38"/>
    <w:rsid w:val="00BB1A89"/>
    <w:rsid w:val="00BB1B36"/>
    <w:rsid w:val="00BB1BD8"/>
    <w:rsid w:val="00BB1C07"/>
    <w:rsid w:val="00BB1C93"/>
    <w:rsid w:val="00BB1C9C"/>
    <w:rsid w:val="00BB1CC1"/>
    <w:rsid w:val="00BB1CE7"/>
    <w:rsid w:val="00BB1F33"/>
    <w:rsid w:val="00BB1FF5"/>
    <w:rsid w:val="00BB2073"/>
    <w:rsid w:val="00BB2217"/>
    <w:rsid w:val="00BB2341"/>
    <w:rsid w:val="00BB23A3"/>
    <w:rsid w:val="00BB2476"/>
    <w:rsid w:val="00BB24AB"/>
    <w:rsid w:val="00BB275C"/>
    <w:rsid w:val="00BB2768"/>
    <w:rsid w:val="00BB27F0"/>
    <w:rsid w:val="00BB28C2"/>
    <w:rsid w:val="00BB28ED"/>
    <w:rsid w:val="00BB28F8"/>
    <w:rsid w:val="00BB2A71"/>
    <w:rsid w:val="00BB2B01"/>
    <w:rsid w:val="00BB2B1B"/>
    <w:rsid w:val="00BB2BB6"/>
    <w:rsid w:val="00BB2C54"/>
    <w:rsid w:val="00BB2D27"/>
    <w:rsid w:val="00BB2D67"/>
    <w:rsid w:val="00BB2FF8"/>
    <w:rsid w:val="00BB3045"/>
    <w:rsid w:val="00BB3262"/>
    <w:rsid w:val="00BB32AF"/>
    <w:rsid w:val="00BB33A2"/>
    <w:rsid w:val="00BB34A6"/>
    <w:rsid w:val="00BB355A"/>
    <w:rsid w:val="00BB375C"/>
    <w:rsid w:val="00BB37AC"/>
    <w:rsid w:val="00BB383A"/>
    <w:rsid w:val="00BB3AB6"/>
    <w:rsid w:val="00BB3ACF"/>
    <w:rsid w:val="00BB3B14"/>
    <w:rsid w:val="00BB3B93"/>
    <w:rsid w:val="00BB3C24"/>
    <w:rsid w:val="00BB3CF6"/>
    <w:rsid w:val="00BB3D91"/>
    <w:rsid w:val="00BB3E2B"/>
    <w:rsid w:val="00BB3EEE"/>
    <w:rsid w:val="00BB3F7F"/>
    <w:rsid w:val="00BB4228"/>
    <w:rsid w:val="00BB431B"/>
    <w:rsid w:val="00BB450C"/>
    <w:rsid w:val="00BB459F"/>
    <w:rsid w:val="00BB4612"/>
    <w:rsid w:val="00BB4643"/>
    <w:rsid w:val="00BB4774"/>
    <w:rsid w:val="00BB47A1"/>
    <w:rsid w:val="00BB47CE"/>
    <w:rsid w:val="00BB4961"/>
    <w:rsid w:val="00BB49DE"/>
    <w:rsid w:val="00BB4A8E"/>
    <w:rsid w:val="00BB4B79"/>
    <w:rsid w:val="00BB4BA3"/>
    <w:rsid w:val="00BB4C09"/>
    <w:rsid w:val="00BB4CE7"/>
    <w:rsid w:val="00BB4D7C"/>
    <w:rsid w:val="00BB4F4D"/>
    <w:rsid w:val="00BB4F58"/>
    <w:rsid w:val="00BB4F67"/>
    <w:rsid w:val="00BB4FEE"/>
    <w:rsid w:val="00BB507A"/>
    <w:rsid w:val="00BB5146"/>
    <w:rsid w:val="00BB5189"/>
    <w:rsid w:val="00BB5340"/>
    <w:rsid w:val="00BB5461"/>
    <w:rsid w:val="00BB549B"/>
    <w:rsid w:val="00BB54E7"/>
    <w:rsid w:val="00BB55C5"/>
    <w:rsid w:val="00BB5618"/>
    <w:rsid w:val="00BB56A5"/>
    <w:rsid w:val="00BB5788"/>
    <w:rsid w:val="00BB5853"/>
    <w:rsid w:val="00BB58D9"/>
    <w:rsid w:val="00BB5A05"/>
    <w:rsid w:val="00BB5A29"/>
    <w:rsid w:val="00BB5A6A"/>
    <w:rsid w:val="00BB5BD2"/>
    <w:rsid w:val="00BB5E2E"/>
    <w:rsid w:val="00BB5F39"/>
    <w:rsid w:val="00BB5F44"/>
    <w:rsid w:val="00BB5F5B"/>
    <w:rsid w:val="00BB5F8B"/>
    <w:rsid w:val="00BB6094"/>
    <w:rsid w:val="00BB60E5"/>
    <w:rsid w:val="00BB61CF"/>
    <w:rsid w:val="00BB6273"/>
    <w:rsid w:val="00BB6397"/>
    <w:rsid w:val="00BB672F"/>
    <w:rsid w:val="00BB675B"/>
    <w:rsid w:val="00BB67D6"/>
    <w:rsid w:val="00BB67EC"/>
    <w:rsid w:val="00BB6828"/>
    <w:rsid w:val="00BB69F0"/>
    <w:rsid w:val="00BB6A51"/>
    <w:rsid w:val="00BB6A9F"/>
    <w:rsid w:val="00BB6BD7"/>
    <w:rsid w:val="00BB6C92"/>
    <w:rsid w:val="00BB6CB5"/>
    <w:rsid w:val="00BB6E7D"/>
    <w:rsid w:val="00BB6FFB"/>
    <w:rsid w:val="00BB7091"/>
    <w:rsid w:val="00BB71CE"/>
    <w:rsid w:val="00BB729D"/>
    <w:rsid w:val="00BB737A"/>
    <w:rsid w:val="00BB7401"/>
    <w:rsid w:val="00BB754E"/>
    <w:rsid w:val="00BB7564"/>
    <w:rsid w:val="00BB76D5"/>
    <w:rsid w:val="00BB76F5"/>
    <w:rsid w:val="00BB773E"/>
    <w:rsid w:val="00BB78F6"/>
    <w:rsid w:val="00BB796E"/>
    <w:rsid w:val="00BB7AB1"/>
    <w:rsid w:val="00BB7B0D"/>
    <w:rsid w:val="00BB7B22"/>
    <w:rsid w:val="00BB7DE8"/>
    <w:rsid w:val="00BB7EB9"/>
    <w:rsid w:val="00BB7F47"/>
    <w:rsid w:val="00BB7F94"/>
    <w:rsid w:val="00BB7FC8"/>
    <w:rsid w:val="00BC000A"/>
    <w:rsid w:val="00BC012D"/>
    <w:rsid w:val="00BC02ED"/>
    <w:rsid w:val="00BC02FD"/>
    <w:rsid w:val="00BC03DE"/>
    <w:rsid w:val="00BC0411"/>
    <w:rsid w:val="00BC044D"/>
    <w:rsid w:val="00BC04DC"/>
    <w:rsid w:val="00BC05E6"/>
    <w:rsid w:val="00BC0658"/>
    <w:rsid w:val="00BC0788"/>
    <w:rsid w:val="00BC083D"/>
    <w:rsid w:val="00BC08CA"/>
    <w:rsid w:val="00BC0C67"/>
    <w:rsid w:val="00BC0DD7"/>
    <w:rsid w:val="00BC0ED8"/>
    <w:rsid w:val="00BC1135"/>
    <w:rsid w:val="00BC114B"/>
    <w:rsid w:val="00BC115F"/>
    <w:rsid w:val="00BC1168"/>
    <w:rsid w:val="00BC118A"/>
    <w:rsid w:val="00BC12BD"/>
    <w:rsid w:val="00BC1491"/>
    <w:rsid w:val="00BC14C8"/>
    <w:rsid w:val="00BC15F0"/>
    <w:rsid w:val="00BC1642"/>
    <w:rsid w:val="00BC1673"/>
    <w:rsid w:val="00BC16F3"/>
    <w:rsid w:val="00BC1756"/>
    <w:rsid w:val="00BC19A5"/>
    <w:rsid w:val="00BC1ABE"/>
    <w:rsid w:val="00BC1B76"/>
    <w:rsid w:val="00BC1E48"/>
    <w:rsid w:val="00BC1EAF"/>
    <w:rsid w:val="00BC1F7B"/>
    <w:rsid w:val="00BC1FBF"/>
    <w:rsid w:val="00BC20CD"/>
    <w:rsid w:val="00BC2204"/>
    <w:rsid w:val="00BC224E"/>
    <w:rsid w:val="00BC2268"/>
    <w:rsid w:val="00BC24C7"/>
    <w:rsid w:val="00BC2878"/>
    <w:rsid w:val="00BC2926"/>
    <w:rsid w:val="00BC2938"/>
    <w:rsid w:val="00BC2ABD"/>
    <w:rsid w:val="00BC2AF9"/>
    <w:rsid w:val="00BC2B1B"/>
    <w:rsid w:val="00BC2B32"/>
    <w:rsid w:val="00BC2BD6"/>
    <w:rsid w:val="00BC2BDA"/>
    <w:rsid w:val="00BC2C2F"/>
    <w:rsid w:val="00BC2C7E"/>
    <w:rsid w:val="00BC2CC2"/>
    <w:rsid w:val="00BC2D1A"/>
    <w:rsid w:val="00BC2D27"/>
    <w:rsid w:val="00BC2D44"/>
    <w:rsid w:val="00BC2EB6"/>
    <w:rsid w:val="00BC30AE"/>
    <w:rsid w:val="00BC318C"/>
    <w:rsid w:val="00BC3268"/>
    <w:rsid w:val="00BC32C4"/>
    <w:rsid w:val="00BC3375"/>
    <w:rsid w:val="00BC33B8"/>
    <w:rsid w:val="00BC3474"/>
    <w:rsid w:val="00BC3493"/>
    <w:rsid w:val="00BC3535"/>
    <w:rsid w:val="00BC368D"/>
    <w:rsid w:val="00BC373A"/>
    <w:rsid w:val="00BC374C"/>
    <w:rsid w:val="00BC3771"/>
    <w:rsid w:val="00BC37A8"/>
    <w:rsid w:val="00BC382F"/>
    <w:rsid w:val="00BC399E"/>
    <w:rsid w:val="00BC3B76"/>
    <w:rsid w:val="00BC3E19"/>
    <w:rsid w:val="00BC40E5"/>
    <w:rsid w:val="00BC41AA"/>
    <w:rsid w:val="00BC41AB"/>
    <w:rsid w:val="00BC4346"/>
    <w:rsid w:val="00BC441C"/>
    <w:rsid w:val="00BC45D4"/>
    <w:rsid w:val="00BC462C"/>
    <w:rsid w:val="00BC4671"/>
    <w:rsid w:val="00BC4781"/>
    <w:rsid w:val="00BC481E"/>
    <w:rsid w:val="00BC4867"/>
    <w:rsid w:val="00BC4A15"/>
    <w:rsid w:val="00BC4AEB"/>
    <w:rsid w:val="00BC4BC7"/>
    <w:rsid w:val="00BC4C48"/>
    <w:rsid w:val="00BC4CED"/>
    <w:rsid w:val="00BC4E95"/>
    <w:rsid w:val="00BC4FD1"/>
    <w:rsid w:val="00BC5080"/>
    <w:rsid w:val="00BC50C3"/>
    <w:rsid w:val="00BC511D"/>
    <w:rsid w:val="00BC515C"/>
    <w:rsid w:val="00BC5169"/>
    <w:rsid w:val="00BC525E"/>
    <w:rsid w:val="00BC539F"/>
    <w:rsid w:val="00BC53E5"/>
    <w:rsid w:val="00BC5406"/>
    <w:rsid w:val="00BC544E"/>
    <w:rsid w:val="00BC5481"/>
    <w:rsid w:val="00BC562B"/>
    <w:rsid w:val="00BC56E4"/>
    <w:rsid w:val="00BC574E"/>
    <w:rsid w:val="00BC577B"/>
    <w:rsid w:val="00BC580B"/>
    <w:rsid w:val="00BC58BD"/>
    <w:rsid w:val="00BC598E"/>
    <w:rsid w:val="00BC5A76"/>
    <w:rsid w:val="00BC5C66"/>
    <w:rsid w:val="00BC5C6C"/>
    <w:rsid w:val="00BC5C88"/>
    <w:rsid w:val="00BC5CC2"/>
    <w:rsid w:val="00BC5D4B"/>
    <w:rsid w:val="00BC5D7B"/>
    <w:rsid w:val="00BC5E7A"/>
    <w:rsid w:val="00BC6167"/>
    <w:rsid w:val="00BC6196"/>
    <w:rsid w:val="00BC623E"/>
    <w:rsid w:val="00BC6452"/>
    <w:rsid w:val="00BC6538"/>
    <w:rsid w:val="00BC654A"/>
    <w:rsid w:val="00BC65A6"/>
    <w:rsid w:val="00BC668D"/>
    <w:rsid w:val="00BC6802"/>
    <w:rsid w:val="00BC6934"/>
    <w:rsid w:val="00BC69A1"/>
    <w:rsid w:val="00BC69D1"/>
    <w:rsid w:val="00BC6BF9"/>
    <w:rsid w:val="00BC6C4A"/>
    <w:rsid w:val="00BC6DD3"/>
    <w:rsid w:val="00BC6DE6"/>
    <w:rsid w:val="00BC6E2B"/>
    <w:rsid w:val="00BC6E7C"/>
    <w:rsid w:val="00BC6F33"/>
    <w:rsid w:val="00BC7212"/>
    <w:rsid w:val="00BC727C"/>
    <w:rsid w:val="00BC737E"/>
    <w:rsid w:val="00BC7405"/>
    <w:rsid w:val="00BC774E"/>
    <w:rsid w:val="00BC781F"/>
    <w:rsid w:val="00BC78CB"/>
    <w:rsid w:val="00BC7BB9"/>
    <w:rsid w:val="00BC7DE2"/>
    <w:rsid w:val="00BC7DF4"/>
    <w:rsid w:val="00BC7E29"/>
    <w:rsid w:val="00BC7E80"/>
    <w:rsid w:val="00BC7FEE"/>
    <w:rsid w:val="00BD0002"/>
    <w:rsid w:val="00BD002A"/>
    <w:rsid w:val="00BD00E5"/>
    <w:rsid w:val="00BD0155"/>
    <w:rsid w:val="00BD01AF"/>
    <w:rsid w:val="00BD0300"/>
    <w:rsid w:val="00BD0388"/>
    <w:rsid w:val="00BD0390"/>
    <w:rsid w:val="00BD0490"/>
    <w:rsid w:val="00BD061A"/>
    <w:rsid w:val="00BD0750"/>
    <w:rsid w:val="00BD0848"/>
    <w:rsid w:val="00BD091A"/>
    <w:rsid w:val="00BD0924"/>
    <w:rsid w:val="00BD0AC6"/>
    <w:rsid w:val="00BD0ADE"/>
    <w:rsid w:val="00BD0B8E"/>
    <w:rsid w:val="00BD0CB6"/>
    <w:rsid w:val="00BD0E2B"/>
    <w:rsid w:val="00BD0E77"/>
    <w:rsid w:val="00BD0EA0"/>
    <w:rsid w:val="00BD0F08"/>
    <w:rsid w:val="00BD0F13"/>
    <w:rsid w:val="00BD0FE1"/>
    <w:rsid w:val="00BD115B"/>
    <w:rsid w:val="00BD118B"/>
    <w:rsid w:val="00BD11C8"/>
    <w:rsid w:val="00BD11CE"/>
    <w:rsid w:val="00BD11E7"/>
    <w:rsid w:val="00BD11E8"/>
    <w:rsid w:val="00BD11F6"/>
    <w:rsid w:val="00BD1473"/>
    <w:rsid w:val="00BD1492"/>
    <w:rsid w:val="00BD1710"/>
    <w:rsid w:val="00BD178B"/>
    <w:rsid w:val="00BD1867"/>
    <w:rsid w:val="00BD1D5E"/>
    <w:rsid w:val="00BD1DFC"/>
    <w:rsid w:val="00BD1E62"/>
    <w:rsid w:val="00BD1F8D"/>
    <w:rsid w:val="00BD1FF3"/>
    <w:rsid w:val="00BD21F8"/>
    <w:rsid w:val="00BD2260"/>
    <w:rsid w:val="00BD231E"/>
    <w:rsid w:val="00BD2410"/>
    <w:rsid w:val="00BD262F"/>
    <w:rsid w:val="00BD265A"/>
    <w:rsid w:val="00BD26DF"/>
    <w:rsid w:val="00BD27B6"/>
    <w:rsid w:val="00BD2833"/>
    <w:rsid w:val="00BD2899"/>
    <w:rsid w:val="00BD28A3"/>
    <w:rsid w:val="00BD2A9D"/>
    <w:rsid w:val="00BD2B69"/>
    <w:rsid w:val="00BD2BD0"/>
    <w:rsid w:val="00BD2D64"/>
    <w:rsid w:val="00BD2DA4"/>
    <w:rsid w:val="00BD30BA"/>
    <w:rsid w:val="00BD31F8"/>
    <w:rsid w:val="00BD31FC"/>
    <w:rsid w:val="00BD3200"/>
    <w:rsid w:val="00BD3257"/>
    <w:rsid w:val="00BD33C0"/>
    <w:rsid w:val="00BD33DA"/>
    <w:rsid w:val="00BD37F4"/>
    <w:rsid w:val="00BD387B"/>
    <w:rsid w:val="00BD3886"/>
    <w:rsid w:val="00BD39A1"/>
    <w:rsid w:val="00BD3D2D"/>
    <w:rsid w:val="00BD3E82"/>
    <w:rsid w:val="00BD4173"/>
    <w:rsid w:val="00BD41E3"/>
    <w:rsid w:val="00BD41EE"/>
    <w:rsid w:val="00BD4205"/>
    <w:rsid w:val="00BD4239"/>
    <w:rsid w:val="00BD42B2"/>
    <w:rsid w:val="00BD43BA"/>
    <w:rsid w:val="00BD4475"/>
    <w:rsid w:val="00BD454B"/>
    <w:rsid w:val="00BD468D"/>
    <w:rsid w:val="00BD499F"/>
    <w:rsid w:val="00BD4AA8"/>
    <w:rsid w:val="00BD4B60"/>
    <w:rsid w:val="00BD4BAB"/>
    <w:rsid w:val="00BD4C02"/>
    <w:rsid w:val="00BD4C69"/>
    <w:rsid w:val="00BD4DA4"/>
    <w:rsid w:val="00BD4E0B"/>
    <w:rsid w:val="00BD4E94"/>
    <w:rsid w:val="00BD4F3C"/>
    <w:rsid w:val="00BD4FC0"/>
    <w:rsid w:val="00BD4FCC"/>
    <w:rsid w:val="00BD5143"/>
    <w:rsid w:val="00BD5148"/>
    <w:rsid w:val="00BD52B1"/>
    <w:rsid w:val="00BD53F6"/>
    <w:rsid w:val="00BD5563"/>
    <w:rsid w:val="00BD55C3"/>
    <w:rsid w:val="00BD57C8"/>
    <w:rsid w:val="00BD5873"/>
    <w:rsid w:val="00BD5A23"/>
    <w:rsid w:val="00BD5A96"/>
    <w:rsid w:val="00BD5C0E"/>
    <w:rsid w:val="00BD5C26"/>
    <w:rsid w:val="00BD5CA2"/>
    <w:rsid w:val="00BD5E76"/>
    <w:rsid w:val="00BD5F14"/>
    <w:rsid w:val="00BD5F57"/>
    <w:rsid w:val="00BD5F70"/>
    <w:rsid w:val="00BD6083"/>
    <w:rsid w:val="00BD6241"/>
    <w:rsid w:val="00BD634C"/>
    <w:rsid w:val="00BD63CB"/>
    <w:rsid w:val="00BD63D0"/>
    <w:rsid w:val="00BD6519"/>
    <w:rsid w:val="00BD6541"/>
    <w:rsid w:val="00BD661D"/>
    <w:rsid w:val="00BD665A"/>
    <w:rsid w:val="00BD66FA"/>
    <w:rsid w:val="00BD67B3"/>
    <w:rsid w:val="00BD693D"/>
    <w:rsid w:val="00BD6977"/>
    <w:rsid w:val="00BD69D9"/>
    <w:rsid w:val="00BD6A91"/>
    <w:rsid w:val="00BD6BEE"/>
    <w:rsid w:val="00BD6C9F"/>
    <w:rsid w:val="00BD6E15"/>
    <w:rsid w:val="00BD6F8D"/>
    <w:rsid w:val="00BD6FA5"/>
    <w:rsid w:val="00BD70D4"/>
    <w:rsid w:val="00BD70F7"/>
    <w:rsid w:val="00BD734C"/>
    <w:rsid w:val="00BD74B0"/>
    <w:rsid w:val="00BD7763"/>
    <w:rsid w:val="00BD7835"/>
    <w:rsid w:val="00BD785F"/>
    <w:rsid w:val="00BD78E4"/>
    <w:rsid w:val="00BD7953"/>
    <w:rsid w:val="00BD7BB1"/>
    <w:rsid w:val="00BD7C34"/>
    <w:rsid w:val="00BD7CAF"/>
    <w:rsid w:val="00BD7D18"/>
    <w:rsid w:val="00BD7F1F"/>
    <w:rsid w:val="00BD7F40"/>
    <w:rsid w:val="00BE0159"/>
    <w:rsid w:val="00BE0225"/>
    <w:rsid w:val="00BE047F"/>
    <w:rsid w:val="00BE0507"/>
    <w:rsid w:val="00BE05CA"/>
    <w:rsid w:val="00BE0649"/>
    <w:rsid w:val="00BE073B"/>
    <w:rsid w:val="00BE079C"/>
    <w:rsid w:val="00BE07A0"/>
    <w:rsid w:val="00BE080E"/>
    <w:rsid w:val="00BE0840"/>
    <w:rsid w:val="00BE0A21"/>
    <w:rsid w:val="00BE0A34"/>
    <w:rsid w:val="00BE0B4A"/>
    <w:rsid w:val="00BE0BD6"/>
    <w:rsid w:val="00BE0C56"/>
    <w:rsid w:val="00BE0C63"/>
    <w:rsid w:val="00BE0DE8"/>
    <w:rsid w:val="00BE0EF2"/>
    <w:rsid w:val="00BE0EFE"/>
    <w:rsid w:val="00BE0F12"/>
    <w:rsid w:val="00BE1017"/>
    <w:rsid w:val="00BE1051"/>
    <w:rsid w:val="00BE10B5"/>
    <w:rsid w:val="00BE114F"/>
    <w:rsid w:val="00BE1202"/>
    <w:rsid w:val="00BE1302"/>
    <w:rsid w:val="00BE134C"/>
    <w:rsid w:val="00BE13CF"/>
    <w:rsid w:val="00BE13D7"/>
    <w:rsid w:val="00BE1440"/>
    <w:rsid w:val="00BE144F"/>
    <w:rsid w:val="00BE14BA"/>
    <w:rsid w:val="00BE1503"/>
    <w:rsid w:val="00BE15DD"/>
    <w:rsid w:val="00BE16D6"/>
    <w:rsid w:val="00BE179F"/>
    <w:rsid w:val="00BE1AB4"/>
    <w:rsid w:val="00BE1B85"/>
    <w:rsid w:val="00BE1D59"/>
    <w:rsid w:val="00BE1E69"/>
    <w:rsid w:val="00BE1FAD"/>
    <w:rsid w:val="00BE1FC4"/>
    <w:rsid w:val="00BE20C8"/>
    <w:rsid w:val="00BE21AF"/>
    <w:rsid w:val="00BE23BD"/>
    <w:rsid w:val="00BE25B8"/>
    <w:rsid w:val="00BE2799"/>
    <w:rsid w:val="00BE2AC5"/>
    <w:rsid w:val="00BE2BB8"/>
    <w:rsid w:val="00BE2C41"/>
    <w:rsid w:val="00BE2CBD"/>
    <w:rsid w:val="00BE2E04"/>
    <w:rsid w:val="00BE2E0F"/>
    <w:rsid w:val="00BE2EF8"/>
    <w:rsid w:val="00BE2F11"/>
    <w:rsid w:val="00BE318F"/>
    <w:rsid w:val="00BE3406"/>
    <w:rsid w:val="00BE34FF"/>
    <w:rsid w:val="00BE363C"/>
    <w:rsid w:val="00BE3735"/>
    <w:rsid w:val="00BE3922"/>
    <w:rsid w:val="00BE395B"/>
    <w:rsid w:val="00BE3960"/>
    <w:rsid w:val="00BE39A2"/>
    <w:rsid w:val="00BE39C1"/>
    <w:rsid w:val="00BE3A83"/>
    <w:rsid w:val="00BE3AB0"/>
    <w:rsid w:val="00BE3B57"/>
    <w:rsid w:val="00BE3D7F"/>
    <w:rsid w:val="00BE4020"/>
    <w:rsid w:val="00BE402D"/>
    <w:rsid w:val="00BE403D"/>
    <w:rsid w:val="00BE4044"/>
    <w:rsid w:val="00BE406B"/>
    <w:rsid w:val="00BE408A"/>
    <w:rsid w:val="00BE4358"/>
    <w:rsid w:val="00BE43B5"/>
    <w:rsid w:val="00BE43DF"/>
    <w:rsid w:val="00BE45C4"/>
    <w:rsid w:val="00BE469D"/>
    <w:rsid w:val="00BE48AB"/>
    <w:rsid w:val="00BE49F3"/>
    <w:rsid w:val="00BE4AFE"/>
    <w:rsid w:val="00BE4C80"/>
    <w:rsid w:val="00BE4DF0"/>
    <w:rsid w:val="00BE4FF3"/>
    <w:rsid w:val="00BE50D7"/>
    <w:rsid w:val="00BE51D7"/>
    <w:rsid w:val="00BE5235"/>
    <w:rsid w:val="00BE5272"/>
    <w:rsid w:val="00BE52B9"/>
    <w:rsid w:val="00BE52BB"/>
    <w:rsid w:val="00BE5305"/>
    <w:rsid w:val="00BE53CE"/>
    <w:rsid w:val="00BE5453"/>
    <w:rsid w:val="00BE5538"/>
    <w:rsid w:val="00BE5660"/>
    <w:rsid w:val="00BE57A4"/>
    <w:rsid w:val="00BE585C"/>
    <w:rsid w:val="00BE590D"/>
    <w:rsid w:val="00BE5940"/>
    <w:rsid w:val="00BE59A2"/>
    <w:rsid w:val="00BE59AC"/>
    <w:rsid w:val="00BE5B95"/>
    <w:rsid w:val="00BE5BEB"/>
    <w:rsid w:val="00BE5CAC"/>
    <w:rsid w:val="00BE5D27"/>
    <w:rsid w:val="00BE5D63"/>
    <w:rsid w:val="00BE5FCE"/>
    <w:rsid w:val="00BE6052"/>
    <w:rsid w:val="00BE6054"/>
    <w:rsid w:val="00BE605D"/>
    <w:rsid w:val="00BE60FD"/>
    <w:rsid w:val="00BE6130"/>
    <w:rsid w:val="00BE6153"/>
    <w:rsid w:val="00BE621C"/>
    <w:rsid w:val="00BE6263"/>
    <w:rsid w:val="00BE633C"/>
    <w:rsid w:val="00BE63AF"/>
    <w:rsid w:val="00BE6423"/>
    <w:rsid w:val="00BE664C"/>
    <w:rsid w:val="00BE6677"/>
    <w:rsid w:val="00BE66AA"/>
    <w:rsid w:val="00BE6750"/>
    <w:rsid w:val="00BE67BA"/>
    <w:rsid w:val="00BE68D5"/>
    <w:rsid w:val="00BE6963"/>
    <w:rsid w:val="00BE697D"/>
    <w:rsid w:val="00BE6A1E"/>
    <w:rsid w:val="00BE6CD9"/>
    <w:rsid w:val="00BE6CF5"/>
    <w:rsid w:val="00BE6EF3"/>
    <w:rsid w:val="00BE6F52"/>
    <w:rsid w:val="00BE6F6E"/>
    <w:rsid w:val="00BE6F79"/>
    <w:rsid w:val="00BE7096"/>
    <w:rsid w:val="00BE70BB"/>
    <w:rsid w:val="00BE7517"/>
    <w:rsid w:val="00BE753B"/>
    <w:rsid w:val="00BE7567"/>
    <w:rsid w:val="00BE759F"/>
    <w:rsid w:val="00BE7677"/>
    <w:rsid w:val="00BE7735"/>
    <w:rsid w:val="00BE7777"/>
    <w:rsid w:val="00BE78F6"/>
    <w:rsid w:val="00BE7912"/>
    <w:rsid w:val="00BE791F"/>
    <w:rsid w:val="00BE7B54"/>
    <w:rsid w:val="00BE7B9A"/>
    <w:rsid w:val="00BE7BD7"/>
    <w:rsid w:val="00BE7D1F"/>
    <w:rsid w:val="00BE7DED"/>
    <w:rsid w:val="00BE7F1F"/>
    <w:rsid w:val="00BE7F33"/>
    <w:rsid w:val="00BE7FF7"/>
    <w:rsid w:val="00BF003D"/>
    <w:rsid w:val="00BF0189"/>
    <w:rsid w:val="00BF01DA"/>
    <w:rsid w:val="00BF029B"/>
    <w:rsid w:val="00BF02C2"/>
    <w:rsid w:val="00BF03DD"/>
    <w:rsid w:val="00BF052D"/>
    <w:rsid w:val="00BF055E"/>
    <w:rsid w:val="00BF057B"/>
    <w:rsid w:val="00BF0597"/>
    <w:rsid w:val="00BF06EF"/>
    <w:rsid w:val="00BF0765"/>
    <w:rsid w:val="00BF078C"/>
    <w:rsid w:val="00BF079B"/>
    <w:rsid w:val="00BF0826"/>
    <w:rsid w:val="00BF08A2"/>
    <w:rsid w:val="00BF0AA0"/>
    <w:rsid w:val="00BF0B39"/>
    <w:rsid w:val="00BF0BCC"/>
    <w:rsid w:val="00BF0BE0"/>
    <w:rsid w:val="00BF0D44"/>
    <w:rsid w:val="00BF0DCE"/>
    <w:rsid w:val="00BF0E3F"/>
    <w:rsid w:val="00BF0FCA"/>
    <w:rsid w:val="00BF0FD8"/>
    <w:rsid w:val="00BF112E"/>
    <w:rsid w:val="00BF116A"/>
    <w:rsid w:val="00BF11B3"/>
    <w:rsid w:val="00BF124F"/>
    <w:rsid w:val="00BF1361"/>
    <w:rsid w:val="00BF1443"/>
    <w:rsid w:val="00BF145B"/>
    <w:rsid w:val="00BF1503"/>
    <w:rsid w:val="00BF16D9"/>
    <w:rsid w:val="00BF1734"/>
    <w:rsid w:val="00BF17E6"/>
    <w:rsid w:val="00BF186A"/>
    <w:rsid w:val="00BF1894"/>
    <w:rsid w:val="00BF18F5"/>
    <w:rsid w:val="00BF191B"/>
    <w:rsid w:val="00BF1960"/>
    <w:rsid w:val="00BF1AD6"/>
    <w:rsid w:val="00BF1C21"/>
    <w:rsid w:val="00BF1CD2"/>
    <w:rsid w:val="00BF1E0F"/>
    <w:rsid w:val="00BF1F46"/>
    <w:rsid w:val="00BF208A"/>
    <w:rsid w:val="00BF20DC"/>
    <w:rsid w:val="00BF23C8"/>
    <w:rsid w:val="00BF241F"/>
    <w:rsid w:val="00BF2504"/>
    <w:rsid w:val="00BF25C1"/>
    <w:rsid w:val="00BF25FE"/>
    <w:rsid w:val="00BF27B1"/>
    <w:rsid w:val="00BF2881"/>
    <w:rsid w:val="00BF28C3"/>
    <w:rsid w:val="00BF28EC"/>
    <w:rsid w:val="00BF2ACD"/>
    <w:rsid w:val="00BF2B14"/>
    <w:rsid w:val="00BF2C30"/>
    <w:rsid w:val="00BF2CD0"/>
    <w:rsid w:val="00BF2CD9"/>
    <w:rsid w:val="00BF2EBB"/>
    <w:rsid w:val="00BF2F30"/>
    <w:rsid w:val="00BF3067"/>
    <w:rsid w:val="00BF3156"/>
    <w:rsid w:val="00BF32F7"/>
    <w:rsid w:val="00BF336B"/>
    <w:rsid w:val="00BF34D1"/>
    <w:rsid w:val="00BF34D9"/>
    <w:rsid w:val="00BF370B"/>
    <w:rsid w:val="00BF370C"/>
    <w:rsid w:val="00BF3791"/>
    <w:rsid w:val="00BF3809"/>
    <w:rsid w:val="00BF3980"/>
    <w:rsid w:val="00BF39C9"/>
    <w:rsid w:val="00BF3AEF"/>
    <w:rsid w:val="00BF3BCA"/>
    <w:rsid w:val="00BF3BEC"/>
    <w:rsid w:val="00BF3C3D"/>
    <w:rsid w:val="00BF3D5B"/>
    <w:rsid w:val="00BF3D71"/>
    <w:rsid w:val="00BF3E34"/>
    <w:rsid w:val="00BF3F0D"/>
    <w:rsid w:val="00BF3F5D"/>
    <w:rsid w:val="00BF3FD1"/>
    <w:rsid w:val="00BF3FD6"/>
    <w:rsid w:val="00BF4035"/>
    <w:rsid w:val="00BF4129"/>
    <w:rsid w:val="00BF4218"/>
    <w:rsid w:val="00BF4286"/>
    <w:rsid w:val="00BF4512"/>
    <w:rsid w:val="00BF463F"/>
    <w:rsid w:val="00BF4765"/>
    <w:rsid w:val="00BF47FA"/>
    <w:rsid w:val="00BF4A0E"/>
    <w:rsid w:val="00BF4B11"/>
    <w:rsid w:val="00BF4B31"/>
    <w:rsid w:val="00BF4CF6"/>
    <w:rsid w:val="00BF4EE0"/>
    <w:rsid w:val="00BF4F73"/>
    <w:rsid w:val="00BF4F86"/>
    <w:rsid w:val="00BF4FBA"/>
    <w:rsid w:val="00BF5421"/>
    <w:rsid w:val="00BF56AF"/>
    <w:rsid w:val="00BF580A"/>
    <w:rsid w:val="00BF5AD0"/>
    <w:rsid w:val="00BF5CCF"/>
    <w:rsid w:val="00BF5D40"/>
    <w:rsid w:val="00BF5DED"/>
    <w:rsid w:val="00BF5DF5"/>
    <w:rsid w:val="00BF5E5A"/>
    <w:rsid w:val="00BF5EBC"/>
    <w:rsid w:val="00BF5FC8"/>
    <w:rsid w:val="00BF60F0"/>
    <w:rsid w:val="00BF6161"/>
    <w:rsid w:val="00BF62C1"/>
    <w:rsid w:val="00BF65AC"/>
    <w:rsid w:val="00BF65C0"/>
    <w:rsid w:val="00BF662D"/>
    <w:rsid w:val="00BF674D"/>
    <w:rsid w:val="00BF6AD4"/>
    <w:rsid w:val="00BF6AEE"/>
    <w:rsid w:val="00BF6B22"/>
    <w:rsid w:val="00BF6B34"/>
    <w:rsid w:val="00BF6B3E"/>
    <w:rsid w:val="00BF6B7F"/>
    <w:rsid w:val="00BF6DC7"/>
    <w:rsid w:val="00BF6F04"/>
    <w:rsid w:val="00BF6F80"/>
    <w:rsid w:val="00BF71AB"/>
    <w:rsid w:val="00BF71E8"/>
    <w:rsid w:val="00BF7275"/>
    <w:rsid w:val="00BF732B"/>
    <w:rsid w:val="00BF741B"/>
    <w:rsid w:val="00BF748B"/>
    <w:rsid w:val="00BF74DF"/>
    <w:rsid w:val="00BF752F"/>
    <w:rsid w:val="00BF757A"/>
    <w:rsid w:val="00BF767F"/>
    <w:rsid w:val="00BF77AE"/>
    <w:rsid w:val="00BF7ACD"/>
    <w:rsid w:val="00BF7BBE"/>
    <w:rsid w:val="00BF7CB6"/>
    <w:rsid w:val="00BF7CC1"/>
    <w:rsid w:val="00BF7CF8"/>
    <w:rsid w:val="00BF7D2F"/>
    <w:rsid w:val="00BF7DEA"/>
    <w:rsid w:val="00C000BF"/>
    <w:rsid w:val="00C000D8"/>
    <w:rsid w:val="00C001D1"/>
    <w:rsid w:val="00C00293"/>
    <w:rsid w:val="00C002C6"/>
    <w:rsid w:val="00C00418"/>
    <w:rsid w:val="00C006E7"/>
    <w:rsid w:val="00C0075F"/>
    <w:rsid w:val="00C00769"/>
    <w:rsid w:val="00C00809"/>
    <w:rsid w:val="00C00B88"/>
    <w:rsid w:val="00C00B8B"/>
    <w:rsid w:val="00C00C37"/>
    <w:rsid w:val="00C00D7B"/>
    <w:rsid w:val="00C00F01"/>
    <w:rsid w:val="00C0108C"/>
    <w:rsid w:val="00C010AF"/>
    <w:rsid w:val="00C0135A"/>
    <w:rsid w:val="00C01377"/>
    <w:rsid w:val="00C01380"/>
    <w:rsid w:val="00C0138E"/>
    <w:rsid w:val="00C013B4"/>
    <w:rsid w:val="00C0147A"/>
    <w:rsid w:val="00C015E4"/>
    <w:rsid w:val="00C01748"/>
    <w:rsid w:val="00C0182B"/>
    <w:rsid w:val="00C01A1E"/>
    <w:rsid w:val="00C01ABC"/>
    <w:rsid w:val="00C01BDC"/>
    <w:rsid w:val="00C01C89"/>
    <w:rsid w:val="00C01D1D"/>
    <w:rsid w:val="00C01D67"/>
    <w:rsid w:val="00C01D72"/>
    <w:rsid w:val="00C01E1D"/>
    <w:rsid w:val="00C01F5B"/>
    <w:rsid w:val="00C01FA8"/>
    <w:rsid w:val="00C01FAB"/>
    <w:rsid w:val="00C0206B"/>
    <w:rsid w:val="00C02093"/>
    <w:rsid w:val="00C02295"/>
    <w:rsid w:val="00C023C9"/>
    <w:rsid w:val="00C0249B"/>
    <w:rsid w:val="00C02579"/>
    <w:rsid w:val="00C02731"/>
    <w:rsid w:val="00C02774"/>
    <w:rsid w:val="00C02882"/>
    <w:rsid w:val="00C02A41"/>
    <w:rsid w:val="00C02D05"/>
    <w:rsid w:val="00C02D22"/>
    <w:rsid w:val="00C02DBF"/>
    <w:rsid w:val="00C02E38"/>
    <w:rsid w:val="00C02EB3"/>
    <w:rsid w:val="00C02FC6"/>
    <w:rsid w:val="00C03164"/>
    <w:rsid w:val="00C0317D"/>
    <w:rsid w:val="00C0327B"/>
    <w:rsid w:val="00C03386"/>
    <w:rsid w:val="00C035AA"/>
    <w:rsid w:val="00C03634"/>
    <w:rsid w:val="00C03650"/>
    <w:rsid w:val="00C03694"/>
    <w:rsid w:val="00C036BB"/>
    <w:rsid w:val="00C0372C"/>
    <w:rsid w:val="00C03807"/>
    <w:rsid w:val="00C0384E"/>
    <w:rsid w:val="00C03870"/>
    <w:rsid w:val="00C038C6"/>
    <w:rsid w:val="00C03A1A"/>
    <w:rsid w:val="00C03A6F"/>
    <w:rsid w:val="00C03ACE"/>
    <w:rsid w:val="00C03AE5"/>
    <w:rsid w:val="00C03D0D"/>
    <w:rsid w:val="00C03F03"/>
    <w:rsid w:val="00C03FB7"/>
    <w:rsid w:val="00C04019"/>
    <w:rsid w:val="00C04027"/>
    <w:rsid w:val="00C04062"/>
    <w:rsid w:val="00C040AF"/>
    <w:rsid w:val="00C0413A"/>
    <w:rsid w:val="00C04300"/>
    <w:rsid w:val="00C04338"/>
    <w:rsid w:val="00C043A4"/>
    <w:rsid w:val="00C043E7"/>
    <w:rsid w:val="00C044C8"/>
    <w:rsid w:val="00C04553"/>
    <w:rsid w:val="00C0462B"/>
    <w:rsid w:val="00C04692"/>
    <w:rsid w:val="00C04789"/>
    <w:rsid w:val="00C04980"/>
    <w:rsid w:val="00C04988"/>
    <w:rsid w:val="00C049A1"/>
    <w:rsid w:val="00C04A10"/>
    <w:rsid w:val="00C04BD2"/>
    <w:rsid w:val="00C04D87"/>
    <w:rsid w:val="00C04E30"/>
    <w:rsid w:val="00C04F80"/>
    <w:rsid w:val="00C05032"/>
    <w:rsid w:val="00C0516D"/>
    <w:rsid w:val="00C05209"/>
    <w:rsid w:val="00C05358"/>
    <w:rsid w:val="00C05363"/>
    <w:rsid w:val="00C054EA"/>
    <w:rsid w:val="00C056B3"/>
    <w:rsid w:val="00C056CD"/>
    <w:rsid w:val="00C057C9"/>
    <w:rsid w:val="00C058C0"/>
    <w:rsid w:val="00C058F4"/>
    <w:rsid w:val="00C0593E"/>
    <w:rsid w:val="00C05A2B"/>
    <w:rsid w:val="00C05A47"/>
    <w:rsid w:val="00C05B54"/>
    <w:rsid w:val="00C05BE2"/>
    <w:rsid w:val="00C05CA4"/>
    <w:rsid w:val="00C05CB4"/>
    <w:rsid w:val="00C05D6D"/>
    <w:rsid w:val="00C05DDC"/>
    <w:rsid w:val="00C05E25"/>
    <w:rsid w:val="00C05F28"/>
    <w:rsid w:val="00C06033"/>
    <w:rsid w:val="00C06087"/>
    <w:rsid w:val="00C061E8"/>
    <w:rsid w:val="00C06260"/>
    <w:rsid w:val="00C062F0"/>
    <w:rsid w:val="00C06381"/>
    <w:rsid w:val="00C063AE"/>
    <w:rsid w:val="00C06464"/>
    <w:rsid w:val="00C0666D"/>
    <w:rsid w:val="00C066F4"/>
    <w:rsid w:val="00C067BF"/>
    <w:rsid w:val="00C067CD"/>
    <w:rsid w:val="00C06993"/>
    <w:rsid w:val="00C069B7"/>
    <w:rsid w:val="00C06A45"/>
    <w:rsid w:val="00C06C87"/>
    <w:rsid w:val="00C06CC8"/>
    <w:rsid w:val="00C06DE2"/>
    <w:rsid w:val="00C06E6D"/>
    <w:rsid w:val="00C0716B"/>
    <w:rsid w:val="00C071CE"/>
    <w:rsid w:val="00C072FB"/>
    <w:rsid w:val="00C073F6"/>
    <w:rsid w:val="00C074C1"/>
    <w:rsid w:val="00C07534"/>
    <w:rsid w:val="00C07722"/>
    <w:rsid w:val="00C07783"/>
    <w:rsid w:val="00C0797C"/>
    <w:rsid w:val="00C07A5F"/>
    <w:rsid w:val="00C07B51"/>
    <w:rsid w:val="00C07BCA"/>
    <w:rsid w:val="00C07C2A"/>
    <w:rsid w:val="00C07C4F"/>
    <w:rsid w:val="00C07CAA"/>
    <w:rsid w:val="00C07CE9"/>
    <w:rsid w:val="00C07D34"/>
    <w:rsid w:val="00C07DD2"/>
    <w:rsid w:val="00C07DED"/>
    <w:rsid w:val="00C07EB7"/>
    <w:rsid w:val="00C07EF2"/>
    <w:rsid w:val="00C100E5"/>
    <w:rsid w:val="00C1015E"/>
    <w:rsid w:val="00C1016F"/>
    <w:rsid w:val="00C10305"/>
    <w:rsid w:val="00C103DE"/>
    <w:rsid w:val="00C1058D"/>
    <w:rsid w:val="00C105AC"/>
    <w:rsid w:val="00C10692"/>
    <w:rsid w:val="00C10719"/>
    <w:rsid w:val="00C10960"/>
    <w:rsid w:val="00C10A33"/>
    <w:rsid w:val="00C10A95"/>
    <w:rsid w:val="00C10B38"/>
    <w:rsid w:val="00C10B4B"/>
    <w:rsid w:val="00C10C38"/>
    <w:rsid w:val="00C10C46"/>
    <w:rsid w:val="00C10EE6"/>
    <w:rsid w:val="00C11040"/>
    <w:rsid w:val="00C113D1"/>
    <w:rsid w:val="00C11487"/>
    <w:rsid w:val="00C114F0"/>
    <w:rsid w:val="00C11543"/>
    <w:rsid w:val="00C11566"/>
    <w:rsid w:val="00C1174D"/>
    <w:rsid w:val="00C1176F"/>
    <w:rsid w:val="00C1188D"/>
    <w:rsid w:val="00C1195E"/>
    <w:rsid w:val="00C11AD1"/>
    <w:rsid w:val="00C11BC7"/>
    <w:rsid w:val="00C11C91"/>
    <w:rsid w:val="00C11D12"/>
    <w:rsid w:val="00C11D20"/>
    <w:rsid w:val="00C11D7E"/>
    <w:rsid w:val="00C11F9F"/>
    <w:rsid w:val="00C12089"/>
    <w:rsid w:val="00C120FB"/>
    <w:rsid w:val="00C1217A"/>
    <w:rsid w:val="00C122EF"/>
    <w:rsid w:val="00C12400"/>
    <w:rsid w:val="00C12650"/>
    <w:rsid w:val="00C1269F"/>
    <w:rsid w:val="00C126E1"/>
    <w:rsid w:val="00C12D64"/>
    <w:rsid w:val="00C13036"/>
    <w:rsid w:val="00C13133"/>
    <w:rsid w:val="00C13254"/>
    <w:rsid w:val="00C13302"/>
    <w:rsid w:val="00C1340E"/>
    <w:rsid w:val="00C13483"/>
    <w:rsid w:val="00C13499"/>
    <w:rsid w:val="00C137DF"/>
    <w:rsid w:val="00C1395E"/>
    <w:rsid w:val="00C139F1"/>
    <w:rsid w:val="00C13A4C"/>
    <w:rsid w:val="00C13D1A"/>
    <w:rsid w:val="00C1408E"/>
    <w:rsid w:val="00C14115"/>
    <w:rsid w:val="00C143EF"/>
    <w:rsid w:val="00C143FC"/>
    <w:rsid w:val="00C14537"/>
    <w:rsid w:val="00C1453E"/>
    <w:rsid w:val="00C1456D"/>
    <w:rsid w:val="00C1461F"/>
    <w:rsid w:val="00C146D4"/>
    <w:rsid w:val="00C146E1"/>
    <w:rsid w:val="00C1473E"/>
    <w:rsid w:val="00C1489F"/>
    <w:rsid w:val="00C148A7"/>
    <w:rsid w:val="00C1491C"/>
    <w:rsid w:val="00C14AC8"/>
    <w:rsid w:val="00C14B26"/>
    <w:rsid w:val="00C14B61"/>
    <w:rsid w:val="00C14B75"/>
    <w:rsid w:val="00C14BFA"/>
    <w:rsid w:val="00C14D28"/>
    <w:rsid w:val="00C14DDD"/>
    <w:rsid w:val="00C14E18"/>
    <w:rsid w:val="00C14F5F"/>
    <w:rsid w:val="00C14FC7"/>
    <w:rsid w:val="00C15037"/>
    <w:rsid w:val="00C1504D"/>
    <w:rsid w:val="00C15095"/>
    <w:rsid w:val="00C15156"/>
    <w:rsid w:val="00C15173"/>
    <w:rsid w:val="00C152E9"/>
    <w:rsid w:val="00C1539F"/>
    <w:rsid w:val="00C153CD"/>
    <w:rsid w:val="00C155D4"/>
    <w:rsid w:val="00C157F6"/>
    <w:rsid w:val="00C159F4"/>
    <w:rsid w:val="00C159FC"/>
    <w:rsid w:val="00C15C2F"/>
    <w:rsid w:val="00C15C79"/>
    <w:rsid w:val="00C15CB5"/>
    <w:rsid w:val="00C15D32"/>
    <w:rsid w:val="00C15F15"/>
    <w:rsid w:val="00C15F7F"/>
    <w:rsid w:val="00C16024"/>
    <w:rsid w:val="00C160C3"/>
    <w:rsid w:val="00C16116"/>
    <w:rsid w:val="00C16174"/>
    <w:rsid w:val="00C161C1"/>
    <w:rsid w:val="00C1635A"/>
    <w:rsid w:val="00C165AD"/>
    <w:rsid w:val="00C1661E"/>
    <w:rsid w:val="00C166CA"/>
    <w:rsid w:val="00C16751"/>
    <w:rsid w:val="00C1675A"/>
    <w:rsid w:val="00C16844"/>
    <w:rsid w:val="00C1685C"/>
    <w:rsid w:val="00C168E9"/>
    <w:rsid w:val="00C16976"/>
    <w:rsid w:val="00C16C06"/>
    <w:rsid w:val="00C16C8A"/>
    <w:rsid w:val="00C16CAE"/>
    <w:rsid w:val="00C16CD6"/>
    <w:rsid w:val="00C16E13"/>
    <w:rsid w:val="00C16E1F"/>
    <w:rsid w:val="00C16E28"/>
    <w:rsid w:val="00C16EA7"/>
    <w:rsid w:val="00C16EB3"/>
    <w:rsid w:val="00C16F45"/>
    <w:rsid w:val="00C17016"/>
    <w:rsid w:val="00C17314"/>
    <w:rsid w:val="00C176A2"/>
    <w:rsid w:val="00C176F3"/>
    <w:rsid w:val="00C177EB"/>
    <w:rsid w:val="00C17882"/>
    <w:rsid w:val="00C17948"/>
    <w:rsid w:val="00C17A66"/>
    <w:rsid w:val="00C17AA7"/>
    <w:rsid w:val="00C17C37"/>
    <w:rsid w:val="00C17CB3"/>
    <w:rsid w:val="00C17CCB"/>
    <w:rsid w:val="00C17CD9"/>
    <w:rsid w:val="00C17D01"/>
    <w:rsid w:val="00C17E44"/>
    <w:rsid w:val="00C17E6A"/>
    <w:rsid w:val="00C17FB4"/>
    <w:rsid w:val="00C20032"/>
    <w:rsid w:val="00C2021E"/>
    <w:rsid w:val="00C203C5"/>
    <w:rsid w:val="00C2062C"/>
    <w:rsid w:val="00C206B2"/>
    <w:rsid w:val="00C206E6"/>
    <w:rsid w:val="00C206F9"/>
    <w:rsid w:val="00C20863"/>
    <w:rsid w:val="00C20A4B"/>
    <w:rsid w:val="00C20A74"/>
    <w:rsid w:val="00C20B79"/>
    <w:rsid w:val="00C20C4E"/>
    <w:rsid w:val="00C20C5E"/>
    <w:rsid w:val="00C20D2D"/>
    <w:rsid w:val="00C20E8F"/>
    <w:rsid w:val="00C20E9C"/>
    <w:rsid w:val="00C21168"/>
    <w:rsid w:val="00C21174"/>
    <w:rsid w:val="00C21181"/>
    <w:rsid w:val="00C211F0"/>
    <w:rsid w:val="00C211F6"/>
    <w:rsid w:val="00C211FE"/>
    <w:rsid w:val="00C2128A"/>
    <w:rsid w:val="00C212EA"/>
    <w:rsid w:val="00C2140A"/>
    <w:rsid w:val="00C2150B"/>
    <w:rsid w:val="00C21560"/>
    <w:rsid w:val="00C216AC"/>
    <w:rsid w:val="00C2172A"/>
    <w:rsid w:val="00C21748"/>
    <w:rsid w:val="00C217FE"/>
    <w:rsid w:val="00C218FD"/>
    <w:rsid w:val="00C21944"/>
    <w:rsid w:val="00C21991"/>
    <w:rsid w:val="00C21A63"/>
    <w:rsid w:val="00C21B1B"/>
    <w:rsid w:val="00C21C48"/>
    <w:rsid w:val="00C21C4A"/>
    <w:rsid w:val="00C21C91"/>
    <w:rsid w:val="00C21CD7"/>
    <w:rsid w:val="00C21D79"/>
    <w:rsid w:val="00C21E1F"/>
    <w:rsid w:val="00C21E28"/>
    <w:rsid w:val="00C21F65"/>
    <w:rsid w:val="00C2202F"/>
    <w:rsid w:val="00C22047"/>
    <w:rsid w:val="00C220E4"/>
    <w:rsid w:val="00C22113"/>
    <w:rsid w:val="00C22127"/>
    <w:rsid w:val="00C2213F"/>
    <w:rsid w:val="00C221F9"/>
    <w:rsid w:val="00C2220E"/>
    <w:rsid w:val="00C22285"/>
    <w:rsid w:val="00C22371"/>
    <w:rsid w:val="00C22448"/>
    <w:rsid w:val="00C22492"/>
    <w:rsid w:val="00C227FC"/>
    <w:rsid w:val="00C22999"/>
    <w:rsid w:val="00C22B3F"/>
    <w:rsid w:val="00C22B6A"/>
    <w:rsid w:val="00C22B9B"/>
    <w:rsid w:val="00C22BD3"/>
    <w:rsid w:val="00C22F1C"/>
    <w:rsid w:val="00C22FDC"/>
    <w:rsid w:val="00C230AD"/>
    <w:rsid w:val="00C231D5"/>
    <w:rsid w:val="00C23209"/>
    <w:rsid w:val="00C23269"/>
    <w:rsid w:val="00C2337A"/>
    <w:rsid w:val="00C23392"/>
    <w:rsid w:val="00C233DE"/>
    <w:rsid w:val="00C2346F"/>
    <w:rsid w:val="00C23508"/>
    <w:rsid w:val="00C235B1"/>
    <w:rsid w:val="00C235E4"/>
    <w:rsid w:val="00C2367A"/>
    <w:rsid w:val="00C2372C"/>
    <w:rsid w:val="00C238B5"/>
    <w:rsid w:val="00C23973"/>
    <w:rsid w:val="00C23B88"/>
    <w:rsid w:val="00C23BA4"/>
    <w:rsid w:val="00C23C56"/>
    <w:rsid w:val="00C23D14"/>
    <w:rsid w:val="00C23D30"/>
    <w:rsid w:val="00C23D89"/>
    <w:rsid w:val="00C23EB7"/>
    <w:rsid w:val="00C23EE8"/>
    <w:rsid w:val="00C23F73"/>
    <w:rsid w:val="00C23FE7"/>
    <w:rsid w:val="00C24525"/>
    <w:rsid w:val="00C2453D"/>
    <w:rsid w:val="00C2462E"/>
    <w:rsid w:val="00C24651"/>
    <w:rsid w:val="00C246C1"/>
    <w:rsid w:val="00C246D2"/>
    <w:rsid w:val="00C246E6"/>
    <w:rsid w:val="00C24718"/>
    <w:rsid w:val="00C2482C"/>
    <w:rsid w:val="00C24830"/>
    <w:rsid w:val="00C2485A"/>
    <w:rsid w:val="00C24984"/>
    <w:rsid w:val="00C24998"/>
    <w:rsid w:val="00C24A6A"/>
    <w:rsid w:val="00C24AB6"/>
    <w:rsid w:val="00C24BBD"/>
    <w:rsid w:val="00C24BFA"/>
    <w:rsid w:val="00C24BFB"/>
    <w:rsid w:val="00C24C24"/>
    <w:rsid w:val="00C24DB7"/>
    <w:rsid w:val="00C24F0F"/>
    <w:rsid w:val="00C24F30"/>
    <w:rsid w:val="00C25082"/>
    <w:rsid w:val="00C25178"/>
    <w:rsid w:val="00C25278"/>
    <w:rsid w:val="00C2545D"/>
    <w:rsid w:val="00C25470"/>
    <w:rsid w:val="00C254CB"/>
    <w:rsid w:val="00C254EB"/>
    <w:rsid w:val="00C25526"/>
    <w:rsid w:val="00C2557E"/>
    <w:rsid w:val="00C255AF"/>
    <w:rsid w:val="00C25614"/>
    <w:rsid w:val="00C2584E"/>
    <w:rsid w:val="00C258FA"/>
    <w:rsid w:val="00C25AA2"/>
    <w:rsid w:val="00C25B6C"/>
    <w:rsid w:val="00C25C4F"/>
    <w:rsid w:val="00C25F82"/>
    <w:rsid w:val="00C2609F"/>
    <w:rsid w:val="00C260D4"/>
    <w:rsid w:val="00C26168"/>
    <w:rsid w:val="00C261B4"/>
    <w:rsid w:val="00C2629B"/>
    <w:rsid w:val="00C263EB"/>
    <w:rsid w:val="00C26550"/>
    <w:rsid w:val="00C26583"/>
    <w:rsid w:val="00C2658C"/>
    <w:rsid w:val="00C265C5"/>
    <w:rsid w:val="00C26713"/>
    <w:rsid w:val="00C267B7"/>
    <w:rsid w:val="00C26868"/>
    <w:rsid w:val="00C26B5E"/>
    <w:rsid w:val="00C26BED"/>
    <w:rsid w:val="00C26C57"/>
    <w:rsid w:val="00C26FDD"/>
    <w:rsid w:val="00C27017"/>
    <w:rsid w:val="00C2718C"/>
    <w:rsid w:val="00C271E5"/>
    <w:rsid w:val="00C272FE"/>
    <w:rsid w:val="00C274B0"/>
    <w:rsid w:val="00C27567"/>
    <w:rsid w:val="00C2776B"/>
    <w:rsid w:val="00C27787"/>
    <w:rsid w:val="00C27790"/>
    <w:rsid w:val="00C277C6"/>
    <w:rsid w:val="00C2783D"/>
    <w:rsid w:val="00C27857"/>
    <w:rsid w:val="00C27ABA"/>
    <w:rsid w:val="00C27B03"/>
    <w:rsid w:val="00C27B94"/>
    <w:rsid w:val="00C27C0A"/>
    <w:rsid w:val="00C27DCB"/>
    <w:rsid w:val="00C27E0C"/>
    <w:rsid w:val="00C27E4C"/>
    <w:rsid w:val="00C27F98"/>
    <w:rsid w:val="00C27FAF"/>
    <w:rsid w:val="00C30055"/>
    <w:rsid w:val="00C30194"/>
    <w:rsid w:val="00C30446"/>
    <w:rsid w:val="00C3048C"/>
    <w:rsid w:val="00C305E5"/>
    <w:rsid w:val="00C30622"/>
    <w:rsid w:val="00C3064B"/>
    <w:rsid w:val="00C306FA"/>
    <w:rsid w:val="00C3072F"/>
    <w:rsid w:val="00C30785"/>
    <w:rsid w:val="00C30807"/>
    <w:rsid w:val="00C308C4"/>
    <w:rsid w:val="00C30A3A"/>
    <w:rsid w:val="00C30B0F"/>
    <w:rsid w:val="00C30B87"/>
    <w:rsid w:val="00C30BF2"/>
    <w:rsid w:val="00C30C04"/>
    <w:rsid w:val="00C30DBF"/>
    <w:rsid w:val="00C30DDE"/>
    <w:rsid w:val="00C30F69"/>
    <w:rsid w:val="00C310EA"/>
    <w:rsid w:val="00C31170"/>
    <w:rsid w:val="00C31212"/>
    <w:rsid w:val="00C31233"/>
    <w:rsid w:val="00C3147A"/>
    <w:rsid w:val="00C31764"/>
    <w:rsid w:val="00C31886"/>
    <w:rsid w:val="00C31ACC"/>
    <w:rsid w:val="00C31ADB"/>
    <w:rsid w:val="00C31DC0"/>
    <w:rsid w:val="00C31DC8"/>
    <w:rsid w:val="00C31E8E"/>
    <w:rsid w:val="00C31EAF"/>
    <w:rsid w:val="00C3203F"/>
    <w:rsid w:val="00C32078"/>
    <w:rsid w:val="00C320CB"/>
    <w:rsid w:val="00C321A6"/>
    <w:rsid w:val="00C3229D"/>
    <w:rsid w:val="00C324A1"/>
    <w:rsid w:val="00C325DE"/>
    <w:rsid w:val="00C3267F"/>
    <w:rsid w:val="00C32731"/>
    <w:rsid w:val="00C32792"/>
    <w:rsid w:val="00C329D8"/>
    <w:rsid w:val="00C32AA8"/>
    <w:rsid w:val="00C32D0B"/>
    <w:rsid w:val="00C32D6E"/>
    <w:rsid w:val="00C32D8B"/>
    <w:rsid w:val="00C32DB0"/>
    <w:rsid w:val="00C32DCD"/>
    <w:rsid w:val="00C32E53"/>
    <w:rsid w:val="00C32F05"/>
    <w:rsid w:val="00C32F66"/>
    <w:rsid w:val="00C32FDD"/>
    <w:rsid w:val="00C33355"/>
    <w:rsid w:val="00C33745"/>
    <w:rsid w:val="00C3379D"/>
    <w:rsid w:val="00C337A5"/>
    <w:rsid w:val="00C3398A"/>
    <w:rsid w:val="00C339B6"/>
    <w:rsid w:val="00C33B33"/>
    <w:rsid w:val="00C33BF3"/>
    <w:rsid w:val="00C33C33"/>
    <w:rsid w:val="00C33CD8"/>
    <w:rsid w:val="00C33D0E"/>
    <w:rsid w:val="00C33F5C"/>
    <w:rsid w:val="00C33F97"/>
    <w:rsid w:val="00C3400A"/>
    <w:rsid w:val="00C3406D"/>
    <w:rsid w:val="00C340AA"/>
    <w:rsid w:val="00C340DC"/>
    <w:rsid w:val="00C34113"/>
    <w:rsid w:val="00C3427A"/>
    <w:rsid w:val="00C342CA"/>
    <w:rsid w:val="00C343D0"/>
    <w:rsid w:val="00C34493"/>
    <w:rsid w:val="00C344D1"/>
    <w:rsid w:val="00C346C9"/>
    <w:rsid w:val="00C34811"/>
    <w:rsid w:val="00C34879"/>
    <w:rsid w:val="00C34897"/>
    <w:rsid w:val="00C348BB"/>
    <w:rsid w:val="00C34968"/>
    <w:rsid w:val="00C34A4A"/>
    <w:rsid w:val="00C34D20"/>
    <w:rsid w:val="00C34D21"/>
    <w:rsid w:val="00C34DD1"/>
    <w:rsid w:val="00C34EF7"/>
    <w:rsid w:val="00C34FF6"/>
    <w:rsid w:val="00C3506E"/>
    <w:rsid w:val="00C35143"/>
    <w:rsid w:val="00C3515E"/>
    <w:rsid w:val="00C3516B"/>
    <w:rsid w:val="00C351B5"/>
    <w:rsid w:val="00C351F4"/>
    <w:rsid w:val="00C353D3"/>
    <w:rsid w:val="00C35413"/>
    <w:rsid w:val="00C354B0"/>
    <w:rsid w:val="00C355DA"/>
    <w:rsid w:val="00C3571A"/>
    <w:rsid w:val="00C35763"/>
    <w:rsid w:val="00C359AF"/>
    <w:rsid w:val="00C35E10"/>
    <w:rsid w:val="00C35EB0"/>
    <w:rsid w:val="00C35F0E"/>
    <w:rsid w:val="00C35F17"/>
    <w:rsid w:val="00C35FF9"/>
    <w:rsid w:val="00C36095"/>
    <w:rsid w:val="00C360EF"/>
    <w:rsid w:val="00C361A0"/>
    <w:rsid w:val="00C36289"/>
    <w:rsid w:val="00C362A3"/>
    <w:rsid w:val="00C362C6"/>
    <w:rsid w:val="00C362FC"/>
    <w:rsid w:val="00C36391"/>
    <w:rsid w:val="00C365BC"/>
    <w:rsid w:val="00C36656"/>
    <w:rsid w:val="00C3667F"/>
    <w:rsid w:val="00C3668B"/>
    <w:rsid w:val="00C369F8"/>
    <w:rsid w:val="00C36A78"/>
    <w:rsid w:val="00C36B2C"/>
    <w:rsid w:val="00C36D97"/>
    <w:rsid w:val="00C36EBE"/>
    <w:rsid w:val="00C36F7C"/>
    <w:rsid w:val="00C36F95"/>
    <w:rsid w:val="00C37043"/>
    <w:rsid w:val="00C37114"/>
    <w:rsid w:val="00C3744C"/>
    <w:rsid w:val="00C37587"/>
    <w:rsid w:val="00C376C8"/>
    <w:rsid w:val="00C3779F"/>
    <w:rsid w:val="00C377AA"/>
    <w:rsid w:val="00C37908"/>
    <w:rsid w:val="00C37980"/>
    <w:rsid w:val="00C379FF"/>
    <w:rsid w:val="00C37A2C"/>
    <w:rsid w:val="00C37ACF"/>
    <w:rsid w:val="00C37B37"/>
    <w:rsid w:val="00C37B88"/>
    <w:rsid w:val="00C37C6E"/>
    <w:rsid w:val="00C37D4E"/>
    <w:rsid w:val="00C37E0A"/>
    <w:rsid w:val="00C37E6A"/>
    <w:rsid w:val="00C401BA"/>
    <w:rsid w:val="00C40272"/>
    <w:rsid w:val="00C40346"/>
    <w:rsid w:val="00C40416"/>
    <w:rsid w:val="00C40530"/>
    <w:rsid w:val="00C406C5"/>
    <w:rsid w:val="00C40926"/>
    <w:rsid w:val="00C40999"/>
    <w:rsid w:val="00C40A1D"/>
    <w:rsid w:val="00C40D89"/>
    <w:rsid w:val="00C40E56"/>
    <w:rsid w:val="00C41139"/>
    <w:rsid w:val="00C41144"/>
    <w:rsid w:val="00C411AA"/>
    <w:rsid w:val="00C41242"/>
    <w:rsid w:val="00C41247"/>
    <w:rsid w:val="00C412F7"/>
    <w:rsid w:val="00C4162F"/>
    <w:rsid w:val="00C4163D"/>
    <w:rsid w:val="00C41693"/>
    <w:rsid w:val="00C416C1"/>
    <w:rsid w:val="00C417BB"/>
    <w:rsid w:val="00C417D3"/>
    <w:rsid w:val="00C4180E"/>
    <w:rsid w:val="00C41941"/>
    <w:rsid w:val="00C41980"/>
    <w:rsid w:val="00C41A9A"/>
    <w:rsid w:val="00C41E94"/>
    <w:rsid w:val="00C41EB2"/>
    <w:rsid w:val="00C41F11"/>
    <w:rsid w:val="00C42010"/>
    <w:rsid w:val="00C42184"/>
    <w:rsid w:val="00C424AC"/>
    <w:rsid w:val="00C424F2"/>
    <w:rsid w:val="00C425F5"/>
    <w:rsid w:val="00C42653"/>
    <w:rsid w:val="00C4277A"/>
    <w:rsid w:val="00C429F2"/>
    <w:rsid w:val="00C429FC"/>
    <w:rsid w:val="00C42CC8"/>
    <w:rsid w:val="00C42D00"/>
    <w:rsid w:val="00C42D34"/>
    <w:rsid w:val="00C42D35"/>
    <w:rsid w:val="00C42EE8"/>
    <w:rsid w:val="00C42FAF"/>
    <w:rsid w:val="00C42FD5"/>
    <w:rsid w:val="00C43190"/>
    <w:rsid w:val="00C431C6"/>
    <w:rsid w:val="00C43361"/>
    <w:rsid w:val="00C43371"/>
    <w:rsid w:val="00C43528"/>
    <w:rsid w:val="00C4353E"/>
    <w:rsid w:val="00C43606"/>
    <w:rsid w:val="00C4364E"/>
    <w:rsid w:val="00C43687"/>
    <w:rsid w:val="00C4372D"/>
    <w:rsid w:val="00C4382B"/>
    <w:rsid w:val="00C43847"/>
    <w:rsid w:val="00C438B5"/>
    <w:rsid w:val="00C439A4"/>
    <w:rsid w:val="00C43A6C"/>
    <w:rsid w:val="00C43A75"/>
    <w:rsid w:val="00C43A9A"/>
    <w:rsid w:val="00C43C41"/>
    <w:rsid w:val="00C43CC5"/>
    <w:rsid w:val="00C43D46"/>
    <w:rsid w:val="00C43D75"/>
    <w:rsid w:val="00C43D8A"/>
    <w:rsid w:val="00C43DA8"/>
    <w:rsid w:val="00C43F70"/>
    <w:rsid w:val="00C43FEB"/>
    <w:rsid w:val="00C443AE"/>
    <w:rsid w:val="00C443E1"/>
    <w:rsid w:val="00C4443D"/>
    <w:rsid w:val="00C4446A"/>
    <w:rsid w:val="00C444E7"/>
    <w:rsid w:val="00C44712"/>
    <w:rsid w:val="00C447CE"/>
    <w:rsid w:val="00C447FC"/>
    <w:rsid w:val="00C44B03"/>
    <w:rsid w:val="00C44C3A"/>
    <w:rsid w:val="00C44C58"/>
    <w:rsid w:val="00C44C9D"/>
    <w:rsid w:val="00C44CAF"/>
    <w:rsid w:val="00C44D5C"/>
    <w:rsid w:val="00C44E2D"/>
    <w:rsid w:val="00C44E7F"/>
    <w:rsid w:val="00C45078"/>
    <w:rsid w:val="00C450FF"/>
    <w:rsid w:val="00C4515E"/>
    <w:rsid w:val="00C451A0"/>
    <w:rsid w:val="00C45307"/>
    <w:rsid w:val="00C453BC"/>
    <w:rsid w:val="00C4549C"/>
    <w:rsid w:val="00C45662"/>
    <w:rsid w:val="00C456C5"/>
    <w:rsid w:val="00C4580F"/>
    <w:rsid w:val="00C45815"/>
    <w:rsid w:val="00C458AD"/>
    <w:rsid w:val="00C45909"/>
    <w:rsid w:val="00C45A27"/>
    <w:rsid w:val="00C45A41"/>
    <w:rsid w:val="00C45AC4"/>
    <w:rsid w:val="00C45BE4"/>
    <w:rsid w:val="00C45BF0"/>
    <w:rsid w:val="00C45DC2"/>
    <w:rsid w:val="00C4604B"/>
    <w:rsid w:val="00C461A4"/>
    <w:rsid w:val="00C461FC"/>
    <w:rsid w:val="00C46292"/>
    <w:rsid w:val="00C464D2"/>
    <w:rsid w:val="00C464E6"/>
    <w:rsid w:val="00C4651E"/>
    <w:rsid w:val="00C46701"/>
    <w:rsid w:val="00C46757"/>
    <w:rsid w:val="00C46765"/>
    <w:rsid w:val="00C46776"/>
    <w:rsid w:val="00C4677D"/>
    <w:rsid w:val="00C467CA"/>
    <w:rsid w:val="00C46801"/>
    <w:rsid w:val="00C4685A"/>
    <w:rsid w:val="00C468C3"/>
    <w:rsid w:val="00C46B48"/>
    <w:rsid w:val="00C46BA1"/>
    <w:rsid w:val="00C46D20"/>
    <w:rsid w:val="00C46EE2"/>
    <w:rsid w:val="00C46F26"/>
    <w:rsid w:val="00C470FD"/>
    <w:rsid w:val="00C47124"/>
    <w:rsid w:val="00C47188"/>
    <w:rsid w:val="00C471A8"/>
    <w:rsid w:val="00C4732D"/>
    <w:rsid w:val="00C47346"/>
    <w:rsid w:val="00C473DF"/>
    <w:rsid w:val="00C47489"/>
    <w:rsid w:val="00C4751A"/>
    <w:rsid w:val="00C4755D"/>
    <w:rsid w:val="00C47641"/>
    <w:rsid w:val="00C476B3"/>
    <w:rsid w:val="00C476ED"/>
    <w:rsid w:val="00C47768"/>
    <w:rsid w:val="00C478A7"/>
    <w:rsid w:val="00C478B3"/>
    <w:rsid w:val="00C478F7"/>
    <w:rsid w:val="00C478FA"/>
    <w:rsid w:val="00C479A7"/>
    <w:rsid w:val="00C47CA1"/>
    <w:rsid w:val="00C47DA2"/>
    <w:rsid w:val="00C47ECF"/>
    <w:rsid w:val="00C47EE5"/>
    <w:rsid w:val="00C47FE9"/>
    <w:rsid w:val="00C50022"/>
    <w:rsid w:val="00C50037"/>
    <w:rsid w:val="00C501C6"/>
    <w:rsid w:val="00C50239"/>
    <w:rsid w:val="00C50310"/>
    <w:rsid w:val="00C50375"/>
    <w:rsid w:val="00C503B0"/>
    <w:rsid w:val="00C503E1"/>
    <w:rsid w:val="00C504A0"/>
    <w:rsid w:val="00C505DE"/>
    <w:rsid w:val="00C505E5"/>
    <w:rsid w:val="00C50670"/>
    <w:rsid w:val="00C50687"/>
    <w:rsid w:val="00C506C6"/>
    <w:rsid w:val="00C50753"/>
    <w:rsid w:val="00C5093B"/>
    <w:rsid w:val="00C509CE"/>
    <w:rsid w:val="00C50A64"/>
    <w:rsid w:val="00C50A7D"/>
    <w:rsid w:val="00C50C21"/>
    <w:rsid w:val="00C50C72"/>
    <w:rsid w:val="00C5107F"/>
    <w:rsid w:val="00C512E0"/>
    <w:rsid w:val="00C5143C"/>
    <w:rsid w:val="00C5145B"/>
    <w:rsid w:val="00C514F6"/>
    <w:rsid w:val="00C515DA"/>
    <w:rsid w:val="00C516E2"/>
    <w:rsid w:val="00C5175C"/>
    <w:rsid w:val="00C51761"/>
    <w:rsid w:val="00C519EC"/>
    <w:rsid w:val="00C51B06"/>
    <w:rsid w:val="00C51C90"/>
    <w:rsid w:val="00C51C9D"/>
    <w:rsid w:val="00C51D26"/>
    <w:rsid w:val="00C51EBE"/>
    <w:rsid w:val="00C51F23"/>
    <w:rsid w:val="00C51F8F"/>
    <w:rsid w:val="00C51FF8"/>
    <w:rsid w:val="00C5203C"/>
    <w:rsid w:val="00C52144"/>
    <w:rsid w:val="00C5221D"/>
    <w:rsid w:val="00C52337"/>
    <w:rsid w:val="00C5238E"/>
    <w:rsid w:val="00C523F6"/>
    <w:rsid w:val="00C52436"/>
    <w:rsid w:val="00C52445"/>
    <w:rsid w:val="00C524D2"/>
    <w:rsid w:val="00C52500"/>
    <w:rsid w:val="00C525F5"/>
    <w:rsid w:val="00C525FD"/>
    <w:rsid w:val="00C52629"/>
    <w:rsid w:val="00C527E8"/>
    <w:rsid w:val="00C52A03"/>
    <w:rsid w:val="00C52A39"/>
    <w:rsid w:val="00C52BA8"/>
    <w:rsid w:val="00C52D55"/>
    <w:rsid w:val="00C52E35"/>
    <w:rsid w:val="00C52ED0"/>
    <w:rsid w:val="00C53149"/>
    <w:rsid w:val="00C533C9"/>
    <w:rsid w:val="00C5346A"/>
    <w:rsid w:val="00C535B3"/>
    <w:rsid w:val="00C535CC"/>
    <w:rsid w:val="00C53632"/>
    <w:rsid w:val="00C53689"/>
    <w:rsid w:val="00C5373A"/>
    <w:rsid w:val="00C5373E"/>
    <w:rsid w:val="00C53834"/>
    <w:rsid w:val="00C53859"/>
    <w:rsid w:val="00C538B9"/>
    <w:rsid w:val="00C538F7"/>
    <w:rsid w:val="00C539AF"/>
    <w:rsid w:val="00C53BCE"/>
    <w:rsid w:val="00C53D70"/>
    <w:rsid w:val="00C53E43"/>
    <w:rsid w:val="00C53FE5"/>
    <w:rsid w:val="00C54101"/>
    <w:rsid w:val="00C541A6"/>
    <w:rsid w:val="00C5432C"/>
    <w:rsid w:val="00C543A2"/>
    <w:rsid w:val="00C543C6"/>
    <w:rsid w:val="00C543CA"/>
    <w:rsid w:val="00C54588"/>
    <w:rsid w:val="00C545A2"/>
    <w:rsid w:val="00C54677"/>
    <w:rsid w:val="00C546FD"/>
    <w:rsid w:val="00C547D8"/>
    <w:rsid w:val="00C549BB"/>
    <w:rsid w:val="00C54A8A"/>
    <w:rsid w:val="00C54B4F"/>
    <w:rsid w:val="00C54B5F"/>
    <w:rsid w:val="00C54BB8"/>
    <w:rsid w:val="00C54C07"/>
    <w:rsid w:val="00C54CD8"/>
    <w:rsid w:val="00C54D35"/>
    <w:rsid w:val="00C54E49"/>
    <w:rsid w:val="00C54FCC"/>
    <w:rsid w:val="00C54FDB"/>
    <w:rsid w:val="00C5514A"/>
    <w:rsid w:val="00C55229"/>
    <w:rsid w:val="00C55301"/>
    <w:rsid w:val="00C55472"/>
    <w:rsid w:val="00C55629"/>
    <w:rsid w:val="00C556E5"/>
    <w:rsid w:val="00C557F9"/>
    <w:rsid w:val="00C55869"/>
    <w:rsid w:val="00C5589A"/>
    <w:rsid w:val="00C55983"/>
    <w:rsid w:val="00C55A71"/>
    <w:rsid w:val="00C55B26"/>
    <w:rsid w:val="00C55B42"/>
    <w:rsid w:val="00C55C21"/>
    <w:rsid w:val="00C55F3F"/>
    <w:rsid w:val="00C55FC2"/>
    <w:rsid w:val="00C561FB"/>
    <w:rsid w:val="00C562E7"/>
    <w:rsid w:val="00C5633D"/>
    <w:rsid w:val="00C563D2"/>
    <w:rsid w:val="00C56420"/>
    <w:rsid w:val="00C56527"/>
    <w:rsid w:val="00C565E6"/>
    <w:rsid w:val="00C566FB"/>
    <w:rsid w:val="00C56708"/>
    <w:rsid w:val="00C56AF3"/>
    <w:rsid w:val="00C56B10"/>
    <w:rsid w:val="00C56B3D"/>
    <w:rsid w:val="00C56BA2"/>
    <w:rsid w:val="00C56C09"/>
    <w:rsid w:val="00C56C4F"/>
    <w:rsid w:val="00C56D0E"/>
    <w:rsid w:val="00C56D25"/>
    <w:rsid w:val="00C56DBC"/>
    <w:rsid w:val="00C56EED"/>
    <w:rsid w:val="00C56F4E"/>
    <w:rsid w:val="00C56FB9"/>
    <w:rsid w:val="00C57030"/>
    <w:rsid w:val="00C57038"/>
    <w:rsid w:val="00C57181"/>
    <w:rsid w:val="00C571AB"/>
    <w:rsid w:val="00C571CD"/>
    <w:rsid w:val="00C571D6"/>
    <w:rsid w:val="00C573F7"/>
    <w:rsid w:val="00C57456"/>
    <w:rsid w:val="00C5776C"/>
    <w:rsid w:val="00C577AA"/>
    <w:rsid w:val="00C57844"/>
    <w:rsid w:val="00C57870"/>
    <w:rsid w:val="00C57884"/>
    <w:rsid w:val="00C578CB"/>
    <w:rsid w:val="00C578E4"/>
    <w:rsid w:val="00C5796D"/>
    <w:rsid w:val="00C579F0"/>
    <w:rsid w:val="00C57A87"/>
    <w:rsid w:val="00C57DB8"/>
    <w:rsid w:val="00C57DD5"/>
    <w:rsid w:val="00C57E12"/>
    <w:rsid w:val="00C57E9F"/>
    <w:rsid w:val="00C6016A"/>
    <w:rsid w:val="00C60206"/>
    <w:rsid w:val="00C6024A"/>
    <w:rsid w:val="00C60314"/>
    <w:rsid w:val="00C6055B"/>
    <w:rsid w:val="00C606F0"/>
    <w:rsid w:val="00C60713"/>
    <w:rsid w:val="00C60719"/>
    <w:rsid w:val="00C608D3"/>
    <w:rsid w:val="00C608DB"/>
    <w:rsid w:val="00C609F6"/>
    <w:rsid w:val="00C60A75"/>
    <w:rsid w:val="00C60D75"/>
    <w:rsid w:val="00C60DC3"/>
    <w:rsid w:val="00C60F38"/>
    <w:rsid w:val="00C60F6E"/>
    <w:rsid w:val="00C60FB4"/>
    <w:rsid w:val="00C61033"/>
    <w:rsid w:val="00C61065"/>
    <w:rsid w:val="00C61299"/>
    <w:rsid w:val="00C6138F"/>
    <w:rsid w:val="00C614FB"/>
    <w:rsid w:val="00C61576"/>
    <w:rsid w:val="00C615A3"/>
    <w:rsid w:val="00C6160C"/>
    <w:rsid w:val="00C616CF"/>
    <w:rsid w:val="00C616EF"/>
    <w:rsid w:val="00C61799"/>
    <w:rsid w:val="00C617F7"/>
    <w:rsid w:val="00C61829"/>
    <w:rsid w:val="00C61841"/>
    <w:rsid w:val="00C61BE3"/>
    <w:rsid w:val="00C61C91"/>
    <w:rsid w:val="00C61EB8"/>
    <w:rsid w:val="00C61ED6"/>
    <w:rsid w:val="00C61EF9"/>
    <w:rsid w:val="00C6204A"/>
    <w:rsid w:val="00C621D4"/>
    <w:rsid w:val="00C622B8"/>
    <w:rsid w:val="00C6248A"/>
    <w:rsid w:val="00C625C8"/>
    <w:rsid w:val="00C62622"/>
    <w:rsid w:val="00C6265B"/>
    <w:rsid w:val="00C6275B"/>
    <w:rsid w:val="00C62792"/>
    <w:rsid w:val="00C62871"/>
    <w:rsid w:val="00C6297E"/>
    <w:rsid w:val="00C629B8"/>
    <w:rsid w:val="00C62BA4"/>
    <w:rsid w:val="00C62C11"/>
    <w:rsid w:val="00C63178"/>
    <w:rsid w:val="00C6324A"/>
    <w:rsid w:val="00C632BC"/>
    <w:rsid w:val="00C6335C"/>
    <w:rsid w:val="00C63591"/>
    <w:rsid w:val="00C63593"/>
    <w:rsid w:val="00C6361B"/>
    <w:rsid w:val="00C6367B"/>
    <w:rsid w:val="00C6376A"/>
    <w:rsid w:val="00C6387A"/>
    <w:rsid w:val="00C638CE"/>
    <w:rsid w:val="00C6395A"/>
    <w:rsid w:val="00C63BE9"/>
    <w:rsid w:val="00C63DE4"/>
    <w:rsid w:val="00C63FCD"/>
    <w:rsid w:val="00C6417E"/>
    <w:rsid w:val="00C641C7"/>
    <w:rsid w:val="00C64380"/>
    <w:rsid w:val="00C64402"/>
    <w:rsid w:val="00C6454E"/>
    <w:rsid w:val="00C645E1"/>
    <w:rsid w:val="00C64689"/>
    <w:rsid w:val="00C64828"/>
    <w:rsid w:val="00C648E0"/>
    <w:rsid w:val="00C64991"/>
    <w:rsid w:val="00C649F6"/>
    <w:rsid w:val="00C64AEF"/>
    <w:rsid w:val="00C64B35"/>
    <w:rsid w:val="00C64DA2"/>
    <w:rsid w:val="00C64E01"/>
    <w:rsid w:val="00C64E4B"/>
    <w:rsid w:val="00C64F74"/>
    <w:rsid w:val="00C6507A"/>
    <w:rsid w:val="00C650B8"/>
    <w:rsid w:val="00C653DF"/>
    <w:rsid w:val="00C653E9"/>
    <w:rsid w:val="00C65477"/>
    <w:rsid w:val="00C6547B"/>
    <w:rsid w:val="00C6550B"/>
    <w:rsid w:val="00C655DF"/>
    <w:rsid w:val="00C65636"/>
    <w:rsid w:val="00C65707"/>
    <w:rsid w:val="00C6578C"/>
    <w:rsid w:val="00C65AD8"/>
    <w:rsid w:val="00C65B91"/>
    <w:rsid w:val="00C65C3E"/>
    <w:rsid w:val="00C65CE4"/>
    <w:rsid w:val="00C65D2C"/>
    <w:rsid w:val="00C65D69"/>
    <w:rsid w:val="00C65DA7"/>
    <w:rsid w:val="00C65E6C"/>
    <w:rsid w:val="00C65F0E"/>
    <w:rsid w:val="00C6605D"/>
    <w:rsid w:val="00C660F2"/>
    <w:rsid w:val="00C66112"/>
    <w:rsid w:val="00C66127"/>
    <w:rsid w:val="00C66364"/>
    <w:rsid w:val="00C66391"/>
    <w:rsid w:val="00C66624"/>
    <w:rsid w:val="00C667C5"/>
    <w:rsid w:val="00C667ED"/>
    <w:rsid w:val="00C667FB"/>
    <w:rsid w:val="00C66852"/>
    <w:rsid w:val="00C668D2"/>
    <w:rsid w:val="00C66AAE"/>
    <w:rsid w:val="00C66CF7"/>
    <w:rsid w:val="00C6705D"/>
    <w:rsid w:val="00C6719A"/>
    <w:rsid w:val="00C671FE"/>
    <w:rsid w:val="00C67239"/>
    <w:rsid w:val="00C675BB"/>
    <w:rsid w:val="00C67614"/>
    <w:rsid w:val="00C679D5"/>
    <w:rsid w:val="00C67A00"/>
    <w:rsid w:val="00C67A2A"/>
    <w:rsid w:val="00C67A71"/>
    <w:rsid w:val="00C67A94"/>
    <w:rsid w:val="00C67B5D"/>
    <w:rsid w:val="00C67DE3"/>
    <w:rsid w:val="00C67EA4"/>
    <w:rsid w:val="00C67EE1"/>
    <w:rsid w:val="00C67F55"/>
    <w:rsid w:val="00C67FD1"/>
    <w:rsid w:val="00C70037"/>
    <w:rsid w:val="00C70170"/>
    <w:rsid w:val="00C70173"/>
    <w:rsid w:val="00C701B7"/>
    <w:rsid w:val="00C7039B"/>
    <w:rsid w:val="00C703DA"/>
    <w:rsid w:val="00C70481"/>
    <w:rsid w:val="00C70511"/>
    <w:rsid w:val="00C70655"/>
    <w:rsid w:val="00C706FE"/>
    <w:rsid w:val="00C707C7"/>
    <w:rsid w:val="00C70A85"/>
    <w:rsid w:val="00C70B47"/>
    <w:rsid w:val="00C70BF2"/>
    <w:rsid w:val="00C70C59"/>
    <w:rsid w:val="00C70CA4"/>
    <w:rsid w:val="00C70E28"/>
    <w:rsid w:val="00C70E5F"/>
    <w:rsid w:val="00C70EB5"/>
    <w:rsid w:val="00C710EC"/>
    <w:rsid w:val="00C71158"/>
    <w:rsid w:val="00C711DA"/>
    <w:rsid w:val="00C71326"/>
    <w:rsid w:val="00C713B6"/>
    <w:rsid w:val="00C713E6"/>
    <w:rsid w:val="00C7149D"/>
    <w:rsid w:val="00C714DD"/>
    <w:rsid w:val="00C7155F"/>
    <w:rsid w:val="00C715C3"/>
    <w:rsid w:val="00C7160B"/>
    <w:rsid w:val="00C71685"/>
    <w:rsid w:val="00C7168C"/>
    <w:rsid w:val="00C7189F"/>
    <w:rsid w:val="00C71938"/>
    <w:rsid w:val="00C71980"/>
    <w:rsid w:val="00C71985"/>
    <w:rsid w:val="00C719B1"/>
    <w:rsid w:val="00C71AEB"/>
    <w:rsid w:val="00C71BE6"/>
    <w:rsid w:val="00C71DBE"/>
    <w:rsid w:val="00C71E0F"/>
    <w:rsid w:val="00C71FA0"/>
    <w:rsid w:val="00C72000"/>
    <w:rsid w:val="00C72050"/>
    <w:rsid w:val="00C72216"/>
    <w:rsid w:val="00C7227A"/>
    <w:rsid w:val="00C7236E"/>
    <w:rsid w:val="00C72603"/>
    <w:rsid w:val="00C726EE"/>
    <w:rsid w:val="00C72847"/>
    <w:rsid w:val="00C728BA"/>
    <w:rsid w:val="00C7299E"/>
    <w:rsid w:val="00C729DA"/>
    <w:rsid w:val="00C72A38"/>
    <w:rsid w:val="00C72A77"/>
    <w:rsid w:val="00C72AA5"/>
    <w:rsid w:val="00C72BA9"/>
    <w:rsid w:val="00C72D80"/>
    <w:rsid w:val="00C72E51"/>
    <w:rsid w:val="00C72E53"/>
    <w:rsid w:val="00C72E83"/>
    <w:rsid w:val="00C7301D"/>
    <w:rsid w:val="00C7311D"/>
    <w:rsid w:val="00C7317B"/>
    <w:rsid w:val="00C733ED"/>
    <w:rsid w:val="00C73537"/>
    <w:rsid w:val="00C73587"/>
    <w:rsid w:val="00C735DB"/>
    <w:rsid w:val="00C735F1"/>
    <w:rsid w:val="00C73659"/>
    <w:rsid w:val="00C736D9"/>
    <w:rsid w:val="00C7375B"/>
    <w:rsid w:val="00C73768"/>
    <w:rsid w:val="00C7385B"/>
    <w:rsid w:val="00C73966"/>
    <w:rsid w:val="00C73B92"/>
    <w:rsid w:val="00C73BD7"/>
    <w:rsid w:val="00C73CBC"/>
    <w:rsid w:val="00C73D10"/>
    <w:rsid w:val="00C73F26"/>
    <w:rsid w:val="00C73F79"/>
    <w:rsid w:val="00C7407E"/>
    <w:rsid w:val="00C740D5"/>
    <w:rsid w:val="00C74140"/>
    <w:rsid w:val="00C741B1"/>
    <w:rsid w:val="00C741B7"/>
    <w:rsid w:val="00C7432F"/>
    <w:rsid w:val="00C74352"/>
    <w:rsid w:val="00C743BF"/>
    <w:rsid w:val="00C744CA"/>
    <w:rsid w:val="00C744E1"/>
    <w:rsid w:val="00C745F6"/>
    <w:rsid w:val="00C748CE"/>
    <w:rsid w:val="00C7496A"/>
    <w:rsid w:val="00C74B42"/>
    <w:rsid w:val="00C74DA1"/>
    <w:rsid w:val="00C74DF4"/>
    <w:rsid w:val="00C74E50"/>
    <w:rsid w:val="00C74F18"/>
    <w:rsid w:val="00C750AF"/>
    <w:rsid w:val="00C75243"/>
    <w:rsid w:val="00C75557"/>
    <w:rsid w:val="00C75786"/>
    <w:rsid w:val="00C757C1"/>
    <w:rsid w:val="00C757FE"/>
    <w:rsid w:val="00C75A68"/>
    <w:rsid w:val="00C75A7D"/>
    <w:rsid w:val="00C75BB7"/>
    <w:rsid w:val="00C75BC4"/>
    <w:rsid w:val="00C75CDD"/>
    <w:rsid w:val="00C75D77"/>
    <w:rsid w:val="00C75DFE"/>
    <w:rsid w:val="00C75FC5"/>
    <w:rsid w:val="00C7601E"/>
    <w:rsid w:val="00C76143"/>
    <w:rsid w:val="00C76259"/>
    <w:rsid w:val="00C7659E"/>
    <w:rsid w:val="00C76729"/>
    <w:rsid w:val="00C7676D"/>
    <w:rsid w:val="00C76A01"/>
    <w:rsid w:val="00C76AAB"/>
    <w:rsid w:val="00C76BFD"/>
    <w:rsid w:val="00C76C4F"/>
    <w:rsid w:val="00C76DF6"/>
    <w:rsid w:val="00C76EF1"/>
    <w:rsid w:val="00C76FB8"/>
    <w:rsid w:val="00C77192"/>
    <w:rsid w:val="00C7722D"/>
    <w:rsid w:val="00C77230"/>
    <w:rsid w:val="00C77243"/>
    <w:rsid w:val="00C772DF"/>
    <w:rsid w:val="00C773A5"/>
    <w:rsid w:val="00C77498"/>
    <w:rsid w:val="00C774C8"/>
    <w:rsid w:val="00C7759C"/>
    <w:rsid w:val="00C775BA"/>
    <w:rsid w:val="00C77752"/>
    <w:rsid w:val="00C77854"/>
    <w:rsid w:val="00C77924"/>
    <w:rsid w:val="00C7795C"/>
    <w:rsid w:val="00C7797E"/>
    <w:rsid w:val="00C77E3A"/>
    <w:rsid w:val="00C77F50"/>
    <w:rsid w:val="00C77F72"/>
    <w:rsid w:val="00C77F8C"/>
    <w:rsid w:val="00C77F9D"/>
    <w:rsid w:val="00C77FCB"/>
    <w:rsid w:val="00C8009A"/>
    <w:rsid w:val="00C8011A"/>
    <w:rsid w:val="00C802A7"/>
    <w:rsid w:val="00C806D3"/>
    <w:rsid w:val="00C8076C"/>
    <w:rsid w:val="00C808A1"/>
    <w:rsid w:val="00C8090A"/>
    <w:rsid w:val="00C80C88"/>
    <w:rsid w:val="00C811C4"/>
    <w:rsid w:val="00C812F0"/>
    <w:rsid w:val="00C8136A"/>
    <w:rsid w:val="00C81383"/>
    <w:rsid w:val="00C8176A"/>
    <w:rsid w:val="00C818B4"/>
    <w:rsid w:val="00C819EB"/>
    <w:rsid w:val="00C81AB4"/>
    <w:rsid w:val="00C81D24"/>
    <w:rsid w:val="00C81DCE"/>
    <w:rsid w:val="00C81DFA"/>
    <w:rsid w:val="00C81EBB"/>
    <w:rsid w:val="00C81F1D"/>
    <w:rsid w:val="00C81F95"/>
    <w:rsid w:val="00C81F9A"/>
    <w:rsid w:val="00C81FD8"/>
    <w:rsid w:val="00C8200C"/>
    <w:rsid w:val="00C82024"/>
    <w:rsid w:val="00C820D0"/>
    <w:rsid w:val="00C8211C"/>
    <w:rsid w:val="00C82224"/>
    <w:rsid w:val="00C8238C"/>
    <w:rsid w:val="00C8254F"/>
    <w:rsid w:val="00C82741"/>
    <w:rsid w:val="00C82CEB"/>
    <w:rsid w:val="00C82D89"/>
    <w:rsid w:val="00C82E1B"/>
    <w:rsid w:val="00C82E7E"/>
    <w:rsid w:val="00C82EA6"/>
    <w:rsid w:val="00C8308C"/>
    <w:rsid w:val="00C83170"/>
    <w:rsid w:val="00C8332B"/>
    <w:rsid w:val="00C83540"/>
    <w:rsid w:val="00C835B9"/>
    <w:rsid w:val="00C83727"/>
    <w:rsid w:val="00C83746"/>
    <w:rsid w:val="00C838C3"/>
    <w:rsid w:val="00C83B43"/>
    <w:rsid w:val="00C83B4B"/>
    <w:rsid w:val="00C83BD7"/>
    <w:rsid w:val="00C83C71"/>
    <w:rsid w:val="00C83DBF"/>
    <w:rsid w:val="00C83EC4"/>
    <w:rsid w:val="00C83F89"/>
    <w:rsid w:val="00C83FD9"/>
    <w:rsid w:val="00C84122"/>
    <w:rsid w:val="00C84155"/>
    <w:rsid w:val="00C84186"/>
    <w:rsid w:val="00C8426A"/>
    <w:rsid w:val="00C842AC"/>
    <w:rsid w:val="00C842E0"/>
    <w:rsid w:val="00C842E2"/>
    <w:rsid w:val="00C842F6"/>
    <w:rsid w:val="00C843A0"/>
    <w:rsid w:val="00C845FF"/>
    <w:rsid w:val="00C848F6"/>
    <w:rsid w:val="00C849F0"/>
    <w:rsid w:val="00C84E3C"/>
    <w:rsid w:val="00C84E4A"/>
    <w:rsid w:val="00C850C4"/>
    <w:rsid w:val="00C851A9"/>
    <w:rsid w:val="00C85403"/>
    <w:rsid w:val="00C8547C"/>
    <w:rsid w:val="00C85486"/>
    <w:rsid w:val="00C8558F"/>
    <w:rsid w:val="00C855A4"/>
    <w:rsid w:val="00C85640"/>
    <w:rsid w:val="00C8575E"/>
    <w:rsid w:val="00C85843"/>
    <w:rsid w:val="00C8594A"/>
    <w:rsid w:val="00C85A02"/>
    <w:rsid w:val="00C85A52"/>
    <w:rsid w:val="00C85AA8"/>
    <w:rsid w:val="00C85B53"/>
    <w:rsid w:val="00C85BF2"/>
    <w:rsid w:val="00C85C1B"/>
    <w:rsid w:val="00C85E06"/>
    <w:rsid w:val="00C85E51"/>
    <w:rsid w:val="00C85E82"/>
    <w:rsid w:val="00C85E97"/>
    <w:rsid w:val="00C85EE1"/>
    <w:rsid w:val="00C85F03"/>
    <w:rsid w:val="00C85F9C"/>
    <w:rsid w:val="00C85FE0"/>
    <w:rsid w:val="00C863A4"/>
    <w:rsid w:val="00C86446"/>
    <w:rsid w:val="00C864CE"/>
    <w:rsid w:val="00C867C1"/>
    <w:rsid w:val="00C867DD"/>
    <w:rsid w:val="00C86819"/>
    <w:rsid w:val="00C86973"/>
    <w:rsid w:val="00C86ACD"/>
    <w:rsid w:val="00C86BDE"/>
    <w:rsid w:val="00C86D22"/>
    <w:rsid w:val="00C86D7F"/>
    <w:rsid w:val="00C86DD6"/>
    <w:rsid w:val="00C86E2B"/>
    <w:rsid w:val="00C86EFD"/>
    <w:rsid w:val="00C86FB4"/>
    <w:rsid w:val="00C86FDB"/>
    <w:rsid w:val="00C8730A"/>
    <w:rsid w:val="00C87558"/>
    <w:rsid w:val="00C87800"/>
    <w:rsid w:val="00C87832"/>
    <w:rsid w:val="00C87886"/>
    <w:rsid w:val="00C87922"/>
    <w:rsid w:val="00C8796E"/>
    <w:rsid w:val="00C879A8"/>
    <w:rsid w:val="00C87A33"/>
    <w:rsid w:val="00C87A3A"/>
    <w:rsid w:val="00C87AD7"/>
    <w:rsid w:val="00C87B83"/>
    <w:rsid w:val="00C87D0F"/>
    <w:rsid w:val="00C87D18"/>
    <w:rsid w:val="00C9022E"/>
    <w:rsid w:val="00C902FF"/>
    <w:rsid w:val="00C9043F"/>
    <w:rsid w:val="00C90522"/>
    <w:rsid w:val="00C9070F"/>
    <w:rsid w:val="00C90836"/>
    <w:rsid w:val="00C9098D"/>
    <w:rsid w:val="00C90A50"/>
    <w:rsid w:val="00C90ADC"/>
    <w:rsid w:val="00C90B75"/>
    <w:rsid w:val="00C90E79"/>
    <w:rsid w:val="00C90F7A"/>
    <w:rsid w:val="00C9105F"/>
    <w:rsid w:val="00C91146"/>
    <w:rsid w:val="00C91293"/>
    <w:rsid w:val="00C91319"/>
    <w:rsid w:val="00C913F2"/>
    <w:rsid w:val="00C913F4"/>
    <w:rsid w:val="00C914E8"/>
    <w:rsid w:val="00C91556"/>
    <w:rsid w:val="00C91593"/>
    <w:rsid w:val="00C91600"/>
    <w:rsid w:val="00C9169F"/>
    <w:rsid w:val="00C916B4"/>
    <w:rsid w:val="00C917A4"/>
    <w:rsid w:val="00C918BF"/>
    <w:rsid w:val="00C91AA2"/>
    <w:rsid w:val="00C91BF7"/>
    <w:rsid w:val="00C91CCB"/>
    <w:rsid w:val="00C91E4D"/>
    <w:rsid w:val="00C91F25"/>
    <w:rsid w:val="00C91FA2"/>
    <w:rsid w:val="00C91FD3"/>
    <w:rsid w:val="00C9203F"/>
    <w:rsid w:val="00C920CB"/>
    <w:rsid w:val="00C920E1"/>
    <w:rsid w:val="00C92268"/>
    <w:rsid w:val="00C923F0"/>
    <w:rsid w:val="00C92447"/>
    <w:rsid w:val="00C92817"/>
    <w:rsid w:val="00C928D5"/>
    <w:rsid w:val="00C929F8"/>
    <w:rsid w:val="00C92A0A"/>
    <w:rsid w:val="00C92B29"/>
    <w:rsid w:val="00C92BD4"/>
    <w:rsid w:val="00C92C73"/>
    <w:rsid w:val="00C92D60"/>
    <w:rsid w:val="00C92E72"/>
    <w:rsid w:val="00C92EA7"/>
    <w:rsid w:val="00C92FA1"/>
    <w:rsid w:val="00C930D8"/>
    <w:rsid w:val="00C93157"/>
    <w:rsid w:val="00C934BE"/>
    <w:rsid w:val="00C93665"/>
    <w:rsid w:val="00C93728"/>
    <w:rsid w:val="00C937E8"/>
    <w:rsid w:val="00C93835"/>
    <w:rsid w:val="00C93967"/>
    <w:rsid w:val="00C93A19"/>
    <w:rsid w:val="00C93AC7"/>
    <w:rsid w:val="00C93AE8"/>
    <w:rsid w:val="00C93D53"/>
    <w:rsid w:val="00C93E97"/>
    <w:rsid w:val="00C9401A"/>
    <w:rsid w:val="00C94030"/>
    <w:rsid w:val="00C940F9"/>
    <w:rsid w:val="00C9446B"/>
    <w:rsid w:val="00C94488"/>
    <w:rsid w:val="00C946D3"/>
    <w:rsid w:val="00C948F4"/>
    <w:rsid w:val="00C94962"/>
    <w:rsid w:val="00C94C7C"/>
    <w:rsid w:val="00C94C87"/>
    <w:rsid w:val="00C94CEE"/>
    <w:rsid w:val="00C94DF4"/>
    <w:rsid w:val="00C94FB3"/>
    <w:rsid w:val="00C95158"/>
    <w:rsid w:val="00C9522C"/>
    <w:rsid w:val="00C9524B"/>
    <w:rsid w:val="00C95276"/>
    <w:rsid w:val="00C953B1"/>
    <w:rsid w:val="00C953EC"/>
    <w:rsid w:val="00C95462"/>
    <w:rsid w:val="00C9554B"/>
    <w:rsid w:val="00C955F6"/>
    <w:rsid w:val="00C95608"/>
    <w:rsid w:val="00C95636"/>
    <w:rsid w:val="00C9566F"/>
    <w:rsid w:val="00C956A6"/>
    <w:rsid w:val="00C956A9"/>
    <w:rsid w:val="00C9574A"/>
    <w:rsid w:val="00C9578A"/>
    <w:rsid w:val="00C959B3"/>
    <w:rsid w:val="00C959ED"/>
    <w:rsid w:val="00C95B04"/>
    <w:rsid w:val="00C95B2F"/>
    <w:rsid w:val="00C95BA7"/>
    <w:rsid w:val="00C95F4C"/>
    <w:rsid w:val="00C95FAC"/>
    <w:rsid w:val="00C9611D"/>
    <w:rsid w:val="00C9658E"/>
    <w:rsid w:val="00C965D6"/>
    <w:rsid w:val="00C96608"/>
    <w:rsid w:val="00C966D4"/>
    <w:rsid w:val="00C96740"/>
    <w:rsid w:val="00C9693E"/>
    <w:rsid w:val="00C96A55"/>
    <w:rsid w:val="00C96B91"/>
    <w:rsid w:val="00C96D26"/>
    <w:rsid w:val="00C96D5B"/>
    <w:rsid w:val="00C96E3F"/>
    <w:rsid w:val="00C97006"/>
    <w:rsid w:val="00C9700B"/>
    <w:rsid w:val="00C970AC"/>
    <w:rsid w:val="00C9714A"/>
    <w:rsid w:val="00C97167"/>
    <w:rsid w:val="00C97173"/>
    <w:rsid w:val="00C97176"/>
    <w:rsid w:val="00C971B1"/>
    <w:rsid w:val="00C97316"/>
    <w:rsid w:val="00C975F1"/>
    <w:rsid w:val="00C9779C"/>
    <w:rsid w:val="00C977E1"/>
    <w:rsid w:val="00C9780C"/>
    <w:rsid w:val="00C978D9"/>
    <w:rsid w:val="00C978EF"/>
    <w:rsid w:val="00C97AE9"/>
    <w:rsid w:val="00C97BA9"/>
    <w:rsid w:val="00C97CAD"/>
    <w:rsid w:val="00C97F17"/>
    <w:rsid w:val="00CA00E7"/>
    <w:rsid w:val="00CA0119"/>
    <w:rsid w:val="00CA024D"/>
    <w:rsid w:val="00CA0352"/>
    <w:rsid w:val="00CA0786"/>
    <w:rsid w:val="00CA08C5"/>
    <w:rsid w:val="00CA0982"/>
    <w:rsid w:val="00CA0998"/>
    <w:rsid w:val="00CA0A49"/>
    <w:rsid w:val="00CA0A78"/>
    <w:rsid w:val="00CA0B1F"/>
    <w:rsid w:val="00CA0BB8"/>
    <w:rsid w:val="00CA0C1D"/>
    <w:rsid w:val="00CA0C6F"/>
    <w:rsid w:val="00CA0CA4"/>
    <w:rsid w:val="00CA0D81"/>
    <w:rsid w:val="00CA0DA0"/>
    <w:rsid w:val="00CA0E27"/>
    <w:rsid w:val="00CA0FFC"/>
    <w:rsid w:val="00CA1034"/>
    <w:rsid w:val="00CA10AC"/>
    <w:rsid w:val="00CA11C4"/>
    <w:rsid w:val="00CA12C3"/>
    <w:rsid w:val="00CA146A"/>
    <w:rsid w:val="00CA152D"/>
    <w:rsid w:val="00CA1601"/>
    <w:rsid w:val="00CA17B4"/>
    <w:rsid w:val="00CA197B"/>
    <w:rsid w:val="00CA1AA5"/>
    <w:rsid w:val="00CA1ACB"/>
    <w:rsid w:val="00CA1DDC"/>
    <w:rsid w:val="00CA1E18"/>
    <w:rsid w:val="00CA20BC"/>
    <w:rsid w:val="00CA20FB"/>
    <w:rsid w:val="00CA2245"/>
    <w:rsid w:val="00CA22BE"/>
    <w:rsid w:val="00CA25FC"/>
    <w:rsid w:val="00CA25FD"/>
    <w:rsid w:val="00CA2636"/>
    <w:rsid w:val="00CA2802"/>
    <w:rsid w:val="00CA292E"/>
    <w:rsid w:val="00CA2991"/>
    <w:rsid w:val="00CA2A4C"/>
    <w:rsid w:val="00CA2BF0"/>
    <w:rsid w:val="00CA2CEF"/>
    <w:rsid w:val="00CA2D68"/>
    <w:rsid w:val="00CA2DAE"/>
    <w:rsid w:val="00CA2E07"/>
    <w:rsid w:val="00CA307D"/>
    <w:rsid w:val="00CA30BB"/>
    <w:rsid w:val="00CA30E8"/>
    <w:rsid w:val="00CA315D"/>
    <w:rsid w:val="00CA331E"/>
    <w:rsid w:val="00CA3341"/>
    <w:rsid w:val="00CA33C8"/>
    <w:rsid w:val="00CA351A"/>
    <w:rsid w:val="00CA351B"/>
    <w:rsid w:val="00CA37AE"/>
    <w:rsid w:val="00CA37E9"/>
    <w:rsid w:val="00CA385B"/>
    <w:rsid w:val="00CA3AA5"/>
    <w:rsid w:val="00CA3BB4"/>
    <w:rsid w:val="00CA3E58"/>
    <w:rsid w:val="00CA3F33"/>
    <w:rsid w:val="00CA3F36"/>
    <w:rsid w:val="00CA3F7A"/>
    <w:rsid w:val="00CA401E"/>
    <w:rsid w:val="00CA4061"/>
    <w:rsid w:val="00CA407C"/>
    <w:rsid w:val="00CA40AE"/>
    <w:rsid w:val="00CA4507"/>
    <w:rsid w:val="00CA4619"/>
    <w:rsid w:val="00CA4647"/>
    <w:rsid w:val="00CA46B1"/>
    <w:rsid w:val="00CA46E2"/>
    <w:rsid w:val="00CA472D"/>
    <w:rsid w:val="00CA4743"/>
    <w:rsid w:val="00CA4C16"/>
    <w:rsid w:val="00CA4C6C"/>
    <w:rsid w:val="00CA4E60"/>
    <w:rsid w:val="00CA4EAE"/>
    <w:rsid w:val="00CA4F33"/>
    <w:rsid w:val="00CA4F5E"/>
    <w:rsid w:val="00CA4FBF"/>
    <w:rsid w:val="00CA5185"/>
    <w:rsid w:val="00CA520C"/>
    <w:rsid w:val="00CA5316"/>
    <w:rsid w:val="00CA543B"/>
    <w:rsid w:val="00CA547E"/>
    <w:rsid w:val="00CA5591"/>
    <w:rsid w:val="00CA55B1"/>
    <w:rsid w:val="00CA5656"/>
    <w:rsid w:val="00CA56FE"/>
    <w:rsid w:val="00CA5716"/>
    <w:rsid w:val="00CA5755"/>
    <w:rsid w:val="00CA5780"/>
    <w:rsid w:val="00CA5A1A"/>
    <w:rsid w:val="00CA5A81"/>
    <w:rsid w:val="00CA5C35"/>
    <w:rsid w:val="00CA5DC1"/>
    <w:rsid w:val="00CA5E1D"/>
    <w:rsid w:val="00CA5E4D"/>
    <w:rsid w:val="00CA5E71"/>
    <w:rsid w:val="00CA6149"/>
    <w:rsid w:val="00CA61D4"/>
    <w:rsid w:val="00CA61F8"/>
    <w:rsid w:val="00CA6252"/>
    <w:rsid w:val="00CA625D"/>
    <w:rsid w:val="00CA626D"/>
    <w:rsid w:val="00CA6320"/>
    <w:rsid w:val="00CA633A"/>
    <w:rsid w:val="00CA6379"/>
    <w:rsid w:val="00CA63D4"/>
    <w:rsid w:val="00CA6404"/>
    <w:rsid w:val="00CA6494"/>
    <w:rsid w:val="00CA6675"/>
    <w:rsid w:val="00CA6790"/>
    <w:rsid w:val="00CA67C2"/>
    <w:rsid w:val="00CA67C7"/>
    <w:rsid w:val="00CA68B4"/>
    <w:rsid w:val="00CA68C7"/>
    <w:rsid w:val="00CA6A87"/>
    <w:rsid w:val="00CA6D71"/>
    <w:rsid w:val="00CA6EBC"/>
    <w:rsid w:val="00CA6FC6"/>
    <w:rsid w:val="00CA707E"/>
    <w:rsid w:val="00CA73D0"/>
    <w:rsid w:val="00CA772F"/>
    <w:rsid w:val="00CA78D2"/>
    <w:rsid w:val="00CA79E3"/>
    <w:rsid w:val="00CA7AB5"/>
    <w:rsid w:val="00CA7B5C"/>
    <w:rsid w:val="00CA7BB7"/>
    <w:rsid w:val="00CA7C26"/>
    <w:rsid w:val="00CA7E61"/>
    <w:rsid w:val="00CA7E70"/>
    <w:rsid w:val="00CA7ECA"/>
    <w:rsid w:val="00CA7EF2"/>
    <w:rsid w:val="00CB00E8"/>
    <w:rsid w:val="00CB00F5"/>
    <w:rsid w:val="00CB0238"/>
    <w:rsid w:val="00CB026B"/>
    <w:rsid w:val="00CB03FD"/>
    <w:rsid w:val="00CB0444"/>
    <w:rsid w:val="00CB05F8"/>
    <w:rsid w:val="00CB064A"/>
    <w:rsid w:val="00CB079E"/>
    <w:rsid w:val="00CB08E7"/>
    <w:rsid w:val="00CB0939"/>
    <w:rsid w:val="00CB0946"/>
    <w:rsid w:val="00CB0953"/>
    <w:rsid w:val="00CB09AE"/>
    <w:rsid w:val="00CB09ED"/>
    <w:rsid w:val="00CB0AF3"/>
    <w:rsid w:val="00CB0B72"/>
    <w:rsid w:val="00CB0C28"/>
    <w:rsid w:val="00CB0D48"/>
    <w:rsid w:val="00CB0D56"/>
    <w:rsid w:val="00CB0EA5"/>
    <w:rsid w:val="00CB0F64"/>
    <w:rsid w:val="00CB0FC2"/>
    <w:rsid w:val="00CB0FFF"/>
    <w:rsid w:val="00CB1188"/>
    <w:rsid w:val="00CB136F"/>
    <w:rsid w:val="00CB1388"/>
    <w:rsid w:val="00CB147D"/>
    <w:rsid w:val="00CB152F"/>
    <w:rsid w:val="00CB168B"/>
    <w:rsid w:val="00CB1724"/>
    <w:rsid w:val="00CB17BF"/>
    <w:rsid w:val="00CB189D"/>
    <w:rsid w:val="00CB1AB3"/>
    <w:rsid w:val="00CB1CE0"/>
    <w:rsid w:val="00CB1D65"/>
    <w:rsid w:val="00CB1DE0"/>
    <w:rsid w:val="00CB1E7B"/>
    <w:rsid w:val="00CB20B9"/>
    <w:rsid w:val="00CB25C9"/>
    <w:rsid w:val="00CB29E8"/>
    <w:rsid w:val="00CB2A55"/>
    <w:rsid w:val="00CB2A5F"/>
    <w:rsid w:val="00CB2B12"/>
    <w:rsid w:val="00CB2D5D"/>
    <w:rsid w:val="00CB2D94"/>
    <w:rsid w:val="00CB2DAE"/>
    <w:rsid w:val="00CB2DFB"/>
    <w:rsid w:val="00CB2DFE"/>
    <w:rsid w:val="00CB2FEA"/>
    <w:rsid w:val="00CB30A8"/>
    <w:rsid w:val="00CB3201"/>
    <w:rsid w:val="00CB3235"/>
    <w:rsid w:val="00CB32EE"/>
    <w:rsid w:val="00CB336E"/>
    <w:rsid w:val="00CB33E3"/>
    <w:rsid w:val="00CB3433"/>
    <w:rsid w:val="00CB3541"/>
    <w:rsid w:val="00CB35A2"/>
    <w:rsid w:val="00CB35FD"/>
    <w:rsid w:val="00CB365A"/>
    <w:rsid w:val="00CB3774"/>
    <w:rsid w:val="00CB37E4"/>
    <w:rsid w:val="00CB3802"/>
    <w:rsid w:val="00CB38E6"/>
    <w:rsid w:val="00CB392E"/>
    <w:rsid w:val="00CB398B"/>
    <w:rsid w:val="00CB3A26"/>
    <w:rsid w:val="00CB3A41"/>
    <w:rsid w:val="00CB3AF7"/>
    <w:rsid w:val="00CB3BBC"/>
    <w:rsid w:val="00CB3DEE"/>
    <w:rsid w:val="00CB415B"/>
    <w:rsid w:val="00CB4187"/>
    <w:rsid w:val="00CB430C"/>
    <w:rsid w:val="00CB43D6"/>
    <w:rsid w:val="00CB43EA"/>
    <w:rsid w:val="00CB48E4"/>
    <w:rsid w:val="00CB4904"/>
    <w:rsid w:val="00CB4AFA"/>
    <w:rsid w:val="00CB4BAD"/>
    <w:rsid w:val="00CB4C2A"/>
    <w:rsid w:val="00CB4CA5"/>
    <w:rsid w:val="00CB4E5E"/>
    <w:rsid w:val="00CB4EB3"/>
    <w:rsid w:val="00CB4F55"/>
    <w:rsid w:val="00CB4F6D"/>
    <w:rsid w:val="00CB4FA4"/>
    <w:rsid w:val="00CB4FFB"/>
    <w:rsid w:val="00CB5042"/>
    <w:rsid w:val="00CB50BB"/>
    <w:rsid w:val="00CB5136"/>
    <w:rsid w:val="00CB518E"/>
    <w:rsid w:val="00CB51B7"/>
    <w:rsid w:val="00CB545C"/>
    <w:rsid w:val="00CB56D6"/>
    <w:rsid w:val="00CB5718"/>
    <w:rsid w:val="00CB572D"/>
    <w:rsid w:val="00CB57B5"/>
    <w:rsid w:val="00CB57C3"/>
    <w:rsid w:val="00CB585B"/>
    <w:rsid w:val="00CB58AE"/>
    <w:rsid w:val="00CB5920"/>
    <w:rsid w:val="00CB5945"/>
    <w:rsid w:val="00CB5A7E"/>
    <w:rsid w:val="00CB5AE6"/>
    <w:rsid w:val="00CB5CF2"/>
    <w:rsid w:val="00CB5EF9"/>
    <w:rsid w:val="00CB5F15"/>
    <w:rsid w:val="00CB5F21"/>
    <w:rsid w:val="00CB5F3A"/>
    <w:rsid w:val="00CB5F82"/>
    <w:rsid w:val="00CB5FB4"/>
    <w:rsid w:val="00CB60CE"/>
    <w:rsid w:val="00CB6371"/>
    <w:rsid w:val="00CB63AA"/>
    <w:rsid w:val="00CB6573"/>
    <w:rsid w:val="00CB659E"/>
    <w:rsid w:val="00CB66CF"/>
    <w:rsid w:val="00CB682D"/>
    <w:rsid w:val="00CB6853"/>
    <w:rsid w:val="00CB6864"/>
    <w:rsid w:val="00CB6A63"/>
    <w:rsid w:val="00CB6ABF"/>
    <w:rsid w:val="00CB6C22"/>
    <w:rsid w:val="00CB7025"/>
    <w:rsid w:val="00CB7088"/>
    <w:rsid w:val="00CB70AC"/>
    <w:rsid w:val="00CB7442"/>
    <w:rsid w:val="00CB75CD"/>
    <w:rsid w:val="00CB7779"/>
    <w:rsid w:val="00CB78DA"/>
    <w:rsid w:val="00CB7A31"/>
    <w:rsid w:val="00CB7A3D"/>
    <w:rsid w:val="00CB7A90"/>
    <w:rsid w:val="00CB7A92"/>
    <w:rsid w:val="00CB7AAD"/>
    <w:rsid w:val="00CB7B73"/>
    <w:rsid w:val="00CB7E2A"/>
    <w:rsid w:val="00CB7E56"/>
    <w:rsid w:val="00CC013E"/>
    <w:rsid w:val="00CC0150"/>
    <w:rsid w:val="00CC01A8"/>
    <w:rsid w:val="00CC0390"/>
    <w:rsid w:val="00CC052F"/>
    <w:rsid w:val="00CC059D"/>
    <w:rsid w:val="00CC05BD"/>
    <w:rsid w:val="00CC0755"/>
    <w:rsid w:val="00CC0880"/>
    <w:rsid w:val="00CC08FB"/>
    <w:rsid w:val="00CC0A52"/>
    <w:rsid w:val="00CC0B74"/>
    <w:rsid w:val="00CC0ECF"/>
    <w:rsid w:val="00CC0F54"/>
    <w:rsid w:val="00CC0F64"/>
    <w:rsid w:val="00CC0F77"/>
    <w:rsid w:val="00CC0FE0"/>
    <w:rsid w:val="00CC101E"/>
    <w:rsid w:val="00CC1027"/>
    <w:rsid w:val="00CC11F6"/>
    <w:rsid w:val="00CC123B"/>
    <w:rsid w:val="00CC1381"/>
    <w:rsid w:val="00CC160D"/>
    <w:rsid w:val="00CC1623"/>
    <w:rsid w:val="00CC1687"/>
    <w:rsid w:val="00CC17C5"/>
    <w:rsid w:val="00CC17FE"/>
    <w:rsid w:val="00CC1819"/>
    <w:rsid w:val="00CC1997"/>
    <w:rsid w:val="00CC1A47"/>
    <w:rsid w:val="00CC1ADF"/>
    <w:rsid w:val="00CC1B63"/>
    <w:rsid w:val="00CC1B7E"/>
    <w:rsid w:val="00CC1BC1"/>
    <w:rsid w:val="00CC1CD2"/>
    <w:rsid w:val="00CC1D37"/>
    <w:rsid w:val="00CC1DA2"/>
    <w:rsid w:val="00CC1E13"/>
    <w:rsid w:val="00CC1EC2"/>
    <w:rsid w:val="00CC214F"/>
    <w:rsid w:val="00CC21C2"/>
    <w:rsid w:val="00CC2474"/>
    <w:rsid w:val="00CC2480"/>
    <w:rsid w:val="00CC25D1"/>
    <w:rsid w:val="00CC2675"/>
    <w:rsid w:val="00CC267B"/>
    <w:rsid w:val="00CC26A0"/>
    <w:rsid w:val="00CC2727"/>
    <w:rsid w:val="00CC2775"/>
    <w:rsid w:val="00CC27F2"/>
    <w:rsid w:val="00CC2878"/>
    <w:rsid w:val="00CC28C4"/>
    <w:rsid w:val="00CC28D8"/>
    <w:rsid w:val="00CC295A"/>
    <w:rsid w:val="00CC2A76"/>
    <w:rsid w:val="00CC2B28"/>
    <w:rsid w:val="00CC2C6A"/>
    <w:rsid w:val="00CC2CD8"/>
    <w:rsid w:val="00CC2E72"/>
    <w:rsid w:val="00CC2F2E"/>
    <w:rsid w:val="00CC2F52"/>
    <w:rsid w:val="00CC2FC6"/>
    <w:rsid w:val="00CC3113"/>
    <w:rsid w:val="00CC31AE"/>
    <w:rsid w:val="00CC31C0"/>
    <w:rsid w:val="00CC31E5"/>
    <w:rsid w:val="00CC320D"/>
    <w:rsid w:val="00CC32B7"/>
    <w:rsid w:val="00CC3423"/>
    <w:rsid w:val="00CC3499"/>
    <w:rsid w:val="00CC34A8"/>
    <w:rsid w:val="00CC34AC"/>
    <w:rsid w:val="00CC357C"/>
    <w:rsid w:val="00CC3650"/>
    <w:rsid w:val="00CC3805"/>
    <w:rsid w:val="00CC384C"/>
    <w:rsid w:val="00CC3A3A"/>
    <w:rsid w:val="00CC3AA0"/>
    <w:rsid w:val="00CC3ACB"/>
    <w:rsid w:val="00CC3C03"/>
    <w:rsid w:val="00CC3CB1"/>
    <w:rsid w:val="00CC3EEA"/>
    <w:rsid w:val="00CC3F96"/>
    <w:rsid w:val="00CC4071"/>
    <w:rsid w:val="00CC4117"/>
    <w:rsid w:val="00CC416B"/>
    <w:rsid w:val="00CC4378"/>
    <w:rsid w:val="00CC443A"/>
    <w:rsid w:val="00CC4501"/>
    <w:rsid w:val="00CC45DB"/>
    <w:rsid w:val="00CC45EF"/>
    <w:rsid w:val="00CC4706"/>
    <w:rsid w:val="00CC470F"/>
    <w:rsid w:val="00CC4716"/>
    <w:rsid w:val="00CC47E7"/>
    <w:rsid w:val="00CC482F"/>
    <w:rsid w:val="00CC485B"/>
    <w:rsid w:val="00CC488B"/>
    <w:rsid w:val="00CC4902"/>
    <w:rsid w:val="00CC49B2"/>
    <w:rsid w:val="00CC4C2B"/>
    <w:rsid w:val="00CC4CCB"/>
    <w:rsid w:val="00CC4D4B"/>
    <w:rsid w:val="00CC4E74"/>
    <w:rsid w:val="00CC4F63"/>
    <w:rsid w:val="00CC51CD"/>
    <w:rsid w:val="00CC5324"/>
    <w:rsid w:val="00CC5346"/>
    <w:rsid w:val="00CC554E"/>
    <w:rsid w:val="00CC5757"/>
    <w:rsid w:val="00CC58C3"/>
    <w:rsid w:val="00CC590A"/>
    <w:rsid w:val="00CC5B81"/>
    <w:rsid w:val="00CC5BA6"/>
    <w:rsid w:val="00CC5D0D"/>
    <w:rsid w:val="00CC64DB"/>
    <w:rsid w:val="00CC652D"/>
    <w:rsid w:val="00CC6550"/>
    <w:rsid w:val="00CC682C"/>
    <w:rsid w:val="00CC6943"/>
    <w:rsid w:val="00CC69A5"/>
    <w:rsid w:val="00CC69CA"/>
    <w:rsid w:val="00CC6B2C"/>
    <w:rsid w:val="00CC6B6B"/>
    <w:rsid w:val="00CC6C11"/>
    <w:rsid w:val="00CC6CAE"/>
    <w:rsid w:val="00CC6CD6"/>
    <w:rsid w:val="00CC6F39"/>
    <w:rsid w:val="00CC705E"/>
    <w:rsid w:val="00CC725B"/>
    <w:rsid w:val="00CC727A"/>
    <w:rsid w:val="00CC72D9"/>
    <w:rsid w:val="00CC748F"/>
    <w:rsid w:val="00CC756A"/>
    <w:rsid w:val="00CC7606"/>
    <w:rsid w:val="00CC7620"/>
    <w:rsid w:val="00CC76AB"/>
    <w:rsid w:val="00CC76CD"/>
    <w:rsid w:val="00CC78AC"/>
    <w:rsid w:val="00CC796D"/>
    <w:rsid w:val="00CC7977"/>
    <w:rsid w:val="00CC797F"/>
    <w:rsid w:val="00CC7B0D"/>
    <w:rsid w:val="00CC7B8F"/>
    <w:rsid w:val="00CC7B95"/>
    <w:rsid w:val="00CC7CC5"/>
    <w:rsid w:val="00CC7ED0"/>
    <w:rsid w:val="00CD0139"/>
    <w:rsid w:val="00CD0155"/>
    <w:rsid w:val="00CD0176"/>
    <w:rsid w:val="00CD0184"/>
    <w:rsid w:val="00CD0367"/>
    <w:rsid w:val="00CD04D3"/>
    <w:rsid w:val="00CD0695"/>
    <w:rsid w:val="00CD06CE"/>
    <w:rsid w:val="00CD0839"/>
    <w:rsid w:val="00CD0964"/>
    <w:rsid w:val="00CD0C8F"/>
    <w:rsid w:val="00CD0F50"/>
    <w:rsid w:val="00CD0F59"/>
    <w:rsid w:val="00CD1107"/>
    <w:rsid w:val="00CD11B1"/>
    <w:rsid w:val="00CD134D"/>
    <w:rsid w:val="00CD1357"/>
    <w:rsid w:val="00CD1477"/>
    <w:rsid w:val="00CD1484"/>
    <w:rsid w:val="00CD14CE"/>
    <w:rsid w:val="00CD158C"/>
    <w:rsid w:val="00CD1618"/>
    <w:rsid w:val="00CD166F"/>
    <w:rsid w:val="00CD16A6"/>
    <w:rsid w:val="00CD16E0"/>
    <w:rsid w:val="00CD1792"/>
    <w:rsid w:val="00CD17C3"/>
    <w:rsid w:val="00CD17CF"/>
    <w:rsid w:val="00CD186E"/>
    <w:rsid w:val="00CD18B1"/>
    <w:rsid w:val="00CD18DF"/>
    <w:rsid w:val="00CD1B2D"/>
    <w:rsid w:val="00CD1B73"/>
    <w:rsid w:val="00CD1CD6"/>
    <w:rsid w:val="00CD1D49"/>
    <w:rsid w:val="00CD1E28"/>
    <w:rsid w:val="00CD1E36"/>
    <w:rsid w:val="00CD1EAB"/>
    <w:rsid w:val="00CD1EEA"/>
    <w:rsid w:val="00CD1F27"/>
    <w:rsid w:val="00CD2083"/>
    <w:rsid w:val="00CD208F"/>
    <w:rsid w:val="00CD22E0"/>
    <w:rsid w:val="00CD233F"/>
    <w:rsid w:val="00CD23DF"/>
    <w:rsid w:val="00CD241E"/>
    <w:rsid w:val="00CD2467"/>
    <w:rsid w:val="00CD2946"/>
    <w:rsid w:val="00CD296D"/>
    <w:rsid w:val="00CD2990"/>
    <w:rsid w:val="00CD29EA"/>
    <w:rsid w:val="00CD2AAD"/>
    <w:rsid w:val="00CD2B15"/>
    <w:rsid w:val="00CD2D77"/>
    <w:rsid w:val="00CD2E70"/>
    <w:rsid w:val="00CD2EEF"/>
    <w:rsid w:val="00CD2F89"/>
    <w:rsid w:val="00CD3051"/>
    <w:rsid w:val="00CD3084"/>
    <w:rsid w:val="00CD31E9"/>
    <w:rsid w:val="00CD326A"/>
    <w:rsid w:val="00CD3413"/>
    <w:rsid w:val="00CD343F"/>
    <w:rsid w:val="00CD35F6"/>
    <w:rsid w:val="00CD3602"/>
    <w:rsid w:val="00CD37F6"/>
    <w:rsid w:val="00CD3825"/>
    <w:rsid w:val="00CD395D"/>
    <w:rsid w:val="00CD3AB0"/>
    <w:rsid w:val="00CD3AE4"/>
    <w:rsid w:val="00CD3AFB"/>
    <w:rsid w:val="00CD3CA9"/>
    <w:rsid w:val="00CD3DAF"/>
    <w:rsid w:val="00CD3F83"/>
    <w:rsid w:val="00CD3FB4"/>
    <w:rsid w:val="00CD416F"/>
    <w:rsid w:val="00CD44D1"/>
    <w:rsid w:val="00CD456B"/>
    <w:rsid w:val="00CD45B4"/>
    <w:rsid w:val="00CD4608"/>
    <w:rsid w:val="00CD49F4"/>
    <w:rsid w:val="00CD4A41"/>
    <w:rsid w:val="00CD4A4F"/>
    <w:rsid w:val="00CD4AAE"/>
    <w:rsid w:val="00CD4B1F"/>
    <w:rsid w:val="00CD4C0D"/>
    <w:rsid w:val="00CD4C1B"/>
    <w:rsid w:val="00CD4CA5"/>
    <w:rsid w:val="00CD4CAD"/>
    <w:rsid w:val="00CD4D8A"/>
    <w:rsid w:val="00CD4E58"/>
    <w:rsid w:val="00CD4EE5"/>
    <w:rsid w:val="00CD4F96"/>
    <w:rsid w:val="00CD4F97"/>
    <w:rsid w:val="00CD5035"/>
    <w:rsid w:val="00CD5626"/>
    <w:rsid w:val="00CD5656"/>
    <w:rsid w:val="00CD56CD"/>
    <w:rsid w:val="00CD5787"/>
    <w:rsid w:val="00CD57A6"/>
    <w:rsid w:val="00CD588E"/>
    <w:rsid w:val="00CD58B6"/>
    <w:rsid w:val="00CD595C"/>
    <w:rsid w:val="00CD59A7"/>
    <w:rsid w:val="00CD5A76"/>
    <w:rsid w:val="00CD5BBB"/>
    <w:rsid w:val="00CD5C42"/>
    <w:rsid w:val="00CD5D4B"/>
    <w:rsid w:val="00CD5DA4"/>
    <w:rsid w:val="00CD5DD1"/>
    <w:rsid w:val="00CD5E7E"/>
    <w:rsid w:val="00CD5EC9"/>
    <w:rsid w:val="00CD5FEC"/>
    <w:rsid w:val="00CD6071"/>
    <w:rsid w:val="00CD60F0"/>
    <w:rsid w:val="00CD614D"/>
    <w:rsid w:val="00CD620A"/>
    <w:rsid w:val="00CD627C"/>
    <w:rsid w:val="00CD634D"/>
    <w:rsid w:val="00CD63CD"/>
    <w:rsid w:val="00CD6591"/>
    <w:rsid w:val="00CD6601"/>
    <w:rsid w:val="00CD6618"/>
    <w:rsid w:val="00CD673D"/>
    <w:rsid w:val="00CD67F6"/>
    <w:rsid w:val="00CD69B7"/>
    <w:rsid w:val="00CD6AB1"/>
    <w:rsid w:val="00CD6AC1"/>
    <w:rsid w:val="00CD6B56"/>
    <w:rsid w:val="00CD6B57"/>
    <w:rsid w:val="00CD6D07"/>
    <w:rsid w:val="00CD6D21"/>
    <w:rsid w:val="00CD6DF8"/>
    <w:rsid w:val="00CD7005"/>
    <w:rsid w:val="00CD709B"/>
    <w:rsid w:val="00CD70EA"/>
    <w:rsid w:val="00CD7172"/>
    <w:rsid w:val="00CD722A"/>
    <w:rsid w:val="00CD73D2"/>
    <w:rsid w:val="00CD773D"/>
    <w:rsid w:val="00CD7809"/>
    <w:rsid w:val="00CD784C"/>
    <w:rsid w:val="00CD79CE"/>
    <w:rsid w:val="00CD79F0"/>
    <w:rsid w:val="00CD7B77"/>
    <w:rsid w:val="00CD7F78"/>
    <w:rsid w:val="00CD7F9E"/>
    <w:rsid w:val="00CD7FA9"/>
    <w:rsid w:val="00CD7FFE"/>
    <w:rsid w:val="00CE00E5"/>
    <w:rsid w:val="00CE03B9"/>
    <w:rsid w:val="00CE03DC"/>
    <w:rsid w:val="00CE04A8"/>
    <w:rsid w:val="00CE06A6"/>
    <w:rsid w:val="00CE075E"/>
    <w:rsid w:val="00CE0877"/>
    <w:rsid w:val="00CE08F3"/>
    <w:rsid w:val="00CE091A"/>
    <w:rsid w:val="00CE095F"/>
    <w:rsid w:val="00CE0B26"/>
    <w:rsid w:val="00CE0B36"/>
    <w:rsid w:val="00CE0B9C"/>
    <w:rsid w:val="00CE0C8D"/>
    <w:rsid w:val="00CE0CE1"/>
    <w:rsid w:val="00CE0DF4"/>
    <w:rsid w:val="00CE0E70"/>
    <w:rsid w:val="00CE0ED4"/>
    <w:rsid w:val="00CE1031"/>
    <w:rsid w:val="00CE11CB"/>
    <w:rsid w:val="00CE1204"/>
    <w:rsid w:val="00CE12FE"/>
    <w:rsid w:val="00CE134A"/>
    <w:rsid w:val="00CE13E4"/>
    <w:rsid w:val="00CE15F8"/>
    <w:rsid w:val="00CE16C1"/>
    <w:rsid w:val="00CE1704"/>
    <w:rsid w:val="00CE1726"/>
    <w:rsid w:val="00CE17B5"/>
    <w:rsid w:val="00CE17E4"/>
    <w:rsid w:val="00CE17FE"/>
    <w:rsid w:val="00CE1832"/>
    <w:rsid w:val="00CE191D"/>
    <w:rsid w:val="00CE19E3"/>
    <w:rsid w:val="00CE1A7D"/>
    <w:rsid w:val="00CE1AEB"/>
    <w:rsid w:val="00CE1BF3"/>
    <w:rsid w:val="00CE1C18"/>
    <w:rsid w:val="00CE1DC0"/>
    <w:rsid w:val="00CE1E51"/>
    <w:rsid w:val="00CE1E52"/>
    <w:rsid w:val="00CE20B4"/>
    <w:rsid w:val="00CE20D4"/>
    <w:rsid w:val="00CE217F"/>
    <w:rsid w:val="00CE21D3"/>
    <w:rsid w:val="00CE2228"/>
    <w:rsid w:val="00CE22B1"/>
    <w:rsid w:val="00CE22F8"/>
    <w:rsid w:val="00CE2315"/>
    <w:rsid w:val="00CE2504"/>
    <w:rsid w:val="00CE256C"/>
    <w:rsid w:val="00CE25F1"/>
    <w:rsid w:val="00CE267B"/>
    <w:rsid w:val="00CE26D7"/>
    <w:rsid w:val="00CE276F"/>
    <w:rsid w:val="00CE288B"/>
    <w:rsid w:val="00CE2951"/>
    <w:rsid w:val="00CE2A20"/>
    <w:rsid w:val="00CE2A88"/>
    <w:rsid w:val="00CE2A95"/>
    <w:rsid w:val="00CE2BE2"/>
    <w:rsid w:val="00CE2BFE"/>
    <w:rsid w:val="00CE2CA2"/>
    <w:rsid w:val="00CE2E24"/>
    <w:rsid w:val="00CE2E89"/>
    <w:rsid w:val="00CE2F84"/>
    <w:rsid w:val="00CE31A5"/>
    <w:rsid w:val="00CE3346"/>
    <w:rsid w:val="00CE33A6"/>
    <w:rsid w:val="00CE33A9"/>
    <w:rsid w:val="00CE35CA"/>
    <w:rsid w:val="00CE3612"/>
    <w:rsid w:val="00CE370C"/>
    <w:rsid w:val="00CE382E"/>
    <w:rsid w:val="00CE384F"/>
    <w:rsid w:val="00CE38BA"/>
    <w:rsid w:val="00CE3A32"/>
    <w:rsid w:val="00CE3A4A"/>
    <w:rsid w:val="00CE3A4F"/>
    <w:rsid w:val="00CE3A5E"/>
    <w:rsid w:val="00CE3AC7"/>
    <w:rsid w:val="00CE3B08"/>
    <w:rsid w:val="00CE3C4D"/>
    <w:rsid w:val="00CE3CDD"/>
    <w:rsid w:val="00CE3D2A"/>
    <w:rsid w:val="00CE3DBC"/>
    <w:rsid w:val="00CE3FB5"/>
    <w:rsid w:val="00CE423A"/>
    <w:rsid w:val="00CE42E3"/>
    <w:rsid w:val="00CE430D"/>
    <w:rsid w:val="00CE43EC"/>
    <w:rsid w:val="00CE453F"/>
    <w:rsid w:val="00CE45C1"/>
    <w:rsid w:val="00CE468D"/>
    <w:rsid w:val="00CE46EA"/>
    <w:rsid w:val="00CE4745"/>
    <w:rsid w:val="00CE4940"/>
    <w:rsid w:val="00CE4B38"/>
    <w:rsid w:val="00CE4C24"/>
    <w:rsid w:val="00CE4C70"/>
    <w:rsid w:val="00CE4D6F"/>
    <w:rsid w:val="00CE505C"/>
    <w:rsid w:val="00CE511E"/>
    <w:rsid w:val="00CE516B"/>
    <w:rsid w:val="00CE5436"/>
    <w:rsid w:val="00CE55B8"/>
    <w:rsid w:val="00CE57A7"/>
    <w:rsid w:val="00CE59E4"/>
    <w:rsid w:val="00CE59E7"/>
    <w:rsid w:val="00CE5B81"/>
    <w:rsid w:val="00CE5C88"/>
    <w:rsid w:val="00CE5EEF"/>
    <w:rsid w:val="00CE5FEA"/>
    <w:rsid w:val="00CE6319"/>
    <w:rsid w:val="00CE63D2"/>
    <w:rsid w:val="00CE646F"/>
    <w:rsid w:val="00CE6498"/>
    <w:rsid w:val="00CE64E5"/>
    <w:rsid w:val="00CE6542"/>
    <w:rsid w:val="00CE6571"/>
    <w:rsid w:val="00CE6768"/>
    <w:rsid w:val="00CE6835"/>
    <w:rsid w:val="00CE6917"/>
    <w:rsid w:val="00CE696A"/>
    <w:rsid w:val="00CE6980"/>
    <w:rsid w:val="00CE6984"/>
    <w:rsid w:val="00CE6ACE"/>
    <w:rsid w:val="00CE6B79"/>
    <w:rsid w:val="00CE6BB1"/>
    <w:rsid w:val="00CE6C3C"/>
    <w:rsid w:val="00CE6D09"/>
    <w:rsid w:val="00CE6D5D"/>
    <w:rsid w:val="00CE6DC3"/>
    <w:rsid w:val="00CE6DC8"/>
    <w:rsid w:val="00CE6E7E"/>
    <w:rsid w:val="00CE6F48"/>
    <w:rsid w:val="00CE6F6A"/>
    <w:rsid w:val="00CE702E"/>
    <w:rsid w:val="00CE70B2"/>
    <w:rsid w:val="00CE716E"/>
    <w:rsid w:val="00CE7279"/>
    <w:rsid w:val="00CE7317"/>
    <w:rsid w:val="00CE7484"/>
    <w:rsid w:val="00CE74C3"/>
    <w:rsid w:val="00CE74D1"/>
    <w:rsid w:val="00CE74F4"/>
    <w:rsid w:val="00CE7559"/>
    <w:rsid w:val="00CE76F9"/>
    <w:rsid w:val="00CE781C"/>
    <w:rsid w:val="00CE781F"/>
    <w:rsid w:val="00CE78DB"/>
    <w:rsid w:val="00CE78EB"/>
    <w:rsid w:val="00CE7903"/>
    <w:rsid w:val="00CE79A6"/>
    <w:rsid w:val="00CE7A80"/>
    <w:rsid w:val="00CE7B8E"/>
    <w:rsid w:val="00CE7CB3"/>
    <w:rsid w:val="00CE7E1A"/>
    <w:rsid w:val="00CE7E4C"/>
    <w:rsid w:val="00CE7EC5"/>
    <w:rsid w:val="00CF0020"/>
    <w:rsid w:val="00CF0112"/>
    <w:rsid w:val="00CF012D"/>
    <w:rsid w:val="00CF02B0"/>
    <w:rsid w:val="00CF0446"/>
    <w:rsid w:val="00CF048E"/>
    <w:rsid w:val="00CF049C"/>
    <w:rsid w:val="00CF09ED"/>
    <w:rsid w:val="00CF0A66"/>
    <w:rsid w:val="00CF0B7E"/>
    <w:rsid w:val="00CF0C4F"/>
    <w:rsid w:val="00CF0DF2"/>
    <w:rsid w:val="00CF0E01"/>
    <w:rsid w:val="00CF0E83"/>
    <w:rsid w:val="00CF0EE4"/>
    <w:rsid w:val="00CF0F12"/>
    <w:rsid w:val="00CF0FBA"/>
    <w:rsid w:val="00CF0FE1"/>
    <w:rsid w:val="00CF1192"/>
    <w:rsid w:val="00CF11BF"/>
    <w:rsid w:val="00CF11E2"/>
    <w:rsid w:val="00CF1223"/>
    <w:rsid w:val="00CF128E"/>
    <w:rsid w:val="00CF162C"/>
    <w:rsid w:val="00CF179A"/>
    <w:rsid w:val="00CF17B8"/>
    <w:rsid w:val="00CF180B"/>
    <w:rsid w:val="00CF184E"/>
    <w:rsid w:val="00CF189C"/>
    <w:rsid w:val="00CF18D8"/>
    <w:rsid w:val="00CF19A2"/>
    <w:rsid w:val="00CF1A5D"/>
    <w:rsid w:val="00CF1AB6"/>
    <w:rsid w:val="00CF1B25"/>
    <w:rsid w:val="00CF1CCB"/>
    <w:rsid w:val="00CF1D89"/>
    <w:rsid w:val="00CF1E31"/>
    <w:rsid w:val="00CF20B2"/>
    <w:rsid w:val="00CF2168"/>
    <w:rsid w:val="00CF2221"/>
    <w:rsid w:val="00CF23DC"/>
    <w:rsid w:val="00CF261C"/>
    <w:rsid w:val="00CF26DA"/>
    <w:rsid w:val="00CF26FF"/>
    <w:rsid w:val="00CF271A"/>
    <w:rsid w:val="00CF2845"/>
    <w:rsid w:val="00CF29BE"/>
    <w:rsid w:val="00CF2A14"/>
    <w:rsid w:val="00CF2A6B"/>
    <w:rsid w:val="00CF2B12"/>
    <w:rsid w:val="00CF2B24"/>
    <w:rsid w:val="00CF2CAD"/>
    <w:rsid w:val="00CF2E68"/>
    <w:rsid w:val="00CF2EEF"/>
    <w:rsid w:val="00CF3007"/>
    <w:rsid w:val="00CF3153"/>
    <w:rsid w:val="00CF32FC"/>
    <w:rsid w:val="00CF33C0"/>
    <w:rsid w:val="00CF3469"/>
    <w:rsid w:val="00CF3484"/>
    <w:rsid w:val="00CF34B0"/>
    <w:rsid w:val="00CF3588"/>
    <w:rsid w:val="00CF3685"/>
    <w:rsid w:val="00CF375F"/>
    <w:rsid w:val="00CF376E"/>
    <w:rsid w:val="00CF3A38"/>
    <w:rsid w:val="00CF3B50"/>
    <w:rsid w:val="00CF3B76"/>
    <w:rsid w:val="00CF3BFB"/>
    <w:rsid w:val="00CF3CA9"/>
    <w:rsid w:val="00CF3E07"/>
    <w:rsid w:val="00CF3E7C"/>
    <w:rsid w:val="00CF3EC1"/>
    <w:rsid w:val="00CF3F3A"/>
    <w:rsid w:val="00CF414B"/>
    <w:rsid w:val="00CF414E"/>
    <w:rsid w:val="00CF4436"/>
    <w:rsid w:val="00CF472B"/>
    <w:rsid w:val="00CF4794"/>
    <w:rsid w:val="00CF47B1"/>
    <w:rsid w:val="00CF47C4"/>
    <w:rsid w:val="00CF4815"/>
    <w:rsid w:val="00CF496F"/>
    <w:rsid w:val="00CF497C"/>
    <w:rsid w:val="00CF4AE6"/>
    <w:rsid w:val="00CF4BF6"/>
    <w:rsid w:val="00CF4CA6"/>
    <w:rsid w:val="00CF4D07"/>
    <w:rsid w:val="00CF4F10"/>
    <w:rsid w:val="00CF50F4"/>
    <w:rsid w:val="00CF514C"/>
    <w:rsid w:val="00CF52A7"/>
    <w:rsid w:val="00CF5418"/>
    <w:rsid w:val="00CF54E0"/>
    <w:rsid w:val="00CF5591"/>
    <w:rsid w:val="00CF568C"/>
    <w:rsid w:val="00CF59E5"/>
    <w:rsid w:val="00CF5AE6"/>
    <w:rsid w:val="00CF5B44"/>
    <w:rsid w:val="00CF5C78"/>
    <w:rsid w:val="00CF5D3A"/>
    <w:rsid w:val="00CF5E40"/>
    <w:rsid w:val="00CF5E64"/>
    <w:rsid w:val="00CF5F77"/>
    <w:rsid w:val="00CF6001"/>
    <w:rsid w:val="00CF6003"/>
    <w:rsid w:val="00CF610F"/>
    <w:rsid w:val="00CF61A0"/>
    <w:rsid w:val="00CF6294"/>
    <w:rsid w:val="00CF6402"/>
    <w:rsid w:val="00CF64E1"/>
    <w:rsid w:val="00CF6509"/>
    <w:rsid w:val="00CF6625"/>
    <w:rsid w:val="00CF6837"/>
    <w:rsid w:val="00CF69F7"/>
    <w:rsid w:val="00CF6AA3"/>
    <w:rsid w:val="00CF6B07"/>
    <w:rsid w:val="00CF6B34"/>
    <w:rsid w:val="00CF6C3D"/>
    <w:rsid w:val="00CF6D4D"/>
    <w:rsid w:val="00CF6DC5"/>
    <w:rsid w:val="00CF6DF8"/>
    <w:rsid w:val="00CF6E0A"/>
    <w:rsid w:val="00CF6E0D"/>
    <w:rsid w:val="00CF6F73"/>
    <w:rsid w:val="00CF72B2"/>
    <w:rsid w:val="00CF73BC"/>
    <w:rsid w:val="00CF74E8"/>
    <w:rsid w:val="00CF7583"/>
    <w:rsid w:val="00CF758C"/>
    <w:rsid w:val="00CF771B"/>
    <w:rsid w:val="00CF7789"/>
    <w:rsid w:val="00CF77F8"/>
    <w:rsid w:val="00CF7833"/>
    <w:rsid w:val="00CF78B0"/>
    <w:rsid w:val="00CF797A"/>
    <w:rsid w:val="00CF7B2B"/>
    <w:rsid w:val="00CF7B48"/>
    <w:rsid w:val="00CF7B73"/>
    <w:rsid w:val="00CF7C1D"/>
    <w:rsid w:val="00CF7D06"/>
    <w:rsid w:val="00CF7E2F"/>
    <w:rsid w:val="00D00022"/>
    <w:rsid w:val="00D0003D"/>
    <w:rsid w:val="00D002B6"/>
    <w:rsid w:val="00D0042C"/>
    <w:rsid w:val="00D00535"/>
    <w:rsid w:val="00D00536"/>
    <w:rsid w:val="00D00545"/>
    <w:rsid w:val="00D00559"/>
    <w:rsid w:val="00D005E4"/>
    <w:rsid w:val="00D005FF"/>
    <w:rsid w:val="00D00601"/>
    <w:rsid w:val="00D00610"/>
    <w:rsid w:val="00D007CB"/>
    <w:rsid w:val="00D0085D"/>
    <w:rsid w:val="00D008A2"/>
    <w:rsid w:val="00D0093B"/>
    <w:rsid w:val="00D0093F"/>
    <w:rsid w:val="00D009F5"/>
    <w:rsid w:val="00D00A76"/>
    <w:rsid w:val="00D00B57"/>
    <w:rsid w:val="00D00D90"/>
    <w:rsid w:val="00D00E4D"/>
    <w:rsid w:val="00D00E60"/>
    <w:rsid w:val="00D00E7B"/>
    <w:rsid w:val="00D01092"/>
    <w:rsid w:val="00D01093"/>
    <w:rsid w:val="00D010DD"/>
    <w:rsid w:val="00D011E7"/>
    <w:rsid w:val="00D0124C"/>
    <w:rsid w:val="00D0132D"/>
    <w:rsid w:val="00D0134E"/>
    <w:rsid w:val="00D01448"/>
    <w:rsid w:val="00D0145D"/>
    <w:rsid w:val="00D014BE"/>
    <w:rsid w:val="00D0154E"/>
    <w:rsid w:val="00D0157F"/>
    <w:rsid w:val="00D016A0"/>
    <w:rsid w:val="00D01C24"/>
    <w:rsid w:val="00D01CF6"/>
    <w:rsid w:val="00D01DD5"/>
    <w:rsid w:val="00D01F06"/>
    <w:rsid w:val="00D01FD1"/>
    <w:rsid w:val="00D020CC"/>
    <w:rsid w:val="00D020FB"/>
    <w:rsid w:val="00D021BB"/>
    <w:rsid w:val="00D0234C"/>
    <w:rsid w:val="00D02379"/>
    <w:rsid w:val="00D02400"/>
    <w:rsid w:val="00D024E3"/>
    <w:rsid w:val="00D024E4"/>
    <w:rsid w:val="00D02609"/>
    <w:rsid w:val="00D02835"/>
    <w:rsid w:val="00D0288C"/>
    <w:rsid w:val="00D02A41"/>
    <w:rsid w:val="00D02A9A"/>
    <w:rsid w:val="00D02DC0"/>
    <w:rsid w:val="00D02E36"/>
    <w:rsid w:val="00D02EE8"/>
    <w:rsid w:val="00D030BB"/>
    <w:rsid w:val="00D0312B"/>
    <w:rsid w:val="00D03190"/>
    <w:rsid w:val="00D03290"/>
    <w:rsid w:val="00D0339A"/>
    <w:rsid w:val="00D035AC"/>
    <w:rsid w:val="00D035F7"/>
    <w:rsid w:val="00D0363D"/>
    <w:rsid w:val="00D036F0"/>
    <w:rsid w:val="00D036FA"/>
    <w:rsid w:val="00D03883"/>
    <w:rsid w:val="00D03B51"/>
    <w:rsid w:val="00D03C5B"/>
    <w:rsid w:val="00D03D4A"/>
    <w:rsid w:val="00D03D5D"/>
    <w:rsid w:val="00D03D8E"/>
    <w:rsid w:val="00D03E4F"/>
    <w:rsid w:val="00D03F52"/>
    <w:rsid w:val="00D03FDC"/>
    <w:rsid w:val="00D0430A"/>
    <w:rsid w:val="00D043AF"/>
    <w:rsid w:val="00D043B7"/>
    <w:rsid w:val="00D043DC"/>
    <w:rsid w:val="00D04415"/>
    <w:rsid w:val="00D045D1"/>
    <w:rsid w:val="00D046E6"/>
    <w:rsid w:val="00D0481A"/>
    <w:rsid w:val="00D0493E"/>
    <w:rsid w:val="00D0495C"/>
    <w:rsid w:val="00D04A65"/>
    <w:rsid w:val="00D04AB0"/>
    <w:rsid w:val="00D04AF9"/>
    <w:rsid w:val="00D04C0C"/>
    <w:rsid w:val="00D04EA3"/>
    <w:rsid w:val="00D04F14"/>
    <w:rsid w:val="00D04FB6"/>
    <w:rsid w:val="00D05212"/>
    <w:rsid w:val="00D0527D"/>
    <w:rsid w:val="00D053BF"/>
    <w:rsid w:val="00D053DD"/>
    <w:rsid w:val="00D054CC"/>
    <w:rsid w:val="00D0566A"/>
    <w:rsid w:val="00D0590C"/>
    <w:rsid w:val="00D059C0"/>
    <w:rsid w:val="00D059C5"/>
    <w:rsid w:val="00D05A2C"/>
    <w:rsid w:val="00D05B86"/>
    <w:rsid w:val="00D05CFD"/>
    <w:rsid w:val="00D05D14"/>
    <w:rsid w:val="00D05EA7"/>
    <w:rsid w:val="00D05FEA"/>
    <w:rsid w:val="00D0606D"/>
    <w:rsid w:val="00D0611B"/>
    <w:rsid w:val="00D06252"/>
    <w:rsid w:val="00D06253"/>
    <w:rsid w:val="00D06295"/>
    <w:rsid w:val="00D062B9"/>
    <w:rsid w:val="00D0633F"/>
    <w:rsid w:val="00D063A9"/>
    <w:rsid w:val="00D0652C"/>
    <w:rsid w:val="00D065CF"/>
    <w:rsid w:val="00D06733"/>
    <w:rsid w:val="00D067CB"/>
    <w:rsid w:val="00D068BA"/>
    <w:rsid w:val="00D06E8E"/>
    <w:rsid w:val="00D06EFC"/>
    <w:rsid w:val="00D06F39"/>
    <w:rsid w:val="00D06FE3"/>
    <w:rsid w:val="00D07062"/>
    <w:rsid w:val="00D07317"/>
    <w:rsid w:val="00D07387"/>
    <w:rsid w:val="00D073A8"/>
    <w:rsid w:val="00D0768B"/>
    <w:rsid w:val="00D0779A"/>
    <w:rsid w:val="00D0785B"/>
    <w:rsid w:val="00D079CA"/>
    <w:rsid w:val="00D07BB3"/>
    <w:rsid w:val="00D07DF2"/>
    <w:rsid w:val="00D07E6B"/>
    <w:rsid w:val="00D07E90"/>
    <w:rsid w:val="00D07EA2"/>
    <w:rsid w:val="00D10038"/>
    <w:rsid w:val="00D100B1"/>
    <w:rsid w:val="00D101DD"/>
    <w:rsid w:val="00D10208"/>
    <w:rsid w:val="00D1028B"/>
    <w:rsid w:val="00D102F3"/>
    <w:rsid w:val="00D10588"/>
    <w:rsid w:val="00D10794"/>
    <w:rsid w:val="00D108A9"/>
    <w:rsid w:val="00D109C2"/>
    <w:rsid w:val="00D10A77"/>
    <w:rsid w:val="00D10BCF"/>
    <w:rsid w:val="00D10C56"/>
    <w:rsid w:val="00D10D94"/>
    <w:rsid w:val="00D10EAD"/>
    <w:rsid w:val="00D10F46"/>
    <w:rsid w:val="00D10F82"/>
    <w:rsid w:val="00D11046"/>
    <w:rsid w:val="00D1108E"/>
    <w:rsid w:val="00D110D0"/>
    <w:rsid w:val="00D1118D"/>
    <w:rsid w:val="00D111B7"/>
    <w:rsid w:val="00D111DA"/>
    <w:rsid w:val="00D11360"/>
    <w:rsid w:val="00D11375"/>
    <w:rsid w:val="00D1151A"/>
    <w:rsid w:val="00D11529"/>
    <w:rsid w:val="00D1158E"/>
    <w:rsid w:val="00D1173D"/>
    <w:rsid w:val="00D117FE"/>
    <w:rsid w:val="00D11A47"/>
    <w:rsid w:val="00D11BDB"/>
    <w:rsid w:val="00D11D27"/>
    <w:rsid w:val="00D11D4E"/>
    <w:rsid w:val="00D11EEC"/>
    <w:rsid w:val="00D11EF0"/>
    <w:rsid w:val="00D12046"/>
    <w:rsid w:val="00D120D2"/>
    <w:rsid w:val="00D120EA"/>
    <w:rsid w:val="00D12154"/>
    <w:rsid w:val="00D121E6"/>
    <w:rsid w:val="00D1235A"/>
    <w:rsid w:val="00D12417"/>
    <w:rsid w:val="00D12493"/>
    <w:rsid w:val="00D12553"/>
    <w:rsid w:val="00D127A8"/>
    <w:rsid w:val="00D127C2"/>
    <w:rsid w:val="00D1280F"/>
    <w:rsid w:val="00D12826"/>
    <w:rsid w:val="00D12906"/>
    <w:rsid w:val="00D12945"/>
    <w:rsid w:val="00D12987"/>
    <w:rsid w:val="00D12988"/>
    <w:rsid w:val="00D12991"/>
    <w:rsid w:val="00D12B6F"/>
    <w:rsid w:val="00D12B77"/>
    <w:rsid w:val="00D12BAB"/>
    <w:rsid w:val="00D12BD6"/>
    <w:rsid w:val="00D12CCE"/>
    <w:rsid w:val="00D12CF4"/>
    <w:rsid w:val="00D12E52"/>
    <w:rsid w:val="00D12E73"/>
    <w:rsid w:val="00D12EC1"/>
    <w:rsid w:val="00D12FA4"/>
    <w:rsid w:val="00D13079"/>
    <w:rsid w:val="00D13142"/>
    <w:rsid w:val="00D134D5"/>
    <w:rsid w:val="00D13665"/>
    <w:rsid w:val="00D137E1"/>
    <w:rsid w:val="00D1396C"/>
    <w:rsid w:val="00D139F0"/>
    <w:rsid w:val="00D13A94"/>
    <w:rsid w:val="00D13D94"/>
    <w:rsid w:val="00D13E12"/>
    <w:rsid w:val="00D14074"/>
    <w:rsid w:val="00D1411B"/>
    <w:rsid w:val="00D14274"/>
    <w:rsid w:val="00D145F9"/>
    <w:rsid w:val="00D147A5"/>
    <w:rsid w:val="00D14894"/>
    <w:rsid w:val="00D148AE"/>
    <w:rsid w:val="00D14991"/>
    <w:rsid w:val="00D14998"/>
    <w:rsid w:val="00D14A11"/>
    <w:rsid w:val="00D14A56"/>
    <w:rsid w:val="00D14ACA"/>
    <w:rsid w:val="00D14D05"/>
    <w:rsid w:val="00D14D1A"/>
    <w:rsid w:val="00D14EE6"/>
    <w:rsid w:val="00D14F48"/>
    <w:rsid w:val="00D15224"/>
    <w:rsid w:val="00D15335"/>
    <w:rsid w:val="00D15388"/>
    <w:rsid w:val="00D15487"/>
    <w:rsid w:val="00D1553F"/>
    <w:rsid w:val="00D15544"/>
    <w:rsid w:val="00D155F5"/>
    <w:rsid w:val="00D157DF"/>
    <w:rsid w:val="00D15989"/>
    <w:rsid w:val="00D15A0E"/>
    <w:rsid w:val="00D15A37"/>
    <w:rsid w:val="00D15B80"/>
    <w:rsid w:val="00D15C35"/>
    <w:rsid w:val="00D15C9A"/>
    <w:rsid w:val="00D15E82"/>
    <w:rsid w:val="00D162B6"/>
    <w:rsid w:val="00D1654C"/>
    <w:rsid w:val="00D16691"/>
    <w:rsid w:val="00D167D8"/>
    <w:rsid w:val="00D167E1"/>
    <w:rsid w:val="00D16811"/>
    <w:rsid w:val="00D16AC0"/>
    <w:rsid w:val="00D1712B"/>
    <w:rsid w:val="00D17185"/>
    <w:rsid w:val="00D171A5"/>
    <w:rsid w:val="00D171C6"/>
    <w:rsid w:val="00D17249"/>
    <w:rsid w:val="00D1727B"/>
    <w:rsid w:val="00D173CA"/>
    <w:rsid w:val="00D17561"/>
    <w:rsid w:val="00D17587"/>
    <w:rsid w:val="00D1759D"/>
    <w:rsid w:val="00D1765B"/>
    <w:rsid w:val="00D17719"/>
    <w:rsid w:val="00D1788E"/>
    <w:rsid w:val="00D17C5C"/>
    <w:rsid w:val="00D17DA2"/>
    <w:rsid w:val="00D17E8A"/>
    <w:rsid w:val="00D17F84"/>
    <w:rsid w:val="00D20052"/>
    <w:rsid w:val="00D204AB"/>
    <w:rsid w:val="00D2058A"/>
    <w:rsid w:val="00D205D4"/>
    <w:rsid w:val="00D206A5"/>
    <w:rsid w:val="00D2092C"/>
    <w:rsid w:val="00D20934"/>
    <w:rsid w:val="00D20A40"/>
    <w:rsid w:val="00D20AC1"/>
    <w:rsid w:val="00D20BC6"/>
    <w:rsid w:val="00D20C04"/>
    <w:rsid w:val="00D20CEA"/>
    <w:rsid w:val="00D20D3C"/>
    <w:rsid w:val="00D20D47"/>
    <w:rsid w:val="00D20EB8"/>
    <w:rsid w:val="00D20F47"/>
    <w:rsid w:val="00D21006"/>
    <w:rsid w:val="00D21068"/>
    <w:rsid w:val="00D210B1"/>
    <w:rsid w:val="00D212E6"/>
    <w:rsid w:val="00D2155C"/>
    <w:rsid w:val="00D2155D"/>
    <w:rsid w:val="00D21658"/>
    <w:rsid w:val="00D2183C"/>
    <w:rsid w:val="00D218A6"/>
    <w:rsid w:val="00D21901"/>
    <w:rsid w:val="00D219F5"/>
    <w:rsid w:val="00D21BC8"/>
    <w:rsid w:val="00D21BEA"/>
    <w:rsid w:val="00D21C4C"/>
    <w:rsid w:val="00D21D30"/>
    <w:rsid w:val="00D21D93"/>
    <w:rsid w:val="00D21DDF"/>
    <w:rsid w:val="00D21DFA"/>
    <w:rsid w:val="00D21E52"/>
    <w:rsid w:val="00D21E62"/>
    <w:rsid w:val="00D21EEE"/>
    <w:rsid w:val="00D21FC7"/>
    <w:rsid w:val="00D220FB"/>
    <w:rsid w:val="00D2220C"/>
    <w:rsid w:val="00D22246"/>
    <w:rsid w:val="00D222B0"/>
    <w:rsid w:val="00D222B6"/>
    <w:rsid w:val="00D22398"/>
    <w:rsid w:val="00D2245E"/>
    <w:rsid w:val="00D22504"/>
    <w:rsid w:val="00D226A4"/>
    <w:rsid w:val="00D227FE"/>
    <w:rsid w:val="00D22861"/>
    <w:rsid w:val="00D22B4B"/>
    <w:rsid w:val="00D22B6C"/>
    <w:rsid w:val="00D22D55"/>
    <w:rsid w:val="00D22E27"/>
    <w:rsid w:val="00D22E3E"/>
    <w:rsid w:val="00D22E54"/>
    <w:rsid w:val="00D22ECE"/>
    <w:rsid w:val="00D22ED3"/>
    <w:rsid w:val="00D22F18"/>
    <w:rsid w:val="00D22FD5"/>
    <w:rsid w:val="00D230F3"/>
    <w:rsid w:val="00D2321E"/>
    <w:rsid w:val="00D233C3"/>
    <w:rsid w:val="00D23548"/>
    <w:rsid w:val="00D23604"/>
    <w:rsid w:val="00D23A57"/>
    <w:rsid w:val="00D23A81"/>
    <w:rsid w:val="00D23AEF"/>
    <w:rsid w:val="00D23CD1"/>
    <w:rsid w:val="00D23D57"/>
    <w:rsid w:val="00D23D98"/>
    <w:rsid w:val="00D23DC8"/>
    <w:rsid w:val="00D24030"/>
    <w:rsid w:val="00D24104"/>
    <w:rsid w:val="00D24171"/>
    <w:rsid w:val="00D2425F"/>
    <w:rsid w:val="00D24262"/>
    <w:rsid w:val="00D24715"/>
    <w:rsid w:val="00D248E9"/>
    <w:rsid w:val="00D24A7E"/>
    <w:rsid w:val="00D24CFD"/>
    <w:rsid w:val="00D24D65"/>
    <w:rsid w:val="00D24D6A"/>
    <w:rsid w:val="00D24D82"/>
    <w:rsid w:val="00D24EAB"/>
    <w:rsid w:val="00D250DA"/>
    <w:rsid w:val="00D25445"/>
    <w:rsid w:val="00D256E0"/>
    <w:rsid w:val="00D2573C"/>
    <w:rsid w:val="00D25823"/>
    <w:rsid w:val="00D259B9"/>
    <w:rsid w:val="00D259D7"/>
    <w:rsid w:val="00D259E4"/>
    <w:rsid w:val="00D25C67"/>
    <w:rsid w:val="00D25D42"/>
    <w:rsid w:val="00D25DE7"/>
    <w:rsid w:val="00D25EDD"/>
    <w:rsid w:val="00D25EE8"/>
    <w:rsid w:val="00D25EF2"/>
    <w:rsid w:val="00D260B2"/>
    <w:rsid w:val="00D260DC"/>
    <w:rsid w:val="00D260DF"/>
    <w:rsid w:val="00D26165"/>
    <w:rsid w:val="00D26266"/>
    <w:rsid w:val="00D2628F"/>
    <w:rsid w:val="00D263CA"/>
    <w:rsid w:val="00D263CB"/>
    <w:rsid w:val="00D264A6"/>
    <w:rsid w:val="00D264A8"/>
    <w:rsid w:val="00D2653C"/>
    <w:rsid w:val="00D265C6"/>
    <w:rsid w:val="00D266A7"/>
    <w:rsid w:val="00D2671E"/>
    <w:rsid w:val="00D2682A"/>
    <w:rsid w:val="00D26940"/>
    <w:rsid w:val="00D26AF5"/>
    <w:rsid w:val="00D26B1F"/>
    <w:rsid w:val="00D26B83"/>
    <w:rsid w:val="00D26BE9"/>
    <w:rsid w:val="00D26BF4"/>
    <w:rsid w:val="00D26CC1"/>
    <w:rsid w:val="00D26D36"/>
    <w:rsid w:val="00D26F00"/>
    <w:rsid w:val="00D271F9"/>
    <w:rsid w:val="00D272C1"/>
    <w:rsid w:val="00D2736C"/>
    <w:rsid w:val="00D27465"/>
    <w:rsid w:val="00D27492"/>
    <w:rsid w:val="00D274F8"/>
    <w:rsid w:val="00D2754F"/>
    <w:rsid w:val="00D27556"/>
    <w:rsid w:val="00D2759B"/>
    <w:rsid w:val="00D2767D"/>
    <w:rsid w:val="00D2768D"/>
    <w:rsid w:val="00D277C2"/>
    <w:rsid w:val="00D2790C"/>
    <w:rsid w:val="00D27B62"/>
    <w:rsid w:val="00D27BFC"/>
    <w:rsid w:val="00D27E94"/>
    <w:rsid w:val="00D27F6B"/>
    <w:rsid w:val="00D27FCC"/>
    <w:rsid w:val="00D27FF9"/>
    <w:rsid w:val="00D30031"/>
    <w:rsid w:val="00D30104"/>
    <w:rsid w:val="00D3054E"/>
    <w:rsid w:val="00D305B7"/>
    <w:rsid w:val="00D307FD"/>
    <w:rsid w:val="00D30A49"/>
    <w:rsid w:val="00D30A4E"/>
    <w:rsid w:val="00D30AD0"/>
    <w:rsid w:val="00D30DC8"/>
    <w:rsid w:val="00D30DFD"/>
    <w:rsid w:val="00D30F22"/>
    <w:rsid w:val="00D30F97"/>
    <w:rsid w:val="00D30FC4"/>
    <w:rsid w:val="00D31135"/>
    <w:rsid w:val="00D31148"/>
    <w:rsid w:val="00D31234"/>
    <w:rsid w:val="00D31248"/>
    <w:rsid w:val="00D315AB"/>
    <w:rsid w:val="00D315E3"/>
    <w:rsid w:val="00D315FB"/>
    <w:rsid w:val="00D3162E"/>
    <w:rsid w:val="00D31637"/>
    <w:rsid w:val="00D31654"/>
    <w:rsid w:val="00D316AA"/>
    <w:rsid w:val="00D316B2"/>
    <w:rsid w:val="00D31715"/>
    <w:rsid w:val="00D317DF"/>
    <w:rsid w:val="00D31832"/>
    <w:rsid w:val="00D31950"/>
    <w:rsid w:val="00D3197F"/>
    <w:rsid w:val="00D31A65"/>
    <w:rsid w:val="00D31A86"/>
    <w:rsid w:val="00D31B63"/>
    <w:rsid w:val="00D31D8F"/>
    <w:rsid w:val="00D31E38"/>
    <w:rsid w:val="00D31F67"/>
    <w:rsid w:val="00D31FFE"/>
    <w:rsid w:val="00D320D5"/>
    <w:rsid w:val="00D321F8"/>
    <w:rsid w:val="00D32347"/>
    <w:rsid w:val="00D32362"/>
    <w:rsid w:val="00D3250B"/>
    <w:rsid w:val="00D32575"/>
    <w:rsid w:val="00D32874"/>
    <w:rsid w:val="00D3298C"/>
    <w:rsid w:val="00D32A58"/>
    <w:rsid w:val="00D32B37"/>
    <w:rsid w:val="00D32B55"/>
    <w:rsid w:val="00D32BE8"/>
    <w:rsid w:val="00D32D23"/>
    <w:rsid w:val="00D32EB7"/>
    <w:rsid w:val="00D32F29"/>
    <w:rsid w:val="00D330DE"/>
    <w:rsid w:val="00D33211"/>
    <w:rsid w:val="00D33325"/>
    <w:rsid w:val="00D333A6"/>
    <w:rsid w:val="00D334BF"/>
    <w:rsid w:val="00D33683"/>
    <w:rsid w:val="00D336ED"/>
    <w:rsid w:val="00D337A1"/>
    <w:rsid w:val="00D337D6"/>
    <w:rsid w:val="00D338D3"/>
    <w:rsid w:val="00D33928"/>
    <w:rsid w:val="00D3397F"/>
    <w:rsid w:val="00D33AEB"/>
    <w:rsid w:val="00D33B79"/>
    <w:rsid w:val="00D33BE0"/>
    <w:rsid w:val="00D33D99"/>
    <w:rsid w:val="00D33DF7"/>
    <w:rsid w:val="00D33EF2"/>
    <w:rsid w:val="00D33FA9"/>
    <w:rsid w:val="00D340A6"/>
    <w:rsid w:val="00D341BE"/>
    <w:rsid w:val="00D342FC"/>
    <w:rsid w:val="00D343F5"/>
    <w:rsid w:val="00D34444"/>
    <w:rsid w:val="00D34445"/>
    <w:rsid w:val="00D3445A"/>
    <w:rsid w:val="00D34487"/>
    <w:rsid w:val="00D344E3"/>
    <w:rsid w:val="00D34555"/>
    <w:rsid w:val="00D345A8"/>
    <w:rsid w:val="00D345AF"/>
    <w:rsid w:val="00D3476E"/>
    <w:rsid w:val="00D3492F"/>
    <w:rsid w:val="00D3493E"/>
    <w:rsid w:val="00D34A1B"/>
    <w:rsid w:val="00D34A93"/>
    <w:rsid w:val="00D34BAA"/>
    <w:rsid w:val="00D34BF4"/>
    <w:rsid w:val="00D34D09"/>
    <w:rsid w:val="00D34D8C"/>
    <w:rsid w:val="00D34E53"/>
    <w:rsid w:val="00D34ED9"/>
    <w:rsid w:val="00D34EED"/>
    <w:rsid w:val="00D34EF9"/>
    <w:rsid w:val="00D351F1"/>
    <w:rsid w:val="00D35435"/>
    <w:rsid w:val="00D35480"/>
    <w:rsid w:val="00D355D1"/>
    <w:rsid w:val="00D357BB"/>
    <w:rsid w:val="00D357DC"/>
    <w:rsid w:val="00D357E1"/>
    <w:rsid w:val="00D35819"/>
    <w:rsid w:val="00D35867"/>
    <w:rsid w:val="00D358ED"/>
    <w:rsid w:val="00D35A39"/>
    <w:rsid w:val="00D35B6B"/>
    <w:rsid w:val="00D35D87"/>
    <w:rsid w:val="00D35DA8"/>
    <w:rsid w:val="00D35E1F"/>
    <w:rsid w:val="00D35E35"/>
    <w:rsid w:val="00D35E8D"/>
    <w:rsid w:val="00D3602D"/>
    <w:rsid w:val="00D36245"/>
    <w:rsid w:val="00D363B5"/>
    <w:rsid w:val="00D3669A"/>
    <w:rsid w:val="00D36733"/>
    <w:rsid w:val="00D36766"/>
    <w:rsid w:val="00D3683C"/>
    <w:rsid w:val="00D3686C"/>
    <w:rsid w:val="00D36ACB"/>
    <w:rsid w:val="00D36B0C"/>
    <w:rsid w:val="00D36BB4"/>
    <w:rsid w:val="00D36C0E"/>
    <w:rsid w:val="00D36C44"/>
    <w:rsid w:val="00D36C65"/>
    <w:rsid w:val="00D36CFA"/>
    <w:rsid w:val="00D36F02"/>
    <w:rsid w:val="00D36F34"/>
    <w:rsid w:val="00D36F79"/>
    <w:rsid w:val="00D370FC"/>
    <w:rsid w:val="00D3727F"/>
    <w:rsid w:val="00D37360"/>
    <w:rsid w:val="00D374B1"/>
    <w:rsid w:val="00D377D3"/>
    <w:rsid w:val="00D378CE"/>
    <w:rsid w:val="00D378EA"/>
    <w:rsid w:val="00D37944"/>
    <w:rsid w:val="00D37B06"/>
    <w:rsid w:val="00D37BEA"/>
    <w:rsid w:val="00D37D10"/>
    <w:rsid w:val="00D37D57"/>
    <w:rsid w:val="00D40118"/>
    <w:rsid w:val="00D401C3"/>
    <w:rsid w:val="00D4020E"/>
    <w:rsid w:val="00D40244"/>
    <w:rsid w:val="00D402BE"/>
    <w:rsid w:val="00D402C1"/>
    <w:rsid w:val="00D404AE"/>
    <w:rsid w:val="00D404D0"/>
    <w:rsid w:val="00D40535"/>
    <w:rsid w:val="00D405D2"/>
    <w:rsid w:val="00D4062D"/>
    <w:rsid w:val="00D4069B"/>
    <w:rsid w:val="00D406D5"/>
    <w:rsid w:val="00D4075A"/>
    <w:rsid w:val="00D40852"/>
    <w:rsid w:val="00D40889"/>
    <w:rsid w:val="00D408AE"/>
    <w:rsid w:val="00D4092D"/>
    <w:rsid w:val="00D40B3E"/>
    <w:rsid w:val="00D40C8D"/>
    <w:rsid w:val="00D40DB4"/>
    <w:rsid w:val="00D40EE6"/>
    <w:rsid w:val="00D40F04"/>
    <w:rsid w:val="00D40FF5"/>
    <w:rsid w:val="00D4112E"/>
    <w:rsid w:val="00D41132"/>
    <w:rsid w:val="00D41171"/>
    <w:rsid w:val="00D41362"/>
    <w:rsid w:val="00D41638"/>
    <w:rsid w:val="00D416F4"/>
    <w:rsid w:val="00D417CC"/>
    <w:rsid w:val="00D4197E"/>
    <w:rsid w:val="00D41A0A"/>
    <w:rsid w:val="00D41A30"/>
    <w:rsid w:val="00D41BAB"/>
    <w:rsid w:val="00D41D5A"/>
    <w:rsid w:val="00D41E0D"/>
    <w:rsid w:val="00D41FF0"/>
    <w:rsid w:val="00D42069"/>
    <w:rsid w:val="00D4218C"/>
    <w:rsid w:val="00D421C4"/>
    <w:rsid w:val="00D42321"/>
    <w:rsid w:val="00D42335"/>
    <w:rsid w:val="00D42336"/>
    <w:rsid w:val="00D423F6"/>
    <w:rsid w:val="00D4241C"/>
    <w:rsid w:val="00D42568"/>
    <w:rsid w:val="00D4263B"/>
    <w:rsid w:val="00D4275F"/>
    <w:rsid w:val="00D42865"/>
    <w:rsid w:val="00D42929"/>
    <w:rsid w:val="00D42AD3"/>
    <w:rsid w:val="00D42D7E"/>
    <w:rsid w:val="00D42D9F"/>
    <w:rsid w:val="00D430D3"/>
    <w:rsid w:val="00D431F4"/>
    <w:rsid w:val="00D43330"/>
    <w:rsid w:val="00D435A1"/>
    <w:rsid w:val="00D435F5"/>
    <w:rsid w:val="00D43722"/>
    <w:rsid w:val="00D437C0"/>
    <w:rsid w:val="00D438ED"/>
    <w:rsid w:val="00D4395F"/>
    <w:rsid w:val="00D43986"/>
    <w:rsid w:val="00D439E3"/>
    <w:rsid w:val="00D43A04"/>
    <w:rsid w:val="00D43A46"/>
    <w:rsid w:val="00D43C0C"/>
    <w:rsid w:val="00D43C57"/>
    <w:rsid w:val="00D43CC7"/>
    <w:rsid w:val="00D43DA2"/>
    <w:rsid w:val="00D43DA9"/>
    <w:rsid w:val="00D43DC6"/>
    <w:rsid w:val="00D43DC8"/>
    <w:rsid w:val="00D43E52"/>
    <w:rsid w:val="00D43F0A"/>
    <w:rsid w:val="00D43F6F"/>
    <w:rsid w:val="00D4406B"/>
    <w:rsid w:val="00D444EC"/>
    <w:rsid w:val="00D4477D"/>
    <w:rsid w:val="00D44784"/>
    <w:rsid w:val="00D447C1"/>
    <w:rsid w:val="00D448B9"/>
    <w:rsid w:val="00D448CA"/>
    <w:rsid w:val="00D44AEE"/>
    <w:rsid w:val="00D44D5A"/>
    <w:rsid w:val="00D44D6C"/>
    <w:rsid w:val="00D45127"/>
    <w:rsid w:val="00D451CF"/>
    <w:rsid w:val="00D451DE"/>
    <w:rsid w:val="00D45223"/>
    <w:rsid w:val="00D4528C"/>
    <w:rsid w:val="00D452EB"/>
    <w:rsid w:val="00D4531F"/>
    <w:rsid w:val="00D4548B"/>
    <w:rsid w:val="00D4568A"/>
    <w:rsid w:val="00D457E2"/>
    <w:rsid w:val="00D45855"/>
    <w:rsid w:val="00D45A39"/>
    <w:rsid w:val="00D45A4C"/>
    <w:rsid w:val="00D45B88"/>
    <w:rsid w:val="00D45CFA"/>
    <w:rsid w:val="00D45E00"/>
    <w:rsid w:val="00D45E0B"/>
    <w:rsid w:val="00D45E9E"/>
    <w:rsid w:val="00D45ED9"/>
    <w:rsid w:val="00D45FA9"/>
    <w:rsid w:val="00D461DF"/>
    <w:rsid w:val="00D462EE"/>
    <w:rsid w:val="00D46371"/>
    <w:rsid w:val="00D46452"/>
    <w:rsid w:val="00D46497"/>
    <w:rsid w:val="00D464CA"/>
    <w:rsid w:val="00D464DD"/>
    <w:rsid w:val="00D46702"/>
    <w:rsid w:val="00D467C6"/>
    <w:rsid w:val="00D46878"/>
    <w:rsid w:val="00D468EC"/>
    <w:rsid w:val="00D46A78"/>
    <w:rsid w:val="00D46C33"/>
    <w:rsid w:val="00D46C68"/>
    <w:rsid w:val="00D46CCC"/>
    <w:rsid w:val="00D46DDB"/>
    <w:rsid w:val="00D46ECF"/>
    <w:rsid w:val="00D46F86"/>
    <w:rsid w:val="00D4704E"/>
    <w:rsid w:val="00D4707B"/>
    <w:rsid w:val="00D470BD"/>
    <w:rsid w:val="00D470F4"/>
    <w:rsid w:val="00D47130"/>
    <w:rsid w:val="00D473D2"/>
    <w:rsid w:val="00D4757F"/>
    <w:rsid w:val="00D476CA"/>
    <w:rsid w:val="00D476FA"/>
    <w:rsid w:val="00D47835"/>
    <w:rsid w:val="00D47957"/>
    <w:rsid w:val="00D479B6"/>
    <w:rsid w:val="00D47A17"/>
    <w:rsid w:val="00D47A3D"/>
    <w:rsid w:val="00D47A99"/>
    <w:rsid w:val="00D47AAE"/>
    <w:rsid w:val="00D47AD9"/>
    <w:rsid w:val="00D47BF6"/>
    <w:rsid w:val="00D47C4C"/>
    <w:rsid w:val="00D47D0B"/>
    <w:rsid w:val="00D47D35"/>
    <w:rsid w:val="00D47E23"/>
    <w:rsid w:val="00D47E2B"/>
    <w:rsid w:val="00D47E67"/>
    <w:rsid w:val="00D47EB5"/>
    <w:rsid w:val="00D47F03"/>
    <w:rsid w:val="00D5009E"/>
    <w:rsid w:val="00D50126"/>
    <w:rsid w:val="00D50143"/>
    <w:rsid w:val="00D50155"/>
    <w:rsid w:val="00D50195"/>
    <w:rsid w:val="00D5031F"/>
    <w:rsid w:val="00D503C4"/>
    <w:rsid w:val="00D5041A"/>
    <w:rsid w:val="00D50484"/>
    <w:rsid w:val="00D5051C"/>
    <w:rsid w:val="00D5061E"/>
    <w:rsid w:val="00D50773"/>
    <w:rsid w:val="00D5091A"/>
    <w:rsid w:val="00D509A0"/>
    <w:rsid w:val="00D509BE"/>
    <w:rsid w:val="00D50B71"/>
    <w:rsid w:val="00D50F62"/>
    <w:rsid w:val="00D51061"/>
    <w:rsid w:val="00D51100"/>
    <w:rsid w:val="00D5138F"/>
    <w:rsid w:val="00D5145D"/>
    <w:rsid w:val="00D5146C"/>
    <w:rsid w:val="00D5167D"/>
    <w:rsid w:val="00D5172C"/>
    <w:rsid w:val="00D517B2"/>
    <w:rsid w:val="00D5197D"/>
    <w:rsid w:val="00D519A9"/>
    <w:rsid w:val="00D51BB2"/>
    <w:rsid w:val="00D51CFA"/>
    <w:rsid w:val="00D51DEB"/>
    <w:rsid w:val="00D5203C"/>
    <w:rsid w:val="00D52152"/>
    <w:rsid w:val="00D5237F"/>
    <w:rsid w:val="00D5259A"/>
    <w:rsid w:val="00D525A8"/>
    <w:rsid w:val="00D525C6"/>
    <w:rsid w:val="00D525F0"/>
    <w:rsid w:val="00D526F8"/>
    <w:rsid w:val="00D52816"/>
    <w:rsid w:val="00D528E3"/>
    <w:rsid w:val="00D52910"/>
    <w:rsid w:val="00D52950"/>
    <w:rsid w:val="00D52991"/>
    <w:rsid w:val="00D52B24"/>
    <w:rsid w:val="00D52BB5"/>
    <w:rsid w:val="00D52FEE"/>
    <w:rsid w:val="00D53109"/>
    <w:rsid w:val="00D531C2"/>
    <w:rsid w:val="00D53332"/>
    <w:rsid w:val="00D5351D"/>
    <w:rsid w:val="00D53635"/>
    <w:rsid w:val="00D5370A"/>
    <w:rsid w:val="00D5384D"/>
    <w:rsid w:val="00D538A2"/>
    <w:rsid w:val="00D53975"/>
    <w:rsid w:val="00D53A62"/>
    <w:rsid w:val="00D53BAE"/>
    <w:rsid w:val="00D53C78"/>
    <w:rsid w:val="00D53D35"/>
    <w:rsid w:val="00D53E8B"/>
    <w:rsid w:val="00D53F74"/>
    <w:rsid w:val="00D53F95"/>
    <w:rsid w:val="00D54051"/>
    <w:rsid w:val="00D5413F"/>
    <w:rsid w:val="00D54319"/>
    <w:rsid w:val="00D54432"/>
    <w:rsid w:val="00D5449A"/>
    <w:rsid w:val="00D544C0"/>
    <w:rsid w:val="00D54507"/>
    <w:rsid w:val="00D5456F"/>
    <w:rsid w:val="00D545AA"/>
    <w:rsid w:val="00D546C7"/>
    <w:rsid w:val="00D547DB"/>
    <w:rsid w:val="00D5485F"/>
    <w:rsid w:val="00D54914"/>
    <w:rsid w:val="00D54A83"/>
    <w:rsid w:val="00D54AF1"/>
    <w:rsid w:val="00D54BD5"/>
    <w:rsid w:val="00D54C2F"/>
    <w:rsid w:val="00D54C46"/>
    <w:rsid w:val="00D54DAB"/>
    <w:rsid w:val="00D54F81"/>
    <w:rsid w:val="00D55055"/>
    <w:rsid w:val="00D5505A"/>
    <w:rsid w:val="00D55128"/>
    <w:rsid w:val="00D5523A"/>
    <w:rsid w:val="00D55286"/>
    <w:rsid w:val="00D553FD"/>
    <w:rsid w:val="00D554B8"/>
    <w:rsid w:val="00D5558E"/>
    <w:rsid w:val="00D556D0"/>
    <w:rsid w:val="00D557FF"/>
    <w:rsid w:val="00D559DE"/>
    <w:rsid w:val="00D55A34"/>
    <w:rsid w:val="00D55A63"/>
    <w:rsid w:val="00D55B3C"/>
    <w:rsid w:val="00D55B6E"/>
    <w:rsid w:val="00D55BD6"/>
    <w:rsid w:val="00D55C51"/>
    <w:rsid w:val="00D55D2A"/>
    <w:rsid w:val="00D55DA5"/>
    <w:rsid w:val="00D55E03"/>
    <w:rsid w:val="00D55E2E"/>
    <w:rsid w:val="00D55E51"/>
    <w:rsid w:val="00D55E8F"/>
    <w:rsid w:val="00D55E9F"/>
    <w:rsid w:val="00D55EA9"/>
    <w:rsid w:val="00D55EEF"/>
    <w:rsid w:val="00D5607D"/>
    <w:rsid w:val="00D5613D"/>
    <w:rsid w:val="00D56140"/>
    <w:rsid w:val="00D56192"/>
    <w:rsid w:val="00D561A3"/>
    <w:rsid w:val="00D5639A"/>
    <w:rsid w:val="00D563B0"/>
    <w:rsid w:val="00D56534"/>
    <w:rsid w:val="00D565C3"/>
    <w:rsid w:val="00D5664F"/>
    <w:rsid w:val="00D56687"/>
    <w:rsid w:val="00D566FF"/>
    <w:rsid w:val="00D56710"/>
    <w:rsid w:val="00D5691C"/>
    <w:rsid w:val="00D56BAC"/>
    <w:rsid w:val="00D56BBF"/>
    <w:rsid w:val="00D56BE8"/>
    <w:rsid w:val="00D56BED"/>
    <w:rsid w:val="00D56BF5"/>
    <w:rsid w:val="00D56BFE"/>
    <w:rsid w:val="00D56DBD"/>
    <w:rsid w:val="00D5706D"/>
    <w:rsid w:val="00D573B7"/>
    <w:rsid w:val="00D573E8"/>
    <w:rsid w:val="00D57522"/>
    <w:rsid w:val="00D575AD"/>
    <w:rsid w:val="00D577E5"/>
    <w:rsid w:val="00D57845"/>
    <w:rsid w:val="00D57A51"/>
    <w:rsid w:val="00D57C2F"/>
    <w:rsid w:val="00D57C7A"/>
    <w:rsid w:val="00D57DE9"/>
    <w:rsid w:val="00D57EAA"/>
    <w:rsid w:val="00D60077"/>
    <w:rsid w:val="00D6018D"/>
    <w:rsid w:val="00D60196"/>
    <w:rsid w:val="00D601BF"/>
    <w:rsid w:val="00D60364"/>
    <w:rsid w:val="00D60427"/>
    <w:rsid w:val="00D605BB"/>
    <w:rsid w:val="00D60661"/>
    <w:rsid w:val="00D607E5"/>
    <w:rsid w:val="00D60B78"/>
    <w:rsid w:val="00D60BD6"/>
    <w:rsid w:val="00D60C0E"/>
    <w:rsid w:val="00D60C40"/>
    <w:rsid w:val="00D60CA0"/>
    <w:rsid w:val="00D60D52"/>
    <w:rsid w:val="00D60D88"/>
    <w:rsid w:val="00D60D91"/>
    <w:rsid w:val="00D60D97"/>
    <w:rsid w:val="00D60EF7"/>
    <w:rsid w:val="00D60F55"/>
    <w:rsid w:val="00D60FC5"/>
    <w:rsid w:val="00D610B2"/>
    <w:rsid w:val="00D610BA"/>
    <w:rsid w:val="00D61168"/>
    <w:rsid w:val="00D611B1"/>
    <w:rsid w:val="00D61217"/>
    <w:rsid w:val="00D612F4"/>
    <w:rsid w:val="00D614DE"/>
    <w:rsid w:val="00D61589"/>
    <w:rsid w:val="00D615BA"/>
    <w:rsid w:val="00D6169E"/>
    <w:rsid w:val="00D616FB"/>
    <w:rsid w:val="00D61797"/>
    <w:rsid w:val="00D618E2"/>
    <w:rsid w:val="00D61A06"/>
    <w:rsid w:val="00D61B94"/>
    <w:rsid w:val="00D61CC0"/>
    <w:rsid w:val="00D6207C"/>
    <w:rsid w:val="00D620AA"/>
    <w:rsid w:val="00D620BF"/>
    <w:rsid w:val="00D620DD"/>
    <w:rsid w:val="00D621AC"/>
    <w:rsid w:val="00D62380"/>
    <w:rsid w:val="00D62406"/>
    <w:rsid w:val="00D62452"/>
    <w:rsid w:val="00D62532"/>
    <w:rsid w:val="00D62573"/>
    <w:rsid w:val="00D625C6"/>
    <w:rsid w:val="00D6265B"/>
    <w:rsid w:val="00D6267B"/>
    <w:rsid w:val="00D62689"/>
    <w:rsid w:val="00D627D7"/>
    <w:rsid w:val="00D62A82"/>
    <w:rsid w:val="00D62BB3"/>
    <w:rsid w:val="00D62E03"/>
    <w:rsid w:val="00D62E31"/>
    <w:rsid w:val="00D62ECB"/>
    <w:rsid w:val="00D63543"/>
    <w:rsid w:val="00D635C5"/>
    <w:rsid w:val="00D6368E"/>
    <w:rsid w:val="00D6377A"/>
    <w:rsid w:val="00D637F5"/>
    <w:rsid w:val="00D63AD4"/>
    <w:rsid w:val="00D63BE1"/>
    <w:rsid w:val="00D63BF1"/>
    <w:rsid w:val="00D63C99"/>
    <w:rsid w:val="00D63EE4"/>
    <w:rsid w:val="00D63FCE"/>
    <w:rsid w:val="00D64083"/>
    <w:rsid w:val="00D64297"/>
    <w:rsid w:val="00D6433E"/>
    <w:rsid w:val="00D643A8"/>
    <w:rsid w:val="00D64415"/>
    <w:rsid w:val="00D64431"/>
    <w:rsid w:val="00D6465E"/>
    <w:rsid w:val="00D6466F"/>
    <w:rsid w:val="00D64798"/>
    <w:rsid w:val="00D64907"/>
    <w:rsid w:val="00D64AD4"/>
    <w:rsid w:val="00D64C19"/>
    <w:rsid w:val="00D64C8B"/>
    <w:rsid w:val="00D64D07"/>
    <w:rsid w:val="00D64D35"/>
    <w:rsid w:val="00D64D69"/>
    <w:rsid w:val="00D64D96"/>
    <w:rsid w:val="00D64E08"/>
    <w:rsid w:val="00D64F09"/>
    <w:rsid w:val="00D64F50"/>
    <w:rsid w:val="00D64FC8"/>
    <w:rsid w:val="00D6504C"/>
    <w:rsid w:val="00D65072"/>
    <w:rsid w:val="00D6549D"/>
    <w:rsid w:val="00D654E3"/>
    <w:rsid w:val="00D6552B"/>
    <w:rsid w:val="00D65554"/>
    <w:rsid w:val="00D6563E"/>
    <w:rsid w:val="00D658FD"/>
    <w:rsid w:val="00D659E5"/>
    <w:rsid w:val="00D65AB9"/>
    <w:rsid w:val="00D65AC5"/>
    <w:rsid w:val="00D65B26"/>
    <w:rsid w:val="00D65B8B"/>
    <w:rsid w:val="00D65E05"/>
    <w:rsid w:val="00D65E82"/>
    <w:rsid w:val="00D65FF7"/>
    <w:rsid w:val="00D66022"/>
    <w:rsid w:val="00D6605C"/>
    <w:rsid w:val="00D66061"/>
    <w:rsid w:val="00D6606F"/>
    <w:rsid w:val="00D662AF"/>
    <w:rsid w:val="00D662B6"/>
    <w:rsid w:val="00D66333"/>
    <w:rsid w:val="00D66392"/>
    <w:rsid w:val="00D66616"/>
    <w:rsid w:val="00D6666D"/>
    <w:rsid w:val="00D666F6"/>
    <w:rsid w:val="00D6698B"/>
    <w:rsid w:val="00D66ADF"/>
    <w:rsid w:val="00D66C3B"/>
    <w:rsid w:val="00D66C6B"/>
    <w:rsid w:val="00D66F3C"/>
    <w:rsid w:val="00D66F4D"/>
    <w:rsid w:val="00D66F7D"/>
    <w:rsid w:val="00D66FAA"/>
    <w:rsid w:val="00D670F0"/>
    <w:rsid w:val="00D67229"/>
    <w:rsid w:val="00D67236"/>
    <w:rsid w:val="00D672D5"/>
    <w:rsid w:val="00D672EB"/>
    <w:rsid w:val="00D67389"/>
    <w:rsid w:val="00D67440"/>
    <w:rsid w:val="00D6744E"/>
    <w:rsid w:val="00D674F3"/>
    <w:rsid w:val="00D67684"/>
    <w:rsid w:val="00D67697"/>
    <w:rsid w:val="00D676D4"/>
    <w:rsid w:val="00D67729"/>
    <w:rsid w:val="00D67780"/>
    <w:rsid w:val="00D67889"/>
    <w:rsid w:val="00D679A6"/>
    <w:rsid w:val="00D67AAB"/>
    <w:rsid w:val="00D67BCA"/>
    <w:rsid w:val="00D67C75"/>
    <w:rsid w:val="00D67D82"/>
    <w:rsid w:val="00D67EA7"/>
    <w:rsid w:val="00D67EB0"/>
    <w:rsid w:val="00D67F2A"/>
    <w:rsid w:val="00D67F8F"/>
    <w:rsid w:val="00D70007"/>
    <w:rsid w:val="00D70015"/>
    <w:rsid w:val="00D702F9"/>
    <w:rsid w:val="00D70330"/>
    <w:rsid w:val="00D70435"/>
    <w:rsid w:val="00D706B3"/>
    <w:rsid w:val="00D70714"/>
    <w:rsid w:val="00D70739"/>
    <w:rsid w:val="00D70789"/>
    <w:rsid w:val="00D707A7"/>
    <w:rsid w:val="00D707A8"/>
    <w:rsid w:val="00D70992"/>
    <w:rsid w:val="00D70A26"/>
    <w:rsid w:val="00D70AB3"/>
    <w:rsid w:val="00D70DF5"/>
    <w:rsid w:val="00D70E03"/>
    <w:rsid w:val="00D7100D"/>
    <w:rsid w:val="00D711BB"/>
    <w:rsid w:val="00D71223"/>
    <w:rsid w:val="00D7139B"/>
    <w:rsid w:val="00D715A2"/>
    <w:rsid w:val="00D7171F"/>
    <w:rsid w:val="00D71783"/>
    <w:rsid w:val="00D717D3"/>
    <w:rsid w:val="00D71925"/>
    <w:rsid w:val="00D71989"/>
    <w:rsid w:val="00D7199F"/>
    <w:rsid w:val="00D71A54"/>
    <w:rsid w:val="00D71A59"/>
    <w:rsid w:val="00D71BBE"/>
    <w:rsid w:val="00D71C5B"/>
    <w:rsid w:val="00D71CB5"/>
    <w:rsid w:val="00D71D90"/>
    <w:rsid w:val="00D71DDB"/>
    <w:rsid w:val="00D71E1E"/>
    <w:rsid w:val="00D71E60"/>
    <w:rsid w:val="00D71EB4"/>
    <w:rsid w:val="00D71F31"/>
    <w:rsid w:val="00D7202C"/>
    <w:rsid w:val="00D72058"/>
    <w:rsid w:val="00D722CC"/>
    <w:rsid w:val="00D723BC"/>
    <w:rsid w:val="00D724BE"/>
    <w:rsid w:val="00D725CD"/>
    <w:rsid w:val="00D727BE"/>
    <w:rsid w:val="00D727FD"/>
    <w:rsid w:val="00D728A0"/>
    <w:rsid w:val="00D728C1"/>
    <w:rsid w:val="00D7292E"/>
    <w:rsid w:val="00D72A03"/>
    <w:rsid w:val="00D72A6E"/>
    <w:rsid w:val="00D72B00"/>
    <w:rsid w:val="00D72B8B"/>
    <w:rsid w:val="00D72C4C"/>
    <w:rsid w:val="00D72D90"/>
    <w:rsid w:val="00D72DCE"/>
    <w:rsid w:val="00D72E62"/>
    <w:rsid w:val="00D7307F"/>
    <w:rsid w:val="00D732CE"/>
    <w:rsid w:val="00D734BB"/>
    <w:rsid w:val="00D73599"/>
    <w:rsid w:val="00D735AF"/>
    <w:rsid w:val="00D735CB"/>
    <w:rsid w:val="00D73647"/>
    <w:rsid w:val="00D7379F"/>
    <w:rsid w:val="00D738AB"/>
    <w:rsid w:val="00D73959"/>
    <w:rsid w:val="00D7399E"/>
    <w:rsid w:val="00D73A9B"/>
    <w:rsid w:val="00D73AF9"/>
    <w:rsid w:val="00D73B7B"/>
    <w:rsid w:val="00D73BB7"/>
    <w:rsid w:val="00D73E21"/>
    <w:rsid w:val="00D73E47"/>
    <w:rsid w:val="00D73E94"/>
    <w:rsid w:val="00D73EA3"/>
    <w:rsid w:val="00D73FE7"/>
    <w:rsid w:val="00D7401D"/>
    <w:rsid w:val="00D741F8"/>
    <w:rsid w:val="00D74239"/>
    <w:rsid w:val="00D742A9"/>
    <w:rsid w:val="00D7434C"/>
    <w:rsid w:val="00D743C2"/>
    <w:rsid w:val="00D7442A"/>
    <w:rsid w:val="00D745DA"/>
    <w:rsid w:val="00D74765"/>
    <w:rsid w:val="00D7478D"/>
    <w:rsid w:val="00D747D7"/>
    <w:rsid w:val="00D74890"/>
    <w:rsid w:val="00D748BA"/>
    <w:rsid w:val="00D749D9"/>
    <w:rsid w:val="00D749F0"/>
    <w:rsid w:val="00D74A50"/>
    <w:rsid w:val="00D74A68"/>
    <w:rsid w:val="00D74A93"/>
    <w:rsid w:val="00D74AF7"/>
    <w:rsid w:val="00D74B40"/>
    <w:rsid w:val="00D74C52"/>
    <w:rsid w:val="00D74D73"/>
    <w:rsid w:val="00D75101"/>
    <w:rsid w:val="00D751D9"/>
    <w:rsid w:val="00D75285"/>
    <w:rsid w:val="00D752D3"/>
    <w:rsid w:val="00D754CE"/>
    <w:rsid w:val="00D75690"/>
    <w:rsid w:val="00D75772"/>
    <w:rsid w:val="00D75939"/>
    <w:rsid w:val="00D75A06"/>
    <w:rsid w:val="00D75B21"/>
    <w:rsid w:val="00D75BBD"/>
    <w:rsid w:val="00D75BF0"/>
    <w:rsid w:val="00D75CD8"/>
    <w:rsid w:val="00D75FEE"/>
    <w:rsid w:val="00D76017"/>
    <w:rsid w:val="00D76058"/>
    <w:rsid w:val="00D7623D"/>
    <w:rsid w:val="00D762DF"/>
    <w:rsid w:val="00D762FC"/>
    <w:rsid w:val="00D76431"/>
    <w:rsid w:val="00D76450"/>
    <w:rsid w:val="00D7649E"/>
    <w:rsid w:val="00D764A4"/>
    <w:rsid w:val="00D7653F"/>
    <w:rsid w:val="00D76584"/>
    <w:rsid w:val="00D76603"/>
    <w:rsid w:val="00D766DE"/>
    <w:rsid w:val="00D76711"/>
    <w:rsid w:val="00D76903"/>
    <w:rsid w:val="00D76915"/>
    <w:rsid w:val="00D76B0C"/>
    <w:rsid w:val="00D76B6E"/>
    <w:rsid w:val="00D76B90"/>
    <w:rsid w:val="00D76BEF"/>
    <w:rsid w:val="00D76C53"/>
    <w:rsid w:val="00D76CEE"/>
    <w:rsid w:val="00D76D13"/>
    <w:rsid w:val="00D76D1B"/>
    <w:rsid w:val="00D76E50"/>
    <w:rsid w:val="00D76E84"/>
    <w:rsid w:val="00D772BE"/>
    <w:rsid w:val="00D772F6"/>
    <w:rsid w:val="00D772F9"/>
    <w:rsid w:val="00D773F5"/>
    <w:rsid w:val="00D7747D"/>
    <w:rsid w:val="00D77498"/>
    <w:rsid w:val="00D7761D"/>
    <w:rsid w:val="00D77647"/>
    <w:rsid w:val="00D77669"/>
    <w:rsid w:val="00D7779C"/>
    <w:rsid w:val="00D777C9"/>
    <w:rsid w:val="00D7782F"/>
    <w:rsid w:val="00D77938"/>
    <w:rsid w:val="00D77947"/>
    <w:rsid w:val="00D779BA"/>
    <w:rsid w:val="00D77BF7"/>
    <w:rsid w:val="00D77C34"/>
    <w:rsid w:val="00D77C7B"/>
    <w:rsid w:val="00D77D85"/>
    <w:rsid w:val="00D77DC7"/>
    <w:rsid w:val="00D77F5C"/>
    <w:rsid w:val="00D80014"/>
    <w:rsid w:val="00D80072"/>
    <w:rsid w:val="00D80085"/>
    <w:rsid w:val="00D800CE"/>
    <w:rsid w:val="00D8032D"/>
    <w:rsid w:val="00D8048A"/>
    <w:rsid w:val="00D80536"/>
    <w:rsid w:val="00D806F3"/>
    <w:rsid w:val="00D806F8"/>
    <w:rsid w:val="00D8070D"/>
    <w:rsid w:val="00D80994"/>
    <w:rsid w:val="00D80A3A"/>
    <w:rsid w:val="00D80BE6"/>
    <w:rsid w:val="00D80C1D"/>
    <w:rsid w:val="00D80C53"/>
    <w:rsid w:val="00D80CEC"/>
    <w:rsid w:val="00D80E49"/>
    <w:rsid w:val="00D80EE7"/>
    <w:rsid w:val="00D810C4"/>
    <w:rsid w:val="00D81182"/>
    <w:rsid w:val="00D811E0"/>
    <w:rsid w:val="00D81265"/>
    <w:rsid w:val="00D813FE"/>
    <w:rsid w:val="00D814C3"/>
    <w:rsid w:val="00D815ED"/>
    <w:rsid w:val="00D81700"/>
    <w:rsid w:val="00D81741"/>
    <w:rsid w:val="00D81B0D"/>
    <w:rsid w:val="00D81BD0"/>
    <w:rsid w:val="00D81C27"/>
    <w:rsid w:val="00D81DC7"/>
    <w:rsid w:val="00D81DD8"/>
    <w:rsid w:val="00D81E21"/>
    <w:rsid w:val="00D81EAE"/>
    <w:rsid w:val="00D81EDA"/>
    <w:rsid w:val="00D81EFF"/>
    <w:rsid w:val="00D81FBC"/>
    <w:rsid w:val="00D81FC6"/>
    <w:rsid w:val="00D81FF6"/>
    <w:rsid w:val="00D8208C"/>
    <w:rsid w:val="00D820BD"/>
    <w:rsid w:val="00D820DB"/>
    <w:rsid w:val="00D820F4"/>
    <w:rsid w:val="00D82214"/>
    <w:rsid w:val="00D8222C"/>
    <w:rsid w:val="00D8226D"/>
    <w:rsid w:val="00D8228F"/>
    <w:rsid w:val="00D82550"/>
    <w:rsid w:val="00D8255C"/>
    <w:rsid w:val="00D825DE"/>
    <w:rsid w:val="00D8262F"/>
    <w:rsid w:val="00D82653"/>
    <w:rsid w:val="00D826F3"/>
    <w:rsid w:val="00D82798"/>
    <w:rsid w:val="00D8280A"/>
    <w:rsid w:val="00D82827"/>
    <w:rsid w:val="00D82916"/>
    <w:rsid w:val="00D8291D"/>
    <w:rsid w:val="00D82B87"/>
    <w:rsid w:val="00D82BD3"/>
    <w:rsid w:val="00D82CDC"/>
    <w:rsid w:val="00D82CFE"/>
    <w:rsid w:val="00D82F41"/>
    <w:rsid w:val="00D8312E"/>
    <w:rsid w:val="00D83165"/>
    <w:rsid w:val="00D83240"/>
    <w:rsid w:val="00D8325A"/>
    <w:rsid w:val="00D83286"/>
    <w:rsid w:val="00D83379"/>
    <w:rsid w:val="00D835D9"/>
    <w:rsid w:val="00D83662"/>
    <w:rsid w:val="00D83696"/>
    <w:rsid w:val="00D83699"/>
    <w:rsid w:val="00D83751"/>
    <w:rsid w:val="00D8375B"/>
    <w:rsid w:val="00D83798"/>
    <w:rsid w:val="00D83A3A"/>
    <w:rsid w:val="00D83ACC"/>
    <w:rsid w:val="00D83C51"/>
    <w:rsid w:val="00D83D0A"/>
    <w:rsid w:val="00D83D50"/>
    <w:rsid w:val="00D83D93"/>
    <w:rsid w:val="00D83EFD"/>
    <w:rsid w:val="00D83F29"/>
    <w:rsid w:val="00D83F31"/>
    <w:rsid w:val="00D83F45"/>
    <w:rsid w:val="00D8400C"/>
    <w:rsid w:val="00D84113"/>
    <w:rsid w:val="00D842B2"/>
    <w:rsid w:val="00D8436D"/>
    <w:rsid w:val="00D843A1"/>
    <w:rsid w:val="00D843AA"/>
    <w:rsid w:val="00D84513"/>
    <w:rsid w:val="00D8461E"/>
    <w:rsid w:val="00D84665"/>
    <w:rsid w:val="00D846AC"/>
    <w:rsid w:val="00D84958"/>
    <w:rsid w:val="00D84A05"/>
    <w:rsid w:val="00D84A27"/>
    <w:rsid w:val="00D84A54"/>
    <w:rsid w:val="00D84A96"/>
    <w:rsid w:val="00D84A9D"/>
    <w:rsid w:val="00D84DDF"/>
    <w:rsid w:val="00D84E5D"/>
    <w:rsid w:val="00D84E65"/>
    <w:rsid w:val="00D84F0D"/>
    <w:rsid w:val="00D84F53"/>
    <w:rsid w:val="00D84F89"/>
    <w:rsid w:val="00D84F98"/>
    <w:rsid w:val="00D85038"/>
    <w:rsid w:val="00D85054"/>
    <w:rsid w:val="00D8509E"/>
    <w:rsid w:val="00D8514D"/>
    <w:rsid w:val="00D851F2"/>
    <w:rsid w:val="00D85230"/>
    <w:rsid w:val="00D85231"/>
    <w:rsid w:val="00D8523C"/>
    <w:rsid w:val="00D85265"/>
    <w:rsid w:val="00D852E4"/>
    <w:rsid w:val="00D85367"/>
    <w:rsid w:val="00D85548"/>
    <w:rsid w:val="00D855F6"/>
    <w:rsid w:val="00D8560B"/>
    <w:rsid w:val="00D857FC"/>
    <w:rsid w:val="00D85878"/>
    <w:rsid w:val="00D859E5"/>
    <w:rsid w:val="00D85B1E"/>
    <w:rsid w:val="00D85B8C"/>
    <w:rsid w:val="00D85BA5"/>
    <w:rsid w:val="00D85C52"/>
    <w:rsid w:val="00D85CA5"/>
    <w:rsid w:val="00D85D11"/>
    <w:rsid w:val="00D85DFB"/>
    <w:rsid w:val="00D85E4E"/>
    <w:rsid w:val="00D86050"/>
    <w:rsid w:val="00D8613F"/>
    <w:rsid w:val="00D861E8"/>
    <w:rsid w:val="00D862D4"/>
    <w:rsid w:val="00D864EF"/>
    <w:rsid w:val="00D864FA"/>
    <w:rsid w:val="00D865C1"/>
    <w:rsid w:val="00D865C5"/>
    <w:rsid w:val="00D866E0"/>
    <w:rsid w:val="00D8672D"/>
    <w:rsid w:val="00D86814"/>
    <w:rsid w:val="00D86976"/>
    <w:rsid w:val="00D86AA6"/>
    <w:rsid w:val="00D86AB5"/>
    <w:rsid w:val="00D86BA4"/>
    <w:rsid w:val="00D86CD3"/>
    <w:rsid w:val="00D86F0E"/>
    <w:rsid w:val="00D86F31"/>
    <w:rsid w:val="00D86F88"/>
    <w:rsid w:val="00D86FBD"/>
    <w:rsid w:val="00D87244"/>
    <w:rsid w:val="00D87262"/>
    <w:rsid w:val="00D87285"/>
    <w:rsid w:val="00D872D2"/>
    <w:rsid w:val="00D873E9"/>
    <w:rsid w:val="00D87530"/>
    <w:rsid w:val="00D87600"/>
    <w:rsid w:val="00D8761B"/>
    <w:rsid w:val="00D8767E"/>
    <w:rsid w:val="00D8777F"/>
    <w:rsid w:val="00D879B5"/>
    <w:rsid w:val="00D87BC7"/>
    <w:rsid w:val="00D87D30"/>
    <w:rsid w:val="00D87DCA"/>
    <w:rsid w:val="00D87E68"/>
    <w:rsid w:val="00D87FC3"/>
    <w:rsid w:val="00D9002D"/>
    <w:rsid w:val="00D900AD"/>
    <w:rsid w:val="00D9017A"/>
    <w:rsid w:val="00D901C1"/>
    <w:rsid w:val="00D90307"/>
    <w:rsid w:val="00D90505"/>
    <w:rsid w:val="00D9052D"/>
    <w:rsid w:val="00D90581"/>
    <w:rsid w:val="00D905E0"/>
    <w:rsid w:val="00D906F2"/>
    <w:rsid w:val="00D9076E"/>
    <w:rsid w:val="00D907CB"/>
    <w:rsid w:val="00D90A2B"/>
    <w:rsid w:val="00D90C00"/>
    <w:rsid w:val="00D90DA8"/>
    <w:rsid w:val="00D90E01"/>
    <w:rsid w:val="00D910E2"/>
    <w:rsid w:val="00D9113D"/>
    <w:rsid w:val="00D91288"/>
    <w:rsid w:val="00D91371"/>
    <w:rsid w:val="00D91703"/>
    <w:rsid w:val="00D91715"/>
    <w:rsid w:val="00D917BA"/>
    <w:rsid w:val="00D91A66"/>
    <w:rsid w:val="00D91A85"/>
    <w:rsid w:val="00D91A8A"/>
    <w:rsid w:val="00D91B2F"/>
    <w:rsid w:val="00D91BD6"/>
    <w:rsid w:val="00D91CB5"/>
    <w:rsid w:val="00D91E66"/>
    <w:rsid w:val="00D91F01"/>
    <w:rsid w:val="00D920EC"/>
    <w:rsid w:val="00D9216F"/>
    <w:rsid w:val="00D92182"/>
    <w:rsid w:val="00D9231B"/>
    <w:rsid w:val="00D92343"/>
    <w:rsid w:val="00D923EF"/>
    <w:rsid w:val="00D926DA"/>
    <w:rsid w:val="00D92902"/>
    <w:rsid w:val="00D929DE"/>
    <w:rsid w:val="00D92A59"/>
    <w:rsid w:val="00D92B8E"/>
    <w:rsid w:val="00D92BAF"/>
    <w:rsid w:val="00D92BBC"/>
    <w:rsid w:val="00D92BC9"/>
    <w:rsid w:val="00D92D14"/>
    <w:rsid w:val="00D92D41"/>
    <w:rsid w:val="00D92D52"/>
    <w:rsid w:val="00D92D5D"/>
    <w:rsid w:val="00D92DD2"/>
    <w:rsid w:val="00D92EC6"/>
    <w:rsid w:val="00D92F2B"/>
    <w:rsid w:val="00D930DB"/>
    <w:rsid w:val="00D930ED"/>
    <w:rsid w:val="00D931C8"/>
    <w:rsid w:val="00D9326D"/>
    <w:rsid w:val="00D93283"/>
    <w:rsid w:val="00D9334F"/>
    <w:rsid w:val="00D93363"/>
    <w:rsid w:val="00D93419"/>
    <w:rsid w:val="00D93487"/>
    <w:rsid w:val="00D935BE"/>
    <w:rsid w:val="00D935E7"/>
    <w:rsid w:val="00D93612"/>
    <w:rsid w:val="00D9380D"/>
    <w:rsid w:val="00D938EE"/>
    <w:rsid w:val="00D93958"/>
    <w:rsid w:val="00D93A09"/>
    <w:rsid w:val="00D93A1F"/>
    <w:rsid w:val="00D93B4C"/>
    <w:rsid w:val="00D93CAB"/>
    <w:rsid w:val="00D93CFA"/>
    <w:rsid w:val="00D93D3C"/>
    <w:rsid w:val="00D93F64"/>
    <w:rsid w:val="00D93F9E"/>
    <w:rsid w:val="00D9402B"/>
    <w:rsid w:val="00D94095"/>
    <w:rsid w:val="00D94099"/>
    <w:rsid w:val="00D94270"/>
    <w:rsid w:val="00D9439D"/>
    <w:rsid w:val="00D945AB"/>
    <w:rsid w:val="00D94762"/>
    <w:rsid w:val="00D947F0"/>
    <w:rsid w:val="00D94BAA"/>
    <w:rsid w:val="00D94D27"/>
    <w:rsid w:val="00D94E2F"/>
    <w:rsid w:val="00D94E8D"/>
    <w:rsid w:val="00D94EB2"/>
    <w:rsid w:val="00D94F4D"/>
    <w:rsid w:val="00D94FBB"/>
    <w:rsid w:val="00D95025"/>
    <w:rsid w:val="00D95035"/>
    <w:rsid w:val="00D9507E"/>
    <w:rsid w:val="00D950FC"/>
    <w:rsid w:val="00D9513C"/>
    <w:rsid w:val="00D9525A"/>
    <w:rsid w:val="00D95275"/>
    <w:rsid w:val="00D952B0"/>
    <w:rsid w:val="00D952C8"/>
    <w:rsid w:val="00D95442"/>
    <w:rsid w:val="00D95551"/>
    <w:rsid w:val="00D955AC"/>
    <w:rsid w:val="00D955C7"/>
    <w:rsid w:val="00D955CC"/>
    <w:rsid w:val="00D9574B"/>
    <w:rsid w:val="00D957A0"/>
    <w:rsid w:val="00D9583B"/>
    <w:rsid w:val="00D95A93"/>
    <w:rsid w:val="00D95B66"/>
    <w:rsid w:val="00D96085"/>
    <w:rsid w:val="00D96113"/>
    <w:rsid w:val="00D96346"/>
    <w:rsid w:val="00D963F0"/>
    <w:rsid w:val="00D96647"/>
    <w:rsid w:val="00D96809"/>
    <w:rsid w:val="00D9682D"/>
    <w:rsid w:val="00D969BA"/>
    <w:rsid w:val="00D96CC6"/>
    <w:rsid w:val="00D96D0B"/>
    <w:rsid w:val="00D96DEF"/>
    <w:rsid w:val="00D96DF0"/>
    <w:rsid w:val="00D96E06"/>
    <w:rsid w:val="00D96F74"/>
    <w:rsid w:val="00D97032"/>
    <w:rsid w:val="00D970B3"/>
    <w:rsid w:val="00D970E9"/>
    <w:rsid w:val="00D97185"/>
    <w:rsid w:val="00D971C0"/>
    <w:rsid w:val="00D971F0"/>
    <w:rsid w:val="00D972F7"/>
    <w:rsid w:val="00D973A8"/>
    <w:rsid w:val="00D973D5"/>
    <w:rsid w:val="00D97578"/>
    <w:rsid w:val="00D97579"/>
    <w:rsid w:val="00D97669"/>
    <w:rsid w:val="00D97825"/>
    <w:rsid w:val="00D97889"/>
    <w:rsid w:val="00D97A3E"/>
    <w:rsid w:val="00D97AC0"/>
    <w:rsid w:val="00D97AD1"/>
    <w:rsid w:val="00D97AD6"/>
    <w:rsid w:val="00D97B06"/>
    <w:rsid w:val="00D97C6D"/>
    <w:rsid w:val="00D97E4E"/>
    <w:rsid w:val="00D97E9E"/>
    <w:rsid w:val="00D97EF9"/>
    <w:rsid w:val="00D97F37"/>
    <w:rsid w:val="00D97FF6"/>
    <w:rsid w:val="00DA01F3"/>
    <w:rsid w:val="00DA0241"/>
    <w:rsid w:val="00DA0451"/>
    <w:rsid w:val="00DA04EB"/>
    <w:rsid w:val="00DA05A8"/>
    <w:rsid w:val="00DA06DF"/>
    <w:rsid w:val="00DA0723"/>
    <w:rsid w:val="00DA079B"/>
    <w:rsid w:val="00DA07BD"/>
    <w:rsid w:val="00DA092B"/>
    <w:rsid w:val="00DA0BF1"/>
    <w:rsid w:val="00DA0C13"/>
    <w:rsid w:val="00DA0C34"/>
    <w:rsid w:val="00DA0D1F"/>
    <w:rsid w:val="00DA0DC3"/>
    <w:rsid w:val="00DA0DC4"/>
    <w:rsid w:val="00DA0DF7"/>
    <w:rsid w:val="00DA0E30"/>
    <w:rsid w:val="00DA0F0A"/>
    <w:rsid w:val="00DA0F81"/>
    <w:rsid w:val="00DA0F97"/>
    <w:rsid w:val="00DA105D"/>
    <w:rsid w:val="00DA1080"/>
    <w:rsid w:val="00DA10B0"/>
    <w:rsid w:val="00DA1139"/>
    <w:rsid w:val="00DA14C6"/>
    <w:rsid w:val="00DA1609"/>
    <w:rsid w:val="00DA17C2"/>
    <w:rsid w:val="00DA1825"/>
    <w:rsid w:val="00DA19A8"/>
    <w:rsid w:val="00DA19C0"/>
    <w:rsid w:val="00DA1B56"/>
    <w:rsid w:val="00DA1C66"/>
    <w:rsid w:val="00DA1D81"/>
    <w:rsid w:val="00DA1E6D"/>
    <w:rsid w:val="00DA1E8E"/>
    <w:rsid w:val="00DA1EB1"/>
    <w:rsid w:val="00DA1EB3"/>
    <w:rsid w:val="00DA2269"/>
    <w:rsid w:val="00DA22AF"/>
    <w:rsid w:val="00DA2347"/>
    <w:rsid w:val="00DA248E"/>
    <w:rsid w:val="00DA2583"/>
    <w:rsid w:val="00DA25EC"/>
    <w:rsid w:val="00DA2600"/>
    <w:rsid w:val="00DA265F"/>
    <w:rsid w:val="00DA26EE"/>
    <w:rsid w:val="00DA2771"/>
    <w:rsid w:val="00DA27CE"/>
    <w:rsid w:val="00DA27D3"/>
    <w:rsid w:val="00DA27ED"/>
    <w:rsid w:val="00DA28CC"/>
    <w:rsid w:val="00DA29D7"/>
    <w:rsid w:val="00DA2C6C"/>
    <w:rsid w:val="00DA2CAF"/>
    <w:rsid w:val="00DA2E28"/>
    <w:rsid w:val="00DA2EBC"/>
    <w:rsid w:val="00DA2F7C"/>
    <w:rsid w:val="00DA30B0"/>
    <w:rsid w:val="00DA30CE"/>
    <w:rsid w:val="00DA30F1"/>
    <w:rsid w:val="00DA3156"/>
    <w:rsid w:val="00DA31CF"/>
    <w:rsid w:val="00DA3244"/>
    <w:rsid w:val="00DA32C0"/>
    <w:rsid w:val="00DA3424"/>
    <w:rsid w:val="00DA3487"/>
    <w:rsid w:val="00DA3534"/>
    <w:rsid w:val="00DA3731"/>
    <w:rsid w:val="00DA3784"/>
    <w:rsid w:val="00DA3895"/>
    <w:rsid w:val="00DA38B8"/>
    <w:rsid w:val="00DA3AFF"/>
    <w:rsid w:val="00DA3B63"/>
    <w:rsid w:val="00DA3BA0"/>
    <w:rsid w:val="00DA3BEB"/>
    <w:rsid w:val="00DA3CBC"/>
    <w:rsid w:val="00DA3E68"/>
    <w:rsid w:val="00DA3F67"/>
    <w:rsid w:val="00DA42F2"/>
    <w:rsid w:val="00DA4335"/>
    <w:rsid w:val="00DA434B"/>
    <w:rsid w:val="00DA45B1"/>
    <w:rsid w:val="00DA4620"/>
    <w:rsid w:val="00DA468E"/>
    <w:rsid w:val="00DA469C"/>
    <w:rsid w:val="00DA48FD"/>
    <w:rsid w:val="00DA498D"/>
    <w:rsid w:val="00DA4A2B"/>
    <w:rsid w:val="00DA4BE3"/>
    <w:rsid w:val="00DA4E01"/>
    <w:rsid w:val="00DA4E08"/>
    <w:rsid w:val="00DA4EDB"/>
    <w:rsid w:val="00DA4FAF"/>
    <w:rsid w:val="00DA4FB4"/>
    <w:rsid w:val="00DA4FBB"/>
    <w:rsid w:val="00DA5090"/>
    <w:rsid w:val="00DA5226"/>
    <w:rsid w:val="00DA5278"/>
    <w:rsid w:val="00DA536F"/>
    <w:rsid w:val="00DA53A0"/>
    <w:rsid w:val="00DA53C9"/>
    <w:rsid w:val="00DA542A"/>
    <w:rsid w:val="00DA5493"/>
    <w:rsid w:val="00DA54E6"/>
    <w:rsid w:val="00DA5571"/>
    <w:rsid w:val="00DA5682"/>
    <w:rsid w:val="00DA57A1"/>
    <w:rsid w:val="00DA57EE"/>
    <w:rsid w:val="00DA59B3"/>
    <w:rsid w:val="00DA5A0F"/>
    <w:rsid w:val="00DA5A37"/>
    <w:rsid w:val="00DA5A7C"/>
    <w:rsid w:val="00DA5AA4"/>
    <w:rsid w:val="00DA5BBB"/>
    <w:rsid w:val="00DA5C29"/>
    <w:rsid w:val="00DA5C6E"/>
    <w:rsid w:val="00DA611A"/>
    <w:rsid w:val="00DA6152"/>
    <w:rsid w:val="00DA61E6"/>
    <w:rsid w:val="00DA62F0"/>
    <w:rsid w:val="00DA6427"/>
    <w:rsid w:val="00DA643C"/>
    <w:rsid w:val="00DA6464"/>
    <w:rsid w:val="00DA64F0"/>
    <w:rsid w:val="00DA6639"/>
    <w:rsid w:val="00DA67D1"/>
    <w:rsid w:val="00DA67F0"/>
    <w:rsid w:val="00DA67F1"/>
    <w:rsid w:val="00DA682C"/>
    <w:rsid w:val="00DA69E7"/>
    <w:rsid w:val="00DA6A02"/>
    <w:rsid w:val="00DA6BCB"/>
    <w:rsid w:val="00DA6C6F"/>
    <w:rsid w:val="00DA6F11"/>
    <w:rsid w:val="00DA6FF3"/>
    <w:rsid w:val="00DA70BA"/>
    <w:rsid w:val="00DA70DA"/>
    <w:rsid w:val="00DA7119"/>
    <w:rsid w:val="00DA72CE"/>
    <w:rsid w:val="00DA7312"/>
    <w:rsid w:val="00DA73BE"/>
    <w:rsid w:val="00DA74EF"/>
    <w:rsid w:val="00DA7706"/>
    <w:rsid w:val="00DA77AB"/>
    <w:rsid w:val="00DA77B9"/>
    <w:rsid w:val="00DA781D"/>
    <w:rsid w:val="00DA7895"/>
    <w:rsid w:val="00DA78BE"/>
    <w:rsid w:val="00DA79E1"/>
    <w:rsid w:val="00DA7AA1"/>
    <w:rsid w:val="00DA7AEF"/>
    <w:rsid w:val="00DA7B59"/>
    <w:rsid w:val="00DA7C17"/>
    <w:rsid w:val="00DA7C6C"/>
    <w:rsid w:val="00DA7C7C"/>
    <w:rsid w:val="00DA7CC9"/>
    <w:rsid w:val="00DA7D6D"/>
    <w:rsid w:val="00DA7E20"/>
    <w:rsid w:val="00DB0060"/>
    <w:rsid w:val="00DB011B"/>
    <w:rsid w:val="00DB01D9"/>
    <w:rsid w:val="00DB03A4"/>
    <w:rsid w:val="00DB03D3"/>
    <w:rsid w:val="00DB03FF"/>
    <w:rsid w:val="00DB0438"/>
    <w:rsid w:val="00DB04C2"/>
    <w:rsid w:val="00DB0766"/>
    <w:rsid w:val="00DB083D"/>
    <w:rsid w:val="00DB0927"/>
    <w:rsid w:val="00DB0966"/>
    <w:rsid w:val="00DB0A08"/>
    <w:rsid w:val="00DB0A16"/>
    <w:rsid w:val="00DB0C3E"/>
    <w:rsid w:val="00DB0CC7"/>
    <w:rsid w:val="00DB10A4"/>
    <w:rsid w:val="00DB1104"/>
    <w:rsid w:val="00DB1274"/>
    <w:rsid w:val="00DB12FC"/>
    <w:rsid w:val="00DB137F"/>
    <w:rsid w:val="00DB14F4"/>
    <w:rsid w:val="00DB15A4"/>
    <w:rsid w:val="00DB190E"/>
    <w:rsid w:val="00DB1935"/>
    <w:rsid w:val="00DB1A2F"/>
    <w:rsid w:val="00DB1B22"/>
    <w:rsid w:val="00DB1C24"/>
    <w:rsid w:val="00DB1C33"/>
    <w:rsid w:val="00DB1CDF"/>
    <w:rsid w:val="00DB1D77"/>
    <w:rsid w:val="00DB1E24"/>
    <w:rsid w:val="00DB1E45"/>
    <w:rsid w:val="00DB1E56"/>
    <w:rsid w:val="00DB1E92"/>
    <w:rsid w:val="00DB2099"/>
    <w:rsid w:val="00DB20DF"/>
    <w:rsid w:val="00DB2118"/>
    <w:rsid w:val="00DB22F6"/>
    <w:rsid w:val="00DB2382"/>
    <w:rsid w:val="00DB2468"/>
    <w:rsid w:val="00DB2777"/>
    <w:rsid w:val="00DB2791"/>
    <w:rsid w:val="00DB27EA"/>
    <w:rsid w:val="00DB2863"/>
    <w:rsid w:val="00DB286F"/>
    <w:rsid w:val="00DB290E"/>
    <w:rsid w:val="00DB2926"/>
    <w:rsid w:val="00DB2943"/>
    <w:rsid w:val="00DB29B8"/>
    <w:rsid w:val="00DB2B0C"/>
    <w:rsid w:val="00DB2DBF"/>
    <w:rsid w:val="00DB2E7D"/>
    <w:rsid w:val="00DB3045"/>
    <w:rsid w:val="00DB30C5"/>
    <w:rsid w:val="00DB3231"/>
    <w:rsid w:val="00DB3284"/>
    <w:rsid w:val="00DB32EE"/>
    <w:rsid w:val="00DB3325"/>
    <w:rsid w:val="00DB3383"/>
    <w:rsid w:val="00DB33DD"/>
    <w:rsid w:val="00DB3418"/>
    <w:rsid w:val="00DB358E"/>
    <w:rsid w:val="00DB369C"/>
    <w:rsid w:val="00DB3749"/>
    <w:rsid w:val="00DB37A3"/>
    <w:rsid w:val="00DB390A"/>
    <w:rsid w:val="00DB393F"/>
    <w:rsid w:val="00DB3D1C"/>
    <w:rsid w:val="00DB3D42"/>
    <w:rsid w:val="00DB3D84"/>
    <w:rsid w:val="00DB4108"/>
    <w:rsid w:val="00DB422A"/>
    <w:rsid w:val="00DB46B6"/>
    <w:rsid w:val="00DB46CE"/>
    <w:rsid w:val="00DB4890"/>
    <w:rsid w:val="00DB4B41"/>
    <w:rsid w:val="00DB4B7C"/>
    <w:rsid w:val="00DB4B99"/>
    <w:rsid w:val="00DB4BEE"/>
    <w:rsid w:val="00DB4CFF"/>
    <w:rsid w:val="00DB4D7F"/>
    <w:rsid w:val="00DB4DB2"/>
    <w:rsid w:val="00DB4DC3"/>
    <w:rsid w:val="00DB4F25"/>
    <w:rsid w:val="00DB5142"/>
    <w:rsid w:val="00DB521C"/>
    <w:rsid w:val="00DB53AB"/>
    <w:rsid w:val="00DB558F"/>
    <w:rsid w:val="00DB5644"/>
    <w:rsid w:val="00DB5713"/>
    <w:rsid w:val="00DB5940"/>
    <w:rsid w:val="00DB59CC"/>
    <w:rsid w:val="00DB5BF4"/>
    <w:rsid w:val="00DB5C20"/>
    <w:rsid w:val="00DB5D27"/>
    <w:rsid w:val="00DB5D8D"/>
    <w:rsid w:val="00DB5DA3"/>
    <w:rsid w:val="00DB5DF0"/>
    <w:rsid w:val="00DB5E59"/>
    <w:rsid w:val="00DB60E1"/>
    <w:rsid w:val="00DB6113"/>
    <w:rsid w:val="00DB6150"/>
    <w:rsid w:val="00DB6232"/>
    <w:rsid w:val="00DB6286"/>
    <w:rsid w:val="00DB6355"/>
    <w:rsid w:val="00DB640C"/>
    <w:rsid w:val="00DB647D"/>
    <w:rsid w:val="00DB64BC"/>
    <w:rsid w:val="00DB6534"/>
    <w:rsid w:val="00DB6950"/>
    <w:rsid w:val="00DB69BB"/>
    <w:rsid w:val="00DB6A47"/>
    <w:rsid w:val="00DB6AC7"/>
    <w:rsid w:val="00DB6B6C"/>
    <w:rsid w:val="00DB6BB8"/>
    <w:rsid w:val="00DB6BE5"/>
    <w:rsid w:val="00DB6C71"/>
    <w:rsid w:val="00DB6E17"/>
    <w:rsid w:val="00DB6E22"/>
    <w:rsid w:val="00DB70C2"/>
    <w:rsid w:val="00DB7104"/>
    <w:rsid w:val="00DB7133"/>
    <w:rsid w:val="00DB7176"/>
    <w:rsid w:val="00DB7381"/>
    <w:rsid w:val="00DB747D"/>
    <w:rsid w:val="00DB7789"/>
    <w:rsid w:val="00DB78A2"/>
    <w:rsid w:val="00DB7A3B"/>
    <w:rsid w:val="00DB7AD1"/>
    <w:rsid w:val="00DB7B90"/>
    <w:rsid w:val="00DB7C44"/>
    <w:rsid w:val="00DB7F29"/>
    <w:rsid w:val="00DB7FBB"/>
    <w:rsid w:val="00DB7FF8"/>
    <w:rsid w:val="00DC023E"/>
    <w:rsid w:val="00DC03F4"/>
    <w:rsid w:val="00DC0401"/>
    <w:rsid w:val="00DC0414"/>
    <w:rsid w:val="00DC044B"/>
    <w:rsid w:val="00DC0475"/>
    <w:rsid w:val="00DC0499"/>
    <w:rsid w:val="00DC0550"/>
    <w:rsid w:val="00DC0568"/>
    <w:rsid w:val="00DC0583"/>
    <w:rsid w:val="00DC05C2"/>
    <w:rsid w:val="00DC0681"/>
    <w:rsid w:val="00DC074E"/>
    <w:rsid w:val="00DC0935"/>
    <w:rsid w:val="00DC0AF3"/>
    <w:rsid w:val="00DC0B67"/>
    <w:rsid w:val="00DC0BB2"/>
    <w:rsid w:val="00DC0C09"/>
    <w:rsid w:val="00DC0DEF"/>
    <w:rsid w:val="00DC0E33"/>
    <w:rsid w:val="00DC0ECC"/>
    <w:rsid w:val="00DC10F4"/>
    <w:rsid w:val="00DC1203"/>
    <w:rsid w:val="00DC1258"/>
    <w:rsid w:val="00DC133F"/>
    <w:rsid w:val="00DC14C9"/>
    <w:rsid w:val="00DC161D"/>
    <w:rsid w:val="00DC16C6"/>
    <w:rsid w:val="00DC17AF"/>
    <w:rsid w:val="00DC18C3"/>
    <w:rsid w:val="00DC1AAE"/>
    <w:rsid w:val="00DC1BEE"/>
    <w:rsid w:val="00DC1C5C"/>
    <w:rsid w:val="00DC1CE9"/>
    <w:rsid w:val="00DC1DF6"/>
    <w:rsid w:val="00DC1E25"/>
    <w:rsid w:val="00DC1EC6"/>
    <w:rsid w:val="00DC1FA3"/>
    <w:rsid w:val="00DC2015"/>
    <w:rsid w:val="00DC20E4"/>
    <w:rsid w:val="00DC2248"/>
    <w:rsid w:val="00DC2275"/>
    <w:rsid w:val="00DC22F1"/>
    <w:rsid w:val="00DC25C5"/>
    <w:rsid w:val="00DC2602"/>
    <w:rsid w:val="00DC260F"/>
    <w:rsid w:val="00DC2619"/>
    <w:rsid w:val="00DC26D8"/>
    <w:rsid w:val="00DC26F2"/>
    <w:rsid w:val="00DC2730"/>
    <w:rsid w:val="00DC2788"/>
    <w:rsid w:val="00DC2791"/>
    <w:rsid w:val="00DC2814"/>
    <w:rsid w:val="00DC2A16"/>
    <w:rsid w:val="00DC2A26"/>
    <w:rsid w:val="00DC2A38"/>
    <w:rsid w:val="00DC2A4C"/>
    <w:rsid w:val="00DC2F09"/>
    <w:rsid w:val="00DC2F8C"/>
    <w:rsid w:val="00DC2FE6"/>
    <w:rsid w:val="00DC3089"/>
    <w:rsid w:val="00DC30DD"/>
    <w:rsid w:val="00DC3110"/>
    <w:rsid w:val="00DC33E0"/>
    <w:rsid w:val="00DC341B"/>
    <w:rsid w:val="00DC34AD"/>
    <w:rsid w:val="00DC34D2"/>
    <w:rsid w:val="00DC356C"/>
    <w:rsid w:val="00DC362E"/>
    <w:rsid w:val="00DC38D4"/>
    <w:rsid w:val="00DC3A7C"/>
    <w:rsid w:val="00DC3ABD"/>
    <w:rsid w:val="00DC3F02"/>
    <w:rsid w:val="00DC3F1A"/>
    <w:rsid w:val="00DC4023"/>
    <w:rsid w:val="00DC417A"/>
    <w:rsid w:val="00DC4223"/>
    <w:rsid w:val="00DC438E"/>
    <w:rsid w:val="00DC43AD"/>
    <w:rsid w:val="00DC43F0"/>
    <w:rsid w:val="00DC441A"/>
    <w:rsid w:val="00DC45A8"/>
    <w:rsid w:val="00DC46A8"/>
    <w:rsid w:val="00DC4864"/>
    <w:rsid w:val="00DC48E2"/>
    <w:rsid w:val="00DC49B4"/>
    <w:rsid w:val="00DC4AD2"/>
    <w:rsid w:val="00DC4BF5"/>
    <w:rsid w:val="00DC4CC9"/>
    <w:rsid w:val="00DC4D00"/>
    <w:rsid w:val="00DC4DC6"/>
    <w:rsid w:val="00DC4FD7"/>
    <w:rsid w:val="00DC4FDF"/>
    <w:rsid w:val="00DC5066"/>
    <w:rsid w:val="00DC508B"/>
    <w:rsid w:val="00DC510A"/>
    <w:rsid w:val="00DC5371"/>
    <w:rsid w:val="00DC541C"/>
    <w:rsid w:val="00DC54E9"/>
    <w:rsid w:val="00DC5518"/>
    <w:rsid w:val="00DC551B"/>
    <w:rsid w:val="00DC55B1"/>
    <w:rsid w:val="00DC55EA"/>
    <w:rsid w:val="00DC566F"/>
    <w:rsid w:val="00DC5677"/>
    <w:rsid w:val="00DC567F"/>
    <w:rsid w:val="00DC5850"/>
    <w:rsid w:val="00DC5854"/>
    <w:rsid w:val="00DC5897"/>
    <w:rsid w:val="00DC59A0"/>
    <w:rsid w:val="00DC59AF"/>
    <w:rsid w:val="00DC5BC3"/>
    <w:rsid w:val="00DC5BCA"/>
    <w:rsid w:val="00DC5BF2"/>
    <w:rsid w:val="00DC5D7C"/>
    <w:rsid w:val="00DC5ED2"/>
    <w:rsid w:val="00DC60CF"/>
    <w:rsid w:val="00DC6159"/>
    <w:rsid w:val="00DC639A"/>
    <w:rsid w:val="00DC639D"/>
    <w:rsid w:val="00DC63AF"/>
    <w:rsid w:val="00DC64F4"/>
    <w:rsid w:val="00DC655B"/>
    <w:rsid w:val="00DC67A1"/>
    <w:rsid w:val="00DC6AF5"/>
    <w:rsid w:val="00DC6C60"/>
    <w:rsid w:val="00DC6C7D"/>
    <w:rsid w:val="00DC6DF3"/>
    <w:rsid w:val="00DC6E7B"/>
    <w:rsid w:val="00DC6EEE"/>
    <w:rsid w:val="00DC7003"/>
    <w:rsid w:val="00DC70AF"/>
    <w:rsid w:val="00DC7120"/>
    <w:rsid w:val="00DC7192"/>
    <w:rsid w:val="00DC71AD"/>
    <w:rsid w:val="00DC71E3"/>
    <w:rsid w:val="00DC7233"/>
    <w:rsid w:val="00DC731D"/>
    <w:rsid w:val="00DC7325"/>
    <w:rsid w:val="00DC73AC"/>
    <w:rsid w:val="00DC7451"/>
    <w:rsid w:val="00DC745E"/>
    <w:rsid w:val="00DC7515"/>
    <w:rsid w:val="00DC75C6"/>
    <w:rsid w:val="00DC783A"/>
    <w:rsid w:val="00DC78E6"/>
    <w:rsid w:val="00DC7946"/>
    <w:rsid w:val="00DC7A31"/>
    <w:rsid w:val="00DC7A53"/>
    <w:rsid w:val="00DC7C2D"/>
    <w:rsid w:val="00DC7C49"/>
    <w:rsid w:val="00DC7C8A"/>
    <w:rsid w:val="00DC7CE9"/>
    <w:rsid w:val="00DC7D51"/>
    <w:rsid w:val="00DC7F9F"/>
    <w:rsid w:val="00DD023C"/>
    <w:rsid w:val="00DD02AB"/>
    <w:rsid w:val="00DD03F9"/>
    <w:rsid w:val="00DD046B"/>
    <w:rsid w:val="00DD0486"/>
    <w:rsid w:val="00DD049E"/>
    <w:rsid w:val="00DD04DE"/>
    <w:rsid w:val="00DD0529"/>
    <w:rsid w:val="00DD05FE"/>
    <w:rsid w:val="00DD06F0"/>
    <w:rsid w:val="00DD083B"/>
    <w:rsid w:val="00DD09D2"/>
    <w:rsid w:val="00DD0A26"/>
    <w:rsid w:val="00DD0C60"/>
    <w:rsid w:val="00DD0DEA"/>
    <w:rsid w:val="00DD0EED"/>
    <w:rsid w:val="00DD0F28"/>
    <w:rsid w:val="00DD1134"/>
    <w:rsid w:val="00DD118B"/>
    <w:rsid w:val="00DD1195"/>
    <w:rsid w:val="00DD1238"/>
    <w:rsid w:val="00DD1416"/>
    <w:rsid w:val="00DD15EF"/>
    <w:rsid w:val="00DD163F"/>
    <w:rsid w:val="00DD176B"/>
    <w:rsid w:val="00DD177F"/>
    <w:rsid w:val="00DD183D"/>
    <w:rsid w:val="00DD1AF5"/>
    <w:rsid w:val="00DD1E19"/>
    <w:rsid w:val="00DD1E3C"/>
    <w:rsid w:val="00DD1F51"/>
    <w:rsid w:val="00DD1F82"/>
    <w:rsid w:val="00DD1F85"/>
    <w:rsid w:val="00DD205E"/>
    <w:rsid w:val="00DD209B"/>
    <w:rsid w:val="00DD2153"/>
    <w:rsid w:val="00DD21B4"/>
    <w:rsid w:val="00DD21B7"/>
    <w:rsid w:val="00DD24A9"/>
    <w:rsid w:val="00DD25F3"/>
    <w:rsid w:val="00DD2779"/>
    <w:rsid w:val="00DD27C8"/>
    <w:rsid w:val="00DD2978"/>
    <w:rsid w:val="00DD29BB"/>
    <w:rsid w:val="00DD2C95"/>
    <w:rsid w:val="00DD2CA9"/>
    <w:rsid w:val="00DD2E13"/>
    <w:rsid w:val="00DD2E62"/>
    <w:rsid w:val="00DD2F58"/>
    <w:rsid w:val="00DD2F8A"/>
    <w:rsid w:val="00DD2F94"/>
    <w:rsid w:val="00DD2FBC"/>
    <w:rsid w:val="00DD2FD4"/>
    <w:rsid w:val="00DD30B7"/>
    <w:rsid w:val="00DD31CE"/>
    <w:rsid w:val="00DD325D"/>
    <w:rsid w:val="00DD32AE"/>
    <w:rsid w:val="00DD32FF"/>
    <w:rsid w:val="00DD33CF"/>
    <w:rsid w:val="00DD3411"/>
    <w:rsid w:val="00DD34FC"/>
    <w:rsid w:val="00DD3516"/>
    <w:rsid w:val="00DD3556"/>
    <w:rsid w:val="00DD35BD"/>
    <w:rsid w:val="00DD35C4"/>
    <w:rsid w:val="00DD369B"/>
    <w:rsid w:val="00DD372A"/>
    <w:rsid w:val="00DD374C"/>
    <w:rsid w:val="00DD3A10"/>
    <w:rsid w:val="00DD3A46"/>
    <w:rsid w:val="00DD3B16"/>
    <w:rsid w:val="00DD3C4F"/>
    <w:rsid w:val="00DD3C53"/>
    <w:rsid w:val="00DD3DF9"/>
    <w:rsid w:val="00DD3E40"/>
    <w:rsid w:val="00DD3EF2"/>
    <w:rsid w:val="00DD3FE4"/>
    <w:rsid w:val="00DD401D"/>
    <w:rsid w:val="00DD402A"/>
    <w:rsid w:val="00DD40B0"/>
    <w:rsid w:val="00DD4110"/>
    <w:rsid w:val="00DD41A8"/>
    <w:rsid w:val="00DD433B"/>
    <w:rsid w:val="00DD43D4"/>
    <w:rsid w:val="00DD48CE"/>
    <w:rsid w:val="00DD4918"/>
    <w:rsid w:val="00DD4BAD"/>
    <w:rsid w:val="00DD4C0F"/>
    <w:rsid w:val="00DD4C5F"/>
    <w:rsid w:val="00DD4C69"/>
    <w:rsid w:val="00DD4F22"/>
    <w:rsid w:val="00DD4F96"/>
    <w:rsid w:val="00DD4FAF"/>
    <w:rsid w:val="00DD5126"/>
    <w:rsid w:val="00DD515E"/>
    <w:rsid w:val="00DD516D"/>
    <w:rsid w:val="00DD51FD"/>
    <w:rsid w:val="00DD5379"/>
    <w:rsid w:val="00DD557A"/>
    <w:rsid w:val="00DD55FF"/>
    <w:rsid w:val="00DD596B"/>
    <w:rsid w:val="00DD5987"/>
    <w:rsid w:val="00DD5B61"/>
    <w:rsid w:val="00DD5B80"/>
    <w:rsid w:val="00DD5D69"/>
    <w:rsid w:val="00DD5D87"/>
    <w:rsid w:val="00DD6058"/>
    <w:rsid w:val="00DD609C"/>
    <w:rsid w:val="00DD628F"/>
    <w:rsid w:val="00DD6318"/>
    <w:rsid w:val="00DD64A2"/>
    <w:rsid w:val="00DD6588"/>
    <w:rsid w:val="00DD666B"/>
    <w:rsid w:val="00DD6720"/>
    <w:rsid w:val="00DD6A31"/>
    <w:rsid w:val="00DD6A3E"/>
    <w:rsid w:val="00DD6A91"/>
    <w:rsid w:val="00DD6B2A"/>
    <w:rsid w:val="00DD6BE9"/>
    <w:rsid w:val="00DD6BF7"/>
    <w:rsid w:val="00DD6C64"/>
    <w:rsid w:val="00DD6ED5"/>
    <w:rsid w:val="00DD6F13"/>
    <w:rsid w:val="00DD721F"/>
    <w:rsid w:val="00DD7249"/>
    <w:rsid w:val="00DD728F"/>
    <w:rsid w:val="00DD74CA"/>
    <w:rsid w:val="00DD74E8"/>
    <w:rsid w:val="00DD7760"/>
    <w:rsid w:val="00DD7846"/>
    <w:rsid w:val="00DD7875"/>
    <w:rsid w:val="00DD7963"/>
    <w:rsid w:val="00DD7990"/>
    <w:rsid w:val="00DD79AF"/>
    <w:rsid w:val="00DD79BA"/>
    <w:rsid w:val="00DD7AD7"/>
    <w:rsid w:val="00DD7BB8"/>
    <w:rsid w:val="00DD7C7B"/>
    <w:rsid w:val="00DD7E44"/>
    <w:rsid w:val="00DD7E8F"/>
    <w:rsid w:val="00DE0071"/>
    <w:rsid w:val="00DE02E8"/>
    <w:rsid w:val="00DE0372"/>
    <w:rsid w:val="00DE03B2"/>
    <w:rsid w:val="00DE03FB"/>
    <w:rsid w:val="00DE047B"/>
    <w:rsid w:val="00DE066F"/>
    <w:rsid w:val="00DE088C"/>
    <w:rsid w:val="00DE099A"/>
    <w:rsid w:val="00DE0A1B"/>
    <w:rsid w:val="00DE0BB2"/>
    <w:rsid w:val="00DE0C04"/>
    <w:rsid w:val="00DE0C8E"/>
    <w:rsid w:val="00DE0C9A"/>
    <w:rsid w:val="00DE0DAE"/>
    <w:rsid w:val="00DE0DD2"/>
    <w:rsid w:val="00DE0E27"/>
    <w:rsid w:val="00DE0F9A"/>
    <w:rsid w:val="00DE0FC4"/>
    <w:rsid w:val="00DE103F"/>
    <w:rsid w:val="00DE10BC"/>
    <w:rsid w:val="00DE11B4"/>
    <w:rsid w:val="00DE1266"/>
    <w:rsid w:val="00DE1381"/>
    <w:rsid w:val="00DE147B"/>
    <w:rsid w:val="00DE1510"/>
    <w:rsid w:val="00DE1555"/>
    <w:rsid w:val="00DE16B4"/>
    <w:rsid w:val="00DE1700"/>
    <w:rsid w:val="00DE1892"/>
    <w:rsid w:val="00DE18BB"/>
    <w:rsid w:val="00DE198A"/>
    <w:rsid w:val="00DE19ED"/>
    <w:rsid w:val="00DE1A88"/>
    <w:rsid w:val="00DE1B21"/>
    <w:rsid w:val="00DE1F90"/>
    <w:rsid w:val="00DE20CC"/>
    <w:rsid w:val="00DE2150"/>
    <w:rsid w:val="00DE25C9"/>
    <w:rsid w:val="00DE2781"/>
    <w:rsid w:val="00DE284F"/>
    <w:rsid w:val="00DE28EF"/>
    <w:rsid w:val="00DE2901"/>
    <w:rsid w:val="00DE2B8C"/>
    <w:rsid w:val="00DE2C82"/>
    <w:rsid w:val="00DE2C8A"/>
    <w:rsid w:val="00DE2CC0"/>
    <w:rsid w:val="00DE2D05"/>
    <w:rsid w:val="00DE2F05"/>
    <w:rsid w:val="00DE2FC5"/>
    <w:rsid w:val="00DE307F"/>
    <w:rsid w:val="00DE3146"/>
    <w:rsid w:val="00DE3242"/>
    <w:rsid w:val="00DE32D1"/>
    <w:rsid w:val="00DE348D"/>
    <w:rsid w:val="00DE350F"/>
    <w:rsid w:val="00DE354A"/>
    <w:rsid w:val="00DE354C"/>
    <w:rsid w:val="00DE3595"/>
    <w:rsid w:val="00DE35D5"/>
    <w:rsid w:val="00DE3603"/>
    <w:rsid w:val="00DE36B7"/>
    <w:rsid w:val="00DE370C"/>
    <w:rsid w:val="00DE37D8"/>
    <w:rsid w:val="00DE3814"/>
    <w:rsid w:val="00DE384C"/>
    <w:rsid w:val="00DE38BF"/>
    <w:rsid w:val="00DE38C0"/>
    <w:rsid w:val="00DE38DF"/>
    <w:rsid w:val="00DE393B"/>
    <w:rsid w:val="00DE3B09"/>
    <w:rsid w:val="00DE3B74"/>
    <w:rsid w:val="00DE3C65"/>
    <w:rsid w:val="00DE3E7D"/>
    <w:rsid w:val="00DE3F59"/>
    <w:rsid w:val="00DE3F8C"/>
    <w:rsid w:val="00DE4063"/>
    <w:rsid w:val="00DE410B"/>
    <w:rsid w:val="00DE4119"/>
    <w:rsid w:val="00DE411C"/>
    <w:rsid w:val="00DE41F4"/>
    <w:rsid w:val="00DE4278"/>
    <w:rsid w:val="00DE4289"/>
    <w:rsid w:val="00DE434B"/>
    <w:rsid w:val="00DE44A8"/>
    <w:rsid w:val="00DE44C5"/>
    <w:rsid w:val="00DE457B"/>
    <w:rsid w:val="00DE4616"/>
    <w:rsid w:val="00DE4650"/>
    <w:rsid w:val="00DE483C"/>
    <w:rsid w:val="00DE4970"/>
    <w:rsid w:val="00DE4AD1"/>
    <w:rsid w:val="00DE4D7A"/>
    <w:rsid w:val="00DE4D8E"/>
    <w:rsid w:val="00DE4E69"/>
    <w:rsid w:val="00DE4E70"/>
    <w:rsid w:val="00DE4F15"/>
    <w:rsid w:val="00DE5031"/>
    <w:rsid w:val="00DE503A"/>
    <w:rsid w:val="00DE5100"/>
    <w:rsid w:val="00DE5361"/>
    <w:rsid w:val="00DE55D4"/>
    <w:rsid w:val="00DE56A0"/>
    <w:rsid w:val="00DE56E4"/>
    <w:rsid w:val="00DE5989"/>
    <w:rsid w:val="00DE5A5A"/>
    <w:rsid w:val="00DE5AC0"/>
    <w:rsid w:val="00DE5B3E"/>
    <w:rsid w:val="00DE5C9E"/>
    <w:rsid w:val="00DE5DAE"/>
    <w:rsid w:val="00DE5DF8"/>
    <w:rsid w:val="00DE5E30"/>
    <w:rsid w:val="00DE5F6D"/>
    <w:rsid w:val="00DE5F76"/>
    <w:rsid w:val="00DE5FC2"/>
    <w:rsid w:val="00DE6014"/>
    <w:rsid w:val="00DE6033"/>
    <w:rsid w:val="00DE60C1"/>
    <w:rsid w:val="00DE6355"/>
    <w:rsid w:val="00DE66F6"/>
    <w:rsid w:val="00DE6824"/>
    <w:rsid w:val="00DE68F5"/>
    <w:rsid w:val="00DE6E9F"/>
    <w:rsid w:val="00DE6FD7"/>
    <w:rsid w:val="00DE704E"/>
    <w:rsid w:val="00DE717B"/>
    <w:rsid w:val="00DE73CF"/>
    <w:rsid w:val="00DE7434"/>
    <w:rsid w:val="00DE744B"/>
    <w:rsid w:val="00DE75CD"/>
    <w:rsid w:val="00DE7655"/>
    <w:rsid w:val="00DE76E9"/>
    <w:rsid w:val="00DE78BC"/>
    <w:rsid w:val="00DE7967"/>
    <w:rsid w:val="00DE7BF8"/>
    <w:rsid w:val="00DE7C83"/>
    <w:rsid w:val="00DE7CF4"/>
    <w:rsid w:val="00DE7CFF"/>
    <w:rsid w:val="00DE7D66"/>
    <w:rsid w:val="00DE7DEC"/>
    <w:rsid w:val="00DE7EB9"/>
    <w:rsid w:val="00DF0002"/>
    <w:rsid w:val="00DF00B4"/>
    <w:rsid w:val="00DF00D0"/>
    <w:rsid w:val="00DF00F6"/>
    <w:rsid w:val="00DF0238"/>
    <w:rsid w:val="00DF039F"/>
    <w:rsid w:val="00DF0445"/>
    <w:rsid w:val="00DF04D1"/>
    <w:rsid w:val="00DF04F9"/>
    <w:rsid w:val="00DF05D1"/>
    <w:rsid w:val="00DF05F6"/>
    <w:rsid w:val="00DF0A4D"/>
    <w:rsid w:val="00DF0A60"/>
    <w:rsid w:val="00DF0AD5"/>
    <w:rsid w:val="00DF0E08"/>
    <w:rsid w:val="00DF0EA3"/>
    <w:rsid w:val="00DF0FF9"/>
    <w:rsid w:val="00DF10BA"/>
    <w:rsid w:val="00DF1251"/>
    <w:rsid w:val="00DF128C"/>
    <w:rsid w:val="00DF1369"/>
    <w:rsid w:val="00DF139E"/>
    <w:rsid w:val="00DF1476"/>
    <w:rsid w:val="00DF152C"/>
    <w:rsid w:val="00DF15D1"/>
    <w:rsid w:val="00DF18A9"/>
    <w:rsid w:val="00DF195C"/>
    <w:rsid w:val="00DF19E7"/>
    <w:rsid w:val="00DF19FC"/>
    <w:rsid w:val="00DF1A50"/>
    <w:rsid w:val="00DF1BC1"/>
    <w:rsid w:val="00DF1C42"/>
    <w:rsid w:val="00DF1C90"/>
    <w:rsid w:val="00DF1DA9"/>
    <w:rsid w:val="00DF1DBB"/>
    <w:rsid w:val="00DF1E52"/>
    <w:rsid w:val="00DF2022"/>
    <w:rsid w:val="00DF21F2"/>
    <w:rsid w:val="00DF2524"/>
    <w:rsid w:val="00DF258D"/>
    <w:rsid w:val="00DF268D"/>
    <w:rsid w:val="00DF2B12"/>
    <w:rsid w:val="00DF2BE1"/>
    <w:rsid w:val="00DF2CCB"/>
    <w:rsid w:val="00DF2D96"/>
    <w:rsid w:val="00DF2DFE"/>
    <w:rsid w:val="00DF2E10"/>
    <w:rsid w:val="00DF2EF8"/>
    <w:rsid w:val="00DF2F1A"/>
    <w:rsid w:val="00DF2F23"/>
    <w:rsid w:val="00DF3149"/>
    <w:rsid w:val="00DF3259"/>
    <w:rsid w:val="00DF3412"/>
    <w:rsid w:val="00DF34A5"/>
    <w:rsid w:val="00DF3604"/>
    <w:rsid w:val="00DF3624"/>
    <w:rsid w:val="00DF3652"/>
    <w:rsid w:val="00DF3665"/>
    <w:rsid w:val="00DF37F0"/>
    <w:rsid w:val="00DF37FE"/>
    <w:rsid w:val="00DF3905"/>
    <w:rsid w:val="00DF39BC"/>
    <w:rsid w:val="00DF3A70"/>
    <w:rsid w:val="00DF3AD6"/>
    <w:rsid w:val="00DF3B80"/>
    <w:rsid w:val="00DF3C11"/>
    <w:rsid w:val="00DF3CDD"/>
    <w:rsid w:val="00DF3D2F"/>
    <w:rsid w:val="00DF3DE3"/>
    <w:rsid w:val="00DF3DF1"/>
    <w:rsid w:val="00DF3EDA"/>
    <w:rsid w:val="00DF4016"/>
    <w:rsid w:val="00DF411B"/>
    <w:rsid w:val="00DF423B"/>
    <w:rsid w:val="00DF4361"/>
    <w:rsid w:val="00DF45AA"/>
    <w:rsid w:val="00DF45D8"/>
    <w:rsid w:val="00DF46F2"/>
    <w:rsid w:val="00DF476E"/>
    <w:rsid w:val="00DF477F"/>
    <w:rsid w:val="00DF481B"/>
    <w:rsid w:val="00DF48FB"/>
    <w:rsid w:val="00DF4933"/>
    <w:rsid w:val="00DF4A52"/>
    <w:rsid w:val="00DF4B17"/>
    <w:rsid w:val="00DF4BA8"/>
    <w:rsid w:val="00DF4D5A"/>
    <w:rsid w:val="00DF4F55"/>
    <w:rsid w:val="00DF502D"/>
    <w:rsid w:val="00DF50C0"/>
    <w:rsid w:val="00DF51BD"/>
    <w:rsid w:val="00DF5283"/>
    <w:rsid w:val="00DF52A1"/>
    <w:rsid w:val="00DF52CE"/>
    <w:rsid w:val="00DF53D9"/>
    <w:rsid w:val="00DF54E8"/>
    <w:rsid w:val="00DF5892"/>
    <w:rsid w:val="00DF5922"/>
    <w:rsid w:val="00DF59A0"/>
    <w:rsid w:val="00DF59BC"/>
    <w:rsid w:val="00DF5A83"/>
    <w:rsid w:val="00DF5A88"/>
    <w:rsid w:val="00DF5B6F"/>
    <w:rsid w:val="00DF5CE1"/>
    <w:rsid w:val="00DF5D97"/>
    <w:rsid w:val="00DF5E0F"/>
    <w:rsid w:val="00DF5EB4"/>
    <w:rsid w:val="00DF5F39"/>
    <w:rsid w:val="00DF6026"/>
    <w:rsid w:val="00DF6115"/>
    <w:rsid w:val="00DF61C1"/>
    <w:rsid w:val="00DF6261"/>
    <w:rsid w:val="00DF62CC"/>
    <w:rsid w:val="00DF6436"/>
    <w:rsid w:val="00DF6444"/>
    <w:rsid w:val="00DF646F"/>
    <w:rsid w:val="00DF65EF"/>
    <w:rsid w:val="00DF6773"/>
    <w:rsid w:val="00DF67A7"/>
    <w:rsid w:val="00DF67ED"/>
    <w:rsid w:val="00DF6806"/>
    <w:rsid w:val="00DF68D2"/>
    <w:rsid w:val="00DF68EE"/>
    <w:rsid w:val="00DF6BCF"/>
    <w:rsid w:val="00DF6C15"/>
    <w:rsid w:val="00DF6C86"/>
    <w:rsid w:val="00DF6D55"/>
    <w:rsid w:val="00DF6D73"/>
    <w:rsid w:val="00DF6DC1"/>
    <w:rsid w:val="00DF6E28"/>
    <w:rsid w:val="00DF6FA2"/>
    <w:rsid w:val="00DF706A"/>
    <w:rsid w:val="00DF709F"/>
    <w:rsid w:val="00DF7156"/>
    <w:rsid w:val="00DF7324"/>
    <w:rsid w:val="00DF736C"/>
    <w:rsid w:val="00DF7431"/>
    <w:rsid w:val="00DF76A3"/>
    <w:rsid w:val="00DF773A"/>
    <w:rsid w:val="00DF791D"/>
    <w:rsid w:val="00DF7A17"/>
    <w:rsid w:val="00DF7AC9"/>
    <w:rsid w:val="00DF7C82"/>
    <w:rsid w:val="00DF7D1F"/>
    <w:rsid w:val="00DF7E41"/>
    <w:rsid w:val="00DF7E65"/>
    <w:rsid w:val="00DF7EB4"/>
    <w:rsid w:val="00E00059"/>
    <w:rsid w:val="00E00267"/>
    <w:rsid w:val="00E00378"/>
    <w:rsid w:val="00E0040E"/>
    <w:rsid w:val="00E004B5"/>
    <w:rsid w:val="00E00551"/>
    <w:rsid w:val="00E005C9"/>
    <w:rsid w:val="00E006A6"/>
    <w:rsid w:val="00E00711"/>
    <w:rsid w:val="00E007CE"/>
    <w:rsid w:val="00E0093C"/>
    <w:rsid w:val="00E00A41"/>
    <w:rsid w:val="00E00ABE"/>
    <w:rsid w:val="00E00BFA"/>
    <w:rsid w:val="00E00E7E"/>
    <w:rsid w:val="00E00F1C"/>
    <w:rsid w:val="00E00FEF"/>
    <w:rsid w:val="00E01003"/>
    <w:rsid w:val="00E01102"/>
    <w:rsid w:val="00E013C1"/>
    <w:rsid w:val="00E013D7"/>
    <w:rsid w:val="00E015C1"/>
    <w:rsid w:val="00E01736"/>
    <w:rsid w:val="00E01737"/>
    <w:rsid w:val="00E0174A"/>
    <w:rsid w:val="00E017AE"/>
    <w:rsid w:val="00E017F5"/>
    <w:rsid w:val="00E01801"/>
    <w:rsid w:val="00E0189B"/>
    <w:rsid w:val="00E018A9"/>
    <w:rsid w:val="00E0191B"/>
    <w:rsid w:val="00E019CC"/>
    <w:rsid w:val="00E01A04"/>
    <w:rsid w:val="00E01A1C"/>
    <w:rsid w:val="00E01CB1"/>
    <w:rsid w:val="00E01CC7"/>
    <w:rsid w:val="00E01F77"/>
    <w:rsid w:val="00E02496"/>
    <w:rsid w:val="00E02609"/>
    <w:rsid w:val="00E0285C"/>
    <w:rsid w:val="00E028B4"/>
    <w:rsid w:val="00E02AB9"/>
    <w:rsid w:val="00E02B9F"/>
    <w:rsid w:val="00E02CA1"/>
    <w:rsid w:val="00E02DA4"/>
    <w:rsid w:val="00E02DBA"/>
    <w:rsid w:val="00E02E59"/>
    <w:rsid w:val="00E02F7B"/>
    <w:rsid w:val="00E02FC5"/>
    <w:rsid w:val="00E0306B"/>
    <w:rsid w:val="00E03185"/>
    <w:rsid w:val="00E03242"/>
    <w:rsid w:val="00E0327C"/>
    <w:rsid w:val="00E032CF"/>
    <w:rsid w:val="00E03441"/>
    <w:rsid w:val="00E0353C"/>
    <w:rsid w:val="00E036DB"/>
    <w:rsid w:val="00E036EB"/>
    <w:rsid w:val="00E03917"/>
    <w:rsid w:val="00E039FC"/>
    <w:rsid w:val="00E03BCF"/>
    <w:rsid w:val="00E03D21"/>
    <w:rsid w:val="00E03D3D"/>
    <w:rsid w:val="00E03DE0"/>
    <w:rsid w:val="00E03E48"/>
    <w:rsid w:val="00E03E8F"/>
    <w:rsid w:val="00E03EFF"/>
    <w:rsid w:val="00E03F40"/>
    <w:rsid w:val="00E03F5F"/>
    <w:rsid w:val="00E03FA1"/>
    <w:rsid w:val="00E0407B"/>
    <w:rsid w:val="00E04226"/>
    <w:rsid w:val="00E04394"/>
    <w:rsid w:val="00E043F7"/>
    <w:rsid w:val="00E0445C"/>
    <w:rsid w:val="00E04523"/>
    <w:rsid w:val="00E04538"/>
    <w:rsid w:val="00E04575"/>
    <w:rsid w:val="00E0457C"/>
    <w:rsid w:val="00E045F2"/>
    <w:rsid w:val="00E0469C"/>
    <w:rsid w:val="00E048B8"/>
    <w:rsid w:val="00E049AF"/>
    <w:rsid w:val="00E049D2"/>
    <w:rsid w:val="00E04A1F"/>
    <w:rsid w:val="00E04AE6"/>
    <w:rsid w:val="00E04C47"/>
    <w:rsid w:val="00E04E28"/>
    <w:rsid w:val="00E04EEE"/>
    <w:rsid w:val="00E04EFC"/>
    <w:rsid w:val="00E0513B"/>
    <w:rsid w:val="00E05142"/>
    <w:rsid w:val="00E051FD"/>
    <w:rsid w:val="00E05335"/>
    <w:rsid w:val="00E053B1"/>
    <w:rsid w:val="00E053C5"/>
    <w:rsid w:val="00E053D7"/>
    <w:rsid w:val="00E0545C"/>
    <w:rsid w:val="00E05563"/>
    <w:rsid w:val="00E05628"/>
    <w:rsid w:val="00E05670"/>
    <w:rsid w:val="00E056B5"/>
    <w:rsid w:val="00E05745"/>
    <w:rsid w:val="00E057E9"/>
    <w:rsid w:val="00E0580B"/>
    <w:rsid w:val="00E058D8"/>
    <w:rsid w:val="00E05B22"/>
    <w:rsid w:val="00E05C7E"/>
    <w:rsid w:val="00E05C91"/>
    <w:rsid w:val="00E05CA8"/>
    <w:rsid w:val="00E05CC5"/>
    <w:rsid w:val="00E05D62"/>
    <w:rsid w:val="00E05E26"/>
    <w:rsid w:val="00E05EA5"/>
    <w:rsid w:val="00E05EDD"/>
    <w:rsid w:val="00E05F8D"/>
    <w:rsid w:val="00E0607F"/>
    <w:rsid w:val="00E06181"/>
    <w:rsid w:val="00E061D1"/>
    <w:rsid w:val="00E06223"/>
    <w:rsid w:val="00E062D7"/>
    <w:rsid w:val="00E069FC"/>
    <w:rsid w:val="00E06BD5"/>
    <w:rsid w:val="00E06D61"/>
    <w:rsid w:val="00E07084"/>
    <w:rsid w:val="00E070EE"/>
    <w:rsid w:val="00E071C5"/>
    <w:rsid w:val="00E07234"/>
    <w:rsid w:val="00E072F1"/>
    <w:rsid w:val="00E07395"/>
    <w:rsid w:val="00E074C4"/>
    <w:rsid w:val="00E074F2"/>
    <w:rsid w:val="00E074FA"/>
    <w:rsid w:val="00E07668"/>
    <w:rsid w:val="00E076A4"/>
    <w:rsid w:val="00E078FE"/>
    <w:rsid w:val="00E07972"/>
    <w:rsid w:val="00E07A75"/>
    <w:rsid w:val="00E07AE1"/>
    <w:rsid w:val="00E07B97"/>
    <w:rsid w:val="00E07C83"/>
    <w:rsid w:val="00E07DC3"/>
    <w:rsid w:val="00E07F62"/>
    <w:rsid w:val="00E1002C"/>
    <w:rsid w:val="00E10180"/>
    <w:rsid w:val="00E10353"/>
    <w:rsid w:val="00E10486"/>
    <w:rsid w:val="00E1052F"/>
    <w:rsid w:val="00E1064D"/>
    <w:rsid w:val="00E10686"/>
    <w:rsid w:val="00E106F2"/>
    <w:rsid w:val="00E107B5"/>
    <w:rsid w:val="00E107F0"/>
    <w:rsid w:val="00E108AB"/>
    <w:rsid w:val="00E109EF"/>
    <w:rsid w:val="00E10A8F"/>
    <w:rsid w:val="00E10AF9"/>
    <w:rsid w:val="00E10BE8"/>
    <w:rsid w:val="00E10C1C"/>
    <w:rsid w:val="00E10CBA"/>
    <w:rsid w:val="00E10CE3"/>
    <w:rsid w:val="00E10E88"/>
    <w:rsid w:val="00E10EB1"/>
    <w:rsid w:val="00E10ED0"/>
    <w:rsid w:val="00E112B8"/>
    <w:rsid w:val="00E1134D"/>
    <w:rsid w:val="00E116B3"/>
    <w:rsid w:val="00E1176D"/>
    <w:rsid w:val="00E1181C"/>
    <w:rsid w:val="00E1181F"/>
    <w:rsid w:val="00E11911"/>
    <w:rsid w:val="00E11A54"/>
    <w:rsid w:val="00E11A5D"/>
    <w:rsid w:val="00E11AD2"/>
    <w:rsid w:val="00E11AD7"/>
    <w:rsid w:val="00E11BCB"/>
    <w:rsid w:val="00E11D4F"/>
    <w:rsid w:val="00E11DF5"/>
    <w:rsid w:val="00E11E46"/>
    <w:rsid w:val="00E12113"/>
    <w:rsid w:val="00E12296"/>
    <w:rsid w:val="00E12340"/>
    <w:rsid w:val="00E12359"/>
    <w:rsid w:val="00E12453"/>
    <w:rsid w:val="00E124FA"/>
    <w:rsid w:val="00E125D8"/>
    <w:rsid w:val="00E125E7"/>
    <w:rsid w:val="00E1266D"/>
    <w:rsid w:val="00E126E5"/>
    <w:rsid w:val="00E1270C"/>
    <w:rsid w:val="00E1275F"/>
    <w:rsid w:val="00E1283D"/>
    <w:rsid w:val="00E12879"/>
    <w:rsid w:val="00E1287D"/>
    <w:rsid w:val="00E128D2"/>
    <w:rsid w:val="00E12991"/>
    <w:rsid w:val="00E129D1"/>
    <w:rsid w:val="00E12A10"/>
    <w:rsid w:val="00E12B96"/>
    <w:rsid w:val="00E12D75"/>
    <w:rsid w:val="00E12EE3"/>
    <w:rsid w:val="00E12FFE"/>
    <w:rsid w:val="00E13011"/>
    <w:rsid w:val="00E130FC"/>
    <w:rsid w:val="00E1312A"/>
    <w:rsid w:val="00E13134"/>
    <w:rsid w:val="00E132EC"/>
    <w:rsid w:val="00E133C2"/>
    <w:rsid w:val="00E13501"/>
    <w:rsid w:val="00E1374F"/>
    <w:rsid w:val="00E1397A"/>
    <w:rsid w:val="00E13997"/>
    <w:rsid w:val="00E13A3C"/>
    <w:rsid w:val="00E13B59"/>
    <w:rsid w:val="00E13C23"/>
    <w:rsid w:val="00E13C54"/>
    <w:rsid w:val="00E13C7A"/>
    <w:rsid w:val="00E13D1B"/>
    <w:rsid w:val="00E13E56"/>
    <w:rsid w:val="00E13E74"/>
    <w:rsid w:val="00E13FE7"/>
    <w:rsid w:val="00E14064"/>
    <w:rsid w:val="00E14112"/>
    <w:rsid w:val="00E143C7"/>
    <w:rsid w:val="00E14413"/>
    <w:rsid w:val="00E145B0"/>
    <w:rsid w:val="00E145FA"/>
    <w:rsid w:val="00E14831"/>
    <w:rsid w:val="00E1485D"/>
    <w:rsid w:val="00E14AD9"/>
    <w:rsid w:val="00E14BE1"/>
    <w:rsid w:val="00E14C43"/>
    <w:rsid w:val="00E14C47"/>
    <w:rsid w:val="00E14C6F"/>
    <w:rsid w:val="00E14C95"/>
    <w:rsid w:val="00E14D75"/>
    <w:rsid w:val="00E14E46"/>
    <w:rsid w:val="00E15028"/>
    <w:rsid w:val="00E15042"/>
    <w:rsid w:val="00E15083"/>
    <w:rsid w:val="00E150AD"/>
    <w:rsid w:val="00E151CC"/>
    <w:rsid w:val="00E15315"/>
    <w:rsid w:val="00E15359"/>
    <w:rsid w:val="00E15485"/>
    <w:rsid w:val="00E1563A"/>
    <w:rsid w:val="00E157AA"/>
    <w:rsid w:val="00E15802"/>
    <w:rsid w:val="00E158A6"/>
    <w:rsid w:val="00E15A15"/>
    <w:rsid w:val="00E15A75"/>
    <w:rsid w:val="00E15ACA"/>
    <w:rsid w:val="00E15B5C"/>
    <w:rsid w:val="00E15B5F"/>
    <w:rsid w:val="00E15C83"/>
    <w:rsid w:val="00E15DD2"/>
    <w:rsid w:val="00E15EA2"/>
    <w:rsid w:val="00E15F00"/>
    <w:rsid w:val="00E16193"/>
    <w:rsid w:val="00E16214"/>
    <w:rsid w:val="00E16330"/>
    <w:rsid w:val="00E163FC"/>
    <w:rsid w:val="00E16434"/>
    <w:rsid w:val="00E1643B"/>
    <w:rsid w:val="00E1648C"/>
    <w:rsid w:val="00E1675E"/>
    <w:rsid w:val="00E169C3"/>
    <w:rsid w:val="00E16BFE"/>
    <w:rsid w:val="00E16C69"/>
    <w:rsid w:val="00E16E08"/>
    <w:rsid w:val="00E16F08"/>
    <w:rsid w:val="00E16F19"/>
    <w:rsid w:val="00E16F99"/>
    <w:rsid w:val="00E171AA"/>
    <w:rsid w:val="00E171F1"/>
    <w:rsid w:val="00E171F5"/>
    <w:rsid w:val="00E172E7"/>
    <w:rsid w:val="00E17321"/>
    <w:rsid w:val="00E174CD"/>
    <w:rsid w:val="00E174D9"/>
    <w:rsid w:val="00E17549"/>
    <w:rsid w:val="00E175DF"/>
    <w:rsid w:val="00E175F7"/>
    <w:rsid w:val="00E17649"/>
    <w:rsid w:val="00E176C1"/>
    <w:rsid w:val="00E17877"/>
    <w:rsid w:val="00E179CE"/>
    <w:rsid w:val="00E17B4B"/>
    <w:rsid w:val="00E17E22"/>
    <w:rsid w:val="00E17E38"/>
    <w:rsid w:val="00E17E77"/>
    <w:rsid w:val="00E17F99"/>
    <w:rsid w:val="00E20000"/>
    <w:rsid w:val="00E2004C"/>
    <w:rsid w:val="00E20060"/>
    <w:rsid w:val="00E20090"/>
    <w:rsid w:val="00E200DC"/>
    <w:rsid w:val="00E20100"/>
    <w:rsid w:val="00E20103"/>
    <w:rsid w:val="00E20120"/>
    <w:rsid w:val="00E20531"/>
    <w:rsid w:val="00E20550"/>
    <w:rsid w:val="00E20565"/>
    <w:rsid w:val="00E20616"/>
    <w:rsid w:val="00E2064C"/>
    <w:rsid w:val="00E2086A"/>
    <w:rsid w:val="00E20889"/>
    <w:rsid w:val="00E20A28"/>
    <w:rsid w:val="00E20C44"/>
    <w:rsid w:val="00E20EBA"/>
    <w:rsid w:val="00E20F56"/>
    <w:rsid w:val="00E21112"/>
    <w:rsid w:val="00E212EA"/>
    <w:rsid w:val="00E21583"/>
    <w:rsid w:val="00E21610"/>
    <w:rsid w:val="00E21682"/>
    <w:rsid w:val="00E21727"/>
    <w:rsid w:val="00E2189A"/>
    <w:rsid w:val="00E218AA"/>
    <w:rsid w:val="00E218F1"/>
    <w:rsid w:val="00E219C7"/>
    <w:rsid w:val="00E219D5"/>
    <w:rsid w:val="00E21A00"/>
    <w:rsid w:val="00E21A28"/>
    <w:rsid w:val="00E21C86"/>
    <w:rsid w:val="00E21CD9"/>
    <w:rsid w:val="00E21CDA"/>
    <w:rsid w:val="00E21DAE"/>
    <w:rsid w:val="00E21ED3"/>
    <w:rsid w:val="00E21F38"/>
    <w:rsid w:val="00E21F58"/>
    <w:rsid w:val="00E21FE6"/>
    <w:rsid w:val="00E221CA"/>
    <w:rsid w:val="00E222EB"/>
    <w:rsid w:val="00E2247C"/>
    <w:rsid w:val="00E22709"/>
    <w:rsid w:val="00E2297A"/>
    <w:rsid w:val="00E22A0C"/>
    <w:rsid w:val="00E22A21"/>
    <w:rsid w:val="00E22A98"/>
    <w:rsid w:val="00E22B6B"/>
    <w:rsid w:val="00E22BDB"/>
    <w:rsid w:val="00E22C4B"/>
    <w:rsid w:val="00E22CBA"/>
    <w:rsid w:val="00E22D63"/>
    <w:rsid w:val="00E22EF6"/>
    <w:rsid w:val="00E22EF8"/>
    <w:rsid w:val="00E22F9D"/>
    <w:rsid w:val="00E22FF0"/>
    <w:rsid w:val="00E23004"/>
    <w:rsid w:val="00E23068"/>
    <w:rsid w:val="00E23181"/>
    <w:rsid w:val="00E23470"/>
    <w:rsid w:val="00E23478"/>
    <w:rsid w:val="00E2370F"/>
    <w:rsid w:val="00E2378B"/>
    <w:rsid w:val="00E238FD"/>
    <w:rsid w:val="00E23A51"/>
    <w:rsid w:val="00E23AFA"/>
    <w:rsid w:val="00E23C1E"/>
    <w:rsid w:val="00E23E7B"/>
    <w:rsid w:val="00E240DF"/>
    <w:rsid w:val="00E2410F"/>
    <w:rsid w:val="00E24249"/>
    <w:rsid w:val="00E24333"/>
    <w:rsid w:val="00E24656"/>
    <w:rsid w:val="00E24723"/>
    <w:rsid w:val="00E248B0"/>
    <w:rsid w:val="00E248B9"/>
    <w:rsid w:val="00E248BC"/>
    <w:rsid w:val="00E24B76"/>
    <w:rsid w:val="00E24B85"/>
    <w:rsid w:val="00E24BD7"/>
    <w:rsid w:val="00E24C71"/>
    <w:rsid w:val="00E24DDA"/>
    <w:rsid w:val="00E25310"/>
    <w:rsid w:val="00E25650"/>
    <w:rsid w:val="00E25659"/>
    <w:rsid w:val="00E256CC"/>
    <w:rsid w:val="00E25769"/>
    <w:rsid w:val="00E2587A"/>
    <w:rsid w:val="00E2589D"/>
    <w:rsid w:val="00E258BA"/>
    <w:rsid w:val="00E258E0"/>
    <w:rsid w:val="00E259BD"/>
    <w:rsid w:val="00E25A4D"/>
    <w:rsid w:val="00E25AE7"/>
    <w:rsid w:val="00E25C18"/>
    <w:rsid w:val="00E25CDB"/>
    <w:rsid w:val="00E25CEE"/>
    <w:rsid w:val="00E25D35"/>
    <w:rsid w:val="00E25D39"/>
    <w:rsid w:val="00E25D86"/>
    <w:rsid w:val="00E25D88"/>
    <w:rsid w:val="00E25DA3"/>
    <w:rsid w:val="00E25E98"/>
    <w:rsid w:val="00E25EE8"/>
    <w:rsid w:val="00E26061"/>
    <w:rsid w:val="00E26066"/>
    <w:rsid w:val="00E2622D"/>
    <w:rsid w:val="00E26266"/>
    <w:rsid w:val="00E26291"/>
    <w:rsid w:val="00E2629D"/>
    <w:rsid w:val="00E26382"/>
    <w:rsid w:val="00E26464"/>
    <w:rsid w:val="00E2652B"/>
    <w:rsid w:val="00E2660D"/>
    <w:rsid w:val="00E2664A"/>
    <w:rsid w:val="00E26686"/>
    <w:rsid w:val="00E26838"/>
    <w:rsid w:val="00E268AA"/>
    <w:rsid w:val="00E26971"/>
    <w:rsid w:val="00E26988"/>
    <w:rsid w:val="00E26A23"/>
    <w:rsid w:val="00E26B0C"/>
    <w:rsid w:val="00E26C55"/>
    <w:rsid w:val="00E26CFC"/>
    <w:rsid w:val="00E26D8A"/>
    <w:rsid w:val="00E26DFA"/>
    <w:rsid w:val="00E26EB4"/>
    <w:rsid w:val="00E26F11"/>
    <w:rsid w:val="00E2711E"/>
    <w:rsid w:val="00E271C4"/>
    <w:rsid w:val="00E271D7"/>
    <w:rsid w:val="00E2728A"/>
    <w:rsid w:val="00E272FA"/>
    <w:rsid w:val="00E27366"/>
    <w:rsid w:val="00E27383"/>
    <w:rsid w:val="00E2758A"/>
    <w:rsid w:val="00E2766A"/>
    <w:rsid w:val="00E276C5"/>
    <w:rsid w:val="00E278F0"/>
    <w:rsid w:val="00E27923"/>
    <w:rsid w:val="00E27961"/>
    <w:rsid w:val="00E27A44"/>
    <w:rsid w:val="00E27AA6"/>
    <w:rsid w:val="00E27AD1"/>
    <w:rsid w:val="00E27B1A"/>
    <w:rsid w:val="00E27C67"/>
    <w:rsid w:val="00E27DEA"/>
    <w:rsid w:val="00E27E80"/>
    <w:rsid w:val="00E27EE6"/>
    <w:rsid w:val="00E27FA3"/>
    <w:rsid w:val="00E3004B"/>
    <w:rsid w:val="00E301DA"/>
    <w:rsid w:val="00E30351"/>
    <w:rsid w:val="00E30369"/>
    <w:rsid w:val="00E303EB"/>
    <w:rsid w:val="00E30647"/>
    <w:rsid w:val="00E3065D"/>
    <w:rsid w:val="00E306E9"/>
    <w:rsid w:val="00E307E1"/>
    <w:rsid w:val="00E308E0"/>
    <w:rsid w:val="00E30998"/>
    <w:rsid w:val="00E30C0B"/>
    <w:rsid w:val="00E30DDB"/>
    <w:rsid w:val="00E30E46"/>
    <w:rsid w:val="00E30EFF"/>
    <w:rsid w:val="00E31160"/>
    <w:rsid w:val="00E31291"/>
    <w:rsid w:val="00E312A2"/>
    <w:rsid w:val="00E312C6"/>
    <w:rsid w:val="00E31332"/>
    <w:rsid w:val="00E31382"/>
    <w:rsid w:val="00E313ED"/>
    <w:rsid w:val="00E3145D"/>
    <w:rsid w:val="00E3156B"/>
    <w:rsid w:val="00E31674"/>
    <w:rsid w:val="00E3187D"/>
    <w:rsid w:val="00E31933"/>
    <w:rsid w:val="00E3196B"/>
    <w:rsid w:val="00E31973"/>
    <w:rsid w:val="00E31979"/>
    <w:rsid w:val="00E31991"/>
    <w:rsid w:val="00E319A8"/>
    <w:rsid w:val="00E31A14"/>
    <w:rsid w:val="00E31A69"/>
    <w:rsid w:val="00E31B4B"/>
    <w:rsid w:val="00E31BB2"/>
    <w:rsid w:val="00E31BE5"/>
    <w:rsid w:val="00E31D27"/>
    <w:rsid w:val="00E31DAF"/>
    <w:rsid w:val="00E31DD0"/>
    <w:rsid w:val="00E31F49"/>
    <w:rsid w:val="00E31F68"/>
    <w:rsid w:val="00E31FD4"/>
    <w:rsid w:val="00E32281"/>
    <w:rsid w:val="00E32342"/>
    <w:rsid w:val="00E32409"/>
    <w:rsid w:val="00E32433"/>
    <w:rsid w:val="00E3252F"/>
    <w:rsid w:val="00E325A0"/>
    <w:rsid w:val="00E3267F"/>
    <w:rsid w:val="00E326E5"/>
    <w:rsid w:val="00E3273F"/>
    <w:rsid w:val="00E3282A"/>
    <w:rsid w:val="00E32B78"/>
    <w:rsid w:val="00E32BBE"/>
    <w:rsid w:val="00E32BE6"/>
    <w:rsid w:val="00E32D41"/>
    <w:rsid w:val="00E32D4B"/>
    <w:rsid w:val="00E32EF4"/>
    <w:rsid w:val="00E32F09"/>
    <w:rsid w:val="00E330B4"/>
    <w:rsid w:val="00E33227"/>
    <w:rsid w:val="00E3332C"/>
    <w:rsid w:val="00E33441"/>
    <w:rsid w:val="00E3348F"/>
    <w:rsid w:val="00E3351A"/>
    <w:rsid w:val="00E33A32"/>
    <w:rsid w:val="00E33B12"/>
    <w:rsid w:val="00E33B7A"/>
    <w:rsid w:val="00E33BC0"/>
    <w:rsid w:val="00E33BC3"/>
    <w:rsid w:val="00E33C96"/>
    <w:rsid w:val="00E33DDF"/>
    <w:rsid w:val="00E33E00"/>
    <w:rsid w:val="00E33FD4"/>
    <w:rsid w:val="00E340FF"/>
    <w:rsid w:val="00E34132"/>
    <w:rsid w:val="00E3415C"/>
    <w:rsid w:val="00E34196"/>
    <w:rsid w:val="00E341E5"/>
    <w:rsid w:val="00E3427C"/>
    <w:rsid w:val="00E34387"/>
    <w:rsid w:val="00E343B0"/>
    <w:rsid w:val="00E3451F"/>
    <w:rsid w:val="00E3455A"/>
    <w:rsid w:val="00E345CD"/>
    <w:rsid w:val="00E34749"/>
    <w:rsid w:val="00E34922"/>
    <w:rsid w:val="00E34A28"/>
    <w:rsid w:val="00E34AD0"/>
    <w:rsid w:val="00E34AEB"/>
    <w:rsid w:val="00E34BEF"/>
    <w:rsid w:val="00E34D24"/>
    <w:rsid w:val="00E34D44"/>
    <w:rsid w:val="00E34DA0"/>
    <w:rsid w:val="00E34E45"/>
    <w:rsid w:val="00E34F67"/>
    <w:rsid w:val="00E34F8E"/>
    <w:rsid w:val="00E351D3"/>
    <w:rsid w:val="00E351F2"/>
    <w:rsid w:val="00E3539D"/>
    <w:rsid w:val="00E353A3"/>
    <w:rsid w:val="00E354F1"/>
    <w:rsid w:val="00E35522"/>
    <w:rsid w:val="00E356AB"/>
    <w:rsid w:val="00E3574B"/>
    <w:rsid w:val="00E35942"/>
    <w:rsid w:val="00E35B25"/>
    <w:rsid w:val="00E35C38"/>
    <w:rsid w:val="00E35C61"/>
    <w:rsid w:val="00E35D02"/>
    <w:rsid w:val="00E35D64"/>
    <w:rsid w:val="00E35DA5"/>
    <w:rsid w:val="00E35FE0"/>
    <w:rsid w:val="00E36004"/>
    <w:rsid w:val="00E36565"/>
    <w:rsid w:val="00E36B3C"/>
    <w:rsid w:val="00E36B6E"/>
    <w:rsid w:val="00E36BA4"/>
    <w:rsid w:val="00E36E6E"/>
    <w:rsid w:val="00E36E8B"/>
    <w:rsid w:val="00E36F7F"/>
    <w:rsid w:val="00E37095"/>
    <w:rsid w:val="00E37129"/>
    <w:rsid w:val="00E37193"/>
    <w:rsid w:val="00E37321"/>
    <w:rsid w:val="00E3737A"/>
    <w:rsid w:val="00E374C5"/>
    <w:rsid w:val="00E37531"/>
    <w:rsid w:val="00E37579"/>
    <w:rsid w:val="00E376DE"/>
    <w:rsid w:val="00E37746"/>
    <w:rsid w:val="00E37893"/>
    <w:rsid w:val="00E37A87"/>
    <w:rsid w:val="00E37B1F"/>
    <w:rsid w:val="00E37B69"/>
    <w:rsid w:val="00E37BA7"/>
    <w:rsid w:val="00E37DD5"/>
    <w:rsid w:val="00E37DFC"/>
    <w:rsid w:val="00E37EC7"/>
    <w:rsid w:val="00E37EF5"/>
    <w:rsid w:val="00E37F2D"/>
    <w:rsid w:val="00E40090"/>
    <w:rsid w:val="00E400C8"/>
    <w:rsid w:val="00E4018B"/>
    <w:rsid w:val="00E401FB"/>
    <w:rsid w:val="00E404A0"/>
    <w:rsid w:val="00E40538"/>
    <w:rsid w:val="00E4058B"/>
    <w:rsid w:val="00E40642"/>
    <w:rsid w:val="00E4064A"/>
    <w:rsid w:val="00E40A77"/>
    <w:rsid w:val="00E40A9C"/>
    <w:rsid w:val="00E40BFA"/>
    <w:rsid w:val="00E40C8A"/>
    <w:rsid w:val="00E40CD8"/>
    <w:rsid w:val="00E40E69"/>
    <w:rsid w:val="00E40FA3"/>
    <w:rsid w:val="00E41048"/>
    <w:rsid w:val="00E41243"/>
    <w:rsid w:val="00E412FE"/>
    <w:rsid w:val="00E41686"/>
    <w:rsid w:val="00E416A9"/>
    <w:rsid w:val="00E4173B"/>
    <w:rsid w:val="00E41973"/>
    <w:rsid w:val="00E419A6"/>
    <w:rsid w:val="00E41A7A"/>
    <w:rsid w:val="00E41ABE"/>
    <w:rsid w:val="00E41AE4"/>
    <w:rsid w:val="00E41BF0"/>
    <w:rsid w:val="00E41E29"/>
    <w:rsid w:val="00E41FF2"/>
    <w:rsid w:val="00E4217E"/>
    <w:rsid w:val="00E4218B"/>
    <w:rsid w:val="00E423D6"/>
    <w:rsid w:val="00E4241C"/>
    <w:rsid w:val="00E4243E"/>
    <w:rsid w:val="00E4246D"/>
    <w:rsid w:val="00E424D9"/>
    <w:rsid w:val="00E42509"/>
    <w:rsid w:val="00E4253C"/>
    <w:rsid w:val="00E4256B"/>
    <w:rsid w:val="00E428FC"/>
    <w:rsid w:val="00E429B0"/>
    <w:rsid w:val="00E42A28"/>
    <w:rsid w:val="00E42AA1"/>
    <w:rsid w:val="00E42BFD"/>
    <w:rsid w:val="00E42D27"/>
    <w:rsid w:val="00E42D41"/>
    <w:rsid w:val="00E42E76"/>
    <w:rsid w:val="00E42F61"/>
    <w:rsid w:val="00E42F7D"/>
    <w:rsid w:val="00E42FAE"/>
    <w:rsid w:val="00E42FD0"/>
    <w:rsid w:val="00E431B0"/>
    <w:rsid w:val="00E43204"/>
    <w:rsid w:val="00E43220"/>
    <w:rsid w:val="00E43266"/>
    <w:rsid w:val="00E432B4"/>
    <w:rsid w:val="00E433D3"/>
    <w:rsid w:val="00E435E6"/>
    <w:rsid w:val="00E4365F"/>
    <w:rsid w:val="00E4371E"/>
    <w:rsid w:val="00E43729"/>
    <w:rsid w:val="00E437FC"/>
    <w:rsid w:val="00E43824"/>
    <w:rsid w:val="00E439F2"/>
    <w:rsid w:val="00E43A11"/>
    <w:rsid w:val="00E43AFF"/>
    <w:rsid w:val="00E43BE6"/>
    <w:rsid w:val="00E43DF1"/>
    <w:rsid w:val="00E43E35"/>
    <w:rsid w:val="00E43FED"/>
    <w:rsid w:val="00E4409F"/>
    <w:rsid w:val="00E440D0"/>
    <w:rsid w:val="00E44110"/>
    <w:rsid w:val="00E4417A"/>
    <w:rsid w:val="00E44296"/>
    <w:rsid w:val="00E44399"/>
    <w:rsid w:val="00E443BF"/>
    <w:rsid w:val="00E44430"/>
    <w:rsid w:val="00E4456B"/>
    <w:rsid w:val="00E44633"/>
    <w:rsid w:val="00E4466C"/>
    <w:rsid w:val="00E44708"/>
    <w:rsid w:val="00E448DE"/>
    <w:rsid w:val="00E4494E"/>
    <w:rsid w:val="00E44BE1"/>
    <w:rsid w:val="00E44DAD"/>
    <w:rsid w:val="00E44DBB"/>
    <w:rsid w:val="00E44E95"/>
    <w:rsid w:val="00E44EB2"/>
    <w:rsid w:val="00E44F53"/>
    <w:rsid w:val="00E44FD3"/>
    <w:rsid w:val="00E4509A"/>
    <w:rsid w:val="00E4509B"/>
    <w:rsid w:val="00E450DE"/>
    <w:rsid w:val="00E45184"/>
    <w:rsid w:val="00E4526E"/>
    <w:rsid w:val="00E45383"/>
    <w:rsid w:val="00E45392"/>
    <w:rsid w:val="00E4552A"/>
    <w:rsid w:val="00E45658"/>
    <w:rsid w:val="00E45769"/>
    <w:rsid w:val="00E457E3"/>
    <w:rsid w:val="00E4591B"/>
    <w:rsid w:val="00E459F1"/>
    <w:rsid w:val="00E45AE4"/>
    <w:rsid w:val="00E45B3E"/>
    <w:rsid w:val="00E45C27"/>
    <w:rsid w:val="00E45D2A"/>
    <w:rsid w:val="00E45D65"/>
    <w:rsid w:val="00E45DEF"/>
    <w:rsid w:val="00E45E50"/>
    <w:rsid w:val="00E45E53"/>
    <w:rsid w:val="00E45E77"/>
    <w:rsid w:val="00E46133"/>
    <w:rsid w:val="00E4620D"/>
    <w:rsid w:val="00E462B4"/>
    <w:rsid w:val="00E463B3"/>
    <w:rsid w:val="00E46407"/>
    <w:rsid w:val="00E464C2"/>
    <w:rsid w:val="00E4655B"/>
    <w:rsid w:val="00E46661"/>
    <w:rsid w:val="00E46670"/>
    <w:rsid w:val="00E4676E"/>
    <w:rsid w:val="00E46787"/>
    <w:rsid w:val="00E46A04"/>
    <w:rsid w:val="00E46A27"/>
    <w:rsid w:val="00E46AAC"/>
    <w:rsid w:val="00E46B79"/>
    <w:rsid w:val="00E46BAC"/>
    <w:rsid w:val="00E46CA6"/>
    <w:rsid w:val="00E46D46"/>
    <w:rsid w:val="00E46F8C"/>
    <w:rsid w:val="00E46FB8"/>
    <w:rsid w:val="00E4707A"/>
    <w:rsid w:val="00E47158"/>
    <w:rsid w:val="00E4717E"/>
    <w:rsid w:val="00E47183"/>
    <w:rsid w:val="00E47229"/>
    <w:rsid w:val="00E472A8"/>
    <w:rsid w:val="00E4732A"/>
    <w:rsid w:val="00E473E1"/>
    <w:rsid w:val="00E4754E"/>
    <w:rsid w:val="00E47597"/>
    <w:rsid w:val="00E47701"/>
    <w:rsid w:val="00E4770E"/>
    <w:rsid w:val="00E4777B"/>
    <w:rsid w:val="00E47797"/>
    <w:rsid w:val="00E477C9"/>
    <w:rsid w:val="00E478C6"/>
    <w:rsid w:val="00E47B03"/>
    <w:rsid w:val="00E47BED"/>
    <w:rsid w:val="00E47BEE"/>
    <w:rsid w:val="00E47D04"/>
    <w:rsid w:val="00E47DB5"/>
    <w:rsid w:val="00E500A0"/>
    <w:rsid w:val="00E50192"/>
    <w:rsid w:val="00E50214"/>
    <w:rsid w:val="00E503E0"/>
    <w:rsid w:val="00E5046E"/>
    <w:rsid w:val="00E504E0"/>
    <w:rsid w:val="00E50520"/>
    <w:rsid w:val="00E50638"/>
    <w:rsid w:val="00E5065A"/>
    <w:rsid w:val="00E5071D"/>
    <w:rsid w:val="00E5082F"/>
    <w:rsid w:val="00E5092A"/>
    <w:rsid w:val="00E50998"/>
    <w:rsid w:val="00E509E2"/>
    <w:rsid w:val="00E50BE6"/>
    <w:rsid w:val="00E50CE9"/>
    <w:rsid w:val="00E50EDA"/>
    <w:rsid w:val="00E50FFD"/>
    <w:rsid w:val="00E51025"/>
    <w:rsid w:val="00E512C8"/>
    <w:rsid w:val="00E51338"/>
    <w:rsid w:val="00E5134B"/>
    <w:rsid w:val="00E514D6"/>
    <w:rsid w:val="00E514DD"/>
    <w:rsid w:val="00E515A7"/>
    <w:rsid w:val="00E5168E"/>
    <w:rsid w:val="00E516A0"/>
    <w:rsid w:val="00E5190D"/>
    <w:rsid w:val="00E51918"/>
    <w:rsid w:val="00E51922"/>
    <w:rsid w:val="00E51988"/>
    <w:rsid w:val="00E51AE6"/>
    <w:rsid w:val="00E51B2C"/>
    <w:rsid w:val="00E51B8E"/>
    <w:rsid w:val="00E51BC4"/>
    <w:rsid w:val="00E51C4B"/>
    <w:rsid w:val="00E51E7F"/>
    <w:rsid w:val="00E51EFC"/>
    <w:rsid w:val="00E523B9"/>
    <w:rsid w:val="00E5241F"/>
    <w:rsid w:val="00E52462"/>
    <w:rsid w:val="00E525C9"/>
    <w:rsid w:val="00E5269A"/>
    <w:rsid w:val="00E527C0"/>
    <w:rsid w:val="00E527DE"/>
    <w:rsid w:val="00E52882"/>
    <w:rsid w:val="00E52AA7"/>
    <w:rsid w:val="00E52AA9"/>
    <w:rsid w:val="00E52B41"/>
    <w:rsid w:val="00E52BF1"/>
    <w:rsid w:val="00E52DE5"/>
    <w:rsid w:val="00E52EFA"/>
    <w:rsid w:val="00E52F95"/>
    <w:rsid w:val="00E53045"/>
    <w:rsid w:val="00E53185"/>
    <w:rsid w:val="00E53231"/>
    <w:rsid w:val="00E53294"/>
    <w:rsid w:val="00E5339B"/>
    <w:rsid w:val="00E53744"/>
    <w:rsid w:val="00E537D3"/>
    <w:rsid w:val="00E537D7"/>
    <w:rsid w:val="00E537E9"/>
    <w:rsid w:val="00E5382E"/>
    <w:rsid w:val="00E538B1"/>
    <w:rsid w:val="00E53913"/>
    <w:rsid w:val="00E53943"/>
    <w:rsid w:val="00E53976"/>
    <w:rsid w:val="00E53AB4"/>
    <w:rsid w:val="00E53B97"/>
    <w:rsid w:val="00E53C36"/>
    <w:rsid w:val="00E53D17"/>
    <w:rsid w:val="00E53D5A"/>
    <w:rsid w:val="00E53DAF"/>
    <w:rsid w:val="00E53E81"/>
    <w:rsid w:val="00E5408F"/>
    <w:rsid w:val="00E540C8"/>
    <w:rsid w:val="00E54202"/>
    <w:rsid w:val="00E54269"/>
    <w:rsid w:val="00E542C8"/>
    <w:rsid w:val="00E544E7"/>
    <w:rsid w:val="00E5455A"/>
    <w:rsid w:val="00E54627"/>
    <w:rsid w:val="00E549BC"/>
    <w:rsid w:val="00E54ABE"/>
    <w:rsid w:val="00E54B22"/>
    <w:rsid w:val="00E54B6B"/>
    <w:rsid w:val="00E54D1B"/>
    <w:rsid w:val="00E54F1D"/>
    <w:rsid w:val="00E54F66"/>
    <w:rsid w:val="00E550F5"/>
    <w:rsid w:val="00E551B6"/>
    <w:rsid w:val="00E551C4"/>
    <w:rsid w:val="00E5545A"/>
    <w:rsid w:val="00E554A3"/>
    <w:rsid w:val="00E554F8"/>
    <w:rsid w:val="00E55591"/>
    <w:rsid w:val="00E55800"/>
    <w:rsid w:val="00E5587F"/>
    <w:rsid w:val="00E55A0E"/>
    <w:rsid w:val="00E55BC1"/>
    <w:rsid w:val="00E55CAA"/>
    <w:rsid w:val="00E55D04"/>
    <w:rsid w:val="00E55DD8"/>
    <w:rsid w:val="00E55F28"/>
    <w:rsid w:val="00E55F4F"/>
    <w:rsid w:val="00E5605E"/>
    <w:rsid w:val="00E562CA"/>
    <w:rsid w:val="00E56306"/>
    <w:rsid w:val="00E56324"/>
    <w:rsid w:val="00E56484"/>
    <w:rsid w:val="00E56499"/>
    <w:rsid w:val="00E564AB"/>
    <w:rsid w:val="00E5659A"/>
    <w:rsid w:val="00E5668A"/>
    <w:rsid w:val="00E567E7"/>
    <w:rsid w:val="00E56834"/>
    <w:rsid w:val="00E56872"/>
    <w:rsid w:val="00E5690E"/>
    <w:rsid w:val="00E56930"/>
    <w:rsid w:val="00E56D72"/>
    <w:rsid w:val="00E56EFD"/>
    <w:rsid w:val="00E57027"/>
    <w:rsid w:val="00E57203"/>
    <w:rsid w:val="00E573A0"/>
    <w:rsid w:val="00E57410"/>
    <w:rsid w:val="00E57451"/>
    <w:rsid w:val="00E574E8"/>
    <w:rsid w:val="00E5754D"/>
    <w:rsid w:val="00E575BE"/>
    <w:rsid w:val="00E575BF"/>
    <w:rsid w:val="00E57693"/>
    <w:rsid w:val="00E576BC"/>
    <w:rsid w:val="00E57795"/>
    <w:rsid w:val="00E577E2"/>
    <w:rsid w:val="00E57812"/>
    <w:rsid w:val="00E57876"/>
    <w:rsid w:val="00E57981"/>
    <w:rsid w:val="00E57C8B"/>
    <w:rsid w:val="00E57DF1"/>
    <w:rsid w:val="00E57E8C"/>
    <w:rsid w:val="00E57F5E"/>
    <w:rsid w:val="00E57F92"/>
    <w:rsid w:val="00E57FB6"/>
    <w:rsid w:val="00E60093"/>
    <w:rsid w:val="00E600CD"/>
    <w:rsid w:val="00E60210"/>
    <w:rsid w:val="00E603D1"/>
    <w:rsid w:val="00E603F4"/>
    <w:rsid w:val="00E604D3"/>
    <w:rsid w:val="00E6054B"/>
    <w:rsid w:val="00E6056F"/>
    <w:rsid w:val="00E60650"/>
    <w:rsid w:val="00E608D1"/>
    <w:rsid w:val="00E6096E"/>
    <w:rsid w:val="00E6098E"/>
    <w:rsid w:val="00E609D9"/>
    <w:rsid w:val="00E60B7B"/>
    <w:rsid w:val="00E60D1F"/>
    <w:rsid w:val="00E60DAA"/>
    <w:rsid w:val="00E60E03"/>
    <w:rsid w:val="00E60E24"/>
    <w:rsid w:val="00E60E6B"/>
    <w:rsid w:val="00E60E72"/>
    <w:rsid w:val="00E61051"/>
    <w:rsid w:val="00E610C3"/>
    <w:rsid w:val="00E610ED"/>
    <w:rsid w:val="00E6116D"/>
    <w:rsid w:val="00E6133F"/>
    <w:rsid w:val="00E61390"/>
    <w:rsid w:val="00E616C3"/>
    <w:rsid w:val="00E617F3"/>
    <w:rsid w:val="00E61A73"/>
    <w:rsid w:val="00E61AAC"/>
    <w:rsid w:val="00E61B74"/>
    <w:rsid w:val="00E61CF1"/>
    <w:rsid w:val="00E61D00"/>
    <w:rsid w:val="00E61DF0"/>
    <w:rsid w:val="00E61E17"/>
    <w:rsid w:val="00E61E6A"/>
    <w:rsid w:val="00E61F1D"/>
    <w:rsid w:val="00E61F8F"/>
    <w:rsid w:val="00E61F9C"/>
    <w:rsid w:val="00E61FDD"/>
    <w:rsid w:val="00E620F5"/>
    <w:rsid w:val="00E62116"/>
    <w:rsid w:val="00E6217B"/>
    <w:rsid w:val="00E6218A"/>
    <w:rsid w:val="00E621CB"/>
    <w:rsid w:val="00E621FA"/>
    <w:rsid w:val="00E6221C"/>
    <w:rsid w:val="00E623A0"/>
    <w:rsid w:val="00E6247C"/>
    <w:rsid w:val="00E624AB"/>
    <w:rsid w:val="00E62528"/>
    <w:rsid w:val="00E62597"/>
    <w:rsid w:val="00E625C7"/>
    <w:rsid w:val="00E625DA"/>
    <w:rsid w:val="00E62672"/>
    <w:rsid w:val="00E626F4"/>
    <w:rsid w:val="00E629AE"/>
    <w:rsid w:val="00E62A11"/>
    <w:rsid w:val="00E62B43"/>
    <w:rsid w:val="00E62D12"/>
    <w:rsid w:val="00E62D5B"/>
    <w:rsid w:val="00E62E7A"/>
    <w:rsid w:val="00E62EB1"/>
    <w:rsid w:val="00E63068"/>
    <w:rsid w:val="00E63393"/>
    <w:rsid w:val="00E634A4"/>
    <w:rsid w:val="00E63526"/>
    <w:rsid w:val="00E636DA"/>
    <w:rsid w:val="00E636F9"/>
    <w:rsid w:val="00E637A7"/>
    <w:rsid w:val="00E63839"/>
    <w:rsid w:val="00E63882"/>
    <w:rsid w:val="00E638AA"/>
    <w:rsid w:val="00E638C2"/>
    <w:rsid w:val="00E638F5"/>
    <w:rsid w:val="00E638FD"/>
    <w:rsid w:val="00E6397B"/>
    <w:rsid w:val="00E63A4B"/>
    <w:rsid w:val="00E63B62"/>
    <w:rsid w:val="00E63D55"/>
    <w:rsid w:val="00E63F40"/>
    <w:rsid w:val="00E6411F"/>
    <w:rsid w:val="00E64129"/>
    <w:rsid w:val="00E641ED"/>
    <w:rsid w:val="00E64239"/>
    <w:rsid w:val="00E642AB"/>
    <w:rsid w:val="00E64316"/>
    <w:rsid w:val="00E64511"/>
    <w:rsid w:val="00E646E9"/>
    <w:rsid w:val="00E647A4"/>
    <w:rsid w:val="00E648EF"/>
    <w:rsid w:val="00E64A14"/>
    <w:rsid w:val="00E64C61"/>
    <w:rsid w:val="00E64CD7"/>
    <w:rsid w:val="00E64CEE"/>
    <w:rsid w:val="00E64F99"/>
    <w:rsid w:val="00E6516C"/>
    <w:rsid w:val="00E6524F"/>
    <w:rsid w:val="00E653D2"/>
    <w:rsid w:val="00E654F4"/>
    <w:rsid w:val="00E65672"/>
    <w:rsid w:val="00E65783"/>
    <w:rsid w:val="00E658F4"/>
    <w:rsid w:val="00E658F7"/>
    <w:rsid w:val="00E65951"/>
    <w:rsid w:val="00E65960"/>
    <w:rsid w:val="00E659D6"/>
    <w:rsid w:val="00E65A21"/>
    <w:rsid w:val="00E65C85"/>
    <w:rsid w:val="00E65DBC"/>
    <w:rsid w:val="00E65E02"/>
    <w:rsid w:val="00E65F5C"/>
    <w:rsid w:val="00E65F9B"/>
    <w:rsid w:val="00E65FBA"/>
    <w:rsid w:val="00E66067"/>
    <w:rsid w:val="00E66139"/>
    <w:rsid w:val="00E66543"/>
    <w:rsid w:val="00E6661F"/>
    <w:rsid w:val="00E66782"/>
    <w:rsid w:val="00E66A58"/>
    <w:rsid w:val="00E66AA5"/>
    <w:rsid w:val="00E66BB2"/>
    <w:rsid w:val="00E66D0D"/>
    <w:rsid w:val="00E66D62"/>
    <w:rsid w:val="00E66DB1"/>
    <w:rsid w:val="00E66F3D"/>
    <w:rsid w:val="00E66F61"/>
    <w:rsid w:val="00E67172"/>
    <w:rsid w:val="00E672CE"/>
    <w:rsid w:val="00E673A6"/>
    <w:rsid w:val="00E6746D"/>
    <w:rsid w:val="00E67472"/>
    <w:rsid w:val="00E6748E"/>
    <w:rsid w:val="00E6758C"/>
    <w:rsid w:val="00E677C3"/>
    <w:rsid w:val="00E6786A"/>
    <w:rsid w:val="00E6788A"/>
    <w:rsid w:val="00E67932"/>
    <w:rsid w:val="00E679B5"/>
    <w:rsid w:val="00E67ACB"/>
    <w:rsid w:val="00E67B63"/>
    <w:rsid w:val="00E67B6D"/>
    <w:rsid w:val="00E67B8F"/>
    <w:rsid w:val="00E67D11"/>
    <w:rsid w:val="00E67D5E"/>
    <w:rsid w:val="00E67EDC"/>
    <w:rsid w:val="00E67FBE"/>
    <w:rsid w:val="00E67FF1"/>
    <w:rsid w:val="00E67FFA"/>
    <w:rsid w:val="00E70053"/>
    <w:rsid w:val="00E70103"/>
    <w:rsid w:val="00E70141"/>
    <w:rsid w:val="00E70206"/>
    <w:rsid w:val="00E70345"/>
    <w:rsid w:val="00E70442"/>
    <w:rsid w:val="00E7054B"/>
    <w:rsid w:val="00E7066A"/>
    <w:rsid w:val="00E7067C"/>
    <w:rsid w:val="00E70899"/>
    <w:rsid w:val="00E70AE5"/>
    <w:rsid w:val="00E70B53"/>
    <w:rsid w:val="00E70BB6"/>
    <w:rsid w:val="00E70D14"/>
    <w:rsid w:val="00E70DE1"/>
    <w:rsid w:val="00E70F82"/>
    <w:rsid w:val="00E70FEE"/>
    <w:rsid w:val="00E7106D"/>
    <w:rsid w:val="00E71095"/>
    <w:rsid w:val="00E710BE"/>
    <w:rsid w:val="00E71113"/>
    <w:rsid w:val="00E71138"/>
    <w:rsid w:val="00E711CF"/>
    <w:rsid w:val="00E71505"/>
    <w:rsid w:val="00E71574"/>
    <w:rsid w:val="00E71623"/>
    <w:rsid w:val="00E7166D"/>
    <w:rsid w:val="00E719EA"/>
    <w:rsid w:val="00E71AAB"/>
    <w:rsid w:val="00E71C43"/>
    <w:rsid w:val="00E71D89"/>
    <w:rsid w:val="00E71DF3"/>
    <w:rsid w:val="00E71E0B"/>
    <w:rsid w:val="00E71F48"/>
    <w:rsid w:val="00E720F4"/>
    <w:rsid w:val="00E7211C"/>
    <w:rsid w:val="00E721BE"/>
    <w:rsid w:val="00E72206"/>
    <w:rsid w:val="00E72228"/>
    <w:rsid w:val="00E724AE"/>
    <w:rsid w:val="00E72515"/>
    <w:rsid w:val="00E725F3"/>
    <w:rsid w:val="00E729D5"/>
    <w:rsid w:val="00E729E7"/>
    <w:rsid w:val="00E72A4E"/>
    <w:rsid w:val="00E72B00"/>
    <w:rsid w:val="00E72BBE"/>
    <w:rsid w:val="00E72C3C"/>
    <w:rsid w:val="00E72C59"/>
    <w:rsid w:val="00E72D21"/>
    <w:rsid w:val="00E72D85"/>
    <w:rsid w:val="00E72E45"/>
    <w:rsid w:val="00E72E7B"/>
    <w:rsid w:val="00E72E8D"/>
    <w:rsid w:val="00E72EE7"/>
    <w:rsid w:val="00E72F39"/>
    <w:rsid w:val="00E72FCD"/>
    <w:rsid w:val="00E73067"/>
    <w:rsid w:val="00E73101"/>
    <w:rsid w:val="00E732DC"/>
    <w:rsid w:val="00E732EA"/>
    <w:rsid w:val="00E73665"/>
    <w:rsid w:val="00E737E2"/>
    <w:rsid w:val="00E738F9"/>
    <w:rsid w:val="00E73906"/>
    <w:rsid w:val="00E73919"/>
    <w:rsid w:val="00E73930"/>
    <w:rsid w:val="00E739EC"/>
    <w:rsid w:val="00E73A85"/>
    <w:rsid w:val="00E73AF0"/>
    <w:rsid w:val="00E73B1B"/>
    <w:rsid w:val="00E73B55"/>
    <w:rsid w:val="00E73CFF"/>
    <w:rsid w:val="00E73D3A"/>
    <w:rsid w:val="00E73D52"/>
    <w:rsid w:val="00E73E8F"/>
    <w:rsid w:val="00E73FBC"/>
    <w:rsid w:val="00E73FBD"/>
    <w:rsid w:val="00E7432D"/>
    <w:rsid w:val="00E7433D"/>
    <w:rsid w:val="00E743C7"/>
    <w:rsid w:val="00E7446D"/>
    <w:rsid w:val="00E744DA"/>
    <w:rsid w:val="00E7453D"/>
    <w:rsid w:val="00E74573"/>
    <w:rsid w:val="00E74595"/>
    <w:rsid w:val="00E74672"/>
    <w:rsid w:val="00E747C2"/>
    <w:rsid w:val="00E7483E"/>
    <w:rsid w:val="00E749C0"/>
    <w:rsid w:val="00E74AD0"/>
    <w:rsid w:val="00E74AEB"/>
    <w:rsid w:val="00E74BB3"/>
    <w:rsid w:val="00E74BDC"/>
    <w:rsid w:val="00E74DA6"/>
    <w:rsid w:val="00E74ECC"/>
    <w:rsid w:val="00E74ED8"/>
    <w:rsid w:val="00E74F94"/>
    <w:rsid w:val="00E7522D"/>
    <w:rsid w:val="00E7532A"/>
    <w:rsid w:val="00E75508"/>
    <w:rsid w:val="00E75591"/>
    <w:rsid w:val="00E756E4"/>
    <w:rsid w:val="00E75702"/>
    <w:rsid w:val="00E7572B"/>
    <w:rsid w:val="00E757E1"/>
    <w:rsid w:val="00E75820"/>
    <w:rsid w:val="00E75B3D"/>
    <w:rsid w:val="00E75B9D"/>
    <w:rsid w:val="00E75BA1"/>
    <w:rsid w:val="00E760B2"/>
    <w:rsid w:val="00E76121"/>
    <w:rsid w:val="00E7628F"/>
    <w:rsid w:val="00E7646D"/>
    <w:rsid w:val="00E764B2"/>
    <w:rsid w:val="00E764D7"/>
    <w:rsid w:val="00E7652C"/>
    <w:rsid w:val="00E76641"/>
    <w:rsid w:val="00E766C9"/>
    <w:rsid w:val="00E76890"/>
    <w:rsid w:val="00E768BF"/>
    <w:rsid w:val="00E768DB"/>
    <w:rsid w:val="00E768E8"/>
    <w:rsid w:val="00E76A51"/>
    <w:rsid w:val="00E76B5E"/>
    <w:rsid w:val="00E76B70"/>
    <w:rsid w:val="00E76C2C"/>
    <w:rsid w:val="00E76D0E"/>
    <w:rsid w:val="00E76DD2"/>
    <w:rsid w:val="00E76E08"/>
    <w:rsid w:val="00E76EBF"/>
    <w:rsid w:val="00E76F91"/>
    <w:rsid w:val="00E7706D"/>
    <w:rsid w:val="00E77119"/>
    <w:rsid w:val="00E7713E"/>
    <w:rsid w:val="00E772B2"/>
    <w:rsid w:val="00E77372"/>
    <w:rsid w:val="00E77419"/>
    <w:rsid w:val="00E774EE"/>
    <w:rsid w:val="00E77522"/>
    <w:rsid w:val="00E775E3"/>
    <w:rsid w:val="00E77704"/>
    <w:rsid w:val="00E77748"/>
    <w:rsid w:val="00E778EB"/>
    <w:rsid w:val="00E77B69"/>
    <w:rsid w:val="00E77BBF"/>
    <w:rsid w:val="00E77C1F"/>
    <w:rsid w:val="00E77C93"/>
    <w:rsid w:val="00E77D01"/>
    <w:rsid w:val="00E77D21"/>
    <w:rsid w:val="00E77EA7"/>
    <w:rsid w:val="00E77FA0"/>
    <w:rsid w:val="00E77FA3"/>
    <w:rsid w:val="00E8000B"/>
    <w:rsid w:val="00E80068"/>
    <w:rsid w:val="00E80126"/>
    <w:rsid w:val="00E80427"/>
    <w:rsid w:val="00E80486"/>
    <w:rsid w:val="00E804F2"/>
    <w:rsid w:val="00E80582"/>
    <w:rsid w:val="00E805CA"/>
    <w:rsid w:val="00E8061F"/>
    <w:rsid w:val="00E80695"/>
    <w:rsid w:val="00E807A2"/>
    <w:rsid w:val="00E80824"/>
    <w:rsid w:val="00E8091E"/>
    <w:rsid w:val="00E80977"/>
    <w:rsid w:val="00E80A87"/>
    <w:rsid w:val="00E80C9A"/>
    <w:rsid w:val="00E80DCE"/>
    <w:rsid w:val="00E80EB3"/>
    <w:rsid w:val="00E80FBE"/>
    <w:rsid w:val="00E811E5"/>
    <w:rsid w:val="00E812C9"/>
    <w:rsid w:val="00E812D7"/>
    <w:rsid w:val="00E81357"/>
    <w:rsid w:val="00E81458"/>
    <w:rsid w:val="00E81538"/>
    <w:rsid w:val="00E81601"/>
    <w:rsid w:val="00E81657"/>
    <w:rsid w:val="00E81771"/>
    <w:rsid w:val="00E8179E"/>
    <w:rsid w:val="00E81899"/>
    <w:rsid w:val="00E818CD"/>
    <w:rsid w:val="00E819C1"/>
    <w:rsid w:val="00E81C96"/>
    <w:rsid w:val="00E81CA3"/>
    <w:rsid w:val="00E81DBE"/>
    <w:rsid w:val="00E81E0F"/>
    <w:rsid w:val="00E81F59"/>
    <w:rsid w:val="00E82001"/>
    <w:rsid w:val="00E820F0"/>
    <w:rsid w:val="00E8212B"/>
    <w:rsid w:val="00E82190"/>
    <w:rsid w:val="00E821C4"/>
    <w:rsid w:val="00E822A2"/>
    <w:rsid w:val="00E822C2"/>
    <w:rsid w:val="00E822F0"/>
    <w:rsid w:val="00E823EB"/>
    <w:rsid w:val="00E82497"/>
    <w:rsid w:val="00E82687"/>
    <w:rsid w:val="00E826F9"/>
    <w:rsid w:val="00E82729"/>
    <w:rsid w:val="00E82764"/>
    <w:rsid w:val="00E8279A"/>
    <w:rsid w:val="00E827ED"/>
    <w:rsid w:val="00E82927"/>
    <w:rsid w:val="00E82954"/>
    <w:rsid w:val="00E82A06"/>
    <w:rsid w:val="00E82A5B"/>
    <w:rsid w:val="00E82BD8"/>
    <w:rsid w:val="00E82FD8"/>
    <w:rsid w:val="00E83158"/>
    <w:rsid w:val="00E83296"/>
    <w:rsid w:val="00E8338B"/>
    <w:rsid w:val="00E833ED"/>
    <w:rsid w:val="00E834E4"/>
    <w:rsid w:val="00E835A5"/>
    <w:rsid w:val="00E835BC"/>
    <w:rsid w:val="00E836A9"/>
    <w:rsid w:val="00E836AE"/>
    <w:rsid w:val="00E836EF"/>
    <w:rsid w:val="00E83899"/>
    <w:rsid w:val="00E83A86"/>
    <w:rsid w:val="00E83AA9"/>
    <w:rsid w:val="00E83AFC"/>
    <w:rsid w:val="00E83B16"/>
    <w:rsid w:val="00E83B45"/>
    <w:rsid w:val="00E83BD3"/>
    <w:rsid w:val="00E83CE5"/>
    <w:rsid w:val="00E83CEB"/>
    <w:rsid w:val="00E83CF9"/>
    <w:rsid w:val="00E83DA4"/>
    <w:rsid w:val="00E83FD0"/>
    <w:rsid w:val="00E84554"/>
    <w:rsid w:val="00E84633"/>
    <w:rsid w:val="00E8480E"/>
    <w:rsid w:val="00E84884"/>
    <w:rsid w:val="00E84906"/>
    <w:rsid w:val="00E8495B"/>
    <w:rsid w:val="00E84AB9"/>
    <w:rsid w:val="00E84BC5"/>
    <w:rsid w:val="00E84C28"/>
    <w:rsid w:val="00E84D87"/>
    <w:rsid w:val="00E84DFD"/>
    <w:rsid w:val="00E84FB0"/>
    <w:rsid w:val="00E852F0"/>
    <w:rsid w:val="00E85503"/>
    <w:rsid w:val="00E85511"/>
    <w:rsid w:val="00E8551B"/>
    <w:rsid w:val="00E8553C"/>
    <w:rsid w:val="00E85598"/>
    <w:rsid w:val="00E855FB"/>
    <w:rsid w:val="00E857CC"/>
    <w:rsid w:val="00E85822"/>
    <w:rsid w:val="00E8583D"/>
    <w:rsid w:val="00E85A08"/>
    <w:rsid w:val="00E85C7A"/>
    <w:rsid w:val="00E85D1C"/>
    <w:rsid w:val="00E85D61"/>
    <w:rsid w:val="00E85E05"/>
    <w:rsid w:val="00E85E32"/>
    <w:rsid w:val="00E85F5E"/>
    <w:rsid w:val="00E86097"/>
    <w:rsid w:val="00E86137"/>
    <w:rsid w:val="00E862C4"/>
    <w:rsid w:val="00E86357"/>
    <w:rsid w:val="00E863A1"/>
    <w:rsid w:val="00E864A4"/>
    <w:rsid w:val="00E8653F"/>
    <w:rsid w:val="00E86581"/>
    <w:rsid w:val="00E8666C"/>
    <w:rsid w:val="00E86737"/>
    <w:rsid w:val="00E867AB"/>
    <w:rsid w:val="00E86902"/>
    <w:rsid w:val="00E86979"/>
    <w:rsid w:val="00E869CD"/>
    <w:rsid w:val="00E86AB2"/>
    <w:rsid w:val="00E86B03"/>
    <w:rsid w:val="00E86B53"/>
    <w:rsid w:val="00E86B6E"/>
    <w:rsid w:val="00E86B9C"/>
    <w:rsid w:val="00E86C09"/>
    <w:rsid w:val="00E86C31"/>
    <w:rsid w:val="00E86C9C"/>
    <w:rsid w:val="00E86CBD"/>
    <w:rsid w:val="00E86CE5"/>
    <w:rsid w:val="00E86DFB"/>
    <w:rsid w:val="00E86EB9"/>
    <w:rsid w:val="00E86ED6"/>
    <w:rsid w:val="00E871F5"/>
    <w:rsid w:val="00E871FA"/>
    <w:rsid w:val="00E873A8"/>
    <w:rsid w:val="00E873D5"/>
    <w:rsid w:val="00E8743A"/>
    <w:rsid w:val="00E875EE"/>
    <w:rsid w:val="00E876EB"/>
    <w:rsid w:val="00E8774E"/>
    <w:rsid w:val="00E87958"/>
    <w:rsid w:val="00E879C2"/>
    <w:rsid w:val="00E87AE9"/>
    <w:rsid w:val="00E87B5F"/>
    <w:rsid w:val="00E87B61"/>
    <w:rsid w:val="00E87BD7"/>
    <w:rsid w:val="00E87BD8"/>
    <w:rsid w:val="00E87CD5"/>
    <w:rsid w:val="00E87F71"/>
    <w:rsid w:val="00E90115"/>
    <w:rsid w:val="00E9013A"/>
    <w:rsid w:val="00E90144"/>
    <w:rsid w:val="00E90146"/>
    <w:rsid w:val="00E9019C"/>
    <w:rsid w:val="00E90247"/>
    <w:rsid w:val="00E902A1"/>
    <w:rsid w:val="00E90301"/>
    <w:rsid w:val="00E90519"/>
    <w:rsid w:val="00E905FE"/>
    <w:rsid w:val="00E90650"/>
    <w:rsid w:val="00E907B8"/>
    <w:rsid w:val="00E908E6"/>
    <w:rsid w:val="00E908E7"/>
    <w:rsid w:val="00E90924"/>
    <w:rsid w:val="00E909B9"/>
    <w:rsid w:val="00E90A05"/>
    <w:rsid w:val="00E90A70"/>
    <w:rsid w:val="00E90BC2"/>
    <w:rsid w:val="00E90CDB"/>
    <w:rsid w:val="00E90DE6"/>
    <w:rsid w:val="00E90F1F"/>
    <w:rsid w:val="00E9104F"/>
    <w:rsid w:val="00E910F8"/>
    <w:rsid w:val="00E9112A"/>
    <w:rsid w:val="00E911C9"/>
    <w:rsid w:val="00E913B3"/>
    <w:rsid w:val="00E9145A"/>
    <w:rsid w:val="00E9151F"/>
    <w:rsid w:val="00E91740"/>
    <w:rsid w:val="00E917C9"/>
    <w:rsid w:val="00E918CF"/>
    <w:rsid w:val="00E91925"/>
    <w:rsid w:val="00E9199D"/>
    <w:rsid w:val="00E91B8D"/>
    <w:rsid w:val="00E91C12"/>
    <w:rsid w:val="00E91C1A"/>
    <w:rsid w:val="00E91D8B"/>
    <w:rsid w:val="00E91E86"/>
    <w:rsid w:val="00E91ED9"/>
    <w:rsid w:val="00E91F5A"/>
    <w:rsid w:val="00E91FC4"/>
    <w:rsid w:val="00E922F1"/>
    <w:rsid w:val="00E92550"/>
    <w:rsid w:val="00E92586"/>
    <w:rsid w:val="00E9259E"/>
    <w:rsid w:val="00E927CD"/>
    <w:rsid w:val="00E928FD"/>
    <w:rsid w:val="00E92A92"/>
    <w:rsid w:val="00E92B2C"/>
    <w:rsid w:val="00E92B5E"/>
    <w:rsid w:val="00E92ED7"/>
    <w:rsid w:val="00E93032"/>
    <w:rsid w:val="00E93264"/>
    <w:rsid w:val="00E93270"/>
    <w:rsid w:val="00E9338D"/>
    <w:rsid w:val="00E934C4"/>
    <w:rsid w:val="00E93555"/>
    <w:rsid w:val="00E9361A"/>
    <w:rsid w:val="00E93681"/>
    <w:rsid w:val="00E93745"/>
    <w:rsid w:val="00E9376A"/>
    <w:rsid w:val="00E938FD"/>
    <w:rsid w:val="00E939D0"/>
    <w:rsid w:val="00E93A5D"/>
    <w:rsid w:val="00E93AF6"/>
    <w:rsid w:val="00E93DEE"/>
    <w:rsid w:val="00E93E71"/>
    <w:rsid w:val="00E93FC3"/>
    <w:rsid w:val="00E94101"/>
    <w:rsid w:val="00E94156"/>
    <w:rsid w:val="00E94172"/>
    <w:rsid w:val="00E94283"/>
    <w:rsid w:val="00E942DE"/>
    <w:rsid w:val="00E94313"/>
    <w:rsid w:val="00E9432D"/>
    <w:rsid w:val="00E94472"/>
    <w:rsid w:val="00E9454F"/>
    <w:rsid w:val="00E94554"/>
    <w:rsid w:val="00E945FB"/>
    <w:rsid w:val="00E9467A"/>
    <w:rsid w:val="00E94753"/>
    <w:rsid w:val="00E947B6"/>
    <w:rsid w:val="00E94830"/>
    <w:rsid w:val="00E948A4"/>
    <w:rsid w:val="00E94933"/>
    <w:rsid w:val="00E9499F"/>
    <w:rsid w:val="00E949CF"/>
    <w:rsid w:val="00E94A2A"/>
    <w:rsid w:val="00E94A96"/>
    <w:rsid w:val="00E94AB6"/>
    <w:rsid w:val="00E94DB3"/>
    <w:rsid w:val="00E94DFA"/>
    <w:rsid w:val="00E95192"/>
    <w:rsid w:val="00E9524C"/>
    <w:rsid w:val="00E95304"/>
    <w:rsid w:val="00E95532"/>
    <w:rsid w:val="00E9588D"/>
    <w:rsid w:val="00E958B0"/>
    <w:rsid w:val="00E959C8"/>
    <w:rsid w:val="00E95B20"/>
    <w:rsid w:val="00E95B9E"/>
    <w:rsid w:val="00E95BD1"/>
    <w:rsid w:val="00E95BFC"/>
    <w:rsid w:val="00E95C1A"/>
    <w:rsid w:val="00E95C7D"/>
    <w:rsid w:val="00E95D2F"/>
    <w:rsid w:val="00E95DD6"/>
    <w:rsid w:val="00E95F8D"/>
    <w:rsid w:val="00E9602B"/>
    <w:rsid w:val="00E9602E"/>
    <w:rsid w:val="00E960D2"/>
    <w:rsid w:val="00E960F0"/>
    <w:rsid w:val="00E961DF"/>
    <w:rsid w:val="00E961EB"/>
    <w:rsid w:val="00E9625C"/>
    <w:rsid w:val="00E9627F"/>
    <w:rsid w:val="00E962C3"/>
    <w:rsid w:val="00E96372"/>
    <w:rsid w:val="00E963B1"/>
    <w:rsid w:val="00E966E9"/>
    <w:rsid w:val="00E968BE"/>
    <w:rsid w:val="00E96A06"/>
    <w:rsid w:val="00E96A10"/>
    <w:rsid w:val="00E96A8A"/>
    <w:rsid w:val="00E96AA7"/>
    <w:rsid w:val="00E96BE9"/>
    <w:rsid w:val="00E96BF0"/>
    <w:rsid w:val="00E96C23"/>
    <w:rsid w:val="00E96E42"/>
    <w:rsid w:val="00E96E5C"/>
    <w:rsid w:val="00E96E81"/>
    <w:rsid w:val="00E96EF5"/>
    <w:rsid w:val="00E970B5"/>
    <w:rsid w:val="00E97358"/>
    <w:rsid w:val="00E974F0"/>
    <w:rsid w:val="00E9751A"/>
    <w:rsid w:val="00E975F2"/>
    <w:rsid w:val="00E975FF"/>
    <w:rsid w:val="00E9771E"/>
    <w:rsid w:val="00E978F3"/>
    <w:rsid w:val="00E97A67"/>
    <w:rsid w:val="00E97A6C"/>
    <w:rsid w:val="00E97BB5"/>
    <w:rsid w:val="00E97BE8"/>
    <w:rsid w:val="00E97C00"/>
    <w:rsid w:val="00E97D76"/>
    <w:rsid w:val="00E97DCE"/>
    <w:rsid w:val="00E97E24"/>
    <w:rsid w:val="00EA0027"/>
    <w:rsid w:val="00EA002E"/>
    <w:rsid w:val="00EA013A"/>
    <w:rsid w:val="00EA0167"/>
    <w:rsid w:val="00EA03EC"/>
    <w:rsid w:val="00EA0411"/>
    <w:rsid w:val="00EA06A9"/>
    <w:rsid w:val="00EA06FA"/>
    <w:rsid w:val="00EA0736"/>
    <w:rsid w:val="00EA0771"/>
    <w:rsid w:val="00EA0837"/>
    <w:rsid w:val="00EA0A0B"/>
    <w:rsid w:val="00EA0A46"/>
    <w:rsid w:val="00EA0ACD"/>
    <w:rsid w:val="00EA0BB4"/>
    <w:rsid w:val="00EA0C22"/>
    <w:rsid w:val="00EA0CFD"/>
    <w:rsid w:val="00EA0D3D"/>
    <w:rsid w:val="00EA0D7B"/>
    <w:rsid w:val="00EA0DC9"/>
    <w:rsid w:val="00EA0DCE"/>
    <w:rsid w:val="00EA0E9A"/>
    <w:rsid w:val="00EA10BD"/>
    <w:rsid w:val="00EA110B"/>
    <w:rsid w:val="00EA1179"/>
    <w:rsid w:val="00EA13BC"/>
    <w:rsid w:val="00EA14B8"/>
    <w:rsid w:val="00EA14BA"/>
    <w:rsid w:val="00EA14CF"/>
    <w:rsid w:val="00EA158D"/>
    <w:rsid w:val="00EA15FA"/>
    <w:rsid w:val="00EA16A8"/>
    <w:rsid w:val="00EA16B5"/>
    <w:rsid w:val="00EA16DC"/>
    <w:rsid w:val="00EA170F"/>
    <w:rsid w:val="00EA1758"/>
    <w:rsid w:val="00EA17E7"/>
    <w:rsid w:val="00EA1882"/>
    <w:rsid w:val="00EA19AF"/>
    <w:rsid w:val="00EA1B9B"/>
    <w:rsid w:val="00EA1BA9"/>
    <w:rsid w:val="00EA1BD4"/>
    <w:rsid w:val="00EA1C7F"/>
    <w:rsid w:val="00EA1E11"/>
    <w:rsid w:val="00EA22BC"/>
    <w:rsid w:val="00EA239E"/>
    <w:rsid w:val="00EA23FB"/>
    <w:rsid w:val="00EA249B"/>
    <w:rsid w:val="00EA26B1"/>
    <w:rsid w:val="00EA26F0"/>
    <w:rsid w:val="00EA27DE"/>
    <w:rsid w:val="00EA2849"/>
    <w:rsid w:val="00EA2903"/>
    <w:rsid w:val="00EA2992"/>
    <w:rsid w:val="00EA2A32"/>
    <w:rsid w:val="00EA2B1F"/>
    <w:rsid w:val="00EA2B94"/>
    <w:rsid w:val="00EA2CA1"/>
    <w:rsid w:val="00EA2CBC"/>
    <w:rsid w:val="00EA2CC9"/>
    <w:rsid w:val="00EA2D00"/>
    <w:rsid w:val="00EA2E2D"/>
    <w:rsid w:val="00EA2E76"/>
    <w:rsid w:val="00EA30F6"/>
    <w:rsid w:val="00EA3131"/>
    <w:rsid w:val="00EA31AC"/>
    <w:rsid w:val="00EA3366"/>
    <w:rsid w:val="00EA3386"/>
    <w:rsid w:val="00EA34D5"/>
    <w:rsid w:val="00EA34F8"/>
    <w:rsid w:val="00EA352B"/>
    <w:rsid w:val="00EA3590"/>
    <w:rsid w:val="00EA35E3"/>
    <w:rsid w:val="00EA378E"/>
    <w:rsid w:val="00EA37A7"/>
    <w:rsid w:val="00EA3819"/>
    <w:rsid w:val="00EA384D"/>
    <w:rsid w:val="00EA386F"/>
    <w:rsid w:val="00EA3B00"/>
    <w:rsid w:val="00EA3BFA"/>
    <w:rsid w:val="00EA3DAF"/>
    <w:rsid w:val="00EA3F39"/>
    <w:rsid w:val="00EA3F93"/>
    <w:rsid w:val="00EA3FCE"/>
    <w:rsid w:val="00EA40E6"/>
    <w:rsid w:val="00EA4144"/>
    <w:rsid w:val="00EA4209"/>
    <w:rsid w:val="00EA4718"/>
    <w:rsid w:val="00EA4785"/>
    <w:rsid w:val="00EA4A0D"/>
    <w:rsid w:val="00EA4A9A"/>
    <w:rsid w:val="00EA4C84"/>
    <w:rsid w:val="00EA4DAD"/>
    <w:rsid w:val="00EA4F62"/>
    <w:rsid w:val="00EA500C"/>
    <w:rsid w:val="00EA5017"/>
    <w:rsid w:val="00EA506E"/>
    <w:rsid w:val="00EA5097"/>
    <w:rsid w:val="00EA5326"/>
    <w:rsid w:val="00EA536B"/>
    <w:rsid w:val="00EA5377"/>
    <w:rsid w:val="00EA53AE"/>
    <w:rsid w:val="00EA547D"/>
    <w:rsid w:val="00EA54CA"/>
    <w:rsid w:val="00EA54FA"/>
    <w:rsid w:val="00EA5503"/>
    <w:rsid w:val="00EA553A"/>
    <w:rsid w:val="00EA55BD"/>
    <w:rsid w:val="00EA560E"/>
    <w:rsid w:val="00EA5654"/>
    <w:rsid w:val="00EA5724"/>
    <w:rsid w:val="00EA591A"/>
    <w:rsid w:val="00EA599F"/>
    <w:rsid w:val="00EA59FC"/>
    <w:rsid w:val="00EA5A70"/>
    <w:rsid w:val="00EA5C53"/>
    <w:rsid w:val="00EA5CE6"/>
    <w:rsid w:val="00EA5DAF"/>
    <w:rsid w:val="00EA61A5"/>
    <w:rsid w:val="00EA625F"/>
    <w:rsid w:val="00EA641A"/>
    <w:rsid w:val="00EA6432"/>
    <w:rsid w:val="00EA6589"/>
    <w:rsid w:val="00EA65B9"/>
    <w:rsid w:val="00EA6684"/>
    <w:rsid w:val="00EA66CB"/>
    <w:rsid w:val="00EA675E"/>
    <w:rsid w:val="00EA6798"/>
    <w:rsid w:val="00EA69D0"/>
    <w:rsid w:val="00EA69F5"/>
    <w:rsid w:val="00EA6AEA"/>
    <w:rsid w:val="00EA6BC5"/>
    <w:rsid w:val="00EA6C74"/>
    <w:rsid w:val="00EA6C8B"/>
    <w:rsid w:val="00EA6D08"/>
    <w:rsid w:val="00EA6EB8"/>
    <w:rsid w:val="00EA6F80"/>
    <w:rsid w:val="00EA6F84"/>
    <w:rsid w:val="00EA6FB8"/>
    <w:rsid w:val="00EA6FC9"/>
    <w:rsid w:val="00EA70CE"/>
    <w:rsid w:val="00EA7486"/>
    <w:rsid w:val="00EA74B4"/>
    <w:rsid w:val="00EA7524"/>
    <w:rsid w:val="00EA7549"/>
    <w:rsid w:val="00EA765A"/>
    <w:rsid w:val="00EA76AD"/>
    <w:rsid w:val="00EA778C"/>
    <w:rsid w:val="00EA79D0"/>
    <w:rsid w:val="00EA79ED"/>
    <w:rsid w:val="00EA7A3C"/>
    <w:rsid w:val="00EA7ACD"/>
    <w:rsid w:val="00EA7B42"/>
    <w:rsid w:val="00EA7B6B"/>
    <w:rsid w:val="00EA7D78"/>
    <w:rsid w:val="00EA7D84"/>
    <w:rsid w:val="00EA7DD4"/>
    <w:rsid w:val="00EA7E52"/>
    <w:rsid w:val="00EA7E94"/>
    <w:rsid w:val="00EA7FE5"/>
    <w:rsid w:val="00EB006C"/>
    <w:rsid w:val="00EB0275"/>
    <w:rsid w:val="00EB0403"/>
    <w:rsid w:val="00EB0A18"/>
    <w:rsid w:val="00EB0B6E"/>
    <w:rsid w:val="00EB0BCB"/>
    <w:rsid w:val="00EB0D8E"/>
    <w:rsid w:val="00EB0DA6"/>
    <w:rsid w:val="00EB0DC7"/>
    <w:rsid w:val="00EB0E64"/>
    <w:rsid w:val="00EB105A"/>
    <w:rsid w:val="00EB1127"/>
    <w:rsid w:val="00EB1206"/>
    <w:rsid w:val="00EB1212"/>
    <w:rsid w:val="00EB126C"/>
    <w:rsid w:val="00EB12A1"/>
    <w:rsid w:val="00EB12C7"/>
    <w:rsid w:val="00EB12EB"/>
    <w:rsid w:val="00EB149A"/>
    <w:rsid w:val="00EB1631"/>
    <w:rsid w:val="00EB1878"/>
    <w:rsid w:val="00EB18BB"/>
    <w:rsid w:val="00EB190D"/>
    <w:rsid w:val="00EB1968"/>
    <w:rsid w:val="00EB1B9F"/>
    <w:rsid w:val="00EB1C19"/>
    <w:rsid w:val="00EB1CA0"/>
    <w:rsid w:val="00EB1CE9"/>
    <w:rsid w:val="00EB1D44"/>
    <w:rsid w:val="00EB1E3B"/>
    <w:rsid w:val="00EB1E62"/>
    <w:rsid w:val="00EB1E6C"/>
    <w:rsid w:val="00EB2100"/>
    <w:rsid w:val="00EB2227"/>
    <w:rsid w:val="00EB22F4"/>
    <w:rsid w:val="00EB2396"/>
    <w:rsid w:val="00EB23BF"/>
    <w:rsid w:val="00EB23CA"/>
    <w:rsid w:val="00EB23F0"/>
    <w:rsid w:val="00EB2451"/>
    <w:rsid w:val="00EB2570"/>
    <w:rsid w:val="00EB25BB"/>
    <w:rsid w:val="00EB2674"/>
    <w:rsid w:val="00EB2711"/>
    <w:rsid w:val="00EB28D0"/>
    <w:rsid w:val="00EB2BF5"/>
    <w:rsid w:val="00EB2DBA"/>
    <w:rsid w:val="00EB2E43"/>
    <w:rsid w:val="00EB2E68"/>
    <w:rsid w:val="00EB3039"/>
    <w:rsid w:val="00EB3101"/>
    <w:rsid w:val="00EB3193"/>
    <w:rsid w:val="00EB31A0"/>
    <w:rsid w:val="00EB31D5"/>
    <w:rsid w:val="00EB31F6"/>
    <w:rsid w:val="00EB3271"/>
    <w:rsid w:val="00EB330A"/>
    <w:rsid w:val="00EB338B"/>
    <w:rsid w:val="00EB3395"/>
    <w:rsid w:val="00EB33A3"/>
    <w:rsid w:val="00EB33F2"/>
    <w:rsid w:val="00EB3515"/>
    <w:rsid w:val="00EB359F"/>
    <w:rsid w:val="00EB364A"/>
    <w:rsid w:val="00EB37A7"/>
    <w:rsid w:val="00EB3915"/>
    <w:rsid w:val="00EB3A21"/>
    <w:rsid w:val="00EB3A34"/>
    <w:rsid w:val="00EB3A5F"/>
    <w:rsid w:val="00EB3A9E"/>
    <w:rsid w:val="00EB3BA8"/>
    <w:rsid w:val="00EB3C2A"/>
    <w:rsid w:val="00EB3CF6"/>
    <w:rsid w:val="00EB3D4B"/>
    <w:rsid w:val="00EB3D63"/>
    <w:rsid w:val="00EB3E62"/>
    <w:rsid w:val="00EB3F93"/>
    <w:rsid w:val="00EB3F98"/>
    <w:rsid w:val="00EB4057"/>
    <w:rsid w:val="00EB40B2"/>
    <w:rsid w:val="00EB4264"/>
    <w:rsid w:val="00EB432C"/>
    <w:rsid w:val="00EB4332"/>
    <w:rsid w:val="00EB456E"/>
    <w:rsid w:val="00EB45E1"/>
    <w:rsid w:val="00EB461B"/>
    <w:rsid w:val="00EB466A"/>
    <w:rsid w:val="00EB46B7"/>
    <w:rsid w:val="00EB47D5"/>
    <w:rsid w:val="00EB4871"/>
    <w:rsid w:val="00EB48A1"/>
    <w:rsid w:val="00EB48AB"/>
    <w:rsid w:val="00EB4969"/>
    <w:rsid w:val="00EB4CBA"/>
    <w:rsid w:val="00EB4CEB"/>
    <w:rsid w:val="00EB4DFC"/>
    <w:rsid w:val="00EB4F2F"/>
    <w:rsid w:val="00EB506C"/>
    <w:rsid w:val="00EB50C8"/>
    <w:rsid w:val="00EB5238"/>
    <w:rsid w:val="00EB527D"/>
    <w:rsid w:val="00EB52B0"/>
    <w:rsid w:val="00EB538D"/>
    <w:rsid w:val="00EB562F"/>
    <w:rsid w:val="00EB5782"/>
    <w:rsid w:val="00EB5871"/>
    <w:rsid w:val="00EB58F9"/>
    <w:rsid w:val="00EB5943"/>
    <w:rsid w:val="00EB5974"/>
    <w:rsid w:val="00EB5A25"/>
    <w:rsid w:val="00EB5A5E"/>
    <w:rsid w:val="00EB5B3B"/>
    <w:rsid w:val="00EB5B3F"/>
    <w:rsid w:val="00EB5BE6"/>
    <w:rsid w:val="00EB5DCE"/>
    <w:rsid w:val="00EB5E62"/>
    <w:rsid w:val="00EB5E71"/>
    <w:rsid w:val="00EB610D"/>
    <w:rsid w:val="00EB62CE"/>
    <w:rsid w:val="00EB633A"/>
    <w:rsid w:val="00EB6341"/>
    <w:rsid w:val="00EB64DC"/>
    <w:rsid w:val="00EB652E"/>
    <w:rsid w:val="00EB6566"/>
    <w:rsid w:val="00EB6594"/>
    <w:rsid w:val="00EB65D1"/>
    <w:rsid w:val="00EB665B"/>
    <w:rsid w:val="00EB6665"/>
    <w:rsid w:val="00EB6A45"/>
    <w:rsid w:val="00EB6BCE"/>
    <w:rsid w:val="00EB6BF5"/>
    <w:rsid w:val="00EB6C08"/>
    <w:rsid w:val="00EB6C13"/>
    <w:rsid w:val="00EB6CE7"/>
    <w:rsid w:val="00EB6D76"/>
    <w:rsid w:val="00EB6FC9"/>
    <w:rsid w:val="00EB706F"/>
    <w:rsid w:val="00EB72C0"/>
    <w:rsid w:val="00EB732C"/>
    <w:rsid w:val="00EB73D4"/>
    <w:rsid w:val="00EB7507"/>
    <w:rsid w:val="00EB750A"/>
    <w:rsid w:val="00EB76E4"/>
    <w:rsid w:val="00EB7794"/>
    <w:rsid w:val="00EB7836"/>
    <w:rsid w:val="00EB7952"/>
    <w:rsid w:val="00EB7A11"/>
    <w:rsid w:val="00EB7AA9"/>
    <w:rsid w:val="00EB7ACF"/>
    <w:rsid w:val="00EB7BDD"/>
    <w:rsid w:val="00EB7C04"/>
    <w:rsid w:val="00EB7CC4"/>
    <w:rsid w:val="00EB7E85"/>
    <w:rsid w:val="00EB7EF6"/>
    <w:rsid w:val="00EB7F06"/>
    <w:rsid w:val="00EB7F85"/>
    <w:rsid w:val="00EB7FEF"/>
    <w:rsid w:val="00EC001E"/>
    <w:rsid w:val="00EC0077"/>
    <w:rsid w:val="00EC008A"/>
    <w:rsid w:val="00EC00B0"/>
    <w:rsid w:val="00EC0100"/>
    <w:rsid w:val="00EC0152"/>
    <w:rsid w:val="00EC03DB"/>
    <w:rsid w:val="00EC041B"/>
    <w:rsid w:val="00EC045D"/>
    <w:rsid w:val="00EC049E"/>
    <w:rsid w:val="00EC063B"/>
    <w:rsid w:val="00EC08A1"/>
    <w:rsid w:val="00EC0997"/>
    <w:rsid w:val="00EC0B17"/>
    <w:rsid w:val="00EC0C1C"/>
    <w:rsid w:val="00EC0D42"/>
    <w:rsid w:val="00EC0E0E"/>
    <w:rsid w:val="00EC0E86"/>
    <w:rsid w:val="00EC0ECD"/>
    <w:rsid w:val="00EC1024"/>
    <w:rsid w:val="00EC114A"/>
    <w:rsid w:val="00EC11C7"/>
    <w:rsid w:val="00EC1339"/>
    <w:rsid w:val="00EC14C8"/>
    <w:rsid w:val="00EC1580"/>
    <w:rsid w:val="00EC16DE"/>
    <w:rsid w:val="00EC177A"/>
    <w:rsid w:val="00EC18C2"/>
    <w:rsid w:val="00EC1905"/>
    <w:rsid w:val="00EC1BEC"/>
    <w:rsid w:val="00EC1C0A"/>
    <w:rsid w:val="00EC1C8C"/>
    <w:rsid w:val="00EC1D6E"/>
    <w:rsid w:val="00EC1DFF"/>
    <w:rsid w:val="00EC1FF8"/>
    <w:rsid w:val="00EC2015"/>
    <w:rsid w:val="00EC205E"/>
    <w:rsid w:val="00EC20EA"/>
    <w:rsid w:val="00EC2138"/>
    <w:rsid w:val="00EC24A0"/>
    <w:rsid w:val="00EC24F1"/>
    <w:rsid w:val="00EC252F"/>
    <w:rsid w:val="00EC2630"/>
    <w:rsid w:val="00EC26E1"/>
    <w:rsid w:val="00EC26E7"/>
    <w:rsid w:val="00EC2853"/>
    <w:rsid w:val="00EC28CF"/>
    <w:rsid w:val="00EC2949"/>
    <w:rsid w:val="00EC29C4"/>
    <w:rsid w:val="00EC2B52"/>
    <w:rsid w:val="00EC2D7F"/>
    <w:rsid w:val="00EC2DC5"/>
    <w:rsid w:val="00EC30E1"/>
    <w:rsid w:val="00EC311A"/>
    <w:rsid w:val="00EC31ED"/>
    <w:rsid w:val="00EC3301"/>
    <w:rsid w:val="00EC336D"/>
    <w:rsid w:val="00EC33BB"/>
    <w:rsid w:val="00EC3561"/>
    <w:rsid w:val="00EC3631"/>
    <w:rsid w:val="00EC364F"/>
    <w:rsid w:val="00EC3656"/>
    <w:rsid w:val="00EC36EA"/>
    <w:rsid w:val="00EC3937"/>
    <w:rsid w:val="00EC3A02"/>
    <w:rsid w:val="00EC3A04"/>
    <w:rsid w:val="00EC3A30"/>
    <w:rsid w:val="00EC3D2E"/>
    <w:rsid w:val="00EC3E6B"/>
    <w:rsid w:val="00EC3EF0"/>
    <w:rsid w:val="00EC3F2E"/>
    <w:rsid w:val="00EC3F32"/>
    <w:rsid w:val="00EC3F52"/>
    <w:rsid w:val="00EC3F88"/>
    <w:rsid w:val="00EC4099"/>
    <w:rsid w:val="00EC40F4"/>
    <w:rsid w:val="00EC41A8"/>
    <w:rsid w:val="00EC41CB"/>
    <w:rsid w:val="00EC41F9"/>
    <w:rsid w:val="00EC4211"/>
    <w:rsid w:val="00EC425D"/>
    <w:rsid w:val="00EC4437"/>
    <w:rsid w:val="00EC4442"/>
    <w:rsid w:val="00EC45CA"/>
    <w:rsid w:val="00EC466E"/>
    <w:rsid w:val="00EC467F"/>
    <w:rsid w:val="00EC48B8"/>
    <w:rsid w:val="00EC49C6"/>
    <w:rsid w:val="00EC4A10"/>
    <w:rsid w:val="00EC4B3B"/>
    <w:rsid w:val="00EC4CCA"/>
    <w:rsid w:val="00EC4D6F"/>
    <w:rsid w:val="00EC4E1D"/>
    <w:rsid w:val="00EC4E3F"/>
    <w:rsid w:val="00EC4E62"/>
    <w:rsid w:val="00EC4EB6"/>
    <w:rsid w:val="00EC4EEE"/>
    <w:rsid w:val="00EC4F1B"/>
    <w:rsid w:val="00EC4F4B"/>
    <w:rsid w:val="00EC4FC4"/>
    <w:rsid w:val="00EC5143"/>
    <w:rsid w:val="00EC514B"/>
    <w:rsid w:val="00EC530F"/>
    <w:rsid w:val="00EC53B0"/>
    <w:rsid w:val="00EC5439"/>
    <w:rsid w:val="00EC5512"/>
    <w:rsid w:val="00EC55B7"/>
    <w:rsid w:val="00EC5600"/>
    <w:rsid w:val="00EC57C9"/>
    <w:rsid w:val="00EC587B"/>
    <w:rsid w:val="00EC5A03"/>
    <w:rsid w:val="00EC5CCD"/>
    <w:rsid w:val="00EC5D3E"/>
    <w:rsid w:val="00EC5D41"/>
    <w:rsid w:val="00EC5EDD"/>
    <w:rsid w:val="00EC5F45"/>
    <w:rsid w:val="00EC605D"/>
    <w:rsid w:val="00EC617E"/>
    <w:rsid w:val="00EC621C"/>
    <w:rsid w:val="00EC636B"/>
    <w:rsid w:val="00EC64DF"/>
    <w:rsid w:val="00EC657C"/>
    <w:rsid w:val="00EC6614"/>
    <w:rsid w:val="00EC66EB"/>
    <w:rsid w:val="00EC6765"/>
    <w:rsid w:val="00EC67EF"/>
    <w:rsid w:val="00EC68D6"/>
    <w:rsid w:val="00EC69AA"/>
    <w:rsid w:val="00EC6A23"/>
    <w:rsid w:val="00EC6C39"/>
    <w:rsid w:val="00EC6C9E"/>
    <w:rsid w:val="00EC6D07"/>
    <w:rsid w:val="00EC6D90"/>
    <w:rsid w:val="00EC6F49"/>
    <w:rsid w:val="00EC702A"/>
    <w:rsid w:val="00EC71ED"/>
    <w:rsid w:val="00EC727A"/>
    <w:rsid w:val="00EC7397"/>
    <w:rsid w:val="00EC73D0"/>
    <w:rsid w:val="00EC74C0"/>
    <w:rsid w:val="00EC7504"/>
    <w:rsid w:val="00EC7841"/>
    <w:rsid w:val="00EC7858"/>
    <w:rsid w:val="00EC78B2"/>
    <w:rsid w:val="00EC7900"/>
    <w:rsid w:val="00EC7A2A"/>
    <w:rsid w:val="00EC7B83"/>
    <w:rsid w:val="00EC7BEB"/>
    <w:rsid w:val="00EC7C52"/>
    <w:rsid w:val="00EC7C8B"/>
    <w:rsid w:val="00EC7D6C"/>
    <w:rsid w:val="00EC7DDE"/>
    <w:rsid w:val="00EC7E2F"/>
    <w:rsid w:val="00EC7F16"/>
    <w:rsid w:val="00EC7F40"/>
    <w:rsid w:val="00ED0113"/>
    <w:rsid w:val="00ED0193"/>
    <w:rsid w:val="00ED0277"/>
    <w:rsid w:val="00ED0431"/>
    <w:rsid w:val="00ED04F5"/>
    <w:rsid w:val="00ED056E"/>
    <w:rsid w:val="00ED0588"/>
    <w:rsid w:val="00ED0760"/>
    <w:rsid w:val="00ED0876"/>
    <w:rsid w:val="00ED09BE"/>
    <w:rsid w:val="00ED09E9"/>
    <w:rsid w:val="00ED0AE0"/>
    <w:rsid w:val="00ED0B17"/>
    <w:rsid w:val="00ED0B1D"/>
    <w:rsid w:val="00ED0CCB"/>
    <w:rsid w:val="00ED0D59"/>
    <w:rsid w:val="00ED0DED"/>
    <w:rsid w:val="00ED0E24"/>
    <w:rsid w:val="00ED1027"/>
    <w:rsid w:val="00ED11BA"/>
    <w:rsid w:val="00ED127A"/>
    <w:rsid w:val="00ED1293"/>
    <w:rsid w:val="00ED14B5"/>
    <w:rsid w:val="00ED14D0"/>
    <w:rsid w:val="00ED1547"/>
    <w:rsid w:val="00ED1564"/>
    <w:rsid w:val="00ED1637"/>
    <w:rsid w:val="00ED1775"/>
    <w:rsid w:val="00ED17F5"/>
    <w:rsid w:val="00ED1960"/>
    <w:rsid w:val="00ED1AB0"/>
    <w:rsid w:val="00ED1F4D"/>
    <w:rsid w:val="00ED1FC1"/>
    <w:rsid w:val="00ED20D2"/>
    <w:rsid w:val="00ED21F3"/>
    <w:rsid w:val="00ED2280"/>
    <w:rsid w:val="00ED246C"/>
    <w:rsid w:val="00ED2498"/>
    <w:rsid w:val="00ED25AF"/>
    <w:rsid w:val="00ED2612"/>
    <w:rsid w:val="00ED2694"/>
    <w:rsid w:val="00ED27CB"/>
    <w:rsid w:val="00ED28C0"/>
    <w:rsid w:val="00ED29D1"/>
    <w:rsid w:val="00ED2A7D"/>
    <w:rsid w:val="00ED2B77"/>
    <w:rsid w:val="00ED2C1F"/>
    <w:rsid w:val="00ED2C9F"/>
    <w:rsid w:val="00ED2D34"/>
    <w:rsid w:val="00ED2D52"/>
    <w:rsid w:val="00ED2EA1"/>
    <w:rsid w:val="00ED2F79"/>
    <w:rsid w:val="00ED301F"/>
    <w:rsid w:val="00ED3046"/>
    <w:rsid w:val="00ED31C5"/>
    <w:rsid w:val="00ED3259"/>
    <w:rsid w:val="00ED327D"/>
    <w:rsid w:val="00ED3396"/>
    <w:rsid w:val="00ED33A5"/>
    <w:rsid w:val="00ED33AD"/>
    <w:rsid w:val="00ED33B3"/>
    <w:rsid w:val="00ED33E5"/>
    <w:rsid w:val="00ED3571"/>
    <w:rsid w:val="00ED35B8"/>
    <w:rsid w:val="00ED35DA"/>
    <w:rsid w:val="00ED3981"/>
    <w:rsid w:val="00ED3AB3"/>
    <w:rsid w:val="00ED3B0F"/>
    <w:rsid w:val="00ED3B25"/>
    <w:rsid w:val="00ED3C6F"/>
    <w:rsid w:val="00ED3C70"/>
    <w:rsid w:val="00ED3D19"/>
    <w:rsid w:val="00ED3DA1"/>
    <w:rsid w:val="00ED3DCD"/>
    <w:rsid w:val="00ED3DFE"/>
    <w:rsid w:val="00ED3EA9"/>
    <w:rsid w:val="00ED40D3"/>
    <w:rsid w:val="00ED40DD"/>
    <w:rsid w:val="00ED4464"/>
    <w:rsid w:val="00ED44F6"/>
    <w:rsid w:val="00ED464C"/>
    <w:rsid w:val="00ED4698"/>
    <w:rsid w:val="00ED46F6"/>
    <w:rsid w:val="00ED4E19"/>
    <w:rsid w:val="00ED4F18"/>
    <w:rsid w:val="00ED5142"/>
    <w:rsid w:val="00ED519B"/>
    <w:rsid w:val="00ED51CD"/>
    <w:rsid w:val="00ED51F3"/>
    <w:rsid w:val="00ED52B1"/>
    <w:rsid w:val="00ED52C2"/>
    <w:rsid w:val="00ED540B"/>
    <w:rsid w:val="00ED5502"/>
    <w:rsid w:val="00ED5522"/>
    <w:rsid w:val="00ED5524"/>
    <w:rsid w:val="00ED552E"/>
    <w:rsid w:val="00ED553A"/>
    <w:rsid w:val="00ED5614"/>
    <w:rsid w:val="00ED563D"/>
    <w:rsid w:val="00ED573B"/>
    <w:rsid w:val="00ED577D"/>
    <w:rsid w:val="00ED57F3"/>
    <w:rsid w:val="00ED5968"/>
    <w:rsid w:val="00ED59AD"/>
    <w:rsid w:val="00ED5A13"/>
    <w:rsid w:val="00ED5C45"/>
    <w:rsid w:val="00ED5F0F"/>
    <w:rsid w:val="00ED5F7C"/>
    <w:rsid w:val="00ED5FC5"/>
    <w:rsid w:val="00ED5FD5"/>
    <w:rsid w:val="00ED6045"/>
    <w:rsid w:val="00ED60F9"/>
    <w:rsid w:val="00ED61E6"/>
    <w:rsid w:val="00ED61FD"/>
    <w:rsid w:val="00ED63B0"/>
    <w:rsid w:val="00ED65AA"/>
    <w:rsid w:val="00ED6714"/>
    <w:rsid w:val="00ED6759"/>
    <w:rsid w:val="00ED6838"/>
    <w:rsid w:val="00ED6957"/>
    <w:rsid w:val="00ED6A2C"/>
    <w:rsid w:val="00ED6B83"/>
    <w:rsid w:val="00ED6D30"/>
    <w:rsid w:val="00ED6D59"/>
    <w:rsid w:val="00ED6DBC"/>
    <w:rsid w:val="00ED6DE4"/>
    <w:rsid w:val="00ED6F8D"/>
    <w:rsid w:val="00ED7281"/>
    <w:rsid w:val="00ED7393"/>
    <w:rsid w:val="00ED73D9"/>
    <w:rsid w:val="00ED7590"/>
    <w:rsid w:val="00ED75C6"/>
    <w:rsid w:val="00ED765C"/>
    <w:rsid w:val="00ED7823"/>
    <w:rsid w:val="00ED7A6A"/>
    <w:rsid w:val="00ED7C14"/>
    <w:rsid w:val="00ED7C52"/>
    <w:rsid w:val="00ED7C5A"/>
    <w:rsid w:val="00ED7CB6"/>
    <w:rsid w:val="00ED7D2A"/>
    <w:rsid w:val="00ED7DB1"/>
    <w:rsid w:val="00ED7E05"/>
    <w:rsid w:val="00ED7E8E"/>
    <w:rsid w:val="00EE0075"/>
    <w:rsid w:val="00EE0281"/>
    <w:rsid w:val="00EE0379"/>
    <w:rsid w:val="00EE0394"/>
    <w:rsid w:val="00EE050E"/>
    <w:rsid w:val="00EE0524"/>
    <w:rsid w:val="00EE05F0"/>
    <w:rsid w:val="00EE060A"/>
    <w:rsid w:val="00EE066D"/>
    <w:rsid w:val="00EE0861"/>
    <w:rsid w:val="00EE0914"/>
    <w:rsid w:val="00EE0B94"/>
    <w:rsid w:val="00EE0CA0"/>
    <w:rsid w:val="00EE0D1F"/>
    <w:rsid w:val="00EE0DDB"/>
    <w:rsid w:val="00EE0EA5"/>
    <w:rsid w:val="00EE0F7A"/>
    <w:rsid w:val="00EE0F9C"/>
    <w:rsid w:val="00EE121B"/>
    <w:rsid w:val="00EE1310"/>
    <w:rsid w:val="00EE1403"/>
    <w:rsid w:val="00EE144A"/>
    <w:rsid w:val="00EE1452"/>
    <w:rsid w:val="00EE1477"/>
    <w:rsid w:val="00EE150E"/>
    <w:rsid w:val="00EE1539"/>
    <w:rsid w:val="00EE15C8"/>
    <w:rsid w:val="00EE16E5"/>
    <w:rsid w:val="00EE1701"/>
    <w:rsid w:val="00EE179D"/>
    <w:rsid w:val="00EE1937"/>
    <w:rsid w:val="00EE1963"/>
    <w:rsid w:val="00EE1977"/>
    <w:rsid w:val="00EE1D31"/>
    <w:rsid w:val="00EE1E43"/>
    <w:rsid w:val="00EE1E9C"/>
    <w:rsid w:val="00EE1F3E"/>
    <w:rsid w:val="00EE1FCA"/>
    <w:rsid w:val="00EE2400"/>
    <w:rsid w:val="00EE25E1"/>
    <w:rsid w:val="00EE25F0"/>
    <w:rsid w:val="00EE275B"/>
    <w:rsid w:val="00EE278E"/>
    <w:rsid w:val="00EE27DF"/>
    <w:rsid w:val="00EE286C"/>
    <w:rsid w:val="00EE2B1B"/>
    <w:rsid w:val="00EE2B2F"/>
    <w:rsid w:val="00EE2CAD"/>
    <w:rsid w:val="00EE2CE8"/>
    <w:rsid w:val="00EE2D34"/>
    <w:rsid w:val="00EE2E53"/>
    <w:rsid w:val="00EE2EB2"/>
    <w:rsid w:val="00EE2F7F"/>
    <w:rsid w:val="00EE2F8B"/>
    <w:rsid w:val="00EE307F"/>
    <w:rsid w:val="00EE3260"/>
    <w:rsid w:val="00EE32CC"/>
    <w:rsid w:val="00EE3466"/>
    <w:rsid w:val="00EE35F7"/>
    <w:rsid w:val="00EE3707"/>
    <w:rsid w:val="00EE375E"/>
    <w:rsid w:val="00EE37BC"/>
    <w:rsid w:val="00EE37C6"/>
    <w:rsid w:val="00EE389D"/>
    <w:rsid w:val="00EE3AA6"/>
    <w:rsid w:val="00EE3AC7"/>
    <w:rsid w:val="00EE3B2D"/>
    <w:rsid w:val="00EE3BC4"/>
    <w:rsid w:val="00EE3BD5"/>
    <w:rsid w:val="00EE3BE8"/>
    <w:rsid w:val="00EE3C55"/>
    <w:rsid w:val="00EE3D00"/>
    <w:rsid w:val="00EE3F7E"/>
    <w:rsid w:val="00EE40FC"/>
    <w:rsid w:val="00EE40FF"/>
    <w:rsid w:val="00EE42E2"/>
    <w:rsid w:val="00EE4395"/>
    <w:rsid w:val="00EE4582"/>
    <w:rsid w:val="00EE4A5D"/>
    <w:rsid w:val="00EE4AB1"/>
    <w:rsid w:val="00EE4AB4"/>
    <w:rsid w:val="00EE4B4F"/>
    <w:rsid w:val="00EE4C46"/>
    <w:rsid w:val="00EE4CCD"/>
    <w:rsid w:val="00EE4DE8"/>
    <w:rsid w:val="00EE4DED"/>
    <w:rsid w:val="00EE5150"/>
    <w:rsid w:val="00EE5190"/>
    <w:rsid w:val="00EE53BE"/>
    <w:rsid w:val="00EE53F7"/>
    <w:rsid w:val="00EE543F"/>
    <w:rsid w:val="00EE569C"/>
    <w:rsid w:val="00EE56D5"/>
    <w:rsid w:val="00EE5709"/>
    <w:rsid w:val="00EE574A"/>
    <w:rsid w:val="00EE5788"/>
    <w:rsid w:val="00EE57C9"/>
    <w:rsid w:val="00EE588D"/>
    <w:rsid w:val="00EE58A7"/>
    <w:rsid w:val="00EE5A74"/>
    <w:rsid w:val="00EE5AB4"/>
    <w:rsid w:val="00EE5ADD"/>
    <w:rsid w:val="00EE5AE8"/>
    <w:rsid w:val="00EE5B17"/>
    <w:rsid w:val="00EE5BA8"/>
    <w:rsid w:val="00EE5BD1"/>
    <w:rsid w:val="00EE5CF8"/>
    <w:rsid w:val="00EE5E9F"/>
    <w:rsid w:val="00EE64AF"/>
    <w:rsid w:val="00EE6522"/>
    <w:rsid w:val="00EE6556"/>
    <w:rsid w:val="00EE6641"/>
    <w:rsid w:val="00EE66EC"/>
    <w:rsid w:val="00EE67DE"/>
    <w:rsid w:val="00EE692B"/>
    <w:rsid w:val="00EE6987"/>
    <w:rsid w:val="00EE6A35"/>
    <w:rsid w:val="00EE6B1D"/>
    <w:rsid w:val="00EE6B55"/>
    <w:rsid w:val="00EE6CB0"/>
    <w:rsid w:val="00EE6D70"/>
    <w:rsid w:val="00EE6D76"/>
    <w:rsid w:val="00EE6D9C"/>
    <w:rsid w:val="00EE6EE7"/>
    <w:rsid w:val="00EE6F55"/>
    <w:rsid w:val="00EE6F64"/>
    <w:rsid w:val="00EE6FB1"/>
    <w:rsid w:val="00EE6FD4"/>
    <w:rsid w:val="00EE704A"/>
    <w:rsid w:val="00EE7083"/>
    <w:rsid w:val="00EE7097"/>
    <w:rsid w:val="00EE70F8"/>
    <w:rsid w:val="00EE71E4"/>
    <w:rsid w:val="00EE72C9"/>
    <w:rsid w:val="00EE738C"/>
    <w:rsid w:val="00EE73FC"/>
    <w:rsid w:val="00EE759A"/>
    <w:rsid w:val="00EE775E"/>
    <w:rsid w:val="00EE7868"/>
    <w:rsid w:val="00EE7928"/>
    <w:rsid w:val="00EE7AEB"/>
    <w:rsid w:val="00EE7B85"/>
    <w:rsid w:val="00EE7BAA"/>
    <w:rsid w:val="00EE7F86"/>
    <w:rsid w:val="00EF0035"/>
    <w:rsid w:val="00EF00DF"/>
    <w:rsid w:val="00EF01CB"/>
    <w:rsid w:val="00EF02C2"/>
    <w:rsid w:val="00EF06A7"/>
    <w:rsid w:val="00EF06C9"/>
    <w:rsid w:val="00EF06D6"/>
    <w:rsid w:val="00EF06DB"/>
    <w:rsid w:val="00EF0727"/>
    <w:rsid w:val="00EF0769"/>
    <w:rsid w:val="00EF085C"/>
    <w:rsid w:val="00EF095D"/>
    <w:rsid w:val="00EF0ADD"/>
    <w:rsid w:val="00EF0D14"/>
    <w:rsid w:val="00EF0D18"/>
    <w:rsid w:val="00EF0DE4"/>
    <w:rsid w:val="00EF0DEE"/>
    <w:rsid w:val="00EF0EDF"/>
    <w:rsid w:val="00EF1255"/>
    <w:rsid w:val="00EF1306"/>
    <w:rsid w:val="00EF14F6"/>
    <w:rsid w:val="00EF1597"/>
    <w:rsid w:val="00EF1B0B"/>
    <w:rsid w:val="00EF1C26"/>
    <w:rsid w:val="00EF1CB1"/>
    <w:rsid w:val="00EF1CCC"/>
    <w:rsid w:val="00EF1D98"/>
    <w:rsid w:val="00EF1DB3"/>
    <w:rsid w:val="00EF1F8B"/>
    <w:rsid w:val="00EF207E"/>
    <w:rsid w:val="00EF218D"/>
    <w:rsid w:val="00EF21E1"/>
    <w:rsid w:val="00EF245C"/>
    <w:rsid w:val="00EF24B8"/>
    <w:rsid w:val="00EF2567"/>
    <w:rsid w:val="00EF2761"/>
    <w:rsid w:val="00EF27F6"/>
    <w:rsid w:val="00EF28F3"/>
    <w:rsid w:val="00EF2BC0"/>
    <w:rsid w:val="00EF2BEF"/>
    <w:rsid w:val="00EF2CD8"/>
    <w:rsid w:val="00EF2D99"/>
    <w:rsid w:val="00EF3044"/>
    <w:rsid w:val="00EF3185"/>
    <w:rsid w:val="00EF326F"/>
    <w:rsid w:val="00EF32BA"/>
    <w:rsid w:val="00EF343E"/>
    <w:rsid w:val="00EF3521"/>
    <w:rsid w:val="00EF3665"/>
    <w:rsid w:val="00EF38CD"/>
    <w:rsid w:val="00EF39CB"/>
    <w:rsid w:val="00EF39DD"/>
    <w:rsid w:val="00EF3ACD"/>
    <w:rsid w:val="00EF3C41"/>
    <w:rsid w:val="00EF3CAC"/>
    <w:rsid w:val="00EF3D6E"/>
    <w:rsid w:val="00EF3DFF"/>
    <w:rsid w:val="00EF3EE2"/>
    <w:rsid w:val="00EF4016"/>
    <w:rsid w:val="00EF40C9"/>
    <w:rsid w:val="00EF4120"/>
    <w:rsid w:val="00EF41F3"/>
    <w:rsid w:val="00EF4310"/>
    <w:rsid w:val="00EF46A0"/>
    <w:rsid w:val="00EF47FA"/>
    <w:rsid w:val="00EF4884"/>
    <w:rsid w:val="00EF4918"/>
    <w:rsid w:val="00EF4951"/>
    <w:rsid w:val="00EF4970"/>
    <w:rsid w:val="00EF4C6D"/>
    <w:rsid w:val="00EF4D16"/>
    <w:rsid w:val="00EF4D6F"/>
    <w:rsid w:val="00EF4E94"/>
    <w:rsid w:val="00EF4EFB"/>
    <w:rsid w:val="00EF4F09"/>
    <w:rsid w:val="00EF5018"/>
    <w:rsid w:val="00EF5097"/>
    <w:rsid w:val="00EF5114"/>
    <w:rsid w:val="00EF5184"/>
    <w:rsid w:val="00EF528D"/>
    <w:rsid w:val="00EF53CB"/>
    <w:rsid w:val="00EF53CF"/>
    <w:rsid w:val="00EF54BB"/>
    <w:rsid w:val="00EF5591"/>
    <w:rsid w:val="00EF55D1"/>
    <w:rsid w:val="00EF5969"/>
    <w:rsid w:val="00EF59AA"/>
    <w:rsid w:val="00EF5B5D"/>
    <w:rsid w:val="00EF5C12"/>
    <w:rsid w:val="00EF5CEF"/>
    <w:rsid w:val="00EF5D3C"/>
    <w:rsid w:val="00EF5E71"/>
    <w:rsid w:val="00EF61E8"/>
    <w:rsid w:val="00EF6228"/>
    <w:rsid w:val="00EF6298"/>
    <w:rsid w:val="00EF62BE"/>
    <w:rsid w:val="00EF62E6"/>
    <w:rsid w:val="00EF635D"/>
    <w:rsid w:val="00EF64BC"/>
    <w:rsid w:val="00EF6569"/>
    <w:rsid w:val="00EF661B"/>
    <w:rsid w:val="00EF661D"/>
    <w:rsid w:val="00EF6779"/>
    <w:rsid w:val="00EF679D"/>
    <w:rsid w:val="00EF67E7"/>
    <w:rsid w:val="00EF6964"/>
    <w:rsid w:val="00EF6972"/>
    <w:rsid w:val="00EF6BC9"/>
    <w:rsid w:val="00EF6D1C"/>
    <w:rsid w:val="00EF6D92"/>
    <w:rsid w:val="00EF6DF4"/>
    <w:rsid w:val="00EF6EBE"/>
    <w:rsid w:val="00EF6F0D"/>
    <w:rsid w:val="00EF7040"/>
    <w:rsid w:val="00EF7049"/>
    <w:rsid w:val="00EF7351"/>
    <w:rsid w:val="00EF7754"/>
    <w:rsid w:val="00EF785F"/>
    <w:rsid w:val="00EF7913"/>
    <w:rsid w:val="00EF7B50"/>
    <w:rsid w:val="00EF7C47"/>
    <w:rsid w:val="00EF7CE0"/>
    <w:rsid w:val="00EF7E06"/>
    <w:rsid w:val="00F0001D"/>
    <w:rsid w:val="00F000EB"/>
    <w:rsid w:val="00F000ED"/>
    <w:rsid w:val="00F000F4"/>
    <w:rsid w:val="00F00197"/>
    <w:rsid w:val="00F001F5"/>
    <w:rsid w:val="00F001F6"/>
    <w:rsid w:val="00F00290"/>
    <w:rsid w:val="00F003DE"/>
    <w:rsid w:val="00F007D9"/>
    <w:rsid w:val="00F00BE0"/>
    <w:rsid w:val="00F00C3F"/>
    <w:rsid w:val="00F00CB3"/>
    <w:rsid w:val="00F00D18"/>
    <w:rsid w:val="00F00D78"/>
    <w:rsid w:val="00F00D9F"/>
    <w:rsid w:val="00F00EE0"/>
    <w:rsid w:val="00F00FB0"/>
    <w:rsid w:val="00F01122"/>
    <w:rsid w:val="00F01262"/>
    <w:rsid w:val="00F01307"/>
    <w:rsid w:val="00F0131C"/>
    <w:rsid w:val="00F013A7"/>
    <w:rsid w:val="00F01579"/>
    <w:rsid w:val="00F01580"/>
    <w:rsid w:val="00F0166B"/>
    <w:rsid w:val="00F016E6"/>
    <w:rsid w:val="00F016F4"/>
    <w:rsid w:val="00F0175B"/>
    <w:rsid w:val="00F01986"/>
    <w:rsid w:val="00F0198F"/>
    <w:rsid w:val="00F01993"/>
    <w:rsid w:val="00F01C18"/>
    <w:rsid w:val="00F01D92"/>
    <w:rsid w:val="00F01DDD"/>
    <w:rsid w:val="00F01E12"/>
    <w:rsid w:val="00F01E74"/>
    <w:rsid w:val="00F01EC1"/>
    <w:rsid w:val="00F0208D"/>
    <w:rsid w:val="00F02211"/>
    <w:rsid w:val="00F0236B"/>
    <w:rsid w:val="00F024A1"/>
    <w:rsid w:val="00F0268B"/>
    <w:rsid w:val="00F02867"/>
    <w:rsid w:val="00F029A2"/>
    <w:rsid w:val="00F02C18"/>
    <w:rsid w:val="00F02CA6"/>
    <w:rsid w:val="00F02D14"/>
    <w:rsid w:val="00F02F1B"/>
    <w:rsid w:val="00F02FC6"/>
    <w:rsid w:val="00F03029"/>
    <w:rsid w:val="00F030C6"/>
    <w:rsid w:val="00F03152"/>
    <w:rsid w:val="00F0326C"/>
    <w:rsid w:val="00F03381"/>
    <w:rsid w:val="00F033A1"/>
    <w:rsid w:val="00F0348C"/>
    <w:rsid w:val="00F034E5"/>
    <w:rsid w:val="00F035CE"/>
    <w:rsid w:val="00F0367E"/>
    <w:rsid w:val="00F036A8"/>
    <w:rsid w:val="00F037E8"/>
    <w:rsid w:val="00F038CF"/>
    <w:rsid w:val="00F03A9A"/>
    <w:rsid w:val="00F03B50"/>
    <w:rsid w:val="00F03C28"/>
    <w:rsid w:val="00F03C9D"/>
    <w:rsid w:val="00F03E04"/>
    <w:rsid w:val="00F03E72"/>
    <w:rsid w:val="00F03E7A"/>
    <w:rsid w:val="00F040CD"/>
    <w:rsid w:val="00F041CD"/>
    <w:rsid w:val="00F041D5"/>
    <w:rsid w:val="00F04279"/>
    <w:rsid w:val="00F042A4"/>
    <w:rsid w:val="00F04548"/>
    <w:rsid w:val="00F0462E"/>
    <w:rsid w:val="00F04696"/>
    <w:rsid w:val="00F0472E"/>
    <w:rsid w:val="00F047DC"/>
    <w:rsid w:val="00F04851"/>
    <w:rsid w:val="00F0486C"/>
    <w:rsid w:val="00F04A06"/>
    <w:rsid w:val="00F04A6C"/>
    <w:rsid w:val="00F04AB4"/>
    <w:rsid w:val="00F04AC1"/>
    <w:rsid w:val="00F04CF2"/>
    <w:rsid w:val="00F04D1F"/>
    <w:rsid w:val="00F04D76"/>
    <w:rsid w:val="00F04D8D"/>
    <w:rsid w:val="00F04ECC"/>
    <w:rsid w:val="00F04EE4"/>
    <w:rsid w:val="00F04EF3"/>
    <w:rsid w:val="00F04F37"/>
    <w:rsid w:val="00F04F5B"/>
    <w:rsid w:val="00F04F87"/>
    <w:rsid w:val="00F04FF8"/>
    <w:rsid w:val="00F05048"/>
    <w:rsid w:val="00F051EB"/>
    <w:rsid w:val="00F053A7"/>
    <w:rsid w:val="00F0543E"/>
    <w:rsid w:val="00F05546"/>
    <w:rsid w:val="00F055C3"/>
    <w:rsid w:val="00F0564D"/>
    <w:rsid w:val="00F05882"/>
    <w:rsid w:val="00F059FE"/>
    <w:rsid w:val="00F05B18"/>
    <w:rsid w:val="00F05BD5"/>
    <w:rsid w:val="00F05DFD"/>
    <w:rsid w:val="00F05F9C"/>
    <w:rsid w:val="00F0609E"/>
    <w:rsid w:val="00F062F7"/>
    <w:rsid w:val="00F065DB"/>
    <w:rsid w:val="00F06789"/>
    <w:rsid w:val="00F0678E"/>
    <w:rsid w:val="00F0681D"/>
    <w:rsid w:val="00F068B9"/>
    <w:rsid w:val="00F068F4"/>
    <w:rsid w:val="00F06A1A"/>
    <w:rsid w:val="00F06A33"/>
    <w:rsid w:val="00F06B10"/>
    <w:rsid w:val="00F06C1A"/>
    <w:rsid w:val="00F06C1F"/>
    <w:rsid w:val="00F06DBC"/>
    <w:rsid w:val="00F06F27"/>
    <w:rsid w:val="00F06F93"/>
    <w:rsid w:val="00F071C6"/>
    <w:rsid w:val="00F072AC"/>
    <w:rsid w:val="00F072B4"/>
    <w:rsid w:val="00F07324"/>
    <w:rsid w:val="00F0749F"/>
    <w:rsid w:val="00F075B3"/>
    <w:rsid w:val="00F075F9"/>
    <w:rsid w:val="00F07648"/>
    <w:rsid w:val="00F0767C"/>
    <w:rsid w:val="00F0779C"/>
    <w:rsid w:val="00F077D6"/>
    <w:rsid w:val="00F078B9"/>
    <w:rsid w:val="00F07AB1"/>
    <w:rsid w:val="00F07BE7"/>
    <w:rsid w:val="00F07C06"/>
    <w:rsid w:val="00F07C2F"/>
    <w:rsid w:val="00F07C9D"/>
    <w:rsid w:val="00F07DA2"/>
    <w:rsid w:val="00F07E77"/>
    <w:rsid w:val="00F07EA4"/>
    <w:rsid w:val="00F07F42"/>
    <w:rsid w:val="00F07FA0"/>
    <w:rsid w:val="00F07FC5"/>
    <w:rsid w:val="00F1001A"/>
    <w:rsid w:val="00F10047"/>
    <w:rsid w:val="00F1007D"/>
    <w:rsid w:val="00F1020D"/>
    <w:rsid w:val="00F102A1"/>
    <w:rsid w:val="00F102B2"/>
    <w:rsid w:val="00F10395"/>
    <w:rsid w:val="00F103B0"/>
    <w:rsid w:val="00F10433"/>
    <w:rsid w:val="00F10448"/>
    <w:rsid w:val="00F104BA"/>
    <w:rsid w:val="00F104DD"/>
    <w:rsid w:val="00F10543"/>
    <w:rsid w:val="00F1058C"/>
    <w:rsid w:val="00F10830"/>
    <w:rsid w:val="00F10A41"/>
    <w:rsid w:val="00F10A98"/>
    <w:rsid w:val="00F10B07"/>
    <w:rsid w:val="00F10B16"/>
    <w:rsid w:val="00F10CF3"/>
    <w:rsid w:val="00F10D66"/>
    <w:rsid w:val="00F10E76"/>
    <w:rsid w:val="00F10E7D"/>
    <w:rsid w:val="00F11119"/>
    <w:rsid w:val="00F111EA"/>
    <w:rsid w:val="00F11201"/>
    <w:rsid w:val="00F1142B"/>
    <w:rsid w:val="00F11478"/>
    <w:rsid w:val="00F11495"/>
    <w:rsid w:val="00F1158C"/>
    <w:rsid w:val="00F116D1"/>
    <w:rsid w:val="00F1173E"/>
    <w:rsid w:val="00F11786"/>
    <w:rsid w:val="00F11880"/>
    <w:rsid w:val="00F11B89"/>
    <w:rsid w:val="00F11BC7"/>
    <w:rsid w:val="00F11E70"/>
    <w:rsid w:val="00F11EE1"/>
    <w:rsid w:val="00F12034"/>
    <w:rsid w:val="00F12050"/>
    <w:rsid w:val="00F1208A"/>
    <w:rsid w:val="00F12106"/>
    <w:rsid w:val="00F1224A"/>
    <w:rsid w:val="00F12292"/>
    <w:rsid w:val="00F12388"/>
    <w:rsid w:val="00F12479"/>
    <w:rsid w:val="00F127E0"/>
    <w:rsid w:val="00F129CD"/>
    <w:rsid w:val="00F12BC4"/>
    <w:rsid w:val="00F12C54"/>
    <w:rsid w:val="00F13023"/>
    <w:rsid w:val="00F13050"/>
    <w:rsid w:val="00F1315B"/>
    <w:rsid w:val="00F1319D"/>
    <w:rsid w:val="00F13372"/>
    <w:rsid w:val="00F133C4"/>
    <w:rsid w:val="00F13408"/>
    <w:rsid w:val="00F13498"/>
    <w:rsid w:val="00F134CC"/>
    <w:rsid w:val="00F134EC"/>
    <w:rsid w:val="00F13500"/>
    <w:rsid w:val="00F135A2"/>
    <w:rsid w:val="00F136EC"/>
    <w:rsid w:val="00F138B6"/>
    <w:rsid w:val="00F138FF"/>
    <w:rsid w:val="00F13907"/>
    <w:rsid w:val="00F13913"/>
    <w:rsid w:val="00F13958"/>
    <w:rsid w:val="00F1398E"/>
    <w:rsid w:val="00F13A92"/>
    <w:rsid w:val="00F13C50"/>
    <w:rsid w:val="00F13C83"/>
    <w:rsid w:val="00F13E2F"/>
    <w:rsid w:val="00F13F41"/>
    <w:rsid w:val="00F14075"/>
    <w:rsid w:val="00F1411A"/>
    <w:rsid w:val="00F1424B"/>
    <w:rsid w:val="00F142DF"/>
    <w:rsid w:val="00F14306"/>
    <w:rsid w:val="00F143B3"/>
    <w:rsid w:val="00F143EF"/>
    <w:rsid w:val="00F14527"/>
    <w:rsid w:val="00F14575"/>
    <w:rsid w:val="00F1459A"/>
    <w:rsid w:val="00F147AB"/>
    <w:rsid w:val="00F1496E"/>
    <w:rsid w:val="00F149BC"/>
    <w:rsid w:val="00F14BB2"/>
    <w:rsid w:val="00F14BC5"/>
    <w:rsid w:val="00F14BC8"/>
    <w:rsid w:val="00F14D3B"/>
    <w:rsid w:val="00F14EAB"/>
    <w:rsid w:val="00F14FFE"/>
    <w:rsid w:val="00F1500A"/>
    <w:rsid w:val="00F15039"/>
    <w:rsid w:val="00F1508A"/>
    <w:rsid w:val="00F1512C"/>
    <w:rsid w:val="00F15177"/>
    <w:rsid w:val="00F15268"/>
    <w:rsid w:val="00F15322"/>
    <w:rsid w:val="00F15337"/>
    <w:rsid w:val="00F1546D"/>
    <w:rsid w:val="00F154C7"/>
    <w:rsid w:val="00F15516"/>
    <w:rsid w:val="00F1552F"/>
    <w:rsid w:val="00F1555F"/>
    <w:rsid w:val="00F155C1"/>
    <w:rsid w:val="00F156DE"/>
    <w:rsid w:val="00F157AF"/>
    <w:rsid w:val="00F15877"/>
    <w:rsid w:val="00F15898"/>
    <w:rsid w:val="00F15906"/>
    <w:rsid w:val="00F15B51"/>
    <w:rsid w:val="00F15D49"/>
    <w:rsid w:val="00F15D4A"/>
    <w:rsid w:val="00F16276"/>
    <w:rsid w:val="00F162CD"/>
    <w:rsid w:val="00F1636D"/>
    <w:rsid w:val="00F163C4"/>
    <w:rsid w:val="00F165AB"/>
    <w:rsid w:val="00F166EB"/>
    <w:rsid w:val="00F16710"/>
    <w:rsid w:val="00F16898"/>
    <w:rsid w:val="00F1696E"/>
    <w:rsid w:val="00F16A43"/>
    <w:rsid w:val="00F16D26"/>
    <w:rsid w:val="00F16D56"/>
    <w:rsid w:val="00F16D7E"/>
    <w:rsid w:val="00F16DA6"/>
    <w:rsid w:val="00F16DD8"/>
    <w:rsid w:val="00F16FF2"/>
    <w:rsid w:val="00F1710B"/>
    <w:rsid w:val="00F17220"/>
    <w:rsid w:val="00F17237"/>
    <w:rsid w:val="00F1723B"/>
    <w:rsid w:val="00F172A3"/>
    <w:rsid w:val="00F1742C"/>
    <w:rsid w:val="00F1772F"/>
    <w:rsid w:val="00F177C9"/>
    <w:rsid w:val="00F1785C"/>
    <w:rsid w:val="00F178DE"/>
    <w:rsid w:val="00F1798D"/>
    <w:rsid w:val="00F179A8"/>
    <w:rsid w:val="00F17A47"/>
    <w:rsid w:val="00F17BA8"/>
    <w:rsid w:val="00F17CF5"/>
    <w:rsid w:val="00F17D0B"/>
    <w:rsid w:val="00F20029"/>
    <w:rsid w:val="00F20158"/>
    <w:rsid w:val="00F201C5"/>
    <w:rsid w:val="00F204C7"/>
    <w:rsid w:val="00F204F4"/>
    <w:rsid w:val="00F205BF"/>
    <w:rsid w:val="00F2069E"/>
    <w:rsid w:val="00F209F2"/>
    <w:rsid w:val="00F20B2E"/>
    <w:rsid w:val="00F20B3C"/>
    <w:rsid w:val="00F20BDD"/>
    <w:rsid w:val="00F20BF6"/>
    <w:rsid w:val="00F20C1A"/>
    <w:rsid w:val="00F20CDE"/>
    <w:rsid w:val="00F20D0E"/>
    <w:rsid w:val="00F20F12"/>
    <w:rsid w:val="00F20F36"/>
    <w:rsid w:val="00F2108B"/>
    <w:rsid w:val="00F210A5"/>
    <w:rsid w:val="00F21595"/>
    <w:rsid w:val="00F21659"/>
    <w:rsid w:val="00F21703"/>
    <w:rsid w:val="00F2176B"/>
    <w:rsid w:val="00F2176D"/>
    <w:rsid w:val="00F21890"/>
    <w:rsid w:val="00F21897"/>
    <w:rsid w:val="00F21B5C"/>
    <w:rsid w:val="00F21BA5"/>
    <w:rsid w:val="00F21BB6"/>
    <w:rsid w:val="00F21C2D"/>
    <w:rsid w:val="00F21C7B"/>
    <w:rsid w:val="00F21CA6"/>
    <w:rsid w:val="00F21EDB"/>
    <w:rsid w:val="00F22133"/>
    <w:rsid w:val="00F22253"/>
    <w:rsid w:val="00F22282"/>
    <w:rsid w:val="00F2267C"/>
    <w:rsid w:val="00F227BC"/>
    <w:rsid w:val="00F227D4"/>
    <w:rsid w:val="00F227FA"/>
    <w:rsid w:val="00F22875"/>
    <w:rsid w:val="00F2288D"/>
    <w:rsid w:val="00F228AA"/>
    <w:rsid w:val="00F22A42"/>
    <w:rsid w:val="00F22AB1"/>
    <w:rsid w:val="00F22B1F"/>
    <w:rsid w:val="00F22C4E"/>
    <w:rsid w:val="00F22C89"/>
    <w:rsid w:val="00F22C9A"/>
    <w:rsid w:val="00F22CF7"/>
    <w:rsid w:val="00F22DCE"/>
    <w:rsid w:val="00F2318E"/>
    <w:rsid w:val="00F231E6"/>
    <w:rsid w:val="00F23202"/>
    <w:rsid w:val="00F23384"/>
    <w:rsid w:val="00F2341F"/>
    <w:rsid w:val="00F234C3"/>
    <w:rsid w:val="00F23507"/>
    <w:rsid w:val="00F23597"/>
    <w:rsid w:val="00F2369B"/>
    <w:rsid w:val="00F23917"/>
    <w:rsid w:val="00F2395A"/>
    <w:rsid w:val="00F23A1E"/>
    <w:rsid w:val="00F23ABD"/>
    <w:rsid w:val="00F23AD5"/>
    <w:rsid w:val="00F23B93"/>
    <w:rsid w:val="00F23BA7"/>
    <w:rsid w:val="00F23BE7"/>
    <w:rsid w:val="00F23C47"/>
    <w:rsid w:val="00F23CD2"/>
    <w:rsid w:val="00F23D65"/>
    <w:rsid w:val="00F23DA5"/>
    <w:rsid w:val="00F23E1D"/>
    <w:rsid w:val="00F23F2F"/>
    <w:rsid w:val="00F23F67"/>
    <w:rsid w:val="00F23FC5"/>
    <w:rsid w:val="00F24020"/>
    <w:rsid w:val="00F24235"/>
    <w:rsid w:val="00F24237"/>
    <w:rsid w:val="00F24282"/>
    <w:rsid w:val="00F242BD"/>
    <w:rsid w:val="00F2450C"/>
    <w:rsid w:val="00F24622"/>
    <w:rsid w:val="00F246AC"/>
    <w:rsid w:val="00F246F5"/>
    <w:rsid w:val="00F247F5"/>
    <w:rsid w:val="00F248B1"/>
    <w:rsid w:val="00F248F5"/>
    <w:rsid w:val="00F249A6"/>
    <w:rsid w:val="00F24AAA"/>
    <w:rsid w:val="00F24B26"/>
    <w:rsid w:val="00F24B3A"/>
    <w:rsid w:val="00F24BBF"/>
    <w:rsid w:val="00F24ECB"/>
    <w:rsid w:val="00F24FD7"/>
    <w:rsid w:val="00F24FDD"/>
    <w:rsid w:val="00F24FF6"/>
    <w:rsid w:val="00F25067"/>
    <w:rsid w:val="00F25079"/>
    <w:rsid w:val="00F25156"/>
    <w:rsid w:val="00F2532F"/>
    <w:rsid w:val="00F25385"/>
    <w:rsid w:val="00F2556F"/>
    <w:rsid w:val="00F255C7"/>
    <w:rsid w:val="00F25747"/>
    <w:rsid w:val="00F25748"/>
    <w:rsid w:val="00F25851"/>
    <w:rsid w:val="00F25871"/>
    <w:rsid w:val="00F25927"/>
    <w:rsid w:val="00F25A2F"/>
    <w:rsid w:val="00F25A54"/>
    <w:rsid w:val="00F25A78"/>
    <w:rsid w:val="00F25B6E"/>
    <w:rsid w:val="00F25DC1"/>
    <w:rsid w:val="00F25E17"/>
    <w:rsid w:val="00F25EB7"/>
    <w:rsid w:val="00F25F17"/>
    <w:rsid w:val="00F2631F"/>
    <w:rsid w:val="00F26399"/>
    <w:rsid w:val="00F2640A"/>
    <w:rsid w:val="00F26560"/>
    <w:rsid w:val="00F26800"/>
    <w:rsid w:val="00F2692A"/>
    <w:rsid w:val="00F2698E"/>
    <w:rsid w:val="00F269C0"/>
    <w:rsid w:val="00F26B8B"/>
    <w:rsid w:val="00F26C49"/>
    <w:rsid w:val="00F26DED"/>
    <w:rsid w:val="00F26E1D"/>
    <w:rsid w:val="00F26F81"/>
    <w:rsid w:val="00F27038"/>
    <w:rsid w:val="00F2706E"/>
    <w:rsid w:val="00F27122"/>
    <w:rsid w:val="00F272E5"/>
    <w:rsid w:val="00F273F9"/>
    <w:rsid w:val="00F2743D"/>
    <w:rsid w:val="00F27581"/>
    <w:rsid w:val="00F2765E"/>
    <w:rsid w:val="00F27877"/>
    <w:rsid w:val="00F27AA9"/>
    <w:rsid w:val="00F27C05"/>
    <w:rsid w:val="00F27C4F"/>
    <w:rsid w:val="00F27E37"/>
    <w:rsid w:val="00F27FE1"/>
    <w:rsid w:val="00F30083"/>
    <w:rsid w:val="00F302DA"/>
    <w:rsid w:val="00F3048F"/>
    <w:rsid w:val="00F3058D"/>
    <w:rsid w:val="00F305EA"/>
    <w:rsid w:val="00F308BA"/>
    <w:rsid w:val="00F30A62"/>
    <w:rsid w:val="00F30B5A"/>
    <w:rsid w:val="00F30B62"/>
    <w:rsid w:val="00F30BC6"/>
    <w:rsid w:val="00F30C8C"/>
    <w:rsid w:val="00F30F19"/>
    <w:rsid w:val="00F31035"/>
    <w:rsid w:val="00F311EF"/>
    <w:rsid w:val="00F312BB"/>
    <w:rsid w:val="00F3135C"/>
    <w:rsid w:val="00F313C9"/>
    <w:rsid w:val="00F31413"/>
    <w:rsid w:val="00F31629"/>
    <w:rsid w:val="00F31852"/>
    <w:rsid w:val="00F3187A"/>
    <w:rsid w:val="00F31BBC"/>
    <w:rsid w:val="00F31BDF"/>
    <w:rsid w:val="00F31C5A"/>
    <w:rsid w:val="00F31CAB"/>
    <w:rsid w:val="00F31CAD"/>
    <w:rsid w:val="00F31EBA"/>
    <w:rsid w:val="00F31ECF"/>
    <w:rsid w:val="00F31F2B"/>
    <w:rsid w:val="00F320E3"/>
    <w:rsid w:val="00F320FE"/>
    <w:rsid w:val="00F32127"/>
    <w:rsid w:val="00F32147"/>
    <w:rsid w:val="00F32171"/>
    <w:rsid w:val="00F32545"/>
    <w:rsid w:val="00F3255A"/>
    <w:rsid w:val="00F325C1"/>
    <w:rsid w:val="00F3267B"/>
    <w:rsid w:val="00F32738"/>
    <w:rsid w:val="00F32771"/>
    <w:rsid w:val="00F329E5"/>
    <w:rsid w:val="00F32A3D"/>
    <w:rsid w:val="00F32A98"/>
    <w:rsid w:val="00F32CFE"/>
    <w:rsid w:val="00F32E83"/>
    <w:rsid w:val="00F32EF5"/>
    <w:rsid w:val="00F32F0B"/>
    <w:rsid w:val="00F32F0D"/>
    <w:rsid w:val="00F33046"/>
    <w:rsid w:val="00F33246"/>
    <w:rsid w:val="00F33293"/>
    <w:rsid w:val="00F33339"/>
    <w:rsid w:val="00F33344"/>
    <w:rsid w:val="00F334D7"/>
    <w:rsid w:val="00F334FB"/>
    <w:rsid w:val="00F3370E"/>
    <w:rsid w:val="00F3371A"/>
    <w:rsid w:val="00F3373B"/>
    <w:rsid w:val="00F3376E"/>
    <w:rsid w:val="00F33844"/>
    <w:rsid w:val="00F339F4"/>
    <w:rsid w:val="00F33B26"/>
    <w:rsid w:val="00F33D99"/>
    <w:rsid w:val="00F33DB9"/>
    <w:rsid w:val="00F33F3B"/>
    <w:rsid w:val="00F3403E"/>
    <w:rsid w:val="00F340F7"/>
    <w:rsid w:val="00F34118"/>
    <w:rsid w:val="00F34126"/>
    <w:rsid w:val="00F343BE"/>
    <w:rsid w:val="00F3446F"/>
    <w:rsid w:val="00F3468D"/>
    <w:rsid w:val="00F346C2"/>
    <w:rsid w:val="00F34730"/>
    <w:rsid w:val="00F34826"/>
    <w:rsid w:val="00F3482A"/>
    <w:rsid w:val="00F34872"/>
    <w:rsid w:val="00F349E0"/>
    <w:rsid w:val="00F349E1"/>
    <w:rsid w:val="00F34A3F"/>
    <w:rsid w:val="00F34BDB"/>
    <w:rsid w:val="00F34C83"/>
    <w:rsid w:val="00F34CB8"/>
    <w:rsid w:val="00F34D86"/>
    <w:rsid w:val="00F34EE9"/>
    <w:rsid w:val="00F34F71"/>
    <w:rsid w:val="00F34F9E"/>
    <w:rsid w:val="00F34FD1"/>
    <w:rsid w:val="00F351CF"/>
    <w:rsid w:val="00F35241"/>
    <w:rsid w:val="00F353B0"/>
    <w:rsid w:val="00F353DA"/>
    <w:rsid w:val="00F35449"/>
    <w:rsid w:val="00F35486"/>
    <w:rsid w:val="00F3575A"/>
    <w:rsid w:val="00F357CE"/>
    <w:rsid w:val="00F3580C"/>
    <w:rsid w:val="00F35845"/>
    <w:rsid w:val="00F35866"/>
    <w:rsid w:val="00F358B4"/>
    <w:rsid w:val="00F358CB"/>
    <w:rsid w:val="00F35B2D"/>
    <w:rsid w:val="00F35C02"/>
    <w:rsid w:val="00F35C77"/>
    <w:rsid w:val="00F35D61"/>
    <w:rsid w:val="00F35D6F"/>
    <w:rsid w:val="00F35EA6"/>
    <w:rsid w:val="00F360DD"/>
    <w:rsid w:val="00F363BC"/>
    <w:rsid w:val="00F364A7"/>
    <w:rsid w:val="00F36633"/>
    <w:rsid w:val="00F36636"/>
    <w:rsid w:val="00F3664E"/>
    <w:rsid w:val="00F36A88"/>
    <w:rsid w:val="00F36B36"/>
    <w:rsid w:val="00F36D19"/>
    <w:rsid w:val="00F36DEE"/>
    <w:rsid w:val="00F37272"/>
    <w:rsid w:val="00F37294"/>
    <w:rsid w:val="00F373B2"/>
    <w:rsid w:val="00F37435"/>
    <w:rsid w:val="00F37447"/>
    <w:rsid w:val="00F37633"/>
    <w:rsid w:val="00F3763E"/>
    <w:rsid w:val="00F37910"/>
    <w:rsid w:val="00F37916"/>
    <w:rsid w:val="00F37957"/>
    <w:rsid w:val="00F37A5B"/>
    <w:rsid w:val="00F37C5F"/>
    <w:rsid w:val="00F37D16"/>
    <w:rsid w:val="00F37E1F"/>
    <w:rsid w:val="00F37E72"/>
    <w:rsid w:val="00F37FDE"/>
    <w:rsid w:val="00F40080"/>
    <w:rsid w:val="00F4011F"/>
    <w:rsid w:val="00F4016B"/>
    <w:rsid w:val="00F4020F"/>
    <w:rsid w:val="00F40299"/>
    <w:rsid w:val="00F4030B"/>
    <w:rsid w:val="00F4036B"/>
    <w:rsid w:val="00F4052A"/>
    <w:rsid w:val="00F40554"/>
    <w:rsid w:val="00F408E8"/>
    <w:rsid w:val="00F40900"/>
    <w:rsid w:val="00F40AD5"/>
    <w:rsid w:val="00F40CA2"/>
    <w:rsid w:val="00F40CB4"/>
    <w:rsid w:val="00F40DFA"/>
    <w:rsid w:val="00F40DFE"/>
    <w:rsid w:val="00F40EDB"/>
    <w:rsid w:val="00F40FB5"/>
    <w:rsid w:val="00F41364"/>
    <w:rsid w:val="00F4145A"/>
    <w:rsid w:val="00F4160D"/>
    <w:rsid w:val="00F418B6"/>
    <w:rsid w:val="00F418CF"/>
    <w:rsid w:val="00F4196F"/>
    <w:rsid w:val="00F41B5C"/>
    <w:rsid w:val="00F41D48"/>
    <w:rsid w:val="00F41F60"/>
    <w:rsid w:val="00F41F6A"/>
    <w:rsid w:val="00F42001"/>
    <w:rsid w:val="00F42019"/>
    <w:rsid w:val="00F42052"/>
    <w:rsid w:val="00F42107"/>
    <w:rsid w:val="00F4217F"/>
    <w:rsid w:val="00F421F2"/>
    <w:rsid w:val="00F42233"/>
    <w:rsid w:val="00F42358"/>
    <w:rsid w:val="00F42386"/>
    <w:rsid w:val="00F423B6"/>
    <w:rsid w:val="00F4244E"/>
    <w:rsid w:val="00F42536"/>
    <w:rsid w:val="00F426DB"/>
    <w:rsid w:val="00F42877"/>
    <w:rsid w:val="00F42897"/>
    <w:rsid w:val="00F42A85"/>
    <w:rsid w:val="00F42DAF"/>
    <w:rsid w:val="00F43000"/>
    <w:rsid w:val="00F43012"/>
    <w:rsid w:val="00F43149"/>
    <w:rsid w:val="00F4325E"/>
    <w:rsid w:val="00F433D1"/>
    <w:rsid w:val="00F435AF"/>
    <w:rsid w:val="00F435B1"/>
    <w:rsid w:val="00F435D5"/>
    <w:rsid w:val="00F43605"/>
    <w:rsid w:val="00F436BB"/>
    <w:rsid w:val="00F436FE"/>
    <w:rsid w:val="00F43790"/>
    <w:rsid w:val="00F4393B"/>
    <w:rsid w:val="00F439BD"/>
    <w:rsid w:val="00F439D5"/>
    <w:rsid w:val="00F439DC"/>
    <w:rsid w:val="00F439FD"/>
    <w:rsid w:val="00F43A6E"/>
    <w:rsid w:val="00F43B86"/>
    <w:rsid w:val="00F43CBF"/>
    <w:rsid w:val="00F43E18"/>
    <w:rsid w:val="00F43E6F"/>
    <w:rsid w:val="00F44130"/>
    <w:rsid w:val="00F441B7"/>
    <w:rsid w:val="00F441C1"/>
    <w:rsid w:val="00F441EF"/>
    <w:rsid w:val="00F442ED"/>
    <w:rsid w:val="00F44442"/>
    <w:rsid w:val="00F44531"/>
    <w:rsid w:val="00F446F4"/>
    <w:rsid w:val="00F449BA"/>
    <w:rsid w:val="00F44B0E"/>
    <w:rsid w:val="00F44B12"/>
    <w:rsid w:val="00F44B5F"/>
    <w:rsid w:val="00F44C25"/>
    <w:rsid w:val="00F44C57"/>
    <w:rsid w:val="00F44CA3"/>
    <w:rsid w:val="00F44D80"/>
    <w:rsid w:val="00F44D88"/>
    <w:rsid w:val="00F44EE9"/>
    <w:rsid w:val="00F452F6"/>
    <w:rsid w:val="00F45466"/>
    <w:rsid w:val="00F45614"/>
    <w:rsid w:val="00F456F1"/>
    <w:rsid w:val="00F459CD"/>
    <w:rsid w:val="00F459CE"/>
    <w:rsid w:val="00F45A7A"/>
    <w:rsid w:val="00F45BCC"/>
    <w:rsid w:val="00F45CCD"/>
    <w:rsid w:val="00F45D71"/>
    <w:rsid w:val="00F45DDF"/>
    <w:rsid w:val="00F4614A"/>
    <w:rsid w:val="00F46229"/>
    <w:rsid w:val="00F46312"/>
    <w:rsid w:val="00F46421"/>
    <w:rsid w:val="00F46489"/>
    <w:rsid w:val="00F46507"/>
    <w:rsid w:val="00F46518"/>
    <w:rsid w:val="00F46586"/>
    <w:rsid w:val="00F466BF"/>
    <w:rsid w:val="00F46750"/>
    <w:rsid w:val="00F46784"/>
    <w:rsid w:val="00F46797"/>
    <w:rsid w:val="00F46976"/>
    <w:rsid w:val="00F469CC"/>
    <w:rsid w:val="00F46A2D"/>
    <w:rsid w:val="00F46AF3"/>
    <w:rsid w:val="00F46B5B"/>
    <w:rsid w:val="00F46BB7"/>
    <w:rsid w:val="00F46BC3"/>
    <w:rsid w:val="00F46CF4"/>
    <w:rsid w:val="00F4719D"/>
    <w:rsid w:val="00F472F9"/>
    <w:rsid w:val="00F4734F"/>
    <w:rsid w:val="00F473C1"/>
    <w:rsid w:val="00F4745B"/>
    <w:rsid w:val="00F47480"/>
    <w:rsid w:val="00F474CD"/>
    <w:rsid w:val="00F4759B"/>
    <w:rsid w:val="00F4761F"/>
    <w:rsid w:val="00F47692"/>
    <w:rsid w:val="00F4769A"/>
    <w:rsid w:val="00F47715"/>
    <w:rsid w:val="00F4776A"/>
    <w:rsid w:val="00F47AB6"/>
    <w:rsid w:val="00F47AEF"/>
    <w:rsid w:val="00F47B07"/>
    <w:rsid w:val="00F47DCB"/>
    <w:rsid w:val="00F47E36"/>
    <w:rsid w:val="00F47EC9"/>
    <w:rsid w:val="00F47F4A"/>
    <w:rsid w:val="00F50190"/>
    <w:rsid w:val="00F5035C"/>
    <w:rsid w:val="00F50371"/>
    <w:rsid w:val="00F50435"/>
    <w:rsid w:val="00F504D6"/>
    <w:rsid w:val="00F505DC"/>
    <w:rsid w:val="00F505FA"/>
    <w:rsid w:val="00F50779"/>
    <w:rsid w:val="00F5083E"/>
    <w:rsid w:val="00F50857"/>
    <w:rsid w:val="00F508A0"/>
    <w:rsid w:val="00F50C1F"/>
    <w:rsid w:val="00F50C47"/>
    <w:rsid w:val="00F50CDB"/>
    <w:rsid w:val="00F50DA8"/>
    <w:rsid w:val="00F50DE4"/>
    <w:rsid w:val="00F50FB3"/>
    <w:rsid w:val="00F510C6"/>
    <w:rsid w:val="00F511E3"/>
    <w:rsid w:val="00F5129B"/>
    <w:rsid w:val="00F51429"/>
    <w:rsid w:val="00F51469"/>
    <w:rsid w:val="00F5150A"/>
    <w:rsid w:val="00F51547"/>
    <w:rsid w:val="00F516C4"/>
    <w:rsid w:val="00F51706"/>
    <w:rsid w:val="00F51829"/>
    <w:rsid w:val="00F51869"/>
    <w:rsid w:val="00F51A14"/>
    <w:rsid w:val="00F51C09"/>
    <w:rsid w:val="00F51CB2"/>
    <w:rsid w:val="00F51D3E"/>
    <w:rsid w:val="00F51E26"/>
    <w:rsid w:val="00F51F8B"/>
    <w:rsid w:val="00F51F97"/>
    <w:rsid w:val="00F51FC7"/>
    <w:rsid w:val="00F51FD4"/>
    <w:rsid w:val="00F52038"/>
    <w:rsid w:val="00F522C5"/>
    <w:rsid w:val="00F522D8"/>
    <w:rsid w:val="00F522F3"/>
    <w:rsid w:val="00F523B1"/>
    <w:rsid w:val="00F523BC"/>
    <w:rsid w:val="00F523EC"/>
    <w:rsid w:val="00F52421"/>
    <w:rsid w:val="00F524E6"/>
    <w:rsid w:val="00F524EF"/>
    <w:rsid w:val="00F525BA"/>
    <w:rsid w:val="00F52785"/>
    <w:rsid w:val="00F527BE"/>
    <w:rsid w:val="00F527CB"/>
    <w:rsid w:val="00F529B5"/>
    <w:rsid w:val="00F529BD"/>
    <w:rsid w:val="00F52A6E"/>
    <w:rsid w:val="00F52C25"/>
    <w:rsid w:val="00F52FE5"/>
    <w:rsid w:val="00F52FF1"/>
    <w:rsid w:val="00F5302E"/>
    <w:rsid w:val="00F530EA"/>
    <w:rsid w:val="00F5317E"/>
    <w:rsid w:val="00F53346"/>
    <w:rsid w:val="00F53420"/>
    <w:rsid w:val="00F5345B"/>
    <w:rsid w:val="00F53593"/>
    <w:rsid w:val="00F53616"/>
    <w:rsid w:val="00F53758"/>
    <w:rsid w:val="00F53787"/>
    <w:rsid w:val="00F538FE"/>
    <w:rsid w:val="00F53AB4"/>
    <w:rsid w:val="00F53B42"/>
    <w:rsid w:val="00F53B64"/>
    <w:rsid w:val="00F53D4A"/>
    <w:rsid w:val="00F53DA6"/>
    <w:rsid w:val="00F53E03"/>
    <w:rsid w:val="00F5401C"/>
    <w:rsid w:val="00F5423D"/>
    <w:rsid w:val="00F5442C"/>
    <w:rsid w:val="00F5456D"/>
    <w:rsid w:val="00F5457B"/>
    <w:rsid w:val="00F546EB"/>
    <w:rsid w:val="00F54833"/>
    <w:rsid w:val="00F54A02"/>
    <w:rsid w:val="00F54A30"/>
    <w:rsid w:val="00F54AF6"/>
    <w:rsid w:val="00F54EDA"/>
    <w:rsid w:val="00F54F2E"/>
    <w:rsid w:val="00F5500B"/>
    <w:rsid w:val="00F55028"/>
    <w:rsid w:val="00F55192"/>
    <w:rsid w:val="00F552F9"/>
    <w:rsid w:val="00F55456"/>
    <w:rsid w:val="00F5564F"/>
    <w:rsid w:val="00F55652"/>
    <w:rsid w:val="00F55686"/>
    <w:rsid w:val="00F55751"/>
    <w:rsid w:val="00F558BA"/>
    <w:rsid w:val="00F55A93"/>
    <w:rsid w:val="00F55AF2"/>
    <w:rsid w:val="00F55C9C"/>
    <w:rsid w:val="00F55DE9"/>
    <w:rsid w:val="00F5601D"/>
    <w:rsid w:val="00F560B7"/>
    <w:rsid w:val="00F561EE"/>
    <w:rsid w:val="00F5621F"/>
    <w:rsid w:val="00F56241"/>
    <w:rsid w:val="00F562BD"/>
    <w:rsid w:val="00F5634D"/>
    <w:rsid w:val="00F56376"/>
    <w:rsid w:val="00F56380"/>
    <w:rsid w:val="00F563EA"/>
    <w:rsid w:val="00F5658F"/>
    <w:rsid w:val="00F568CF"/>
    <w:rsid w:val="00F56902"/>
    <w:rsid w:val="00F56953"/>
    <w:rsid w:val="00F569BF"/>
    <w:rsid w:val="00F56A56"/>
    <w:rsid w:val="00F56AEC"/>
    <w:rsid w:val="00F56B90"/>
    <w:rsid w:val="00F56CFD"/>
    <w:rsid w:val="00F56DB7"/>
    <w:rsid w:val="00F56E41"/>
    <w:rsid w:val="00F570C9"/>
    <w:rsid w:val="00F5714A"/>
    <w:rsid w:val="00F571EA"/>
    <w:rsid w:val="00F572B5"/>
    <w:rsid w:val="00F572C3"/>
    <w:rsid w:val="00F5737E"/>
    <w:rsid w:val="00F5746E"/>
    <w:rsid w:val="00F574BE"/>
    <w:rsid w:val="00F5750F"/>
    <w:rsid w:val="00F575AF"/>
    <w:rsid w:val="00F575B7"/>
    <w:rsid w:val="00F57618"/>
    <w:rsid w:val="00F576A0"/>
    <w:rsid w:val="00F5775D"/>
    <w:rsid w:val="00F5789D"/>
    <w:rsid w:val="00F57971"/>
    <w:rsid w:val="00F579A9"/>
    <w:rsid w:val="00F579F1"/>
    <w:rsid w:val="00F57A91"/>
    <w:rsid w:val="00F57AF2"/>
    <w:rsid w:val="00F57B45"/>
    <w:rsid w:val="00F57B4B"/>
    <w:rsid w:val="00F57C55"/>
    <w:rsid w:val="00F57CA9"/>
    <w:rsid w:val="00F57CF3"/>
    <w:rsid w:val="00F57DA8"/>
    <w:rsid w:val="00F57F09"/>
    <w:rsid w:val="00F57FA0"/>
    <w:rsid w:val="00F6016A"/>
    <w:rsid w:val="00F6027A"/>
    <w:rsid w:val="00F602F1"/>
    <w:rsid w:val="00F6039A"/>
    <w:rsid w:val="00F604F3"/>
    <w:rsid w:val="00F608E1"/>
    <w:rsid w:val="00F6091B"/>
    <w:rsid w:val="00F6093E"/>
    <w:rsid w:val="00F60B72"/>
    <w:rsid w:val="00F60BED"/>
    <w:rsid w:val="00F60C98"/>
    <w:rsid w:val="00F60D05"/>
    <w:rsid w:val="00F60DE9"/>
    <w:rsid w:val="00F60E3F"/>
    <w:rsid w:val="00F60E80"/>
    <w:rsid w:val="00F60F6F"/>
    <w:rsid w:val="00F60FEE"/>
    <w:rsid w:val="00F61018"/>
    <w:rsid w:val="00F61368"/>
    <w:rsid w:val="00F61457"/>
    <w:rsid w:val="00F61505"/>
    <w:rsid w:val="00F61510"/>
    <w:rsid w:val="00F61729"/>
    <w:rsid w:val="00F617DB"/>
    <w:rsid w:val="00F61AC0"/>
    <w:rsid w:val="00F61CED"/>
    <w:rsid w:val="00F61E9D"/>
    <w:rsid w:val="00F61EE6"/>
    <w:rsid w:val="00F61F34"/>
    <w:rsid w:val="00F61FD8"/>
    <w:rsid w:val="00F62045"/>
    <w:rsid w:val="00F621F6"/>
    <w:rsid w:val="00F62211"/>
    <w:rsid w:val="00F622A2"/>
    <w:rsid w:val="00F622FF"/>
    <w:rsid w:val="00F623B2"/>
    <w:rsid w:val="00F624F0"/>
    <w:rsid w:val="00F6256E"/>
    <w:rsid w:val="00F6270C"/>
    <w:rsid w:val="00F6271A"/>
    <w:rsid w:val="00F62793"/>
    <w:rsid w:val="00F6280E"/>
    <w:rsid w:val="00F6288E"/>
    <w:rsid w:val="00F628D7"/>
    <w:rsid w:val="00F62912"/>
    <w:rsid w:val="00F62A71"/>
    <w:rsid w:val="00F62D65"/>
    <w:rsid w:val="00F62DA3"/>
    <w:rsid w:val="00F62DB4"/>
    <w:rsid w:val="00F62E51"/>
    <w:rsid w:val="00F6312C"/>
    <w:rsid w:val="00F631C8"/>
    <w:rsid w:val="00F63211"/>
    <w:rsid w:val="00F63244"/>
    <w:rsid w:val="00F632AC"/>
    <w:rsid w:val="00F6338C"/>
    <w:rsid w:val="00F633C9"/>
    <w:rsid w:val="00F635F6"/>
    <w:rsid w:val="00F6367C"/>
    <w:rsid w:val="00F636BE"/>
    <w:rsid w:val="00F6371E"/>
    <w:rsid w:val="00F6378D"/>
    <w:rsid w:val="00F6385E"/>
    <w:rsid w:val="00F63870"/>
    <w:rsid w:val="00F638D3"/>
    <w:rsid w:val="00F63950"/>
    <w:rsid w:val="00F63A04"/>
    <w:rsid w:val="00F63AB1"/>
    <w:rsid w:val="00F63AE7"/>
    <w:rsid w:val="00F63AF1"/>
    <w:rsid w:val="00F63B38"/>
    <w:rsid w:val="00F63CCC"/>
    <w:rsid w:val="00F64002"/>
    <w:rsid w:val="00F6408F"/>
    <w:rsid w:val="00F640F8"/>
    <w:rsid w:val="00F64279"/>
    <w:rsid w:val="00F64395"/>
    <w:rsid w:val="00F643B0"/>
    <w:rsid w:val="00F64449"/>
    <w:rsid w:val="00F6452B"/>
    <w:rsid w:val="00F645BC"/>
    <w:rsid w:val="00F64659"/>
    <w:rsid w:val="00F6466C"/>
    <w:rsid w:val="00F64674"/>
    <w:rsid w:val="00F6478A"/>
    <w:rsid w:val="00F647AE"/>
    <w:rsid w:val="00F64833"/>
    <w:rsid w:val="00F6488C"/>
    <w:rsid w:val="00F648A4"/>
    <w:rsid w:val="00F64A38"/>
    <w:rsid w:val="00F64A56"/>
    <w:rsid w:val="00F64AAE"/>
    <w:rsid w:val="00F64CD2"/>
    <w:rsid w:val="00F64D30"/>
    <w:rsid w:val="00F64D63"/>
    <w:rsid w:val="00F64E1E"/>
    <w:rsid w:val="00F64E43"/>
    <w:rsid w:val="00F64F26"/>
    <w:rsid w:val="00F64F41"/>
    <w:rsid w:val="00F6502F"/>
    <w:rsid w:val="00F650C7"/>
    <w:rsid w:val="00F650F2"/>
    <w:rsid w:val="00F65105"/>
    <w:rsid w:val="00F654E7"/>
    <w:rsid w:val="00F6551E"/>
    <w:rsid w:val="00F655C2"/>
    <w:rsid w:val="00F65643"/>
    <w:rsid w:val="00F6576A"/>
    <w:rsid w:val="00F6583F"/>
    <w:rsid w:val="00F65857"/>
    <w:rsid w:val="00F658F9"/>
    <w:rsid w:val="00F65A41"/>
    <w:rsid w:val="00F65B9C"/>
    <w:rsid w:val="00F65BA2"/>
    <w:rsid w:val="00F65BE7"/>
    <w:rsid w:val="00F65BF5"/>
    <w:rsid w:val="00F65C8D"/>
    <w:rsid w:val="00F65DE2"/>
    <w:rsid w:val="00F65FAF"/>
    <w:rsid w:val="00F66069"/>
    <w:rsid w:val="00F6613C"/>
    <w:rsid w:val="00F661EA"/>
    <w:rsid w:val="00F66219"/>
    <w:rsid w:val="00F66349"/>
    <w:rsid w:val="00F66431"/>
    <w:rsid w:val="00F66599"/>
    <w:rsid w:val="00F66600"/>
    <w:rsid w:val="00F6664C"/>
    <w:rsid w:val="00F6665A"/>
    <w:rsid w:val="00F667E9"/>
    <w:rsid w:val="00F668C0"/>
    <w:rsid w:val="00F669E3"/>
    <w:rsid w:val="00F66A35"/>
    <w:rsid w:val="00F66A5E"/>
    <w:rsid w:val="00F66C29"/>
    <w:rsid w:val="00F66D32"/>
    <w:rsid w:val="00F66DFB"/>
    <w:rsid w:val="00F66E41"/>
    <w:rsid w:val="00F66F10"/>
    <w:rsid w:val="00F66F4F"/>
    <w:rsid w:val="00F66FE2"/>
    <w:rsid w:val="00F67203"/>
    <w:rsid w:val="00F6756B"/>
    <w:rsid w:val="00F675DE"/>
    <w:rsid w:val="00F677BD"/>
    <w:rsid w:val="00F6783F"/>
    <w:rsid w:val="00F678DB"/>
    <w:rsid w:val="00F678F0"/>
    <w:rsid w:val="00F6797F"/>
    <w:rsid w:val="00F67B18"/>
    <w:rsid w:val="00F67C93"/>
    <w:rsid w:val="00F67CC0"/>
    <w:rsid w:val="00F67D2B"/>
    <w:rsid w:val="00F67DAB"/>
    <w:rsid w:val="00F67E61"/>
    <w:rsid w:val="00F70235"/>
    <w:rsid w:val="00F7027E"/>
    <w:rsid w:val="00F7036E"/>
    <w:rsid w:val="00F70382"/>
    <w:rsid w:val="00F703B9"/>
    <w:rsid w:val="00F703EE"/>
    <w:rsid w:val="00F706B1"/>
    <w:rsid w:val="00F707C0"/>
    <w:rsid w:val="00F707ED"/>
    <w:rsid w:val="00F70A53"/>
    <w:rsid w:val="00F70AC3"/>
    <w:rsid w:val="00F70AE0"/>
    <w:rsid w:val="00F70B38"/>
    <w:rsid w:val="00F70D3A"/>
    <w:rsid w:val="00F70E6F"/>
    <w:rsid w:val="00F70E90"/>
    <w:rsid w:val="00F70E96"/>
    <w:rsid w:val="00F70FC5"/>
    <w:rsid w:val="00F7100D"/>
    <w:rsid w:val="00F71063"/>
    <w:rsid w:val="00F710D8"/>
    <w:rsid w:val="00F7133F"/>
    <w:rsid w:val="00F71350"/>
    <w:rsid w:val="00F7149B"/>
    <w:rsid w:val="00F716EE"/>
    <w:rsid w:val="00F71868"/>
    <w:rsid w:val="00F71880"/>
    <w:rsid w:val="00F718CF"/>
    <w:rsid w:val="00F71BD6"/>
    <w:rsid w:val="00F71C66"/>
    <w:rsid w:val="00F71E52"/>
    <w:rsid w:val="00F71EAF"/>
    <w:rsid w:val="00F7207D"/>
    <w:rsid w:val="00F7208E"/>
    <w:rsid w:val="00F721F5"/>
    <w:rsid w:val="00F72524"/>
    <w:rsid w:val="00F7255C"/>
    <w:rsid w:val="00F72625"/>
    <w:rsid w:val="00F7274E"/>
    <w:rsid w:val="00F7284F"/>
    <w:rsid w:val="00F7292B"/>
    <w:rsid w:val="00F72933"/>
    <w:rsid w:val="00F7296F"/>
    <w:rsid w:val="00F72B5A"/>
    <w:rsid w:val="00F72C80"/>
    <w:rsid w:val="00F72DF1"/>
    <w:rsid w:val="00F72ED7"/>
    <w:rsid w:val="00F72F82"/>
    <w:rsid w:val="00F72FF0"/>
    <w:rsid w:val="00F73095"/>
    <w:rsid w:val="00F730EC"/>
    <w:rsid w:val="00F731CC"/>
    <w:rsid w:val="00F73283"/>
    <w:rsid w:val="00F732AA"/>
    <w:rsid w:val="00F734B1"/>
    <w:rsid w:val="00F73529"/>
    <w:rsid w:val="00F7372E"/>
    <w:rsid w:val="00F737E5"/>
    <w:rsid w:val="00F738A7"/>
    <w:rsid w:val="00F738E9"/>
    <w:rsid w:val="00F7395D"/>
    <w:rsid w:val="00F73968"/>
    <w:rsid w:val="00F739CA"/>
    <w:rsid w:val="00F739CF"/>
    <w:rsid w:val="00F73AF8"/>
    <w:rsid w:val="00F73BA9"/>
    <w:rsid w:val="00F73C20"/>
    <w:rsid w:val="00F73D8D"/>
    <w:rsid w:val="00F7418C"/>
    <w:rsid w:val="00F741A5"/>
    <w:rsid w:val="00F741A6"/>
    <w:rsid w:val="00F7424F"/>
    <w:rsid w:val="00F742E6"/>
    <w:rsid w:val="00F7434D"/>
    <w:rsid w:val="00F74481"/>
    <w:rsid w:val="00F745CB"/>
    <w:rsid w:val="00F7471E"/>
    <w:rsid w:val="00F74728"/>
    <w:rsid w:val="00F7476A"/>
    <w:rsid w:val="00F748FA"/>
    <w:rsid w:val="00F748FC"/>
    <w:rsid w:val="00F74A63"/>
    <w:rsid w:val="00F74AC1"/>
    <w:rsid w:val="00F74B9D"/>
    <w:rsid w:val="00F74C37"/>
    <w:rsid w:val="00F74C3B"/>
    <w:rsid w:val="00F74CD2"/>
    <w:rsid w:val="00F74D1C"/>
    <w:rsid w:val="00F74D3B"/>
    <w:rsid w:val="00F74D97"/>
    <w:rsid w:val="00F75046"/>
    <w:rsid w:val="00F7514D"/>
    <w:rsid w:val="00F752C9"/>
    <w:rsid w:val="00F75362"/>
    <w:rsid w:val="00F7589A"/>
    <w:rsid w:val="00F758EA"/>
    <w:rsid w:val="00F75968"/>
    <w:rsid w:val="00F759FF"/>
    <w:rsid w:val="00F75A8D"/>
    <w:rsid w:val="00F75AC6"/>
    <w:rsid w:val="00F75C0F"/>
    <w:rsid w:val="00F75C15"/>
    <w:rsid w:val="00F75C59"/>
    <w:rsid w:val="00F75DAB"/>
    <w:rsid w:val="00F75DC3"/>
    <w:rsid w:val="00F75DEC"/>
    <w:rsid w:val="00F75F3D"/>
    <w:rsid w:val="00F7630E"/>
    <w:rsid w:val="00F76339"/>
    <w:rsid w:val="00F76378"/>
    <w:rsid w:val="00F763F5"/>
    <w:rsid w:val="00F7648F"/>
    <w:rsid w:val="00F764DC"/>
    <w:rsid w:val="00F765C3"/>
    <w:rsid w:val="00F76797"/>
    <w:rsid w:val="00F7691F"/>
    <w:rsid w:val="00F76934"/>
    <w:rsid w:val="00F76981"/>
    <w:rsid w:val="00F76AC2"/>
    <w:rsid w:val="00F76C50"/>
    <w:rsid w:val="00F76D4B"/>
    <w:rsid w:val="00F76D83"/>
    <w:rsid w:val="00F76E1B"/>
    <w:rsid w:val="00F76E1F"/>
    <w:rsid w:val="00F770F0"/>
    <w:rsid w:val="00F77115"/>
    <w:rsid w:val="00F7721B"/>
    <w:rsid w:val="00F7721C"/>
    <w:rsid w:val="00F7726B"/>
    <w:rsid w:val="00F772F8"/>
    <w:rsid w:val="00F776B2"/>
    <w:rsid w:val="00F779C3"/>
    <w:rsid w:val="00F77AF3"/>
    <w:rsid w:val="00F77C45"/>
    <w:rsid w:val="00F77D21"/>
    <w:rsid w:val="00F77D7E"/>
    <w:rsid w:val="00F77DB4"/>
    <w:rsid w:val="00F77DFF"/>
    <w:rsid w:val="00F77E15"/>
    <w:rsid w:val="00F77EF2"/>
    <w:rsid w:val="00F77EF3"/>
    <w:rsid w:val="00F77FBF"/>
    <w:rsid w:val="00F80150"/>
    <w:rsid w:val="00F8016E"/>
    <w:rsid w:val="00F80192"/>
    <w:rsid w:val="00F8022B"/>
    <w:rsid w:val="00F803F5"/>
    <w:rsid w:val="00F8052C"/>
    <w:rsid w:val="00F805BF"/>
    <w:rsid w:val="00F807AD"/>
    <w:rsid w:val="00F809B8"/>
    <w:rsid w:val="00F80A56"/>
    <w:rsid w:val="00F80AFB"/>
    <w:rsid w:val="00F80C59"/>
    <w:rsid w:val="00F80DA4"/>
    <w:rsid w:val="00F80F63"/>
    <w:rsid w:val="00F80FB2"/>
    <w:rsid w:val="00F80FC4"/>
    <w:rsid w:val="00F812F0"/>
    <w:rsid w:val="00F812FD"/>
    <w:rsid w:val="00F8133D"/>
    <w:rsid w:val="00F81455"/>
    <w:rsid w:val="00F81573"/>
    <w:rsid w:val="00F81AD1"/>
    <w:rsid w:val="00F81B1A"/>
    <w:rsid w:val="00F81B1E"/>
    <w:rsid w:val="00F81BA1"/>
    <w:rsid w:val="00F81DCA"/>
    <w:rsid w:val="00F81F2F"/>
    <w:rsid w:val="00F81F44"/>
    <w:rsid w:val="00F8203E"/>
    <w:rsid w:val="00F822B2"/>
    <w:rsid w:val="00F822E8"/>
    <w:rsid w:val="00F8230A"/>
    <w:rsid w:val="00F824F6"/>
    <w:rsid w:val="00F82540"/>
    <w:rsid w:val="00F82563"/>
    <w:rsid w:val="00F82642"/>
    <w:rsid w:val="00F82790"/>
    <w:rsid w:val="00F827DC"/>
    <w:rsid w:val="00F82873"/>
    <w:rsid w:val="00F828B1"/>
    <w:rsid w:val="00F82956"/>
    <w:rsid w:val="00F82976"/>
    <w:rsid w:val="00F829F0"/>
    <w:rsid w:val="00F82AEE"/>
    <w:rsid w:val="00F82B8E"/>
    <w:rsid w:val="00F82CDA"/>
    <w:rsid w:val="00F82D13"/>
    <w:rsid w:val="00F82D3C"/>
    <w:rsid w:val="00F82E41"/>
    <w:rsid w:val="00F82EFB"/>
    <w:rsid w:val="00F83042"/>
    <w:rsid w:val="00F8305E"/>
    <w:rsid w:val="00F831B3"/>
    <w:rsid w:val="00F832D6"/>
    <w:rsid w:val="00F8337B"/>
    <w:rsid w:val="00F83712"/>
    <w:rsid w:val="00F83799"/>
    <w:rsid w:val="00F8395A"/>
    <w:rsid w:val="00F83A1A"/>
    <w:rsid w:val="00F83B31"/>
    <w:rsid w:val="00F83C34"/>
    <w:rsid w:val="00F83C9C"/>
    <w:rsid w:val="00F83FDE"/>
    <w:rsid w:val="00F84048"/>
    <w:rsid w:val="00F8409D"/>
    <w:rsid w:val="00F8427A"/>
    <w:rsid w:val="00F8428A"/>
    <w:rsid w:val="00F842CF"/>
    <w:rsid w:val="00F84472"/>
    <w:rsid w:val="00F8489B"/>
    <w:rsid w:val="00F848BF"/>
    <w:rsid w:val="00F8496C"/>
    <w:rsid w:val="00F84D1B"/>
    <w:rsid w:val="00F84D90"/>
    <w:rsid w:val="00F84E83"/>
    <w:rsid w:val="00F84F5B"/>
    <w:rsid w:val="00F85165"/>
    <w:rsid w:val="00F851B5"/>
    <w:rsid w:val="00F8521A"/>
    <w:rsid w:val="00F8535E"/>
    <w:rsid w:val="00F85370"/>
    <w:rsid w:val="00F8538C"/>
    <w:rsid w:val="00F853D0"/>
    <w:rsid w:val="00F85589"/>
    <w:rsid w:val="00F85668"/>
    <w:rsid w:val="00F8590D"/>
    <w:rsid w:val="00F859E3"/>
    <w:rsid w:val="00F85A83"/>
    <w:rsid w:val="00F85A9F"/>
    <w:rsid w:val="00F85B63"/>
    <w:rsid w:val="00F85B91"/>
    <w:rsid w:val="00F85BD2"/>
    <w:rsid w:val="00F85BE6"/>
    <w:rsid w:val="00F85D1A"/>
    <w:rsid w:val="00F85E2A"/>
    <w:rsid w:val="00F85E70"/>
    <w:rsid w:val="00F85E79"/>
    <w:rsid w:val="00F85EA1"/>
    <w:rsid w:val="00F85FB4"/>
    <w:rsid w:val="00F860FF"/>
    <w:rsid w:val="00F862EE"/>
    <w:rsid w:val="00F8631E"/>
    <w:rsid w:val="00F8645C"/>
    <w:rsid w:val="00F86923"/>
    <w:rsid w:val="00F86935"/>
    <w:rsid w:val="00F869D2"/>
    <w:rsid w:val="00F86B98"/>
    <w:rsid w:val="00F86BA5"/>
    <w:rsid w:val="00F86CDA"/>
    <w:rsid w:val="00F86CFE"/>
    <w:rsid w:val="00F86F0A"/>
    <w:rsid w:val="00F86F54"/>
    <w:rsid w:val="00F871C5"/>
    <w:rsid w:val="00F871ED"/>
    <w:rsid w:val="00F872B2"/>
    <w:rsid w:val="00F873E2"/>
    <w:rsid w:val="00F87497"/>
    <w:rsid w:val="00F8769A"/>
    <w:rsid w:val="00F876C1"/>
    <w:rsid w:val="00F876EA"/>
    <w:rsid w:val="00F8784F"/>
    <w:rsid w:val="00F87AD6"/>
    <w:rsid w:val="00F87B94"/>
    <w:rsid w:val="00F87C57"/>
    <w:rsid w:val="00F87C89"/>
    <w:rsid w:val="00F87CB8"/>
    <w:rsid w:val="00F87D0F"/>
    <w:rsid w:val="00F87D8A"/>
    <w:rsid w:val="00F90162"/>
    <w:rsid w:val="00F90179"/>
    <w:rsid w:val="00F90299"/>
    <w:rsid w:val="00F902A9"/>
    <w:rsid w:val="00F902F7"/>
    <w:rsid w:val="00F9039D"/>
    <w:rsid w:val="00F90401"/>
    <w:rsid w:val="00F9045F"/>
    <w:rsid w:val="00F90563"/>
    <w:rsid w:val="00F90577"/>
    <w:rsid w:val="00F905AA"/>
    <w:rsid w:val="00F905E1"/>
    <w:rsid w:val="00F906F2"/>
    <w:rsid w:val="00F90730"/>
    <w:rsid w:val="00F9086E"/>
    <w:rsid w:val="00F9087E"/>
    <w:rsid w:val="00F9096F"/>
    <w:rsid w:val="00F909F4"/>
    <w:rsid w:val="00F90A7E"/>
    <w:rsid w:val="00F90A89"/>
    <w:rsid w:val="00F90CAF"/>
    <w:rsid w:val="00F90CFE"/>
    <w:rsid w:val="00F90D57"/>
    <w:rsid w:val="00F90DFA"/>
    <w:rsid w:val="00F90E26"/>
    <w:rsid w:val="00F9144B"/>
    <w:rsid w:val="00F91478"/>
    <w:rsid w:val="00F9161E"/>
    <w:rsid w:val="00F9168F"/>
    <w:rsid w:val="00F91715"/>
    <w:rsid w:val="00F91825"/>
    <w:rsid w:val="00F91854"/>
    <w:rsid w:val="00F9187C"/>
    <w:rsid w:val="00F91896"/>
    <w:rsid w:val="00F918B4"/>
    <w:rsid w:val="00F918CA"/>
    <w:rsid w:val="00F919B8"/>
    <w:rsid w:val="00F91A9C"/>
    <w:rsid w:val="00F91AA2"/>
    <w:rsid w:val="00F91BDF"/>
    <w:rsid w:val="00F91C0A"/>
    <w:rsid w:val="00F91CBD"/>
    <w:rsid w:val="00F91D4C"/>
    <w:rsid w:val="00F91DBC"/>
    <w:rsid w:val="00F91E14"/>
    <w:rsid w:val="00F91E37"/>
    <w:rsid w:val="00F91F42"/>
    <w:rsid w:val="00F91F7E"/>
    <w:rsid w:val="00F91F88"/>
    <w:rsid w:val="00F9200E"/>
    <w:rsid w:val="00F9202F"/>
    <w:rsid w:val="00F92110"/>
    <w:rsid w:val="00F9230C"/>
    <w:rsid w:val="00F92344"/>
    <w:rsid w:val="00F9243E"/>
    <w:rsid w:val="00F9276D"/>
    <w:rsid w:val="00F927A2"/>
    <w:rsid w:val="00F927B9"/>
    <w:rsid w:val="00F929F2"/>
    <w:rsid w:val="00F92AD6"/>
    <w:rsid w:val="00F92AED"/>
    <w:rsid w:val="00F92B03"/>
    <w:rsid w:val="00F92C88"/>
    <w:rsid w:val="00F92CD8"/>
    <w:rsid w:val="00F92DED"/>
    <w:rsid w:val="00F92E65"/>
    <w:rsid w:val="00F93090"/>
    <w:rsid w:val="00F930C4"/>
    <w:rsid w:val="00F9322B"/>
    <w:rsid w:val="00F933B2"/>
    <w:rsid w:val="00F9352D"/>
    <w:rsid w:val="00F9359F"/>
    <w:rsid w:val="00F936DC"/>
    <w:rsid w:val="00F936FE"/>
    <w:rsid w:val="00F937E9"/>
    <w:rsid w:val="00F93985"/>
    <w:rsid w:val="00F939D5"/>
    <w:rsid w:val="00F93AD7"/>
    <w:rsid w:val="00F93B19"/>
    <w:rsid w:val="00F93C46"/>
    <w:rsid w:val="00F93EA4"/>
    <w:rsid w:val="00F93EB1"/>
    <w:rsid w:val="00F93FC1"/>
    <w:rsid w:val="00F94113"/>
    <w:rsid w:val="00F942D0"/>
    <w:rsid w:val="00F9448C"/>
    <w:rsid w:val="00F944C6"/>
    <w:rsid w:val="00F944D0"/>
    <w:rsid w:val="00F944F2"/>
    <w:rsid w:val="00F9450D"/>
    <w:rsid w:val="00F94680"/>
    <w:rsid w:val="00F94745"/>
    <w:rsid w:val="00F947A7"/>
    <w:rsid w:val="00F947FC"/>
    <w:rsid w:val="00F94822"/>
    <w:rsid w:val="00F94913"/>
    <w:rsid w:val="00F94978"/>
    <w:rsid w:val="00F9497D"/>
    <w:rsid w:val="00F949CB"/>
    <w:rsid w:val="00F949D5"/>
    <w:rsid w:val="00F94AA8"/>
    <w:rsid w:val="00F94B05"/>
    <w:rsid w:val="00F94BDF"/>
    <w:rsid w:val="00F94D00"/>
    <w:rsid w:val="00F94D56"/>
    <w:rsid w:val="00F94D59"/>
    <w:rsid w:val="00F94DF4"/>
    <w:rsid w:val="00F94E25"/>
    <w:rsid w:val="00F94F05"/>
    <w:rsid w:val="00F94F20"/>
    <w:rsid w:val="00F95113"/>
    <w:rsid w:val="00F95196"/>
    <w:rsid w:val="00F95416"/>
    <w:rsid w:val="00F9548D"/>
    <w:rsid w:val="00F954E1"/>
    <w:rsid w:val="00F955E6"/>
    <w:rsid w:val="00F95618"/>
    <w:rsid w:val="00F956CF"/>
    <w:rsid w:val="00F95754"/>
    <w:rsid w:val="00F95759"/>
    <w:rsid w:val="00F957B8"/>
    <w:rsid w:val="00F9587D"/>
    <w:rsid w:val="00F95973"/>
    <w:rsid w:val="00F95AF7"/>
    <w:rsid w:val="00F95D23"/>
    <w:rsid w:val="00F95DFA"/>
    <w:rsid w:val="00F96087"/>
    <w:rsid w:val="00F964B4"/>
    <w:rsid w:val="00F964CE"/>
    <w:rsid w:val="00F964F5"/>
    <w:rsid w:val="00F9652A"/>
    <w:rsid w:val="00F96544"/>
    <w:rsid w:val="00F96557"/>
    <w:rsid w:val="00F965C0"/>
    <w:rsid w:val="00F9670E"/>
    <w:rsid w:val="00F967BC"/>
    <w:rsid w:val="00F96832"/>
    <w:rsid w:val="00F96A11"/>
    <w:rsid w:val="00F96ADB"/>
    <w:rsid w:val="00F96B50"/>
    <w:rsid w:val="00F96B7A"/>
    <w:rsid w:val="00F96C50"/>
    <w:rsid w:val="00F96CD6"/>
    <w:rsid w:val="00F96F25"/>
    <w:rsid w:val="00F9708E"/>
    <w:rsid w:val="00F970E0"/>
    <w:rsid w:val="00F9719B"/>
    <w:rsid w:val="00F97272"/>
    <w:rsid w:val="00F97418"/>
    <w:rsid w:val="00F9741A"/>
    <w:rsid w:val="00F97497"/>
    <w:rsid w:val="00F9749D"/>
    <w:rsid w:val="00F974D3"/>
    <w:rsid w:val="00F97752"/>
    <w:rsid w:val="00F977C6"/>
    <w:rsid w:val="00F9782B"/>
    <w:rsid w:val="00F97A7D"/>
    <w:rsid w:val="00F97BB7"/>
    <w:rsid w:val="00F97FA1"/>
    <w:rsid w:val="00FA00F3"/>
    <w:rsid w:val="00FA056C"/>
    <w:rsid w:val="00FA057B"/>
    <w:rsid w:val="00FA089B"/>
    <w:rsid w:val="00FA09F8"/>
    <w:rsid w:val="00FA0A7B"/>
    <w:rsid w:val="00FA0AA3"/>
    <w:rsid w:val="00FA0BE3"/>
    <w:rsid w:val="00FA0CD8"/>
    <w:rsid w:val="00FA0D29"/>
    <w:rsid w:val="00FA0DD4"/>
    <w:rsid w:val="00FA1195"/>
    <w:rsid w:val="00FA120E"/>
    <w:rsid w:val="00FA1215"/>
    <w:rsid w:val="00FA1248"/>
    <w:rsid w:val="00FA1367"/>
    <w:rsid w:val="00FA1659"/>
    <w:rsid w:val="00FA16B5"/>
    <w:rsid w:val="00FA1784"/>
    <w:rsid w:val="00FA1798"/>
    <w:rsid w:val="00FA17B7"/>
    <w:rsid w:val="00FA1970"/>
    <w:rsid w:val="00FA1B66"/>
    <w:rsid w:val="00FA1BC7"/>
    <w:rsid w:val="00FA1CD5"/>
    <w:rsid w:val="00FA1EE9"/>
    <w:rsid w:val="00FA1F13"/>
    <w:rsid w:val="00FA1FF5"/>
    <w:rsid w:val="00FA2019"/>
    <w:rsid w:val="00FA211C"/>
    <w:rsid w:val="00FA21A6"/>
    <w:rsid w:val="00FA21AA"/>
    <w:rsid w:val="00FA239E"/>
    <w:rsid w:val="00FA23A5"/>
    <w:rsid w:val="00FA255A"/>
    <w:rsid w:val="00FA2684"/>
    <w:rsid w:val="00FA2701"/>
    <w:rsid w:val="00FA271F"/>
    <w:rsid w:val="00FA275C"/>
    <w:rsid w:val="00FA27A4"/>
    <w:rsid w:val="00FA284D"/>
    <w:rsid w:val="00FA2887"/>
    <w:rsid w:val="00FA2915"/>
    <w:rsid w:val="00FA2ACF"/>
    <w:rsid w:val="00FA2D76"/>
    <w:rsid w:val="00FA2E19"/>
    <w:rsid w:val="00FA2F1E"/>
    <w:rsid w:val="00FA2F26"/>
    <w:rsid w:val="00FA302E"/>
    <w:rsid w:val="00FA3040"/>
    <w:rsid w:val="00FA304C"/>
    <w:rsid w:val="00FA33ED"/>
    <w:rsid w:val="00FA3584"/>
    <w:rsid w:val="00FA35DC"/>
    <w:rsid w:val="00FA3665"/>
    <w:rsid w:val="00FA36B7"/>
    <w:rsid w:val="00FA3851"/>
    <w:rsid w:val="00FA39C2"/>
    <w:rsid w:val="00FA3A2B"/>
    <w:rsid w:val="00FA3B17"/>
    <w:rsid w:val="00FA3C9D"/>
    <w:rsid w:val="00FA3E3C"/>
    <w:rsid w:val="00FA3E3D"/>
    <w:rsid w:val="00FA3EDE"/>
    <w:rsid w:val="00FA403F"/>
    <w:rsid w:val="00FA40CF"/>
    <w:rsid w:val="00FA4146"/>
    <w:rsid w:val="00FA422F"/>
    <w:rsid w:val="00FA43AE"/>
    <w:rsid w:val="00FA4510"/>
    <w:rsid w:val="00FA45ED"/>
    <w:rsid w:val="00FA464B"/>
    <w:rsid w:val="00FA488A"/>
    <w:rsid w:val="00FA4906"/>
    <w:rsid w:val="00FA4908"/>
    <w:rsid w:val="00FA4A94"/>
    <w:rsid w:val="00FA4AA2"/>
    <w:rsid w:val="00FA4BD2"/>
    <w:rsid w:val="00FA4BF2"/>
    <w:rsid w:val="00FA4C07"/>
    <w:rsid w:val="00FA4C75"/>
    <w:rsid w:val="00FA4C82"/>
    <w:rsid w:val="00FA4D48"/>
    <w:rsid w:val="00FA4DAB"/>
    <w:rsid w:val="00FA4F35"/>
    <w:rsid w:val="00FA5018"/>
    <w:rsid w:val="00FA5029"/>
    <w:rsid w:val="00FA5110"/>
    <w:rsid w:val="00FA5530"/>
    <w:rsid w:val="00FA5567"/>
    <w:rsid w:val="00FA581D"/>
    <w:rsid w:val="00FA59CD"/>
    <w:rsid w:val="00FA5A29"/>
    <w:rsid w:val="00FA5A8D"/>
    <w:rsid w:val="00FA5BFB"/>
    <w:rsid w:val="00FA5CFB"/>
    <w:rsid w:val="00FA5D58"/>
    <w:rsid w:val="00FA5DDD"/>
    <w:rsid w:val="00FA5EA7"/>
    <w:rsid w:val="00FA606F"/>
    <w:rsid w:val="00FA6086"/>
    <w:rsid w:val="00FA61C6"/>
    <w:rsid w:val="00FA6283"/>
    <w:rsid w:val="00FA62A0"/>
    <w:rsid w:val="00FA6558"/>
    <w:rsid w:val="00FA6674"/>
    <w:rsid w:val="00FA66F1"/>
    <w:rsid w:val="00FA6704"/>
    <w:rsid w:val="00FA6791"/>
    <w:rsid w:val="00FA67A5"/>
    <w:rsid w:val="00FA68C8"/>
    <w:rsid w:val="00FA6904"/>
    <w:rsid w:val="00FA6938"/>
    <w:rsid w:val="00FA6A6A"/>
    <w:rsid w:val="00FA6A6B"/>
    <w:rsid w:val="00FA6AD1"/>
    <w:rsid w:val="00FA6BDE"/>
    <w:rsid w:val="00FA7017"/>
    <w:rsid w:val="00FA705E"/>
    <w:rsid w:val="00FA70A8"/>
    <w:rsid w:val="00FA70F1"/>
    <w:rsid w:val="00FA710E"/>
    <w:rsid w:val="00FA725E"/>
    <w:rsid w:val="00FA727D"/>
    <w:rsid w:val="00FA72CE"/>
    <w:rsid w:val="00FA7310"/>
    <w:rsid w:val="00FA7333"/>
    <w:rsid w:val="00FA7625"/>
    <w:rsid w:val="00FA76B8"/>
    <w:rsid w:val="00FA7706"/>
    <w:rsid w:val="00FA7714"/>
    <w:rsid w:val="00FA7983"/>
    <w:rsid w:val="00FA7C5C"/>
    <w:rsid w:val="00FA7CBD"/>
    <w:rsid w:val="00FA7D3E"/>
    <w:rsid w:val="00FA7DAE"/>
    <w:rsid w:val="00FA7DB4"/>
    <w:rsid w:val="00FA7DF5"/>
    <w:rsid w:val="00FA7E83"/>
    <w:rsid w:val="00FA7EBB"/>
    <w:rsid w:val="00FA7FCD"/>
    <w:rsid w:val="00FB0083"/>
    <w:rsid w:val="00FB0152"/>
    <w:rsid w:val="00FB0258"/>
    <w:rsid w:val="00FB0367"/>
    <w:rsid w:val="00FB04D2"/>
    <w:rsid w:val="00FB05E4"/>
    <w:rsid w:val="00FB062D"/>
    <w:rsid w:val="00FB066B"/>
    <w:rsid w:val="00FB06DC"/>
    <w:rsid w:val="00FB0743"/>
    <w:rsid w:val="00FB07FC"/>
    <w:rsid w:val="00FB0877"/>
    <w:rsid w:val="00FB0C69"/>
    <w:rsid w:val="00FB0D0E"/>
    <w:rsid w:val="00FB0DCA"/>
    <w:rsid w:val="00FB1006"/>
    <w:rsid w:val="00FB114D"/>
    <w:rsid w:val="00FB1296"/>
    <w:rsid w:val="00FB12E4"/>
    <w:rsid w:val="00FB13E9"/>
    <w:rsid w:val="00FB142B"/>
    <w:rsid w:val="00FB1495"/>
    <w:rsid w:val="00FB1557"/>
    <w:rsid w:val="00FB1650"/>
    <w:rsid w:val="00FB1691"/>
    <w:rsid w:val="00FB1698"/>
    <w:rsid w:val="00FB16EB"/>
    <w:rsid w:val="00FB1790"/>
    <w:rsid w:val="00FB17B3"/>
    <w:rsid w:val="00FB19E9"/>
    <w:rsid w:val="00FB1B11"/>
    <w:rsid w:val="00FB1B62"/>
    <w:rsid w:val="00FB1C26"/>
    <w:rsid w:val="00FB1F8C"/>
    <w:rsid w:val="00FB1F96"/>
    <w:rsid w:val="00FB211D"/>
    <w:rsid w:val="00FB22A4"/>
    <w:rsid w:val="00FB22CA"/>
    <w:rsid w:val="00FB232B"/>
    <w:rsid w:val="00FB238D"/>
    <w:rsid w:val="00FB23A6"/>
    <w:rsid w:val="00FB249F"/>
    <w:rsid w:val="00FB25F3"/>
    <w:rsid w:val="00FB2686"/>
    <w:rsid w:val="00FB26AA"/>
    <w:rsid w:val="00FB26BB"/>
    <w:rsid w:val="00FB2843"/>
    <w:rsid w:val="00FB28D5"/>
    <w:rsid w:val="00FB290D"/>
    <w:rsid w:val="00FB2981"/>
    <w:rsid w:val="00FB29DC"/>
    <w:rsid w:val="00FB2A1C"/>
    <w:rsid w:val="00FB2AB4"/>
    <w:rsid w:val="00FB2B0C"/>
    <w:rsid w:val="00FB2B4E"/>
    <w:rsid w:val="00FB2BEE"/>
    <w:rsid w:val="00FB2C29"/>
    <w:rsid w:val="00FB2C4F"/>
    <w:rsid w:val="00FB2DED"/>
    <w:rsid w:val="00FB2F31"/>
    <w:rsid w:val="00FB307C"/>
    <w:rsid w:val="00FB3148"/>
    <w:rsid w:val="00FB3184"/>
    <w:rsid w:val="00FB32C3"/>
    <w:rsid w:val="00FB3407"/>
    <w:rsid w:val="00FB3524"/>
    <w:rsid w:val="00FB357E"/>
    <w:rsid w:val="00FB3682"/>
    <w:rsid w:val="00FB378A"/>
    <w:rsid w:val="00FB38D6"/>
    <w:rsid w:val="00FB398E"/>
    <w:rsid w:val="00FB39D5"/>
    <w:rsid w:val="00FB3B40"/>
    <w:rsid w:val="00FB3D2B"/>
    <w:rsid w:val="00FB3E5F"/>
    <w:rsid w:val="00FB405D"/>
    <w:rsid w:val="00FB4071"/>
    <w:rsid w:val="00FB41F8"/>
    <w:rsid w:val="00FB42D8"/>
    <w:rsid w:val="00FB435A"/>
    <w:rsid w:val="00FB454B"/>
    <w:rsid w:val="00FB45A5"/>
    <w:rsid w:val="00FB4609"/>
    <w:rsid w:val="00FB4748"/>
    <w:rsid w:val="00FB4799"/>
    <w:rsid w:val="00FB4883"/>
    <w:rsid w:val="00FB4933"/>
    <w:rsid w:val="00FB4D7B"/>
    <w:rsid w:val="00FB4F2B"/>
    <w:rsid w:val="00FB5024"/>
    <w:rsid w:val="00FB5078"/>
    <w:rsid w:val="00FB50DF"/>
    <w:rsid w:val="00FB51DB"/>
    <w:rsid w:val="00FB543E"/>
    <w:rsid w:val="00FB54A9"/>
    <w:rsid w:val="00FB5521"/>
    <w:rsid w:val="00FB55CA"/>
    <w:rsid w:val="00FB58D9"/>
    <w:rsid w:val="00FB59F7"/>
    <w:rsid w:val="00FB59FE"/>
    <w:rsid w:val="00FB5A75"/>
    <w:rsid w:val="00FB5B3E"/>
    <w:rsid w:val="00FB5F7E"/>
    <w:rsid w:val="00FB6038"/>
    <w:rsid w:val="00FB6327"/>
    <w:rsid w:val="00FB6383"/>
    <w:rsid w:val="00FB6413"/>
    <w:rsid w:val="00FB64A1"/>
    <w:rsid w:val="00FB658B"/>
    <w:rsid w:val="00FB6651"/>
    <w:rsid w:val="00FB66FB"/>
    <w:rsid w:val="00FB67CC"/>
    <w:rsid w:val="00FB6898"/>
    <w:rsid w:val="00FB68AA"/>
    <w:rsid w:val="00FB68CD"/>
    <w:rsid w:val="00FB68FF"/>
    <w:rsid w:val="00FB693E"/>
    <w:rsid w:val="00FB6A09"/>
    <w:rsid w:val="00FB6A29"/>
    <w:rsid w:val="00FB6C4A"/>
    <w:rsid w:val="00FB6CA1"/>
    <w:rsid w:val="00FB6CD9"/>
    <w:rsid w:val="00FB6D72"/>
    <w:rsid w:val="00FB6D8C"/>
    <w:rsid w:val="00FB6DDC"/>
    <w:rsid w:val="00FB6E63"/>
    <w:rsid w:val="00FB6E98"/>
    <w:rsid w:val="00FB6F47"/>
    <w:rsid w:val="00FB6F68"/>
    <w:rsid w:val="00FB6F70"/>
    <w:rsid w:val="00FB6FE6"/>
    <w:rsid w:val="00FB7058"/>
    <w:rsid w:val="00FB7072"/>
    <w:rsid w:val="00FB7222"/>
    <w:rsid w:val="00FB7267"/>
    <w:rsid w:val="00FB73A7"/>
    <w:rsid w:val="00FB7429"/>
    <w:rsid w:val="00FB76F6"/>
    <w:rsid w:val="00FB7744"/>
    <w:rsid w:val="00FB7A6F"/>
    <w:rsid w:val="00FB7B28"/>
    <w:rsid w:val="00FB7BB2"/>
    <w:rsid w:val="00FB7BFA"/>
    <w:rsid w:val="00FB7D36"/>
    <w:rsid w:val="00FB7ED9"/>
    <w:rsid w:val="00FB7EFE"/>
    <w:rsid w:val="00FC0058"/>
    <w:rsid w:val="00FC0170"/>
    <w:rsid w:val="00FC02AA"/>
    <w:rsid w:val="00FC02F7"/>
    <w:rsid w:val="00FC042E"/>
    <w:rsid w:val="00FC0683"/>
    <w:rsid w:val="00FC06CB"/>
    <w:rsid w:val="00FC06CD"/>
    <w:rsid w:val="00FC0802"/>
    <w:rsid w:val="00FC0929"/>
    <w:rsid w:val="00FC0A64"/>
    <w:rsid w:val="00FC0BC2"/>
    <w:rsid w:val="00FC0C50"/>
    <w:rsid w:val="00FC0E0B"/>
    <w:rsid w:val="00FC0E0F"/>
    <w:rsid w:val="00FC0E61"/>
    <w:rsid w:val="00FC0FEA"/>
    <w:rsid w:val="00FC11AD"/>
    <w:rsid w:val="00FC1330"/>
    <w:rsid w:val="00FC1368"/>
    <w:rsid w:val="00FC148B"/>
    <w:rsid w:val="00FC1566"/>
    <w:rsid w:val="00FC169D"/>
    <w:rsid w:val="00FC177C"/>
    <w:rsid w:val="00FC17EE"/>
    <w:rsid w:val="00FC18B6"/>
    <w:rsid w:val="00FC18F7"/>
    <w:rsid w:val="00FC1A8E"/>
    <w:rsid w:val="00FC1C43"/>
    <w:rsid w:val="00FC1CD6"/>
    <w:rsid w:val="00FC1E12"/>
    <w:rsid w:val="00FC1E1B"/>
    <w:rsid w:val="00FC1E40"/>
    <w:rsid w:val="00FC1F1B"/>
    <w:rsid w:val="00FC1F2F"/>
    <w:rsid w:val="00FC1F39"/>
    <w:rsid w:val="00FC1FE3"/>
    <w:rsid w:val="00FC2069"/>
    <w:rsid w:val="00FC206F"/>
    <w:rsid w:val="00FC2103"/>
    <w:rsid w:val="00FC2110"/>
    <w:rsid w:val="00FC220E"/>
    <w:rsid w:val="00FC2231"/>
    <w:rsid w:val="00FC2240"/>
    <w:rsid w:val="00FC261A"/>
    <w:rsid w:val="00FC264E"/>
    <w:rsid w:val="00FC2876"/>
    <w:rsid w:val="00FC2997"/>
    <w:rsid w:val="00FC2A65"/>
    <w:rsid w:val="00FC2AAF"/>
    <w:rsid w:val="00FC2CA5"/>
    <w:rsid w:val="00FC2E48"/>
    <w:rsid w:val="00FC2EB3"/>
    <w:rsid w:val="00FC2ED5"/>
    <w:rsid w:val="00FC2F1A"/>
    <w:rsid w:val="00FC2FB7"/>
    <w:rsid w:val="00FC30B1"/>
    <w:rsid w:val="00FC30CA"/>
    <w:rsid w:val="00FC3210"/>
    <w:rsid w:val="00FC337F"/>
    <w:rsid w:val="00FC3413"/>
    <w:rsid w:val="00FC346A"/>
    <w:rsid w:val="00FC34B4"/>
    <w:rsid w:val="00FC34DA"/>
    <w:rsid w:val="00FC351A"/>
    <w:rsid w:val="00FC3766"/>
    <w:rsid w:val="00FC37E6"/>
    <w:rsid w:val="00FC387A"/>
    <w:rsid w:val="00FC3949"/>
    <w:rsid w:val="00FC3A57"/>
    <w:rsid w:val="00FC3B77"/>
    <w:rsid w:val="00FC3C02"/>
    <w:rsid w:val="00FC3C6C"/>
    <w:rsid w:val="00FC3D37"/>
    <w:rsid w:val="00FC3E95"/>
    <w:rsid w:val="00FC3EA0"/>
    <w:rsid w:val="00FC3EFA"/>
    <w:rsid w:val="00FC4156"/>
    <w:rsid w:val="00FC415F"/>
    <w:rsid w:val="00FC41EA"/>
    <w:rsid w:val="00FC423C"/>
    <w:rsid w:val="00FC4373"/>
    <w:rsid w:val="00FC44BD"/>
    <w:rsid w:val="00FC45A0"/>
    <w:rsid w:val="00FC462C"/>
    <w:rsid w:val="00FC46E4"/>
    <w:rsid w:val="00FC4797"/>
    <w:rsid w:val="00FC49EA"/>
    <w:rsid w:val="00FC4AF3"/>
    <w:rsid w:val="00FC4C44"/>
    <w:rsid w:val="00FC4C90"/>
    <w:rsid w:val="00FC4CC9"/>
    <w:rsid w:val="00FC4CD3"/>
    <w:rsid w:val="00FC4EE1"/>
    <w:rsid w:val="00FC504F"/>
    <w:rsid w:val="00FC5060"/>
    <w:rsid w:val="00FC507A"/>
    <w:rsid w:val="00FC5149"/>
    <w:rsid w:val="00FC51A3"/>
    <w:rsid w:val="00FC51C3"/>
    <w:rsid w:val="00FC5241"/>
    <w:rsid w:val="00FC52FE"/>
    <w:rsid w:val="00FC5314"/>
    <w:rsid w:val="00FC53EA"/>
    <w:rsid w:val="00FC544D"/>
    <w:rsid w:val="00FC550C"/>
    <w:rsid w:val="00FC5563"/>
    <w:rsid w:val="00FC55E3"/>
    <w:rsid w:val="00FC5665"/>
    <w:rsid w:val="00FC56A0"/>
    <w:rsid w:val="00FC57C0"/>
    <w:rsid w:val="00FC5919"/>
    <w:rsid w:val="00FC5B3C"/>
    <w:rsid w:val="00FC5B54"/>
    <w:rsid w:val="00FC5C3F"/>
    <w:rsid w:val="00FC5DB0"/>
    <w:rsid w:val="00FC5E16"/>
    <w:rsid w:val="00FC5E68"/>
    <w:rsid w:val="00FC5E6D"/>
    <w:rsid w:val="00FC5F21"/>
    <w:rsid w:val="00FC60AE"/>
    <w:rsid w:val="00FC631E"/>
    <w:rsid w:val="00FC65F5"/>
    <w:rsid w:val="00FC666D"/>
    <w:rsid w:val="00FC66A1"/>
    <w:rsid w:val="00FC6741"/>
    <w:rsid w:val="00FC6A8F"/>
    <w:rsid w:val="00FC6C32"/>
    <w:rsid w:val="00FC6DEB"/>
    <w:rsid w:val="00FC7000"/>
    <w:rsid w:val="00FC700C"/>
    <w:rsid w:val="00FC7151"/>
    <w:rsid w:val="00FC716D"/>
    <w:rsid w:val="00FC71B3"/>
    <w:rsid w:val="00FC7213"/>
    <w:rsid w:val="00FC72C4"/>
    <w:rsid w:val="00FC7335"/>
    <w:rsid w:val="00FC737D"/>
    <w:rsid w:val="00FC73F1"/>
    <w:rsid w:val="00FC7553"/>
    <w:rsid w:val="00FC75A6"/>
    <w:rsid w:val="00FC7660"/>
    <w:rsid w:val="00FC7673"/>
    <w:rsid w:val="00FC76CD"/>
    <w:rsid w:val="00FC7758"/>
    <w:rsid w:val="00FC776A"/>
    <w:rsid w:val="00FC782F"/>
    <w:rsid w:val="00FC786F"/>
    <w:rsid w:val="00FC794D"/>
    <w:rsid w:val="00FC7A38"/>
    <w:rsid w:val="00FC7AF5"/>
    <w:rsid w:val="00FC7BBD"/>
    <w:rsid w:val="00FC7C69"/>
    <w:rsid w:val="00FC7DE6"/>
    <w:rsid w:val="00FC7E4F"/>
    <w:rsid w:val="00FC7EAE"/>
    <w:rsid w:val="00FC7F21"/>
    <w:rsid w:val="00FD001F"/>
    <w:rsid w:val="00FD013D"/>
    <w:rsid w:val="00FD034B"/>
    <w:rsid w:val="00FD0364"/>
    <w:rsid w:val="00FD07E8"/>
    <w:rsid w:val="00FD07F0"/>
    <w:rsid w:val="00FD088D"/>
    <w:rsid w:val="00FD08E3"/>
    <w:rsid w:val="00FD090E"/>
    <w:rsid w:val="00FD096C"/>
    <w:rsid w:val="00FD0979"/>
    <w:rsid w:val="00FD0984"/>
    <w:rsid w:val="00FD0994"/>
    <w:rsid w:val="00FD0C74"/>
    <w:rsid w:val="00FD0CE9"/>
    <w:rsid w:val="00FD0DAD"/>
    <w:rsid w:val="00FD0EE3"/>
    <w:rsid w:val="00FD0FA2"/>
    <w:rsid w:val="00FD106E"/>
    <w:rsid w:val="00FD10E8"/>
    <w:rsid w:val="00FD1239"/>
    <w:rsid w:val="00FD1467"/>
    <w:rsid w:val="00FD177B"/>
    <w:rsid w:val="00FD186C"/>
    <w:rsid w:val="00FD1A78"/>
    <w:rsid w:val="00FD1B0C"/>
    <w:rsid w:val="00FD1C46"/>
    <w:rsid w:val="00FD1F59"/>
    <w:rsid w:val="00FD1FE7"/>
    <w:rsid w:val="00FD209E"/>
    <w:rsid w:val="00FD20EC"/>
    <w:rsid w:val="00FD212B"/>
    <w:rsid w:val="00FD231C"/>
    <w:rsid w:val="00FD23DE"/>
    <w:rsid w:val="00FD2416"/>
    <w:rsid w:val="00FD26E9"/>
    <w:rsid w:val="00FD27D8"/>
    <w:rsid w:val="00FD2808"/>
    <w:rsid w:val="00FD284A"/>
    <w:rsid w:val="00FD2960"/>
    <w:rsid w:val="00FD2B52"/>
    <w:rsid w:val="00FD2BB4"/>
    <w:rsid w:val="00FD2C44"/>
    <w:rsid w:val="00FD2C91"/>
    <w:rsid w:val="00FD2CA2"/>
    <w:rsid w:val="00FD2D2A"/>
    <w:rsid w:val="00FD2DBF"/>
    <w:rsid w:val="00FD2FA4"/>
    <w:rsid w:val="00FD2FB0"/>
    <w:rsid w:val="00FD2FCF"/>
    <w:rsid w:val="00FD30F6"/>
    <w:rsid w:val="00FD32B3"/>
    <w:rsid w:val="00FD333D"/>
    <w:rsid w:val="00FD3432"/>
    <w:rsid w:val="00FD348C"/>
    <w:rsid w:val="00FD357A"/>
    <w:rsid w:val="00FD36A7"/>
    <w:rsid w:val="00FD377C"/>
    <w:rsid w:val="00FD3A86"/>
    <w:rsid w:val="00FD3ABB"/>
    <w:rsid w:val="00FD3BF5"/>
    <w:rsid w:val="00FD3C95"/>
    <w:rsid w:val="00FD3E4E"/>
    <w:rsid w:val="00FD419E"/>
    <w:rsid w:val="00FD427B"/>
    <w:rsid w:val="00FD42BB"/>
    <w:rsid w:val="00FD42F4"/>
    <w:rsid w:val="00FD43D9"/>
    <w:rsid w:val="00FD4465"/>
    <w:rsid w:val="00FD44A4"/>
    <w:rsid w:val="00FD4658"/>
    <w:rsid w:val="00FD466D"/>
    <w:rsid w:val="00FD46CE"/>
    <w:rsid w:val="00FD46EA"/>
    <w:rsid w:val="00FD46EE"/>
    <w:rsid w:val="00FD4767"/>
    <w:rsid w:val="00FD4939"/>
    <w:rsid w:val="00FD4D37"/>
    <w:rsid w:val="00FD4D4B"/>
    <w:rsid w:val="00FD4F65"/>
    <w:rsid w:val="00FD4F8C"/>
    <w:rsid w:val="00FD524F"/>
    <w:rsid w:val="00FD526F"/>
    <w:rsid w:val="00FD53DA"/>
    <w:rsid w:val="00FD54D9"/>
    <w:rsid w:val="00FD55EF"/>
    <w:rsid w:val="00FD578C"/>
    <w:rsid w:val="00FD590C"/>
    <w:rsid w:val="00FD5DC5"/>
    <w:rsid w:val="00FD5DE4"/>
    <w:rsid w:val="00FD5E28"/>
    <w:rsid w:val="00FD5E64"/>
    <w:rsid w:val="00FD5EDB"/>
    <w:rsid w:val="00FD5F1A"/>
    <w:rsid w:val="00FD5F1B"/>
    <w:rsid w:val="00FD601E"/>
    <w:rsid w:val="00FD6123"/>
    <w:rsid w:val="00FD6456"/>
    <w:rsid w:val="00FD6472"/>
    <w:rsid w:val="00FD64A7"/>
    <w:rsid w:val="00FD6539"/>
    <w:rsid w:val="00FD6575"/>
    <w:rsid w:val="00FD661B"/>
    <w:rsid w:val="00FD6629"/>
    <w:rsid w:val="00FD668A"/>
    <w:rsid w:val="00FD6731"/>
    <w:rsid w:val="00FD676E"/>
    <w:rsid w:val="00FD6796"/>
    <w:rsid w:val="00FD67A9"/>
    <w:rsid w:val="00FD67F8"/>
    <w:rsid w:val="00FD69A6"/>
    <w:rsid w:val="00FD69E1"/>
    <w:rsid w:val="00FD6A4A"/>
    <w:rsid w:val="00FD6A88"/>
    <w:rsid w:val="00FD6A8B"/>
    <w:rsid w:val="00FD6AC6"/>
    <w:rsid w:val="00FD6B35"/>
    <w:rsid w:val="00FD6BC5"/>
    <w:rsid w:val="00FD6BDC"/>
    <w:rsid w:val="00FD6D07"/>
    <w:rsid w:val="00FD6D4A"/>
    <w:rsid w:val="00FD6E56"/>
    <w:rsid w:val="00FD7090"/>
    <w:rsid w:val="00FD721F"/>
    <w:rsid w:val="00FD72A0"/>
    <w:rsid w:val="00FD7322"/>
    <w:rsid w:val="00FD73E9"/>
    <w:rsid w:val="00FD744E"/>
    <w:rsid w:val="00FD7483"/>
    <w:rsid w:val="00FD74B0"/>
    <w:rsid w:val="00FD790F"/>
    <w:rsid w:val="00FD7A01"/>
    <w:rsid w:val="00FD7A0B"/>
    <w:rsid w:val="00FD7A2E"/>
    <w:rsid w:val="00FD7A3A"/>
    <w:rsid w:val="00FD7ACB"/>
    <w:rsid w:val="00FD7AFA"/>
    <w:rsid w:val="00FD7CEE"/>
    <w:rsid w:val="00FD7D03"/>
    <w:rsid w:val="00FD7D0D"/>
    <w:rsid w:val="00FD7E14"/>
    <w:rsid w:val="00FE0117"/>
    <w:rsid w:val="00FE0278"/>
    <w:rsid w:val="00FE02F9"/>
    <w:rsid w:val="00FE0329"/>
    <w:rsid w:val="00FE0659"/>
    <w:rsid w:val="00FE0753"/>
    <w:rsid w:val="00FE077E"/>
    <w:rsid w:val="00FE07F0"/>
    <w:rsid w:val="00FE08B3"/>
    <w:rsid w:val="00FE08B6"/>
    <w:rsid w:val="00FE08BE"/>
    <w:rsid w:val="00FE0936"/>
    <w:rsid w:val="00FE0A9A"/>
    <w:rsid w:val="00FE0AAE"/>
    <w:rsid w:val="00FE0DF7"/>
    <w:rsid w:val="00FE0EDF"/>
    <w:rsid w:val="00FE13A6"/>
    <w:rsid w:val="00FE14FF"/>
    <w:rsid w:val="00FE1697"/>
    <w:rsid w:val="00FE1720"/>
    <w:rsid w:val="00FE177A"/>
    <w:rsid w:val="00FE17DA"/>
    <w:rsid w:val="00FE188C"/>
    <w:rsid w:val="00FE1A31"/>
    <w:rsid w:val="00FE1AFB"/>
    <w:rsid w:val="00FE1C53"/>
    <w:rsid w:val="00FE1C7C"/>
    <w:rsid w:val="00FE1D2E"/>
    <w:rsid w:val="00FE1FAE"/>
    <w:rsid w:val="00FE2280"/>
    <w:rsid w:val="00FE22D7"/>
    <w:rsid w:val="00FE2418"/>
    <w:rsid w:val="00FE2490"/>
    <w:rsid w:val="00FE25E7"/>
    <w:rsid w:val="00FE2634"/>
    <w:rsid w:val="00FE282D"/>
    <w:rsid w:val="00FE2844"/>
    <w:rsid w:val="00FE29A9"/>
    <w:rsid w:val="00FE2B75"/>
    <w:rsid w:val="00FE2D0B"/>
    <w:rsid w:val="00FE2D14"/>
    <w:rsid w:val="00FE2E15"/>
    <w:rsid w:val="00FE2F02"/>
    <w:rsid w:val="00FE318F"/>
    <w:rsid w:val="00FE330F"/>
    <w:rsid w:val="00FE333B"/>
    <w:rsid w:val="00FE33A0"/>
    <w:rsid w:val="00FE3405"/>
    <w:rsid w:val="00FE3429"/>
    <w:rsid w:val="00FE35B9"/>
    <w:rsid w:val="00FE35F8"/>
    <w:rsid w:val="00FE36B3"/>
    <w:rsid w:val="00FE38DA"/>
    <w:rsid w:val="00FE38F9"/>
    <w:rsid w:val="00FE3972"/>
    <w:rsid w:val="00FE39F2"/>
    <w:rsid w:val="00FE3A30"/>
    <w:rsid w:val="00FE3A4D"/>
    <w:rsid w:val="00FE3ADC"/>
    <w:rsid w:val="00FE3B42"/>
    <w:rsid w:val="00FE3C07"/>
    <w:rsid w:val="00FE3CCB"/>
    <w:rsid w:val="00FE3D77"/>
    <w:rsid w:val="00FE3D86"/>
    <w:rsid w:val="00FE3E91"/>
    <w:rsid w:val="00FE3E9A"/>
    <w:rsid w:val="00FE3F0D"/>
    <w:rsid w:val="00FE3F79"/>
    <w:rsid w:val="00FE413F"/>
    <w:rsid w:val="00FE4183"/>
    <w:rsid w:val="00FE41DF"/>
    <w:rsid w:val="00FE421B"/>
    <w:rsid w:val="00FE474B"/>
    <w:rsid w:val="00FE4788"/>
    <w:rsid w:val="00FE4795"/>
    <w:rsid w:val="00FE48AD"/>
    <w:rsid w:val="00FE49C3"/>
    <w:rsid w:val="00FE49C7"/>
    <w:rsid w:val="00FE49FF"/>
    <w:rsid w:val="00FE4C51"/>
    <w:rsid w:val="00FE4D2A"/>
    <w:rsid w:val="00FE4E33"/>
    <w:rsid w:val="00FE4EAF"/>
    <w:rsid w:val="00FE4EBB"/>
    <w:rsid w:val="00FE4F36"/>
    <w:rsid w:val="00FE5104"/>
    <w:rsid w:val="00FE5219"/>
    <w:rsid w:val="00FE528B"/>
    <w:rsid w:val="00FE5303"/>
    <w:rsid w:val="00FE5527"/>
    <w:rsid w:val="00FE5536"/>
    <w:rsid w:val="00FE557A"/>
    <w:rsid w:val="00FE558F"/>
    <w:rsid w:val="00FE5622"/>
    <w:rsid w:val="00FE5814"/>
    <w:rsid w:val="00FE595E"/>
    <w:rsid w:val="00FE5988"/>
    <w:rsid w:val="00FE5A69"/>
    <w:rsid w:val="00FE5B22"/>
    <w:rsid w:val="00FE5B2B"/>
    <w:rsid w:val="00FE5CAD"/>
    <w:rsid w:val="00FE5E1D"/>
    <w:rsid w:val="00FE5E30"/>
    <w:rsid w:val="00FE5EB8"/>
    <w:rsid w:val="00FE5F42"/>
    <w:rsid w:val="00FE5F4A"/>
    <w:rsid w:val="00FE5F83"/>
    <w:rsid w:val="00FE606A"/>
    <w:rsid w:val="00FE627C"/>
    <w:rsid w:val="00FE65B8"/>
    <w:rsid w:val="00FE65F5"/>
    <w:rsid w:val="00FE66DF"/>
    <w:rsid w:val="00FE685E"/>
    <w:rsid w:val="00FE6BE3"/>
    <w:rsid w:val="00FE6C0E"/>
    <w:rsid w:val="00FE6EA9"/>
    <w:rsid w:val="00FE7060"/>
    <w:rsid w:val="00FE7073"/>
    <w:rsid w:val="00FE70A9"/>
    <w:rsid w:val="00FE71F5"/>
    <w:rsid w:val="00FE723E"/>
    <w:rsid w:val="00FE72AE"/>
    <w:rsid w:val="00FE75BE"/>
    <w:rsid w:val="00FE76B9"/>
    <w:rsid w:val="00FE79C5"/>
    <w:rsid w:val="00FE7A02"/>
    <w:rsid w:val="00FE7AB9"/>
    <w:rsid w:val="00FE7AC3"/>
    <w:rsid w:val="00FE7B87"/>
    <w:rsid w:val="00FE7C8F"/>
    <w:rsid w:val="00FE7E57"/>
    <w:rsid w:val="00FE7EB1"/>
    <w:rsid w:val="00FE7F9F"/>
    <w:rsid w:val="00FF0041"/>
    <w:rsid w:val="00FF0259"/>
    <w:rsid w:val="00FF0285"/>
    <w:rsid w:val="00FF0373"/>
    <w:rsid w:val="00FF0496"/>
    <w:rsid w:val="00FF04D1"/>
    <w:rsid w:val="00FF0528"/>
    <w:rsid w:val="00FF0547"/>
    <w:rsid w:val="00FF073E"/>
    <w:rsid w:val="00FF0930"/>
    <w:rsid w:val="00FF0931"/>
    <w:rsid w:val="00FF097B"/>
    <w:rsid w:val="00FF09AE"/>
    <w:rsid w:val="00FF0A91"/>
    <w:rsid w:val="00FF0BA6"/>
    <w:rsid w:val="00FF0C23"/>
    <w:rsid w:val="00FF0C89"/>
    <w:rsid w:val="00FF0C8F"/>
    <w:rsid w:val="00FF0CCB"/>
    <w:rsid w:val="00FF0DA8"/>
    <w:rsid w:val="00FF0E0D"/>
    <w:rsid w:val="00FF0F4A"/>
    <w:rsid w:val="00FF1158"/>
    <w:rsid w:val="00FF11B6"/>
    <w:rsid w:val="00FF13C0"/>
    <w:rsid w:val="00FF13C4"/>
    <w:rsid w:val="00FF144A"/>
    <w:rsid w:val="00FF15BA"/>
    <w:rsid w:val="00FF15E4"/>
    <w:rsid w:val="00FF18DB"/>
    <w:rsid w:val="00FF1A47"/>
    <w:rsid w:val="00FF1C14"/>
    <w:rsid w:val="00FF1C2B"/>
    <w:rsid w:val="00FF1D70"/>
    <w:rsid w:val="00FF1DA7"/>
    <w:rsid w:val="00FF1DFE"/>
    <w:rsid w:val="00FF1EE8"/>
    <w:rsid w:val="00FF2139"/>
    <w:rsid w:val="00FF220D"/>
    <w:rsid w:val="00FF225F"/>
    <w:rsid w:val="00FF2470"/>
    <w:rsid w:val="00FF24D5"/>
    <w:rsid w:val="00FF2546"/>
    <w:rsid w:val="00FF2595"/>
    <w:rsid w:val="00FF261B"/>
    <w:rsid w:val="00FF2784"/>
    <w:rsid w:val="00FF2801"/>
    <w:rsid w:val="00FF2955"/>
    <w:rsid w:val="00FF2B8E"/>
    <w:rsid w:val="00FF2BAD"/>
    <w:rsid w:val="00FF2BFF"/>
    <w:rsid w:val="00FF2CDC"/>
    <w:rsid w:val="00FF2DF5"/>
    <w:rsid w:val="00FF2FF6"/>
    <w:rsid w:val="00FF3017"/>
    <w:rsid w:val="00FF30EB"/>
    <w:rsid w:val="00FF3125"/>
    <w:rsid w:val="00FF32E5"/>
    <w:rsid w:val="00FF32E7"/>
    <w:rsid w:val="00FF32F4"/>
    <w:rsid w:val="00FF3382"/>
    <w:rsid w:val="00FF35C8"/>
    <w:rsid w:val="00FF371D"/>
    <w:rsid w:val="00FF3779"/>
    <w:rsid w:val="00FF37BE"/>
    <w:rsid w:val="00FF37FC"/>
    <w:rsid w:val="00FF3807"/>
    <w:rsid w:val="00FF390A"/>
    <w:rsid w:val="00FF3ADC"/>
    <w:rsid w:val="00FF3B6F"/>
    <w:rsid w:val="00FF3B7B"/>
    <w:rsid w:val="00FF3BCB"/>
    <w:rsid w:val="00FF3C3A"/>
    <w:rsid w:val="00FF3C7D"/>
    <w:rsid w:val="00FF3CDC"/>
    <w:rsid w:val="00FF3D0A"/>
    <w:rsid w:val="00FF3D53"/>
    <w:rsid w:val="00FF3FA7"/>
    <w:rsid w:val="00FF3FD5"/>
    <w:rsid w:val="00FF4021"/>
    <w:rsid w:val="00FF4063"/>
    <w:rsid w:val="00FF40F0"/>
    <w:rsid w:val="00FF4116"/>
    <w:rsid w:val="00FF4175"/>
    <w:rsid w:val="00FF41A8"/>
    <w:rsid w:val="00FF4265"/>
    <w:rsid w:val="00FF428D"/>
    <w:rsid w:val="00FF4316"/>
    <w:rsid w:val="00FF43DB"/>
    <w:rsid w:val="00FF4479"/>
    <w:rsid w:val="00FF4736"/>
    <w:rsid w:val="00FF489B"/>
    <w:rsid w:val="00FF496E"/>
    <w:rsid w:val="00FF49D3"/>
    <w:rsid w:val="00FF49FD"/>
    <w:rsid w:val="00FF4A9A"/>
    <w:rsid w:val="00FF4A9D"/>
    <w:rsid w:val="00FF4B54"/>
    <w:rsid w:val="00FF4BC7"/>
    <w:rsid w:val="00FF4D13"/>
    <w:rsid w:val="00FF4D8B"/>
    <w:rsid w:val="00FF4DC9"/>
    <w:rsid w:val="00FF4E5D"/>
    <w:rsid w:val="00FF4E81"/>
    <w:rsid w:val="00FF4F50"/>
    <w:rsid w:val="00FF4F73"/>
    <w:rsid w:val="00FF4FD4"/>
    <w:rsid w:val="00FF4FF4"/>
    <w:rsid w:val="00FF5170"/>
    <w:rsid w:val="00FF534C"/>
    <w:rsid w:val="00FF536D"/>
    <w:rsid w:val="00FF5425"/>
    <w:rsid w:val="00FF5465"/>
    <w:rsid w:val="00FF54C3"/>
    <w:rsid w:val="00FF5542"/>
    <w:rsid w:val="00FF5775"/>
    <w:rsid w:val="00FF5891"/>
    <w:rsid w:val="00FF5A1F"/>
    <w:rsid w:val="00FF5BD3"/>
    <w:rsid w:val="00FF5E82"/>
    <w:rsid w:val="00FF5EB5"/>
    <w:rsid w:val="00FF5EB8"/>
    <w:rsid w:val="00FF5EDE"/>
    <w:rsid w:val="00FF5F12"/>
    <w:rsid w:val="00FF605D"/>
    <w:rsid w:val="00FF6210"/>
    <w:rsid w:val="00FF642B"/>
    <w:rsid w:val="00FF64A1"/>
    <w:rsid w:val="00FF66B0"/>
    <w:rsid w:val="00FF67F3"/>
    <w:rsid w:val="00FF6820"/>
    <w:rsid w:val="00FF68BA"/>
    <w:rsid w:val="00FF692B"/>
    <w:rsid w:val="00FF692D"/>
    <w:rsid w:val="00FF6B58"/>
    <w:rsid w:val="00FF6BCA"/>
    <w:rsid w:val="00FF6D22"/>
    <w:rsid w:val="00FF6D4B"/>
    <w:rsid w:val="00FF6E56"/>
    <w:rsid w:val="00FF6F67"/>
    <w:rsid w:val="00FF6FAD"/>
    <w:rsid w:val="00FF6FD1"/>
    <w:rsid w:val="00FF7143"/>
    <w:rsid w:val="00FF71D1"/>
    <w:rsid w:val="00FF71E4"/>
    <w:rsid w:val="00FF7286"/>
    <w:rsid w:val="00FF7391"/>
    <w:rsid w:val="00FF7403"/>
    <w:rsid w:val="00FF7433"/>
    <w:rsid w:val="00FF7607"/>
    <w:rsid w:val="00FF762A"/>
    <w:rsid w:val="00FF7633"/>
    <w:rsid w:val="00FF7895"/>
    <w:rsid w:val="00FF7907"/>
    <w:rsid w:val="00FF7951"/>
    <w:rsid w:val="00FF7A17"/>
    <w:rsid w:val="00FF7AE4"/>
    <w:rsid w:val="00FF7CDA"/>
    <w:rsid w:val="00FF7F02"/>
    <w:rsid w:val="00FF7F9D"/>
    <w:rsid w:val="011BAC90"/>
    <w:rsid w:val="01332AD5"/>
    <w:rsid w:val="0153198D"/>
    <w:rsid w:val="016BF107"/>
    <w:rsid w:val="017090F5"/>
    <w:rsid w:val="0171B312"/>
    <w:rsid w:val="01725EA2"/>
    <w:rsid w:val="01BFFAC2"/>
    <w:rsid w:val="022083FE"/>
    <w:rsid w:val="0247A68C"/>
    <w:rsid w:val="027B3FF8"/>
    <w:rsid w:val="028E1B5B"/>
    <w:rsid w:val="02949FFA"/>
    <w:rsid w:val="02E8CA2C"/>
    <w:rsid w:val="03024769"/>
    <w:rsid w:val="0331D9AE"/>
    <w:rsid w:val="0377C0E0"/>
    <w:rsid w:val="03784336"/>
    <w:rsid w:val="0389131A"/>
    <w:rsid w:val="03B9AF41"/>
    <w:rsid w:val="041E3C47"/>
    <w:rsid w:val="0438F4D9"/>
    <w:rsid w:val="046540ED"/>
    <w:rsid w:val="046728C5"/>
    <w:rsid w:val="048EF501"/>
    <w:rsid w:val="04D095F2"/>
    <w:rsid w:val="04E3C5D2"/>
    <w:rsid w:val="04E65AC5"/>
    <w:rsid w:val="04EAB58D"/>
    <w:rsid w:val="05197208"/>
    <w:rsid w:val="052B492A"/>
    <w:rsid w:val="0542297A"/>
    <w:rsid w:val="0553CE83"/>
    <w:rsid w:val="05748203"/>
    <w:rsid w:val="05793235"/>
    <w:rsid w:val="05AEFA96"/>
    <w:rsid w:val="05B869C8"/>
    <w:rsid w:val="05B910E1"/>
    <w:rsid w:val="05D66CC1"/>
    <w:rsid w:val="05E16384"/>
    <w:rsid w:val="0633A6E0"/>
    <w:rsid w:val="06341F5A"/>
    <w:rsid w:val="063F43D9"/>
    <w:rsid w:val="063FCDB2"/>
    <w:rsid w:val="064517E7"/>
    <w:rsid w:val="06561BB7"/>
    <w:rsid w:val="069AE7C8"/>
    <w:rsid w:val="069F1EEF"/>
    <w:rsid w:val="06BEC6F0"/>
    <w:rsid w:val="06CAE879"/>
    <w:rsid w:val="06DB6BAD"/>
    <w:rsid w:val="070DCAC5"/>
    <w:rsid w:val="07176EF7"/>
    <w:rsid w:val="072E5315"/>
    <w:rsid w:val="0731400E"/>
    <w:rsid w:val="073630A7"/>
    <w:rsid w:val="073D416E"/>
    <w:rsid w:val="073E70BB"/>
    <w:rsid w:val="075C84E4"/>
    <w:rsid w:val="0761F8C4"/>
    <w:rsid w:val="077CBAE3"/>
    <w:rsid w:val="077DC3AD"/>
    <w:rsid w:val="07F124B5"/>
    <w:rsid w:val="08021D79"/>
    <w:rsid w:val="081CA574"/>
    <w:rsid w:val="082ADCA0"/>
    <w:rsid w:val="0840FA71"/>
    <w:rsid w:val="08461CFB"/>
    <w:rsid w:val="085D16CC"/>
    <w:rsid w:val="087E1E33"/>
    <w:rsid w:val="0897A249"/>
    <w:rsid w:val="08A58F76"/>
    <w:rsid w:val="08C00E50"/>
    <w:rsid w:val="08F69995"/>
    <w:rsid w:val="092FBEC6"/>
    <w:rsid w:val="0932CF3F"/>
    <w:rsid w:val="0942F59C"/>
    <w:rsid w:val="095DF293"/>
    <w:rsid w:val="09698ACE"/>
    <w:rsid w:val="0972F931"/>
    <w:rsid w:val="097DF5D7"/>
    <w:rsid w:val="0980F78D"/>
    <w:rsid w:val="098AC305"/>
    <w:rsid w:val="0997AD60"/>
    <w:rsid w:val="09B51BFE"/>
    <w:rsid w:val="09BB0784"/>
    <w:rsid w:val="09DB90DD"/>
    <w:rsid w:val="09E9810E"/>
    <w:rsid w:val="09FB028C"/>
    <w:rsid w:val="0A0E2DBD"/>
    <w:rsid w:val="0A1F9E66"/>
    <w:rsid w:val="0A23D00F"/>
    <w:rsid w:val="0A2DE9EC"/>
    <w:rsid w:val="0A4DD004"/>
    <w:rsid w:val="0A7AD5B7"/>
    <w:rsid w:val="0A902130"/>
    <w:rsid w:val="0A95197C"/>
    <w:rsid w:val="0A97093A"/>
    <w:rsid w:val="0A973E65"/>
    <w:rsid w:val="0A9EF14A"/>
    <w:rsid w:val="0ABAD550"/>
    <w:rsid w:val="0AE64FE3"/>
    <w:rsid w:val="0B0698B5"/>
    <w:rsid w:val="0B117DC6"/>
    <w:rsid w:val="0B3D4185"/>
    <w:rsid w:val="0B57B364"/>
    <w:rsid w:val="0B815D45"/>
    <w:rsid w:val="0B876C83"/>
    <w:rsid w:val="0B8E9DFA"/>
    <w:rsid w:val="0BBE5E8A"/>
    <w:rsid w:val="0BCF239E"/>
    <w:rsid w:val="0BD97197"/>
    <w:rsid w:val="0BDCBAC4"/>
    <w:rsid w:val="0C1743A6"/>
    <w:rsid w:val="0C1BDB42"/>
    <w:rsid w:val="0C4ACBAD"/>
    <w:rsid w:val="0C5D935D"/>
    <w:rsid w:val="0C6A2037"/>
    <w:rsid w:val="0C8FA92D"/>
    <w:rsid w:val="0C9553A8"/>
    <w:rsid w:val="0C9762BE"/>
    <w:rsid w:val="0C9DD996"/>
    <w:rsid w:val="0CA664A7"/>
    <w:rsid w:val="0CBB0EBC"/>
    <w:rsid w:val="0CBC425E"/>
    <w:rsid w:val="0D185F12"/>
    <w:rsid w:val="0D2B3E9E"/>
    <w:rsid w:val="0D2CEE11"/>
    <w:rsid w:val="0D35D641"/>
    <w:rsid w:val="0D3AB62E"/>
    <w:rsid w:val="0D40E3D0"/>
    <w:rsid w:val="0D4FEDFC"/>
    <w:rsid w:val="0D55310F"/>
    <w:rsid w:val="0D9E478B"/>
    <w:rsid w:val="0DAE317A"/>
    <w:rsid w:val="0DAFBB76"/>
    <w:rsid w:val="0DB374B9"/>
    <w:rsid w:val="0DD9D768"/>
    <w:rsid w:val="0E0EFD77"/>
    <w:rsid w:val="0E18013A"/>
    <w:rsid w:val="0E1E369D"/>
    <w:rsid w:val="0E3427F6"/>
    <w:rsid w:val="0E3626F6"/>
    <w:rsid w:val="0E3E91FD"/>
    <w:rsid w:val="0E699A3A"/>
    <w:rsid w:val="0E6A43A9"/>
    <w:rsid w:val="0EAE0F65"/>
    <w:rsid w:val="0EB40B77"/>
    <w:rsid w:val="0EBD2D2B"/>
    <w:rsid w:val="0ED9584B"/>
    <w:rsid w:val="0EF58C89"/>
    <w:rsid w:val="0F14CD48"/>
    <w:rsid w:val="0F2CCA45"/>
    <w:rsid w:val="0F5CADF8"/>
    <w:rsid w:val="0F67716C"/>
    <w:rsid w:val="0F6A7B13"/>
    <w:rsid w:val="0F724674"/>
    <w:rsid w:val="0F839EA5"/>
    <w:rsid w:val="0FC30F28"/>
    <w:rsid w:val="0FC77A3C"/>
    <w:rsid w:val="0FCC6CAB"/>
    <w:rsid w:val="0FD98CB8"/>
    <w:rsid w:val="0FFFCBA6"/>
    <w:rsid w:val="100C736A"/>
    <w:rsid w:val="1019750C"/>
    <w:rsid w:val="102646D1"/>
    <w:rsid w:val="1031E549"/>
    <w:rsid w:val="1042B1C4"/>
    <w:rsid w:val="1055C1B8"/>
    <w:rsid w:val="106A87EA"/>
    <w:rsid w:val="107D96B4"/>
    <w:rsid w:val="109B2638"/>
    <w:rsid w:val="10A00C75"/>
    <w:rsid w:val="10BA0520"/>
    <w:rsid w:val="111BA5FE"/>
    <w:rsid w:val="1123B528"/>
    <w:rsid w:val="11413A3A"/>
    <w:rsid w:val="11421626"/>
    <w:rsid w:val="115D4107"/>
    <w:rsid w:val="1193BF0B"/>
    <w:rsid w:val="119B7CEB"/>
    <w:rsid w:val="11A10AF1"/>
    <w:rsid w:val="11A930A4"/>
    <w:rsid w:val="11AF657D"/>
    <w:rsid w:val="11C102A5"/>
    <w:rsid w:val="11D5F745"/>
    <w:rsid w:val="11E46E2C"/>
    <w:rsid w:val="122C7775"/>
    <w:rsid w:val="1240C351"/>
    <w:rsid w:val="1270A66E"/>
    <w:rsid w:val="128DCECE"/>
    <w:rsid w:val="129B31C4"/>
    <w:rsid w:val="12A3AD27"/>
    <w:rsid w:val="12AC94DF"/>
    <w:rsid w:val="12C208E1"/>
    <w:rsid w:val="12C358F3"/>
    <w:rsid w:val="13240A06"/>
    <w:rsid w:val="133578EF"/>
    <w:rsid w:val="1339185C"/>
    <w:rsid w:val="13ACADF4"/>
    <w:rsid w:val="13C7BEC7"/>
    <w:rsid w:val="1413CEAA"/>
    <w:rsid w:val="143530A8"/>
    <w:rsid w:val="14383775"/>
    <w:rsid w:val="14527BD5"/>
    <w:rsid w:val="145ED31B"/>
    <w:rsid w:val="146FF6A3"/>
    <w:rsid w:val="1479B7E6"/>
    <w:rsid w:val="148D9BD1"/>
    <w:rsid w:val="14A1E2B7"/>
    <w:rsid w:val="14A25F3F"/>
    <w:rsid w:val="14AC46A4"/>
    <w:rsid w:val="14BB525E"/>
    <w:rsid w:val="14FFB1D3"/>
    <w:rsid w:val="1502988D"/>
    <w:rsid w:val="1527F1C9"/>
    <w:rsid w:val="152ACCD0"/>
    <w:rsid w:val="155928AA"/>
    <w:rsid w:val="1569E3EF"/>
    <w:rsid w:val="15710D26"/>
    <w:rsid w:val="15ACC892"/>
    <w:rsid w:val="15AF8666"/>
    <w:rsid w:val="15C6CCB0"/>
    <w:rsid w:val="15E963E2"/>
    <w:rsid w:val="161B9CEE"/>
    <w:rsid w:val="16528D6E"/>
    <w:rsid w:val="165C8047"/>
    <w:rsid w:val="1666EDEB"/>
    <w:rsid w:val="166DDD0B"/>
    <w:rsid w:val="1676134A"/>
    <w:rsid w:val="1699A6EF"/>
    <w:rsid w:val="17153E66"/>
    <w:rsid w:val="176E5D3A"/>
    <w:rsid w:val="179314EF"/>
    <w:rsid w:val="17A182DC"/>
    <w:rsid w:val="17B4155A"/>
    <w:rsid w:val="17BDDE34"/>
    <w:rsid w:val="17C2B630"/>
    <w:rsid w:val="17E6A4F9"/>
    <w:rsid w:val="17ECCF4F"/>
    <w:rsid w:val="17FAB26B"/>
    <w:rsid w:val="184E0F10"/>
    <w:rsid w:val="186686B6"/>
    <w:rsid w:val="18690570"/>
    <w:rsid w:val="18922CF6"/>
    <w:rsid w:val="18A9DFB6"/>
    <w:rsid w:val="18C37B4C"/>
    <w:rsid w:val="18D598D5"/>
    <w:rsid w:val="18F2760F"/>
    <w:rsid w:val="19061CF7"/>
    <w:rsid w:val="192E783B"/>
    <w:rsid w:val="193324FC"/>
    <w:rsid w:val="19397B94"/>
    <w:rsid w:val="193C75D0"/>
    <w:rsid w:val="1954F9F9"/>
    <w:rsid w:val="197A5388"/>
    <w:rsid w:val="1987FCD8"/>
    <w:rsid w:val="198B56FA"/>
    <w:rsid w:val="198B62EF"/>
    <w:rsid w:val="19A21812"/>
    <w:rsid w:val="19A28900"/>
    <w:rsid w:val="19A6D10A"/>
    <w:rsid w:val="19AEEBD4"/>
    <w:rsid w:val="19B6C4D0"/>
    <w:rsid w:val="19B7DE21"/>
    <w:rsid w:val="19C20776"/>
    <w:rsid w:val="19C47060"/>
    <w:rsid w:val="1A1172BA"/>
    <w:rsid w:val="1A18E666"/>
    <w:rsid w:val="1A30B28F"/>
    <w:rsid w:val="1A775599"/>
    <w:rsid w:val="1A9E964F"/>
    <w:rsid w:val="1AD4D488"/>
    <w:rsid w:val="1ADBAD7A"/>
    <w:rsid w:val="1B3D6ECD"/>
    <w:rsid w:val="1B960482"/>
    <w:rsid w:val="1BB30EC7"/>
    <w:rsid w:val="1BBCE661"/>
    <w:rsid w:val="1BE0C5A6"/>
    <w:rsid w:val="1BF71344"/>
    <w:rsid w:val="1C074F81"/>
    <w:rsid w:val="1C0A6AB3"/>
    <w:rsid w:val="1C328CCF"/>
    <w:rsid w:val="1C32CB45"/>
    <w:rsid w:val="1C36022F"/>
    <w:rsid w:val="1C3CDF9C"/>
    <w:rsid w:val="1C483E85"/>
    <w:rsid w:val="1C48D79D"/>
    <w:rsid w:val="1C4BA6CB"/>
    <w:rsid w:val="1C83ADA5"/>
    <w:rsid w:val="1C87A4A3"/>
    <w:rsid w:val="1C8EAECF"/>
    <w:rsid w:val="1CB65835"/>
    <w:rsid w:val="1CBE8FA5"/>
    <w:rsid w:val="1CC451FA"/>
    <w:rsid w:val="1CD046E8"/>
    <w:rsid w:val="1CD2BB6E"/>
    <w:rsid w:val="1CD59EC5"/>
    <w:rsid w:val="1CF4321D"/>
    <w:rsid w:val="1CF6F113"/>
    <w:rsid w:val="1D0A88AF"/>
    <w:rsid w:val="1D0ECF88"/>
    <w:rsid w:val="1D212C3A"/>
    <w:rsid w:val="1D27FC90"/>
    <w:rsid w:val="1D3C7AE4"/>
    <w:rsid w:val="1D433A92"/>
    <w:rsid w:val="1D5B9E6F"/>
    <w:rsid w:val="1DA0AED8"/>
    <w:rsid w:val="1DC07788"/>
    <w:rsid w:val="1DF8C6A7"/>
    <w:rsid w:val="1DFFF34E"/>
    <w:rsid w:val="1E07420B"/>
    <w:rsid w:val="1E11A405"/>
    <w:rsid w:val="1E141AC1"/>
    <w:rsid w:val="1E3ECDBF"/>
    <w:rsid w:val="1E3EDF8F"/>
    <w:rsid w:val="1E6690B4"/>
    <w:rsid w:val="1E8756F0"/>
    <w:rsid w:val="1EAAE50E"/>
    <w:rsid w:val="1EB2A2A1"/>
    <w:rsid w:val="1EBBB0E1"/>
    <w:rsid w:val="1EC73B4E"/>
    <w:rsid w:val="1F68D14C"/>
    <w:rsid w:val="1F695AC4"/>
    <w:rsid w:val="1F97E5C2"/>
    <w:rsid w:val="1FB179D2"/>
    <w:rsid w:val="1FC96EA1"/>
    <w:rsid w:val="1FD35DD7"/>
    <w:rsid w:val="1FD71A2D"/>
    <w:rsid w:val="1FEDE5F7"/>
    <w:rsid w:val="1FFECE46"/>
    <w:rsid w:val="202F5D81"/>
    <w:rsid w:val="20377510"/>
    <w:rsid w:val="204212AE"/>
    <w:rsid w:val="208A68DC"/>
    <w:rsid w:val="20B49897"/>
    <w:rsid w:val="20B747C7"/>
    <w:rsid w:val="20BB60E0"/>
    <w:rsid w:val="20C79E3C"/>
    <w:rsid w:val="20CAA5FE"/>
    <w:rsid w:val="20EE0A71"/>
    <w:rsid w:val="20F7DAAF"/>
    <w:rsid w:val="2108EDC1"/>
    <w:rsid w:val="218713F0"/>
    <w:rsid w:val="218EA1DA"/>
    <w:rsid w:val="219C884F"/>
    <w:rsid w:val="21BDAA05"/>
    <w:rsid w:val="21CEE249"/>
    <w:rsid w:val="21D08A87"/>
    <w:rsid w:val="21D87B6E"/>
    <w:rsid w:val="21E21581"/>
    <w:rsid w:val="21F8C60E"/>
    <w:rsid w:val="22055CE8"/>
    <w:rsid w:val="220D55E9"/>
    <w:rsid w:val="2217CB02"/>
    <w:rsid w:val="22229CF6"/>
    <w:rsid w:val="226B2486"/>
    <w:rsid w:val="2274D007"/>
    <w:rsid w:val="229516D8"/>
    <w:rsid w:val="22AE2022"/>
    <w:rsid w:val="22B3C6B2"/>
    <w:rsid w:val="22D7CF46"/>
    <w:rsid w:val="2337119A"/>
    <w:rsid w:val="233E46A9"/>
    <w:rsid w:val="23A54485"/>
    <w:rsid w:val="23A9A7D3"/>
    <w:rsid w:val="23AB848D"/>
    <w:rsid w:val="23B19D01"/>
    <w:rsid w:val="23B47E99"/>
    <w:rsid w:val="23E840AB"/>
    <w:rsid w:val="2405B7BA"/>
    <w:rsid w:val="24469C14"/>
    <w:rsid w:val="244BC3EE"/>
    <w:rsid w:val="244D2D2F"/>
    <w:rsid w:val="2450AB40"/>
    <w:rsid w:val="24542740"/>
    <w:rsid w:val="245E76A0"/>
    <w:rsid w:val="247A8D42"/>
    <w:rsid w:val="2490894F"/>
    <w:rsid w:val="249116CB"/>
    <w:rsid w:val="24AABE1D"/>
    <w:rsid w:val="24E0F88E"/>
    <w:rsid w:val="2505313D"/>
    <w:rsid w:val="251D10BE"/>
    <w:rsid w:val="251E8A3C"/>
    <w:rsid w:val="2541EA83"/>
    <w:rsid w:val="254F5D1B"/>
    <w:rsid w:val="2568F08B"/>
    <w:rsid w:val="25981BD4"/>
    <w:rsid w:val="259EEFA2"/>
    <w:rsid w:val="25A713D8"/>
    <w:rsid w:val="25B34C2A"/>
    <w:rsid w:val="25B6CE74"/>
    <w:rsid w:val="25EF74B2"/>
    <w:rsid w:val="25FB00CA"/>
    <w:rsid w:val="25FCA905"/>
    <w:rsid w:val="261CB91F"/>
    <w:rsid w:val="2630196D"/>
    <w:rsid w:val="26595AB0"/>
    <w:rsid w:val="26684C25"/>
    <w:rsid w:val="26883FAE"/>
    <w:rsid w:val="2698E34D"/>
    <w:rsid w:val="26D00B0A"/>
    <w:rsid w:val="26F89B5E"/>
    <w:rsid w:val="2704E818"/>
    <w:rsid w:val="270C5D45"/>
    <w:rsid w:val="2729E073"/>
    <w:rsid w:val="27356E11"/>
    <w:rsid w:val="273ABFC6"/>
    <w:rsid w:val="273DDA87"/>
    <w:rsid w:val="2748461D"/>
    <w:rsid w:val="275875C3"/>
    <w:rsid w:val="277346FD"/>
    <w:rsid w:val="27769B17"/>
    <w:rsid w:val="27A01289"/>
    <w:rsid w:val="27A5DB62"/>
    <w:rsid w:val="27A74727"/>
    <w:rsid w:val="27AB6695"/>
    <w:rsid w:val="27AC3FFF"/>
    <w:rsid w:val="27AEE59A"/>
    <w:rsid w:val="27AFDA23"/>
    <w:rsid w:val="28170BD8"/>
    <w:rsid w:val="2861084C"/>
    <w:rsid w:val="2869E17C"/>
    <w:rsid w:val="287003D0"/>
    <w:rsid w:val="28CACEDE"/>
    <w:rsid w:val="28D79403"/>
    <w:rsid w:val="290E091D"/>
    <w:rsid w:val="2911D6D3"/>
    <w:rsid w:val="29124D96"/>
    <w:rsid w:val="2925B02F"/>
    <w:rsid w:val="292EEDAC"/>
    <w:rsid w:val="294A1689"/>
    <w:rsid w:val="29CBDC4F"/>
    <w:rsid w:val="29D3FFD0"/>
    <w:rsid w:val="29D5F4EB"/>
    <w:rsid w:val="29E83C79"/>
    <w:rsid w:val="29EA5526"/>
    <w:rsid w:val="29FDFA5E"/>
    <w:rsid w:val="2A18917A"/>
    <w:rsid w:val="2A2A1D05"/>
    <w:rsid w:val="2A3DFD81"/>
    <w:rsid w:val="2A5103A8"/>
    <w:rsid w:val="2A632FFF"/>
    <w:rsid w:val="2A98D558"/>
    <w:rsid w:val="2A9AF90C"/>
    <w:rsid w:val="2AB06B37"/>
    <w:rsid w:val="2ABF0050"/>
    <w:rsid w:val="2ACF3359"/>
    <w:rsid w:val="2B0B8A1F"/>
    <w:rsid w:val="2B177A6A"/>
    <w:rsid w:val="2B3FE52A"/>
    <w:rsid w:val="2B45D106"/>
    <w:rsid w:val="2B6920E6"/>
    <w:rsid w:val="2B738921"/>
    <w:rsid w:val="2BADCC31"/>
    <w:rsid w:val="2BC7D89E"/>
    <w:rsid w:val="2BD47750"/>
    <w:rsid w:val="2BD4CFBC"/>
    <w:rsid w:val="2BE3AB08"/>
    <w:rsid w:val="2BE6A9D2"/>
    <w:rsid w:val="2BE707FA"/>
    <w:rsid w:val="2BFD72FC"/>
    <w:rsid w:val="2BFE6EE3"/>
    <w:rsid w:val="2C0201A6"/>
    <w:rsid w:val="2C02FAF6"/>
    <w:rsid w:val="2C09E4DD"/>
    <w:rsid w:val="2C2E501E"/>
    <w:rsid w:val="2C51018E"/>
    <w:rsid w:val="2C5C83D2"/>
    <w:rsid w:val="2C647F4D"/>
    <w:rsid w:val="2C64F524"/>
    <w:rsid w:val="2C82A4DE"/>
    <w:rsid w:val="2C8BF96F"/>
    <w:rsid w:val="2CB30146"/>
    <w:rsid w:val="2CB3B5C6"/>
    <w:rsid w:val="2CBB1275"/>
    <w:rsid w:val="2CCDC6AE"/>
    <w:rsid w:val="2CDBB080"/>
    <w:rsid w:val="2CDDBAC7"/>
    <w:rsid w:val="2D3D919F"/>
    <w:rsid w:val="2D432618"/>
    <w:rsid w:val="2D5CE222"/>
    <w:rsid w:val="2D6F6C80"/>
    <w:rsid w:val="2DB10150"/>
    <w:rsid w:val="2DB76321"/>
    <w:rsid w:val="2DB9AE72"/>
    <w:rsid w:val="2DBC241D"/>
    <w:rsid w:val="2DCC14F5"/>
    <w:rsid w:val="2DD44076"/>
    <w:rsid w:val="2DE35F49"/>
    <w:rsid w:val="2DE37EA7"/>
    <w:rsid w:val="2DEAC8D0"/>
    <w:rsid w:val="2DF60237"/>
    <w:rsid w:val="2E1A31D8"/>
    <w:rsid w:val="2E1E2FAE"/>
    <w:rsid w:val="2E224FD9"/>
    <w:rsid w:val="2E3A3BFA"/>
    <w:rsid w:val="2E44B9A6"/>
    <w:rsid w:val="2E5C903A"/>
    <w:rsid w:val="2E5ED67D"/>
    <w:rsid w:val="2E6DBC43"/>
    <w:rsid w:val="2E71E05F"/>
    <w:rsid w:val="2E7AE3D9"/>
    <w:rsid w:val="2E889263"/>
    <w:rsid w:val="2EA0F0D7"/>
    <w:rsid w:val="2EBBE3FA"/>
    <w:rsid w:val="2EC50C85"/>
    <w:rsid w:val="2EC68FFD"/>
    <w:rsid w:val="2EC7F632"/>
    <w:rsid w:val="2EEF32FF"/>
    <w:rsid w:val="2F0741AC"/>
    <w:rsid w:val="2F18D0C4"/>
    <w:rsid w:val="2F1C7ACF"/>
    <w:rsid w:val="2F4A39F1"/>
    <w:rsid w:val="2F6066F3"/>
    <w:rsid w:val="2F72F00D"/>
    <w:rsid w:val="2FA096EA"/>
    <w:rsid w:val="2FA3F4A0"/>
    <w:rsid w:val="2FA775CE"/>
    <w:rsid w:val="2FB4F1D8"/>
    <w:rsid w:val="2FB797A0"/>
    <w:rsid w:val="2FBBEA52"/>
    <w:rsid w:val="2FCABE79"/>
    <w:rsid w:val="2FCCA388"/>
    <w:rsid w:val="3012BB60"/>
    <w:rsid w:val="301A209F"/>
    <w:rsid w:val="3043480F"/>
    <w:rsid w:val="3088E8E0"/>
    <w:rsid w:val="308E2A98"/>
    <w:rsid w:val="30989E5C"/>
    <w:rsid w:val="30B1D10E"/>
    <w:rsid w:val="30C20782"/>
    <w:rsid w:val="30D3F1F4"/>
    <w:rsid w:val="30F2EF3C"/>
    <w:rsid w:val="30FE56E6"/>
    <w:rsid w:val="310B7676"/>
    <w:rsid w:val="31177394"/>
    <w:rsid w:val="312AE862"/>
    <w:rsid w:val="313489A6"/>
    <w:rsid w:val="313558BA"/>
    <w:rsid w:val="31378BA3"/>
    <w:rsid w:val="313FFA74"/>
    <w:rsid w:val="3150F827"/>
    <w:rsid w:val="315299F6"/>
    <w:rsid w:val="315E8F60"/>
    <w:rsid w:val="316B4846"/>
    <w:rsid w:val="3184051E"/>
    <w:rsid w:val="31980613"/>
    <w:rsid w:val="31B4F3E2"/>
    <w:rsid w:val="31C02734"/>
    <w:rsid w:val="31DB6C0B"/>
    <w:rsid w:val="31DC51F9"/>
    <w:rsid w:val="31EACF76"/>
    <w:rsid w:val="31EB746A"/>
    <w:rsid w:val="31FAD0CB"/>
    <w:rsid w:val="3202C798"/>
    <w:rsid w:val="320E5C02"/>
    <w:rsid w:val="3246A84E"/>
    <w:rsid w:val="3258A836"/>
    <w:rsid w:val="32700C58"/>
    <w:rsid w:val="32A31A65"/>
    <w:rsid w:val="32CC19C7"/>
    <w:rsid w:val="32D4CFB5"/>
    <w:rsid w:val="32DB544F"/>
    <w:rsid w:val="33033A6E"/>
    <w:rsid w:val="330A2841"/>
    <w:rsid w:val="330F0D45"/>
    <w:rsid w:val="331BBF61"/>
    <w:rsid w:val="33324C55"/>
    <w:rsid w:val="3365933C"/>
    <w:rsid w:val="33765251"/>
    <w:rsid w:val="33864445"/>
    <w:rsid w:val="33A9DA3A"/>
    <w:rsid w:val="33B85F80"/>
    <w:rsid w:val="33D19D96"/>
    <w:rsid w:val="33E73683"/>
    <w:rsid w:val="34365C48"/>
    <w:rsid w:val="34375804"/>
    <w:rsid w:val="343C65D6"/>
    <w:rsid w:val="34498416"/>
    <w:rsid w:val="3449BF6D"/>
    <w:rsid w:val="3460FBDD"/>
    <w:rsid w:val="348D67BF"/>
    <w:rsid w:val="34972421"/>
    <w:rsid w:val="34978908"/>
    <w:rsid w:val="34A59AD0"/>
    <w:rsid w:val="34CC7E3C"/>
    <w:rsid w:val="34CD934E"/>
    <w:rsid w:val="34D28266"/>
    <w:rsid w:val="3502A490"/>
    <w:rsid w:val="350435D8"/>
    <w:rsid w:val="353DA479"/>
    <w:rsid w:val="3545523F"/>
    <w:rsid w:val="35881C40"/>
    <w:rsid w:val="358A66EA"/>
    <w:rsid w:val="360183C5"/>
    <w:rsid w:val="362705FD"/>
    <w:rsid w:val="3658C60F"/>
    <w:rsid w:val="365F63F3"/>
    <w:rsid w:val="366C7EA7"/>
    <w:rsid w:val="367EAE99"/>
    <w:rsid w:val="369C6103"/>
    <w:rsid w:val="36DF6128"/>
    <w:rsid w:val="372B7F40"/>
    <w:rsid w:val="372EEFEA"/>
    <w:rsid w:val="374658CE"/>
    <w:rsid w:val="37484F3B"/>
    <w:rsid w:val="3762640E"/>
    <w:rsid w:val="3787105D"/>
    <w:rsid w:val="378BBDC0"/>
    <w:rsid w:val="378F90B5"/>
    <w:rsid w:val="37B72726"/>
    <w:rsid w:val="37DB8802"/>
    <w:rsid w:val="37EAAD43"/>
    <w:rsid w:val="3859C97A"/>
    <w:rsid w:val="386080AA"/>
    <w:rsid w:val="38689DB1"/>
    <w:rsid w:val="38881AF0"/>
    <w:rsid w:val="38A2E604"/>
    <w:rsid w:val="38B1FC9A"/>
    <w:rsid w:val="38BDC3B5"/>
    <w:rsid w:val="38BF0EC8"/>
    <w:rsid w:val="38E6E9BD"/>
    <w:rsid w:val="38ED29F7"/>
    <w:rsid w:val="392143AE"/>
    <w:rsid w:val="39600124"/>
    <w:rsid w:val="399C5336"/>
    <w:rsid w:val="39BC17F3"/>
    <w:rsid w:val="39BE6498"/>
    <w:rsid w:val="39CA7DF5"/>
    <w:rsid w:val="39DF1D19"/>
    <w:rsid w:val="39DF311C"/>
    <w:rsid w:val="39E9FD27"/>
    <w:rsid w:val="39F0B16D"/>
    <w:rsid w:val="39FF27C6"/>
    <w:rsid w:val="3A004A00"/>
    <w:rsid w:val="3A0A751E"/>
    <w:rsid w:val="3A0F1EFF"/>
    <w:rsid w:val="3A22D958"/>
    <w:rsid w:val="3A411016"/>
    <w:rsid w:val="3A44D7C0"/>
    <w:rsid w:val="3A739011"/>
    <w:rsid w:val="3A769379"/>
    <w:rsid w:val="3A7C2190"/>
    <w:rsid w:val="3A80AA4D"/>
    <w:rsid w:val="3A83757C"/>
    <w:rsid w:val="3AA5C2CF"/>
    <w:rsid w:val="3AAD146E"/>
    <w:rsid w:val="3AB22DF8"/>
    <w:rsid w:val="3AB2E546"/>
    <w:rsid w:val="3AD4F018"/>
    <w:rsid w:val="3AE1DA89"/>
    <w:rsid w:val="3B0523E1"/>
    <w:rsid w:val="3B18C70E"/>
    <w:rsid w:val="3B53D5FC"/>
    <w:rsid w:val="3B5FB843"/>
    <w:rsid w:val="3B6CDBF7"/>
    <w:rsid w:val="3BA5C460"/>
    <w:rsid w:val="3BB6F503"/>
    <w:rsid w:val="3BC0E8D3"/>
    <w:rsid w:val="3BCCE10D"/>
    <w:rsid w:val="3BE7E6B1"/>
    <w:rsid w:val="3C24FFCD"/>
    <w:rsid w:val="3C2DCCA2"/>
    <w:rsid w:val="3C46F6BF"/>
    <w:rsid w:val="3C4B6BD0"/>
    <w:rsid w:val="3C504203"/>
    <w:rsid w:val="3C946583"/>
    <w:rsid w:val="3C9B4831"/>
    <w:rsid w:val="3CB28688"/>
    <w:rsid w:val="3CC7F888"/>
    <w:rsid w:val="3CD4D63F"/>
    <w:rsid w:val="3CE10C70"/>
    <w:rsid w:val="3D2F3F27"/>
    <w:rsid w:val="3D4C9A53"/>
    <w:rsid w:val="3D5BFF1E"/>
    <w:rsid w:val="3D7D3511"/>
    <w:rsid w:val="3D9CF17F"/>
    <w:rsid w:val="3DA5DC6C"/>
    <w:rsid w:val="3DEC7031"/>
    <w:rsid w:val="3E08D5A1"/>
    <w:rsid w:val="3E131C0E"/>
    <w:rsid w:val="3E152B2E"/>
    <w:rsid w:val="3E3C52BF"/>
    <w:rsid w:val="3E72964B"/>
    <w:rsid w:val="3E8F99A5"/>
    <w:rsid w:val="3E9A5DCA"/>
    <w:rsid w:val="3EBE99F4"/>
    <w:rsid w:val="3EDE88B0"/>
    <w:rsid w:val="3EEAEFB6"/>
    <w:rsid w:val="3EFB7BA4"/>
    <w:rsid w:val="3F1378F2"/>
    <w:rsid w:val="3F13F95F"/>
    <w:rsid w:val="3F25D98F"/>
    <w:rsid w:val="3F31219D"/>
    <w:rsid w:val="3F3E75A7"/>
    <w:rsid w:val="3F4CCCB8"/>
    <w:rsid w:val="3F627ACD"/>
    <w:rsid w:val="3F6623F9"/>
    <w:rsid w:val="3F6B0DEE"/>
    <w:rsid w:val="3F6E80D6"/>
    <w:rsid w:val="3F9B1E26"/>
    <w:rsid w:val="3F9C7363"/>
    <w:rsid w:val="3F9F7EA6"/>
    <w:rsid w:val="3FD9F4CB"/>
    <w:rsid w:val="3FF7D339"/>
    <w:rsid w:val="3FFB3991"/>
    <w:rsid w:val="401B28C2"/>
    <w:rsid w:val="40288FF7"/>
    <w:rsid w:val="402D7EC9"/>
    <w:rsid w:val="40389F5C"/>
    <w:rsid w:val="403FB519"/>
    <w:rsid w:val="40438E06"/>
    <w:rsid w:val="40687169"/>
    <w:rsid w:val="407D263C"/>
    <w:rsid w:val="409F1842"/>
    <w:rsid w:val="40B45328"/>
    <w:rsid w:val="40BBCA8A"/>
    <w:rsid w:val="40CAE8FC"/>
    <w:rsid w:val="40D0FCED"/>
    <w:rsid w:val="40E08D32"/>
    <w:rsid w:val="40F9C6D9"/>
    <w:rsid w:val="41592765"/>
    <w:rsid w:val="4197F148"/>
    <w:rsid w:val="41B23897"/>
    <w:rsid w:val="41BE317A"/>
    <w:rsid w:val="41C3C47E"/>
    <w:rsid w:val="41EE96E6"/>
    <w:rsid w:val="421EE10D"/>
    <w:rsid w:val="422B4C1F"/>
    <w:rsid w:val="422F320C"/>
    <w:rsid w:val="42349A64"/>
    <w:rsid w:val="423FD756"/>
    <w:rsid w:val="42436DA8"/>
    <w:rsid w:val="4282D8D3"/>
    <w:rsid w:val="42923695"/>
    <w:rsid w:val="42D09F53"/>
    <w:rsid w:val="42E17A9B"/>
    <w:rsid w:val="42EC54A3"/>
    <w:rsid w:val="42F86DE5"/>
    <w:rsid w:val="43224484"/>
    <w:rsid w:val="432508D8"/>
    <w:rsid w:val="43378A34"/>
    <w:rsid w:val="436E4DFA"/>
    <w:rsid w:val="436FFD0D"/>
    <w:rsid w:val="43789BDC"/>
    <w:rsid w:val="43811D6E"/>
    <w:rsid w:val="438F180F"/>
    <w:rsid w:val="43A231AA"/>
    <w:rsid w:val="43D3E7CE"/>
    <w:rsid w:val="43D4B243"/>
    <w:rsid w:val="43F65D67"/>
    <w:rsid w:val="440501CA"/>
    <w:rsid w:val="440A1D67"/>
    <w:rsid w:val="4427AF2C"/>
    <w:rsid w:val="44388AD4"/>
    <w:rsid w:val="44464D93"/>
    <w:rsid w:val="44594003"/>
    <w:rsid w:val="446CB849"/>
    <w:rsid w:val="448AB36B"/>
    <w:rsid w:val="44FC297C"/>
    <w:rsid w:val="452FA1B2"/>
    <w:rsid w:val="453067E8"/>
    <w:rsid w:val="4536BBC3"/>
    <w:rsid w:val="4539ABF2"/>
    <w:rsid w:val="4542B35D"/>
    <w:rsid w:val="45978236"/>
    <w:rsid w:val="45B2760F"/>
    <w:rsid w:val="45D0A1FE"/>
    <w:rsid w:val="4610AEA6"/>
    <w:rsid w:val="4631198B"/>
    <w:rsid w:val="464D3FFE"/>
    <w:rsid w:val="464E1A76"/>
    <w:rsid w:val="46A14000"/>
    <w:rsid w:val="46A3CC96"/>
    <w:rsid w:val="46AFB7C5"/>
    <w:rsid w:val="46CEC8D0"/>
    <w:rsid w:val="46DD196E"/>
    <w:rsid w:val="4719CFD2"/>
    <w:rsid w:val="4774F612"/>
    <w:rsid w:val="47B3D136"/>
    <w:rsid w:val="47B44B4A"/>
    <w:rsid w:val="47C42E7F"/>
    <w:rsid w:val="47EFF475"/>
    <w:rsid w:val="482071A8"/>
    <w:rsid w:val="482B89A7"/>
    <w:rsid w:val="4839785C"/>
    <w:rsid w:val="48480899"/>
    <w:rsid w:val="485A46B0"/>
    <w:rsid w:val="4864B309"/>
    <w:rsid w:val="487C34AB"/>
    <w:rsid w:val="489269A4"/>
    <w:rsid w:val="48A38414"/>
    <w:rsid w:val="48A500A0"/>
    <w:rsid w:val="48B296F7"/>
    <w:rsid w:val="48B7442F"/>
    <w:rsid w:val="48C45548"/>
    <w:rsid w:val="48D2C88A"/>
    <w:rsid w:val="48F6EC38"/>
    <w:rsid w:val="48F881A8"/>
    <w:rsid w:val="490C8B5C"/>
    <w:rsid w:val="491A2EDB"/>
    <w:rsid w:val="4931FA07"/>
    <w:rsid w:val="49360FBD"/>
    <w:rsid w:val="498F5DCB"/>
    <w:rsid w:val="49ACC591"/>
    <w:rsid w:val="49CDDB4E"/>
    <w:rsid w:val="49D6F733"/>
    <w:rsid w:val="49E17DF8"/>
    <w:rsid w:val="49FF6770"/>
    <w:rsid w:val="4A19E05D"/>
    <w:rsid w:val="4A222BB3"/>
    <w:rsid w:val="4A2DE1DD"/>
    <w:rsid w:val="4A302819"/>
    <w:rsid w:val="4A3ACCD4"/>
    <w:rsid w:val="4A430CFE"/>
    <w:rsid w:val="4A4C4901"/>
    <w:rsid w:val="4A4E9B31"/>
    <w:rsid w:val="4A7B1790"/>
    <w:rsid w:val="4A83EE15"/>
    <w:rsid w:val="4AA97791"/>
    <w:rsid w:val="4AB60A69"/>
    <w:rsid w:val="4AE091E5"/>
    <w:rsid w:val="4B06DD23"/>
    <w:rsid w:val="4B3E09D0"/>
    <w:rsid w:val="4B47E2D9"/>
    <w:rsid w:val="4B6153DA"/>
    <w:rsid w:val="4B798CA9"/>
    <w:rsid w:val="4B7EE175"/>
    <w:rsid w:val="4B87F08A"/>
    <w:rsid w:val="4B88A092"/>
    <w:rsid w:val="4B97C466"/>
    <w:rsid w:val="4BA1501B"/>
    <w:rsid w:val="4BA34A8C"/>
    <w:rsid w:val="4BBCF374"/>
    <w:rsid w:val="4BC446EE"/>
    <w:rsid w:val="4BC9111D"/>
    <w:rsid w:val="4BCFCFBD"/>
    <w:rsid w:val="4BE8A11B"/>
    <w:rsid w:val="4C2DB58E"/>
    <w:rsid w:val="4C9D0323"/>
    <w:rsid w:val="4CB572A1"/>
    <w:rsid w:val="4CDA7EAF"/>
    <w:rsid w:val="4CE30800"/>
    <w:rsid w:val="4D235DF0"/>
    <w:rsid w:val="4D623BF4"/>
    <w:rsid w:val="4D861EEC"/>
    <w:rsid w:val="4DBF7E8E"/>
    <w:rsid w:val="4E13CFB2"/>
    <w:rsid w:val="4E2D91C1"/>
    <w:rsid w:val="4E3696A5"/>
    <w:rsid w:val="4E4AF8C1"/>
    <w:rsid w:val="4E4B2EB9"/>
    <w:rsid w:val="4E519C12"/>
    <w:rsid w:val="4E685B65"/>
    <w:rsid w:val="4E735485"/>
    <w:rsid w:val="4EA39719"/>
    <w:rsid w:val="4EB73608"/>
    <w:rsid w:val="4EBA9744"/>
    <w:rsid w:val="4EC1D159"/>
    <w:rsid w:val="4ED1FAA7"/>
    <w:rsid w:val="4EFB21FC"/>
    <w:rsid w:val="4F326495"/>
    <w:rsid w:val="4F52A7AD"/>
    <w:rsid w:val="4F674934"/>
    <w:rsid w:val="4FB25A83"/>
    <w:rsid w:val="4FBBB42B"/>
    <w:rsid w:val="4FC60E14"/>
    <w:rsid w:val="4FE7A2B9"/>
    <w:rsid w:val="4FE94B4A"/>
    <w:rsid w:val="5041AAD7"/>
    <w:rsid w:val="50564BFE"/>
    <w:rsid w:val="5060480E"/>
    <w:rsid w:val="50698D9A"/>
    <w:rsid w:val="50699331"/>
    <w:rsid w:val="50795C57"/>
    <w:rsid w:val="508A4D16"/>
    <w:rsid w:val="509406F8"/>
    <w:rsid w:val="50C5FD99"/>
    <w:rsid w:val="50D41EA2"/>
    <w:rsid w:val="50EE1501"/>
    <w:rsid w:val="51031C66"/>
    <w:rsid w:val="510D2D47"/>
    <w:rsid w:val="5129A4CE"/>
    <w:rsid w:val="5177DE03"/>
    <w:rsid w:val="5186BA9B"/>
    <w:rsid w:val="51992733"/>
    <w:rsid w:val="519B5980"/>
    <w:rsid w:val="51CFCCD8"/>
    <w:rsid w:val="51D88C4F"/>
    <w:rsid w:val="51E60098"/>
    <w:rsid w:val="51E721C0"/>
    <w:rsid w:val="51F0297A"/>
    <w:rsid w:val="52126718"/>
    <w:rsid w:val="5225BE24"/>
    <w:rsid w:val="52328845"/>
    <w:rsid w:val="52413BB5"/>
    <w:rsid w:val="524D54DE"/>
    <w:rsid w:val="525FEEBC"/>
    <w:rsid w:val="52ABAD49"/>
    <w:rsid w:val="52B33F0C"/>
    <w:rsid w:val="52B35450"/>
    <w:rsid w:val="52B7B8DB"/>
    <w:rsid w:val="52B83A46"/>
    <w:rsid w:val="52C74F5A"/>
    <w:rsid w:val="52FEB1DA"/>
    <w:rsid w:val="53167CD6"/>
    <w:rsid w:val="5328F09F"/>
    <w:rsid w:val="53319EAF"/>
    <w:rsid w:val="53724B43"/>
    <w:rsid w:val="537DAB0B"/>
    <w:rsid w:val="538FD180"/>
    <w:rsid w:val="539CB5E3"/>
    <w:rsid w:val="539F968C"/>
    <w:rsid w:val="53A32B6E"/>
    <w:rsid w:val="53A8B486"/>
    <w:rsid w:val="53B34394"/>
    <w:rsid w:val="53B38FA5"/>
    <w:rsid w:val="53BAE6A1"/>
    <w:rsid w:val="53F62004"/>
    <w:rsid w:val="53FE3DCF"/>
    <w:rsid w:val="540B9970"/>
    <w:rsid w:val="5411FAA1"/>
    <w:rsid w:val="543EC466"/>
    <w:rsid w:val="544167F4"/>
    <w:rsid w:val="5453AECC"/>
    <w:rsid w:val="545DDB20"/>
    <w:rsid w:val="5471A43E"/>
    <w:rsid w:val="547970BC"/>
    <w:rsid w:val="5479E634"/>
    <w:rsid w:val="54DF9806"/>
    <w:rsid w:val="54EA7DAC"/>
    <w:rsid w:val="54FD5507"/>
    <w:rsid w:val="551C582C"/>
    <w:rsid w:val="5535E740"/>
    <w:rsid w:val="5556EBB5"/>
    <w:rsid w:val="5565D645"/>
    <w:rsid w:val="5592CA5B"/>
    <w:rsid w:val="55BBC556"/>
    <w:rsid w:val="55CA5CAB"/>
    <w:rsid w:val="55FB4CF9"/>
    <w:rsid w:val="55FC1D01"/>
    <w:rsid w:val="5605BC16"/>
    <w:rsid w:val="562033C8"/>
    <w:rsid w:val="5637BBCE"/>
    <w:rsid w:val="56388840"/>
    <w:rsid w:val="5659E8C2"/>
    <w:rsid w:val="5698DD1C"/>
    <w:rsid w:val="56B4E930"/>
    <w:rsid w:val="56BA76A5"/>
    <w:rsid w:val="56DBA3C9"/>
    <w:rsid w:val="5701B11E"/>
    <w:rsid w:val="5720A05F"/>
    <w:rsid w:val="574CBA20"/>
    <w:rsid w:val="575C664E"/>
    <w:rsid w:val="577262CE"/>
    <w:rsid w:val="5773BE03"/>
    <w:rsid w:val="578B528B"/>
    <w:rsid w:val="57958E4F"/>
    <w:rsid w:val="579E5A80"/>
    <w:rsid w:val="57A15010"/>
    <w:rsid w:val="57A1FA3A"/>
    <w:rsid w:val="57B32D77"/>
    <w:rsid w:val="57B49C3E"/>
    <w:rsid w:val="57ED5FF0"/>
    <w:rsid w:val="580445B1"/>
    <w:rsid w:val="583E568F"/>
    <w:rsid w:val="583F166F"/>
    <w:rsid w:val="58AF6FF3"/>
    <w:rsid w:val="58C214FE"/>
    <w:rsid w:val="58C5AF75"/>
    <w:rsid w:val="58C7A549"/>
    <w:rsid w:val="58CBC75C"/>
    <w:rsid w:val="58CE25CA"/>
    <w:rsid w:val="58DF6B88"/>
    <w:rsid w:val="58F3A292"/>
    <w:rsid w:val="58F9E264"/>
    <w:rsid w:val="58FA933D"/>
    <w:rsid w:val="58FBC4B8"/>
    <w:rsid w:val="59063233"/>
    <w:rsid w:val="591EAF8C"/>
    <w:rsid w:val="59746658"/>
    <w:rsid w:val="597FB925"/>
    <w:rsid w:val="5981F28A"/>
    <w:rsid w:val="59B992AF"/>
    <w:rsid w:val="59D912D6"/>
    <w:rsid w:val="59F8E76D"/>
    <w:rsid w:val="5A087CDB"/>
    <w:rsid w:val="5A127E0D"/>
    <w:rsid w:val="5A177FDF"/>
    <w:rsid w:val="5A273257"/>
    <w:rsid w:val="5A4134C4"/>
    <w:rsid w:val="5A5BF889"/>
    <w:rsid w:val="5A7E693D"/>
    <w:rsid w:val="5AA02F5F"/>
    <w:rsid w:val="5AACCAA5"/>
    <w:rsid w:val="5ABA2B6D"/>
    <w:rsid w:val="5B1BA15F"/>
    <w:rsid w:val="5B1DBF81"/>
    <w:rsid w:val="5BB5D0C1"/>
    <w:rsid w:val="5BB74042"/>
    <w:rsid w:val="5BBB3630"/>
    <w:rsid w:val="5BC5BA4C"/>
    <w:rsid w:val="5BD0479E"/>
    <w:rsid w:val="5BFEF56C"/>
    <w:rsid w:val="5C3F26FD"/>
    <w:rsid w:val="5C4F83B2"/>
    <w:rsid w:val="5C54FB8C"/>
    <w:rsid w:val="5C7D1FB0"/>
    <w:rsid w:val="5CAA5F9E"/>
    <w:rsid w:val="5CD2DF7F"/>
    <w:rsid w:val="5CD9B7F7"/>
    <w:rsid w:val="5CFFC82F"/>
    <w:rsid w:val="5D020936"/>
    <w:rsid w:val="5D10B7A6"/>
    <w:rsid w:val="5D15C426"/>
    <w:rsid w:val="5D421CE3"/>
    <w:rsid w:val="5D585172"/>
    <w:rsid w:val="5D6F89C5"/>
    <w:rsid w:val="5D83F2C9"/>
    <w:rsid w:val="5D922EFE"/>
    <w:rsid w:val="5D963AE2"/>
    <w:rsid w:val="5DB7347C"/>
    <w:rsid w:val="5DBCDC14"/>
    <w:rsid w:val="5DBDAC3E"/>
    <w:rsid w:val="5DC45A42"/>
    <w:rsid w:val="5DD40584"/>
    <w:rsid w:val="5E3DDF18"/>
    <w:rsid w:val="5E8398D7"/>
    <w:rsid w:val="5E8CC147"/>
    <w:rsid w:val="5EB69261"/>
    <w:rsid w:val="5EC85884"/>
    <w:rsid w:val="5EC8E79D"/>
    <w:rsid w:val="5ECE5B49"/>
    <w:rsid w:val="5EEE2B3A"/>
    <w:rsid w:val="5F11975F"/>
    <w:rsid w:val="5F12E2CC"/>
    <w:rsid w:val="5F163F70"/>
    <w:rsid w:val="5F41B57D"/>
    <w:rsid w:val="5F5312E5"/>
    <w:rsid w:val="5F74A8CC"/>
    <w:rsid w:val="5F925C95"/>
    <w:rsid w:val="5F9DE053"/>
    <w:rsid w:val="5FA31FEE"/>
    <w:rsid w:val="5FAB38B9"/>
    <w:rsid w:val="5FC6A7FF"/>
    <w:rsid w:val="5FDDB5AA"/>
    <w:rsid w:val="600B1D47"/>
    <w:rsid w:val="600D2B6B"/>
    <w:rsid w:val="601EDD1F"/>
    <w:rsid w:val="6047A64A"/>
    <w:rsid w:val="6070D37B"/>
    <w:rsid w:val="609EB3F9"/>
    <w:rsid w:val="60AA7841"/>
    <w:rsid w:val="60B81BBA"/>
    <w:rsid w:val="60D0EEB5"/>
    <w:rsid w:val="60DB77A9"/>
    <w:rsid w:val="60EB4EA6"/>
    <w:rsid w:val="61049103"/>
    <w:rsid w:val="611F9048"/>
    <w:rsid w:val="612C8F30"/>
    <w:rsid w:val="61663A3C"/>
    <w:rsid w:val="618ADC9F"/>
    <w:rsid w:val="618EE641"/>
    <w:rsid w:val="619E7307"/>
    <w:rsid w:val="61D254F6"/>
    <w:rsid w:val="61D3DC5A"/>
    <w:rsid w:val="61E974EB"/>
    <w:rsid w:val="61F5D5C6"/>
    <w:rsid w:val="61F7CFC8"/>
    <w:rsid w:val="61FCFB72"/>
    <w:rsid w:val="6202A300"/>
    <w:rsid w:val="62285536"/>
    <w:rsid w:val="62399ED3"/>
    <w:rsid w:val="623D9656"/>
    <w:rsid w:val="6257CDA9"/>
    <w:rsid w:val="627014AA"/>
    <w:rsid w:val="6271364D"/>
    <w:rsid w:val="627970F5"/>
    <w:rsid w:val="6279D357"/>
    <w:rsid w:val="629861B8"/>
    <w:rsid w:val="62B124EF"/>
    <w:rsid w:val="62C3C7E6"/>
    <w:rsid w:val="62F7D2EC"/>
    <w:rsid w:val="62F88461"/>
    <w:rsid w:val="62FE2E04"/>
    <w:rsid w:val="630B2296"/>
    <w:rsid w:val="6331FE63"/>
    <w:rsid w:val="633D0A76"/>
    <w:rsid w:val="634DD031"/>
    <w:rsid w:val="63D508B1"/>
    <w:rsid w:val="63FB013A"/>
    <w:rsid w:val="63FE1403"/>
    <w:rsid w:val="64193D67"/>
    <w:rsid w:val="641F5296"/>
    <w:rsid w:val="6420F236"/>
    <w:rsid w:val="643F3809"/>
    <w:rsid w:val="648845AF"/>
    <w:rsid w:val="64A9C2EA"/>
    <w:rsid w:val="64B18B59"/>
    <w:rsid w:val="64B34AD6"/>
    <w:rsid w:val="64E6E9BF"/>
    <w:rsid w:val="650E167A"/>
    <w:rsid w:val="651B67B7"/>
    <w:rsid w:val="651CD4AD"/>
    <w:rsid w:val="653B764B"/>
    <w:rsid w:val="659FF088"/>
    <w:rsid w:val="65A2B47D"/>
    <w:rsid w:val="65C74E8B"/>
    <w:rsid w:val="65D07628"/>
    <w:rsid w:val="65E44748"/>
    <w:rsid w:val="660F455F"/>
    <w:rsid w:val="6653C2AB"/>
    <w:rsid w:val="665E3FF9"/>
    <w:rsid w:val="66733326"/>
    <w:rsid w:val="668BAC95"/>
    <w:rsid w:val="66A386E9"/>
    <w:rsid w:val="67150EAA"/>
    <w:rsid w:val="6733A9F3"/>
    <w:rsid w:val="6743376E"/>
    <w:rsid w:val="674DBE05"/>
    <w:rsid w:val="67692505"/>
    <w:rsid w:val="6779B6F9"/>
    <w:rsid w:val="679E461B"/>
    <w:rsid w:val="67B351A9"/>
    <w:rsid w:val="67D253D3"/>
    <w:rsid w:val="67D7CAA3"/>
    <w:rsid w:val="67EDA024"/>
    <w:rsid w:val="6807654E"/>
    <w:rsid w:val="682795CB"/>
    <w:rsid w:val="682B7E78"/>
    <w:rsid w:val="684B182B"/>
    <w:rsid w:val="6890FA68"/>
    <w:rsid w:val="689ACB00"/>
    <w:rsid w:val="689F891B"/>
    <w:rsid w:val="68A3CFEA"/>
    <w:rsid w:val="68AB9783"/>
    <w:rsid w:val="68D4AFA3"/>
    <w:rsid w:val="68DCE3C1"/>
    <w:rsid w:val="68E3BE2D"/>
    <w:rsid w:val="68EF53F6"/>
    <w:rsid w:val="68F97CA1"/>
    <w:rsid w:val="68FFB254"/>
    <w:rsid w:val="69087DAA"/>
    <w:rsid w:val="690B2269"/>
    <w:rsid w:val="690F9EB9"/>
    <w:rsid w:val="691302C4"/>
    <w:rsid w:val="6914C8F8"/>
    <w:rsid w:val="69152609"/>
    <w:rsid w:val="691752CC"/>
    <w:rsid w:val="6923A871"/>
    <w:rsid w:val="6923F46E"/>
    <w:rsid w:val="692C3E66"/>
    <w:rsid w:val="69322C65"/>
    <w:rsid w:val="693D71DE"/>
    <w:rsid w:val="69457834"/>
    <w:rsid w:val="69466805"/>
    <w:rsid w:val="6948EB25"/>
    <w:rsid w:val="698EAF2D"/>
    <w:rsid w:val="69BE6A85"/>
    <w:rsid w:val="69C0A9BC"/>
    <w:rsid w:val="69EBD9DC"/>
    <w:rsid w:val="69FA62D2"/>
    <w:rsid w:val="6A0C4AB0"/>
    <w:rsid w:val="6A42C39A"/>
    <w:rsid w:val="6A5BBC0B"/>
    <w:rsid w:val="6A740EBB"/>
    <w:rsid w:val="6A829A0A"/>
    <w:rsid w:val="6AA5323C"/>
    <w:rsid w:val="6AB858C2"/>
    <w:rsid w:val="6AB9CC53"/>
    <w:rsid w:val="6ABD2735"/>
    <w:rsid w:val="6ADCD3B2"/>
    <w:rsid w:val="6AE5E2BA"/>
    <w:rsid w:val="6AE5E797"/>
    <w:rsid w:val="6B0236B4"/>
    <w:rsid w:val="6B07B4E7"/>
    <w:rsid w:val="6B0CFCEF"/>
    <w:rsid w:val="6B19DB75"/>
    <w:rsid w:val="6B2E3A84"/>
    <w:rsid w:val="6B634B12"/>
    <w:rsid w:val="6B6FA270"/>
    <w:rsid w:val="6B9CE12C"/>
    <w:rsid w:val="6B9FCFB6"/>
    <w:rsid w:val="6BB00ACD"/>
    <w:rsid w:val="6C00B7F5"/>
    <w:rsid w:val="6C02005A"/>
    <w:rsid w:val="6C38949F"/>
    <w:rsid w:val="6C4D89A8"/>
    <w:rsid w:val="6C6A919C"/>
    <w:rsid w:val="6C89B5B2"/>
    <w:rsid w:val="6C8DD0E4"/>
    <w:rsid w:val="6C9C29F5"/>
    <w:rsid w:val="6CB0ED3D"/>
    <w:rsid w:val="6CBBFCDD"/>
    <w:rsid w:val="6CC6972C"/>
    <w:rsid w:val="6CF1E8CB"/>
    <w:rsid w:val="6D163CE3"/>
    <w:rsid w:val="6D16B7B1"/>
    <w:rsid w:val="6D19ACC6"/>
    <w:rsid w:val="6D2E4F8C"/>
    <w:rsid w:val="6D6C5FBE"/>
    <w:rsid w:val="6DC320E1"/>
    <w:rsid w:val="6DDF62D4"/>
    <w:rsid w:val="6E230E92"/>
    <w:rsid w:val="6E3111E3"/>
    <w:rsid w:val="6E42E4E5"/>
    <w:rsid w:val="6E491BA2"/>
    <w:rsid w:val="6E6C3989"/>
    <w:rsid w:val="6E746191"/>
    <w:rsid w:val="6E939F57"/>
    <w:rsid w:val="6ECBF789"/>
    <w:rsid w:val="6EE971CB"/>
    <w:rsid w:val="6EFB70E4"/>
    <w:rsid w:val="6EFCD840"/>
    <w:rsid w:val="6EFE2E0F"/>
    <w:rsid w:val="6F0B9240"/>
    <w:rsid w:val="6F11488E"/>
    <w:rsid w:val="6F2A8CD5"/>
    <w:rsid w:val="6F3E6961"/>
    <w:rsid w:val="6F59B779"/>
    <w:rsid w:val="6F6550DC"/>
    <w:rsid w:val="6F6A60BB"/>
    <w:rsid w:val="6F6C6EAF"/>
    <w:rsid w:val="6F76967A"/>
    <w:rsid w:val="6F76B2CD"/>
    <w:rsid w:val="6FB40509"/>
    <w:rsid w:val="6FBC8A29"/>
    <w:rsid w:val="6FD1B18B"/>
    <w:rsid w:val="6FE07890"/>
    <w:rsid w:val="6FF28F80"/>
    <w:rsid w:val="7005AF0A"/>
    <w:rsid w:val="70192B60"/>
    <w:rsid w:val="705DFE43"/>
    <w:rsid w:val="7072C262"/>
    <w:rsid w:val="70923B3B"/>
    <w:rsid w:val="70D28003"/>
    <w:rsid w:val="70DB2432"/>
    <w:rsid w:val="710BE483"/>
    <w:rsid w:val="710F0C0D"/>
    <w:rsid w:val="7112D6C1"/>
    <w:rsid w:val="7118D006"/>
    <w:rsid w:val="7135394D"/>
    <w:rsid w:val="713872B1"/>
    <w:rsid w:val="71615A9E"/>
    <w:rsid w:val="71769EFC"/>
    <w:rsid w:val="71A98807"/>
    <w:rsid w:val="71B45571"/>
    <w:rsid w:val="71FF6F56"/>
    <w:rsid w:val="72171AD4"/>
    <w:rsid w:val="7227C5E8"/>
    <w:rsid w:val="7228B2AC"/>
    <w:rsid w:val="722B7FE5"/>
    <w:rsid w:val="724940F7"/>
    <w:rsid w:val="725433C9"/>
    <w:rsid w:val="729A81DC"/>
    <w:rsid w:val="72B3B9DA"/>
    <w:rsid w:val="72D8DC5D"/>
    <w:rsid w:val="72F6BB7E"/>
    <w:rsid w:val="72F81F24"/>
    <w:rsid w:val="7308BE2E"/>
    <w:rsid w:val="731E6E95"/>
    <w:rsid w:val="73250835"/>
    <w:rsid w:val="735A790D"/>
    <w:rsid w:val="73610EC1"/>
    <w:rsid w:val="73736859"/>
    <w:rsid w:val="73867009"/>
    <w:rsid w:val="73B2D018"/>
    <w:rsid w:val="73BAAE98"/>
    <w:rsid w:val="73C67814"/>
    <w:rsid w:val="73D48BB8"/>
    <w:rsid w:val="73FAA35B"/>
    <w:rsid w:val="7410F3F1"/>
    <w:rsid w:val="743E3533"/>
    <w:rsid w:val="7450199C"/>
    <w:rsid w:val="746EDED3"/>
    <w:rsid w:val="74706B14"/>
    <w:rsid w:val="748FCE2A"/>
    <w:rsid w:val="74929641"/>
    <w:rsid w:val="749F5EC1"/>
    <w:rsid w:val="74A20C90"/>
    <w:rsid w:val="74DE8785"/>
    <w:rsid w:val="74E71219"/>
    <w:rsid w:val="75040FA8"/>
    <w:rsid w:val="7507282A"/>
    <w:rsid w:val="7517F45A"/>
    <w:rsid w:val="755AF7BD"/>
    <w:rsid w:val="757BC146"/>
    <w:rsid w:val="75AA3183"/>
    <w:rsid w:val="75BC64E4"/>
    <w:rsid w:val="75C15C72"/>
    <w:rsid w:val="75E29FDE"/>
    <w:rsid w:val="760C2DF5"/>
    <w:rsid w:val="7616BDC6"/>
    <w:rsid w:val="7652CF48"/>
    <w:rsid w:val="76597E3C"/>
    <w:rsid w:val="76697615"/>
    <w:rsid w:val="768A503E"/>
    <w:rsid w:val="76B821C2"/>
    <w:rsid w:val="76FA9308"/>
    <w:rsid w:val="76FD798C"/>
    <w:rsid w:val="771E07AC"/>
    <w:rsid w:val="771F9839"/>
    <w:rsid w:val="77316D74"/>
    <w:rsid w:val="7752A74A"/>
    <w:rsid w:val="777C14F1"/>
    <w:rsid w:val="777E26F4"/>
    <w:rsid w:val="77A56906"/>
    <w:rsid w:val="77A86CC8"/>
    <w:rsid w:val="77AAFBC9"/>
    <w:rsid w:val="77B3CB68"/>
    <w:rsid w:val="77CFEFAA"/>
    <w:rsid w:val="77D0348F"/>
    <w:rsid w:val="77F24A39"/>
    <w:rsid w:val="77F2B912"/>
    <w:rsid w:val="77FCDD31"/>
    <w:rsid w:val="781070B9"/>
    <w:rsid w:val="782D962F"/>
    <w:rsid w:val="787881F5"/>
    <w:rsid w:val="7881DE37"/>
    <w:rsid w:val="78C16C51"/>
    <w:rsid w:val="78D7851C"/>
    <w:rsid w:val="78DAB06E"/>
    <w:rsid w:val="79223337"/>
    <w:rsid w:val="7923E0EC"/>
    <w:rsid w:val="792BB393"/>
    <w:rsid w:val="79562C6D"/>
    <w:rsid w:val="795D1235"/>
    <w:rsid w:val="79617D24"/>
    <w:rsid w:val="798F2C38"/>
    <w:rsid w:val="79929B57"/>
    <w:rsid w:val="79C5F21C"/>
    <w:rsid w:val="79CC01DD"/>
    <w:rsid w:val="79D8D2AB"/>
    <w:rsid w:val="79E51AAB"/>
    <w:rsid w:val="79E586D2"/>
    <w:rsid w:val="7A16261E"/>
    <w:rsid w:val="7A3FBD4D"/>
    <w:rsid w:val="7A66F061"/>
    <w:rsid w:val="7AB224D5"/>
    <w:rsid w:val="7AD18826"/>
    <w:rsid w:val="7AE6DEC4"/>
    <w:rsid w:val="7AEB46A5"/>
    <w:rsid w:val="7AFD1C6E"/>
    <w:rsid w:val="7AFED95E"/>
    <w:rsid w:val="7B038743"/>
    <w:rsid w:val="7B109587"/>
    <w:rsid w:val="7B16061A"/>
    <w:rsid w:val="7B34ECEE"/>
    <w:rsid w:val="7B511EAD"/>
    <w:rsid w:val="7B73C6A5"/>
    <w:rsid w:val="7B8100F2"/>
    <w:rsid w:val="7B8B4B94"/>
    <w:rsid w:val="7B8F68C6"/>
    <w:rsid w:val="7BAB0B01"/>
    <w:rsid w:val="7BBF73F5"/>
    <w:rsid w:val="7BFB75F6"/>
    <w:rsid w:val="7BFC4130"/>
    <w:rsid w:val="7C2D8EFA"/>
    <w:rsid w:val="7C585BFD"/>
    <w:rsid w:val="7C5ED72B"/>
    <w:rsid w:val="7CCB1CC0"/>
    <w:rsid w:val="7CD4CF9E"/>
    <w:rsid w:val="7CE0B11D"/>
    <w:rsid w:val="7D02A6AA"/>
    <w:rsid w:val="7D371621"/>
    <w:rsid w:val="7D59BA1F"/>
    <w:rsid w:val="7D840E7C"/>
    <w:rsid w:val="7D9D7A53"/>
    <w:rsid w:val="7D9DAE4C"/>
    <w:rsid w:val="7DAB1740"/>
    <w:rsid w:val="7DAC51CC"/>
    <w:rsid w:val="7DB10896"/>
    <w:rsid w:val="7DB1484B"/>
    <w:rsid w:val="7DB97413"/>
    <w:rsid w:val="7DBCF475"/>
    <w:rsid w:val="7DC842DD"/>
    <w:rsid w:val="7DF92FBD"/>
    <w:rsid w:val="7E01D854"/>
    <w:rsid w:val="7E1D67D2"/>
    <w:rsid w:val="7E27EE24"/>
    <w:rsid w:val="7E29A5B3"/>
    <w:rsid w:val="7E465791"/>
    <w:rsid w:val="7E51E6C3"/>
    <w:rsid w:val="7E7471C0"/>
    <w:rsid w:val="7E88EB45"/>
    <w:rsid w:val="7E9E6390"/>
    <w:rsid w:val="7EAD9BC2"/>
    <w:rsid w:val="7EDF9734"/>
    <w:rsid w:val="7EEF81E3"/>
    <w:rsid w:val="7F0E4F48"/>
    <w:rsid w:val="7F2C7331"/>
    <w:rsid w:val="7F599211"/>
    <w:rsid w:val="7F64C257"/>
    <w:rsid w:val="7F74DE6A"/>
    <w:rsid w:val="7F777D0D"/>
    <w:rsid w:val="7F7F7A6E"/>
    <w:rsid w:val="7FA13B72"/>
    <w:rsid w:val="7FDF542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1DD1A7"/>
  <w15:chartTrackingRefBased/>
  <w15:docId w15:val="{A9EB526D-4B1E-4D02-9E04-F48D62CC4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CEB"/>
    <w:rPr>
      <w:lang w:val="fr-FR"/>
    </w:rPr>
  </w:style>
  <w:style w:type="paragraph" w:styleId="Titre1">
    <w:name w:val="heading 1"/>
    <w:basedOn w:val="Normal"/>
    <w:next w:val="Normal"/>
    <w:link w:val="Titre1Car"/>
    <w:uiPriority w:val="9"/>
    <w:qFormat/>
    <w:rsid w:val="006132E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unhideWhenUsed/>
    <w:qFormat/>
    <w:rsid w:val="006132E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unhideWhenUsed/>
    <w:qFormat/>
    <w:rsid w:val="006132EB"/>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unhideWhenUsed/>
    <w:qFormat/>
    <w:rsid w:val="006132EB"/>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unhideWhenUsed/>
    <w:qFormat/>
    <w:rsid w:val="006132EB"/>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6132EB"/>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6132EB"/>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6132EB"/>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6132EB"/>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132EB"/>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rsid w:val="006132EB"/>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rsid w:val="006132EB"/>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rsid w:val="006132EB"/>
    <w:rPr>
      <w:rFonts w:eastAsiaTheme="majorEastAsia" w:cstheme="majorBidi"/>
      <w:i/>
      <w:iCs/>
      <w:color w:val="2F5496" w:themeColor="accent1" w:themeShade="BF"/>
    </w:rPr>
  </w:style>
  <w:style w:type="character" w:customStyle="1" w:styleId="Titre5Car">
    <w:name w:val="Titre 5 Car"/>
    <w:basedOn w:val="Policepardfaut"/>
    <w:link w:val="Titre5"/>
    <w:uiPriority w:val="9"/>
    <w:rsid w:val="006132EB"/>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6132EB"/>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6132EB"/>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6132EB"/>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6132EB"/>
    <w:rPr>
      <w:rFonts w:eastAsiaTheme="majorEastAsia" w:cstheme="majorBidi"/>
      <w:color w:val="272727" w:themeColor="text1" w:themeTint="D8"/>
    </w:rPr>
  </w:style>
  <w:style w:type="paragraph" w:styleId="Titre">
    <w:name w:val="Title"/>
    <w:basedOn w:val="Normal"/>
    <w:next w:val="Normal"/>
    <w:link w:val="TitreCar"/>
    <w:uiPriority w:val="10"/>
    <w:qFormat/>
    <w:rsid w:val="006132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132EB"/>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6132EB"/>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6132EB"/>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6132EB"/>
    <w:pPr>
      <w:spacing w:before="160"/>
      <w:jc w:val="center"/>
    </w:pPr>
    <w:rPr>
      <w:i/>
      <w:iCs/>
      <w:color w:val="404040" w:themeColor="text1" w:themeTint="BF"/>
    </w:rPr>
  </w:style>
  <w:style w:type="character" w:customStyle="1" w:styleId="CitationCar">
    <w:name w:val="Citation Car"/>
    <w:basedOn w:val="Policepardfaut"/>
    <w:link w:val="Citation"/>
    <w:uiPriority w:val="29"/>
    <w:rsid w:val="006132EB"/>
    <w:rPr>
      <w:i/>
      <w:iCs/>
      <w:color w:val="404040" w:themeColor="text1" w:themeTint="BF"/>
    </w:rPr>
  </w:style>
  <w:style w:type="paragraph" w:styleId="Paragraphedeliste">
    <w:name w:val="List Paragraph"/>
    <w:aliases w:val="References,I..1,RM1,lp1,AM1List Para,Bullets,Liste de points,List Paragraph (numbered (a)),Table/Figure Heading,List Bullet Mary,Numbered Paragraph,Main numbered paragraph,Numbered List Paragraph,123 List Paragraph,CV lower headings"/>
    <w:basedOn w:val="Normal"/>
    <w:link w:val="ParagraphedelisteCar"/>
    <w:uiPriority w:val="34"/>
    <w:qFormat/>
    <w:rsid w:val="006132EB"/>
    <w:pPr>
      <w:ind w:left="720"/>
      <w:contextualSpacing/>
    </w:pPr>
  </w:style>
  <w:style w:type="character" w:customStyle="1" w:styleId="ParagraphedelisteCar">
    <w:name w:val="Paragraphe de liste Car"/>
    <w:aliases w:val="References Car,I..1 Car,RM1 Car,lp1 Car,AM1List Para Car,Bullets Car,Liste de points Car,List Paragraph (numbered (a)) Car,Table/Figure Heading Car,List Bullet Mary Car,Numbered Paragraph Car,Main numbered paragraph Car"/>
    <w:link w:val="Paragraphedeliste"/>
    <w:uiPriority w:val="34"/>
    <w:qFormat/>
    <w:locked/>
    <w:rsid w:val="002D32BF"/>
  </w:style>
  <w:style w:type="character" w:styleId="Accentuationintense">
    <w:name w:val="Intense Emphasis"/>
    <w:basedOn w:val="Policepardfaut"/>
    <w:uiPriority w:val="21"/>
    <w:qFormat/>
    <w:rsid w:val="006132EB"/>
    <w:rPr>
      <w:i/>
      <w:iCs/>
      <w:color w:val="2F5496" w:themeColor="accent1" w:themeShade="BF"/>
    </w:rPr>
  </w:style>
  <w:style w:type="paragraph" w:styleId="Citationintense">
    <w:name w:val="Intense Quote"/>
    <w:basedOn w:val="Normal"/>
    <w:next w:val="Normal"/>
    <w:link w:val="CitationintenseCar"/>
    <w:uiPriority w:val="30"/>
    <w:qFormat/>
    <w:rsid w:val="006132E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6132EB"/>
    <w:rPr>
      <w:i/>
      <w:iCs/>
      <w:color w:val="2F5496" w:themeColor="accent1" w:themeShade="BF"/>
    </w:rPr>
  </w:style>
  <w:style w:type="character" w:styleId="Rfrenceintense">
    <w:name w:val="Intense Reference"/>
    <w:basedOn w:val="Policepardfaut"/>
    <w:uiPriority w:val="32"/>
    <w:qFormat/>
    <w:rsid w:val="006132EB"/>
    <w:rPr>
      <w:b/>
      <w:bCs/>
      <w:smallCaps/>
      <w:color w:val="2F5496" w:themeColor="accent1" w:themeShade="BF"/>
      <w:spacing w:val="5"/>
    </w:rPr>
  </w:style>
  <w:style w:type="paragraph" w:styleId="Sansinterligne">
    <w:name w:val="No Spacing"/>
    <w:uiPriority w:val="1"/>
    <w:qFormat/>
    <w:rsid w:val="00D764A4"/>
    <w:pPr>
      <w:spacing w:after="0" w:line="240" w:lineRule="auto"/>
    </w:pPr>
    <w:rPr>
      <w:rFonts w:ascii="Times New Roman" w:eastAsia="Times New Roman" w:hAnsi="Times New Roman" w:cs="Times New Roman"/>
      <w:kern w:val="0"/>
      <w:sz w:val="24"/>
      <w:szCs w:val="24"/>
      <w:lang w:val="fr-FR" w:eastAsia="fr-FR"/>
      <w14:ligatures w14:val="none"/>
    </w:rPr>
  </w:style>
  <w:style w:type="paragraph" w:styleId="Commentaire">
    <w:name w:val="annotation text"/>
    <w:basedOn w:val="Normal"/>
    <w:link w:val="CommentaireCar"/>
    <w:uiPriority w:val="99"/>
    <w:unhideWhenUsed/>
    <w:rsid w:val="00D764A4"/>
    <w:pPr>
      <w:spacing w:line="240" w:lineRule="auto"/>
    </w:pPr>
    <w:rPr>
      <w:kern w:val="0"/>
      <w:sz w:val="20"/>
      <w:szCs w:val="20"/>
      <w14:ligatures w14:val="none"/>
    </w:rPr>
  </w:style>
  <w:style w:type="character" w:customStyle="1" w:styleId="CommentaireCar">
    <w:name w:val="Commentaire Car"/>
    <w:basedOn w:val="Policepardfaut"/>
    <w:link w:val="Commentaire"/>
    <w:uiPriority w:val="99"/>
    <w:rsid w:val="00D764A4"/>
    <w:rPr>
      <w:kern w:val="0"/>
      <w:sz w:val="20"/>
      <w:szCs w:val="20"/>
      <w:lang w:val="fr-FR"/>
      <w14:ligatures w14:val="none"/>
    </w:rPr>
  </w:style>
  <w:style w:type="character" w:styleId="Marquedecommentaire">
    <w:name w:val="annotation reference"/>
    <w:basedOn w:val="Policepardfaut"/>
    <w:uiPriority w:val="99"/>
    <w:semiHidden/>
    <w:unhideWhenUsed/>
    <w:rsid w:val="00D764A4"/>
    <w:rPr>
      <w:sz w:val="16"/>
      <w:szCs w:val="16"/>
    </w:rPr>
  </w:style>
  <w:style w:type="character" w:customStyle="1" w:styleId="Mention1">
    <w:name w:val="Mention1"/>
    <w:basedOn w:val="Policepardfaut"/>
    <w:uiPriority w:val="99"/>
    <w:unhideWhenUsed/>
    <w:rsid w:val="00D764A4"/>
    <w:rPr>
      <w:color w:val="2B579A"/>
      <w:shd w:val="clear" w:color="auto" w:fill="E1DFDD"/>
    </w:rPr>
  </w:style>
  <w:style w:type="paragraph" w:styleId="TM1">
    <w:name w:val="toc 1"/>
    <w:basedOn w:val="Normal"/>
    <w:next w:val="Normal"/>
    <w:autoRedefine/>
    <w:uiPriority w:val="39"/>
    <w:unhideWhenUsed/>
    <w:rsid w:val="009105D9"/>
    <w:pPr>
      <w:spacing w:after="100"/>
    </w:pPr>
  </w:style>
  <w:style w:type="paragraph" w:styleId="TM2">
    <w:name w:val="toc 2"/>
    <w:basedOn w:val="Normal"/>
    <w:next w:val="Normal"/>
    <w:autoRedefine/>
    <w:uiPriority w:val="39"/>
    <w:unhideWhenUsed/>
    <w:rsid w:val="009105D9"/>
    <w:pPr>
      <w:spacing w:after="100"/>
      <w:ind w:left="220"/>
    </w:pPr>
  </w:style>
  <w:style w:type="character" w:styleId="Lienhypertexte">
    <w:name w:val="Hyperlink"/>
    <w:basedOn w:val="Policepardfaut"/>
    <w:uiPriority w:val="99"/>
    <w:unhideWhenUsed/>
    <w:rsid w:val="009105D9"/>
    <w:rPr>
      <w:color w:val="0563C1" w:themeColor="hyperlink"/>
      <w:u w:val="single"/>
    </w:rPr>
  </w:style>
  <w:style w:type="paragraph" w:styleId="En-ttedetabledesmatires">
    <w:name w:val="TOC Heading"/>
    <w:basedOn w:val="Titre1"/>
    <w:next w:val="Normal"/>
    <w:uiPriority w:val="39"/>
    <w:unhideWhenUsed/>
    <w:qFormat/>
    <w:rsid w:val="00983783"/>
    <w:pPr>
      <w:spacing w:before="240" w:after="0"/>
      <w:outlineLvl w:val="9"/>
    </w:pPr>
    <w:rPr>
      <w:kern w:val="0"/>
      <w:sz w:val="32"/>
      <w:szCs w:val="32"/>
      <w:lang w:val="en-US"/>
      <w14:ligatures w14:val="none"/>
    </w:rPr>
  </w:style>
  <w:style w:type="paragraph" w:styleId="En-tte">
    <w:name w:val="header"/>
    <w:basedOn w:val="Normal"/>
    <w:link w:val="En-tteCar"/>
    <w:uiPriority w:val="99"/>
    <w:unhideWhenUsed/>
    <w:rsid w:val="00C509CE"/>
    <w:pPr>
      <w:tabs>
        <w:tab w:val="center" w:pos="4513"/>
        <w:tab w:val="right" w:pos="9026"/>
      </w:tabs>
      <w:spacing w:after="0" w:line="240" w:lineRule="auto"/>
    </w:pPr>
  </w:style>
  <w:style w:type="character" w:customStyle="1" w:styleId="En-tteCar">
    <w:name w:val="En-tête Car"/>
    <w:basedOn w:val="Policepardfaut"/>
    <w:link w:val="En-tte"/>
    <w:uiPriority w:val="99"/>
    <w:rsid w:val="00C509CE"/>
  </w:style>
  <w:style w:type="paragraph" w:styleId="Pieddepage">
    <w:name w:val="footer"/>
    <w:basedOn w:val="Normal"/>
    <w:link w:val="PieddepageCar"/>
    <w:uiPriority w:val="99"/>
    <w:unhideWhenUsed/>
    <w:rsid w:val="00C509CE"/>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C509CE"/>
  </w:style>
  <w:style w:type="paragraph" w:styleId="TM3">
    <w:name w:val="toc 3"/>
    <w:basedOn w:val="Normal"/>
    <w:next w:val="Normal"/>
    <w:autoRedefine/>
    <w:uiPriority w:val="39"/>
    <w:unhideWhenUsed/>
    <w:rsid w:val="00DC55B1"/>
    <w:pPr>
      <w:spacing w:after="100"/>
      <w:ind w:left="440"/>
    </w:pPr>
  </w:style>
  <w:style w:type="paragraph" w:styleId="Objetducommentaire">
    <w:name w:val="annotation subject"/>
    <w:basedOn w:val="Commentaire"/>
    <w:next w:val="Commentaire"/>
    <w:link w:val="ObjetducommentaireCar"/>
    <w:uiPriority w:val="99"/>
    <w:semiHidden/>
    <w:unhideWhenUsed/>
    <w:rsid w:val="001B5DCD"/>
    <w:rPr>
      <w:b/>
      <w:bCs/>
      <w:kern w:val="2"/>
      <w:lang w:val="en-GB"/>
      <w14:ligatures w14:val="standardContextual"/>
    </w:rPr>
  </w:style>
  <w:style w:type="character" w:customStyle="1" w:styleId="ObjetducommentaireCar">
    <w:name w:val="Objet du commentaire Car"/>
    <w:basedOn w:val="CommentaireCar"/>
    <w:link w:val="Objetducommentaire"/>
    <w:uiPriority w:val="99"/>
    <w:semiHidden/>
    <w:rsid w:val="001B5DCD"/>
    <w:rPr>
      <w:b/>
      <w:bCs/>
      <w:kern w:val="0"/>
      <w:sz w:val="20"/>
      <w:szCs w:val="20"/>
      <w:lang w:val="fr-FR"/>
      <w14:ligatures w14:val="none"/>
    </w:rPr>
  </w:style>
  <w:style w:type="table" w:styleId="Grilledutableau">
    <w:name w:val="Table Grid"/>
    <w:basedOn w:val="TableauNormal"/>
    <w:uiPriority w:val="39"/>
    <w:rsid w:val="00FA4C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autoRedefine/>
    <w:uiPriority w:val="35"/>
    <w:unhideWhenUsed/>
    <w:qFormat/>
    <w:rsid w:val="00DC5897"/>
    <w:pPr>
      <w:spacing w:after="200" w:line="240" w:lineRule="auto"/>
    </w:pPr>
    <w:rPr>
      <w:rFonts w:ascii="Arial Narrow" w:hAnsi="Arial Narrow" w:cs="Arial"/>
      <w:i/>
      <w:iCs/>
      <w:color w:val="44546A" w:themeColor="text2"/>
      <w:sz w:val="20"/>
      <w:szCs w:val="20"/>
    </w:rPr>
  </w:style>
  <w:style w:type="paragraph" w:styleId="Notedebasdepage">
    <w:name w:val="footnote text"/>
    <w:aliases w:val="Footnote,12pt, Car,Footnote Text1,single space,Fodnotetekst Tegn,footnote text Char,Fodnotetekst Tegn Char,single space Char,footnote text Char Char Char,Fodnotetekst Tegn Char1,single space Char1,footnote text Char Char1,fn,ADB,ft,f"/>
    <w:basedOn w:val="Normal"/>
    <w:link w:val="NotedebasdepageCar"/>
    <w:uiPriority w:val="99"/>
    <w:unhideWhenUsed/>
    <w:qFormat/>
    <w:rsid w:val="003A5495"/>
    <w:pPr>
      <w:spacing w:after="0" w:line="240" w:lineRule="auto"/>
    </w:pPr>
    <w:rPr>
      <w:sz w:val="20"/>
      <w:szCs w:val="20"/>
    </w:rPr>
  </w:style>
  <w:style w:type="character" w:customStyle="1" w:styleId="NotedebasdepageCar">
    <w:name w:val="Note de bas de page Car"/>
    <w:aliases w:val="Footnote Car,12pt Car, Car Car,Footnote Text1 Car,single space Car,Fodnotetekst Tegn Car,footnote text Char Car,Fodnotetekst Tegn Char Car,single space Char Car,footnote text Char Char Char Car,Fodnotetekst Tegn Char1 Car,fn Car"/>
    <w:basedOn w:val="Policepardfaut"/>
    <w:link w:val="Notedebasdepage"/>
    <w:uiPriority w:val="99"/>
    <w:rsid w:val="003A5495"/>
    <w:rPr>
      <w:sz w:val="20"/>
      <w:szCs w:val="20"/>
    </w:rPr>
  </w:style>
  <w:style w:type="character" w:styleId="Appelnotedebasdep">
    <w:name w:val="footnote reference"/>
    <w:aliases w:val="ftref,16 Point,Superscript 6 Point,Car Car Char Car Char Car Car Char Car Char Char,Car Car Car Car Car Car Car Car Char Car Car Char Car Car Car Char Car Char Char Char,BVI fnr,Ref,de nota al pie,note de bas de page,de nota a,fr"/>
    <w:basedOn w:val="Policepardfaut"/>
    <w:link w:val="BVIfnrCharChar"/>
    <w:uiPriority w:val="99"/>
    <w:unhideWhenUsed/>
    <w:qFormat/>
    <w:rsid w:val="003A5495"/>
    <w:rPr>
      <w:vertAlign w:val="superscript"/>
    </w:rPr>
  </w:style>
  <w:style w:type="paragraph" w:styleId="Tabledesillustrations">
    <w:name w:val="table of figures"/>
    <w:basedOn w:val="Normal"/>
    <w:next w:val="Normal"/>
    <w:uiPriority w:val="99"/>
    <w:unhideWhenUsed/>
    <w:rsid w:val="00A03757"/>
    <w:pPr>
      <w:spacing w:after="0"/>
    </w:pPr>
  </w:style>
  <w:style w:type="paragraph" w:styleId="TM4">
    <w:name w:val="toc 4"/>
    <w:basedOn w:val="Normal"/>
    <w:next w:val="Normal"/>
    <w:autoRedefine/>
    <w:uiPriority w:val="39"/>
    <w:unhideWhenUsed/>
    <w:rsid w:val="000C0E8C"/>
    <w:pPr>
      <w:spacing w:after="100"/>
      <w:ind w:left="660"/>
    </w:pPr>
  </w:style>
  <w:style w:type="paragraph" w:styleId="TM5">
    <w:name w:val="toc 5"/>
    <w:basedOn w:val="Normal"/>
    <w:next w:val="Normal"/>
    <w:autoRedefine/>
    <w:uiPriority w:val="39"/>
    <w:unhideWhenUsed/>
    <w:rsid w:val="000C0E8C"/>
    <w:pPr>
      <w:spacing w:after="100"/>
      <w:ind w:left="880"/>
    </w:pPr>
  </w:style>
  <w:style w:type="paragraph" w:styleId="NormalWeb">
    <w:name w:val="Normal (Web)"/>
    <w:basedOn w:val="Normal"/>
    <w:uiPriority w:val="99"/>
    <w:unhideWhenUsed/>
    <w:rsid w:val="008A2D6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TM6">
    <w:name w:val="toc 6"/>
    <w:basedOn w:val="Normal"/>
    <w:next w:val="Normal"/>
    <w:autoRedefine/>
    <w:uiPriority w:val="39"/>
    <w:unhideWhenUsed/>
    <w:rsid w:val="00840BC3"/>
    <w:pPr>
      <w:spacing w:after="100" w:line="278" w:lineRule="auto"/>
      <w:ind w:left="1200"/>
    </w:pPr>
    <w:rPr>
      <w:rFonts w:eastAsiaTheme="minorEastAsia"/>
      <w:sz w:val="24"/>
      <w:szCs w:val="24"/>
      <w:lang w:eastAsia="en-GB"/>
    </w:rPr>
  </w:style>
  <w:style w:type="paragraph" w:styleId="TM7">
    <w:name w:val="toc 7"/>
    <w:basedOn w:val="Normal"/>
    <w:next w:val="Normal"/>
    <w:autoRedefine/>
    <w:uiPriority w:val="39"/>
    <w:unhideWhenUsed/>
    <w:rsid w:val="00840BC3"/>
    <w:pPr>
      <w:spacing w:after="100" w:line="278" w:lineRule="auto"/>
      <w:ind w:left="1440"/>
    </w:pPr>
    <w:rPr>
      <w:rFonts w:eastAsiaTheme="minorEastAsia"/>
      <w:sz w:val="24"/>
      <w:szCs w:val="24"/>
      <w:lang w:eastAsia="en-GB"/>
    </w:rPr>
  </w:style>
  <w:style w:type="paragraph" w:styleId="TM8">
    <w:name w:val="toc 8"/>
    <w:basedOn w:val="Normal"/>
    <w:next w:val="Normal"/>
    <w:autoRedefine/>
    <w:uiPriority w:val="39"/>
    <w:unhideWhenUsed/>
    <w:rsid w:val="00840BC3"/>
    <w:pPr>
      <w:spacing w:after="100" w:line="278" w:lineRule="auto"/>
      <w:ind w:left="1680"/>
    </w:pPr>
    <w:rPr>
      <w:rFonts w:eastAsiaTheme="minorEastAsia"/>
      <w:sz w:val="24"/>
      <w:szCs w:val="24"/>
      <w:lang w:eastAsia="en-GB"/>
    </w:rPr>
  </w:style>
  <w:style w:type="paragraph" w:styleId="TM9">
    <w:name w:val="toc 9"/>
    <w:basedOn w:val="Normal"/>
    <w:next w:val="Normal"/>
    <w:autoRedefine/>
    <w:uiPriority w:val="39"/>
    <w:unhideWhenUsed/>
    <w:rsid w:val="00840BC3"/>
    <w:pPr>
      <w:spacing w:after="100" w:line="278" w:lineRule="auto"/>
      <w:ind w:left="1920"/>
    </w:pPr>
    <w:rPr>
      <w:rFonts w:eastAsiaTheme="minorEastAsia"/>
      <w:sz w:val="24"/>
      <w:szCs w:val="24"/>
      <w:lang w:eastAsia="en-GB"/>
    </w:rPr>
  </w:style>
  <w:style w:type="character" w:customStyle="1" w:styleId="Mentionnonrsolue1">
    <w:name w:val="Mention non résolue1"/>
    <w:basedOn w:val="Policepardfaut"/>
    <w:uiPriority w:val="99"/>
    <w:semiHidden/>
    <w:unhideWhenUsed/>
    <w:rsid w:val="00840BC3"/>
    <w:rPr>
      <w:color w:val="605E5C"/>
      <w:shd w:val="clear" w:color="auto" w:fill="E1DFDD"/>
    </w:rPr>
  </w:style>
  <w:style w:type="character" w:styleId="lev">
    <w:name w:val="Strong"/>
    <w:basedOn w:val="Policepardfaut"/>
    <w:uiPriority w:val="22"/>
    <w:qFormat/>
    <w:rsid w:val="002356FE"/>
    <w:rPr>
      <w:b/>
      <w:bCs/>
    </w:rPr>
  </w:style>
  <w:style w:type="paragraph" w:customStyle="1" w:styleId="paragraph">
    <w:name w:val="paragraph"/>
    <w:basedOn w:val="Normal"/>
    <w:rsid w:val="00A02DB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Policepardfaut"/>
    <w:rsid w:val="00A02DB8"/>
  </w:style>
  <w:style w:type="character" w:customStyle="1" w:styleId="eop">
    <w:name w:val="eop"/>
    <w:basedOn w:val="Policepardfaut"/>
    <w:rsid w:val="00A02DB8"/>
  </w:style>
  <w:style w:type="table" w:styleId="Grilledetableauclaire">
    <w:name w:val="Grid Table Light"/>
    <w:basedOn w:val="TableauNormal"/>
    <w:uiPriority w:val="40"/>
    <w:rsid w:val="005224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vision">
    <w:name w:val="Revision"/>
    <w:hidden/>
    <w:uiPriority w:val="99"/>
    <w:semiHidden/>
    <w:rsid w:val="00A33EB2"/>
    <w:pPr>
      <w:spacing w:after="0" w:line="240" w:lineRule="auto"/>
    </w:pPr>
    <w:rPr>
      <w:lang w:val="fr-FR"/>
    </w:rPr>
  </w:style>
  <w:style w:type="paragraph" w:customStyle="1" w:styleId="Default">
    <w:name w:val="Default"/>
    <w:link w:val="DefaultCar"/>
    <w:qFormat/>
    <w:rsid w:val="008A40B6"/>
    <w:pPr>
      <w:autoSpaceDE w:val="0"/>
      <w:autoSpaceDN w:val="0"/>
      <w:adjustRightInd w:val="0"/>
      <w:spacing w:after="0" w:line="240" w:lineRule="auto"/>
    </w:pPr>
    <w:rPr>
      <w:rFonts w:ascii="Times New Roman" w:hAnsi="Times New Roman" w:cs="Times New Roman"/>
      <w:color w:val="000000"/>
      <w:kern w:val="0"/>
      <w:sz w:val="24"/>
      <w:szCs w:val="24"/>
    </w:rPr>
  </w:style>
  <w:style w:type="character" w:customStyle="1" w:styleId="DefaultCar">
    <w:name w:val="Default Car"/>
    <w:basedOn w:val="Policepardfaut"/>
    <w:link w:val="Default"/>
    <w:rsid w:val="00FC7E4F"/>
    <w:rPr>
      <w:rFonts w:ascii="Times New Roman" w:hAnsi="Times New Roman" w:cs="Times New Roman"/>
      <w:color w:val="000000"/>
      <w:kern w:val="0"/>
      <w:sz w:val="24"/>
      <w:szCs w:val="24"/>
    </w:rPr>
  </w:style>
  <w:style w:type="character" w:customStyle="1" w:styleId="overflow-hidden">
    <w:name w:val="overflow-hidden"/>
    <w:basedOn w:val="Policepardfaut"/>
    <w:rsid w:val="00E37B1F"/>
  </w:style>
  <w:style w:type="paragraph" w:styleId="Textedebulles">
    <w:name w:val="Balloon Text"/>
    <w:basedOn w:val="Normal"/>
    <w:link w:val="TextedebullesCar"/>
    <w:uiPriority w:val="99"/>
    <w:semiHidden/>
    <w:unhideWhenUsed/>
    <w:rsid w:val="00A7227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72270"/>
    <w:rPr>
      <w:rFonts w:ascii="Segoe UI" w:hAnsi="Segoe UI" w:cs="Segoe UI"/>
      <w:sz w:val="18"/>
      <w:szCs w:val="18"/>
      <w:lang w:val="fr-FR"/>
    </w:rPr>
  </w:style>
  <w:style w:type="character" w:customStyle="1" w:styleId="Mention2">
    <w:name w:val="Mention2"/>
    <w:basedOn w:val="Policepardfaut"/>
    <w:uiPriority w:val="99"/>
    <w:unhideWhenUsed/>
    <w:rsid w:val="00260CA8"/>
    <w:rPr>
      <w:color w:val="2B579A"/>
      <w:shd w:val="clear" w:color="auto" w:fill="E1DFDD"/>
    </w:rPr>
  </w:style>
  <w:style w:type="paragraph" w:styleId="Textebrut">
    <w:name w:val="Plain Text"/>
    <w:basedOn w:val="Normal"/>
    <w:link w:val="TextebrutCar"/>
    <w:uiPriority w:val="99"/>
    <w:unhideWhenUsed/>
    <w:rsid w:val="001B4F77"/>
    <w:pPr>
      <w:spacing w:after="0" w:line="240" w:lineRule="auto"/>
    </w:pPr>
    <w:rPr>
      <w:rFonts w:ascii="Consolas" w:hAnsi="Consolas"/>
      <w:sz w:val="21"/>
      <w:szCs w:val="21"/>
      <w:lang w:val="fr-CI"/>
    </w:rPr>
  </w:style>
  <w:style w:type="character" w:customStyle="1" w:styleId="TextebrutCar">
    <w:name w:val="Texte brut Car"/>
    <w:basedOn w:val="Policepardfaut"/>
    <w:link w:val="Textebrut"/>
    <w:uiPriority w:val="99"/>
    <w:rsid w:val="001B4F77"/>
    <w:rPr>
      <w:rFonts w:ascii="Consolas" w:hAnsi="Consolas"/>
      <w:sz w:val="21"/>
      <w:szCs w:val="21"/>
      <w:lang w:val="fr-CI"/>
    </w:rPr>
  </w:style>
  <w:style w:type="paragraph" w:styleId="Corpsdetexte">
    <w:name w:val="Body Text"/>
    <w:basedOn w:val="Normal"/>
    <w:link w:val="CorpsdetexteCar"/>
    <w:uiPriority w:val="99"/>
    <w:semiHidden/>
    <w:unhideWhenUsed/>
    <w:rsid w:val="00AA7978"/>
    <w:pPr>
      <w:spacing w:after="120"/>
    </w:pPr>
  </w:style>
  <w:style w:type="character" w:customStyle="1" w:styleId="CorpsdetexteCar">
    <w:name w:val="Corps de texte Car"/>
    <w:basedOn w:val="Policepardfaut"/>
    <w:link w:val="Corpsdetexte"/>
    <w:uiPriority w:val="99"/>
    <w:semiHidden/>
    <w:rsid w:val="00AA7978"/>
    <w:rPr>
      <w:lang w:val="fr-FR"/>
    </w:rPr>
  </w:style>
  <w:style w:type="character" w:customStyle="1" w:styleId="Mention20">
    <w:name w:val="Mention20"/>
    <w:basedOn w:val="Policepardfaut"/>
    <w:uiPriority w:val="99"/>
    <w:unhideWhenUsed/>
    <w:rsid w:val="001E533E"/>
    <w:rPr>
      <w:color w:val="2B579A"/>
      <w:shd w:val="clear" w:color="auto" w:fill="E1DFDD"/>
    </w:rPr>
  </w:style>
  <w:style w:type="character" w:customStyle="1" w:styleId="Mentionnonrsolue2">
    <w:name w:val="Mention non résolue2"/>
    <w:basedOn w:val="Policepardfaut"/>
    <w:uiPriority w:val="99"/>
    <w:semiHidden/>
    <w:unhideWhenUsed/>
    <w:rsid w:val="005865AF"/>
    <w:rPr>
      <w:color w:val="605E5C"/>
      <w:shd w:val="clear" w:color="auto" w:fill="E1DFDD"/>
    </w:rPr>
  </w:style>
  <w:style w:type="table" w:styleId="TableauGrille5Fonc-Accentuation6">
    <w:name w:val="Grid Table 5 Dark Accent 6"/>
    <w:basedOn w:val="TableauNormal"/>
    <w:uiPriority w:val="50"/>
    <w:rsid w:val="00A30E0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eauGrille4-Accentuation5">
    <w:name w:val="Grid Table 4 Accent 5"/>
    <w:basedOn w:val="TableauNormal"/>
    <w:uiPriority w:val="49"/>
    <w:rsid w:val="00A30E0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Grille4-Accentuation1">
    <w:name w:val="Grid Table 4 Accent 1"/>
    <w:basedOn w:val="TableauNormal"/>
    <w:uiPriority w:val="49"/>
    <w:rsid w:val="005861A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auGrille1Clair-Accentuation6">
    <w:name w:val="Grid Table 1 Light Accent 6"/>
    <w:basedOn w:val="TableauNormal"/>
    <w:uiPriority w:val="46"/>
    <w:rsid w:val="007A1D5E"/>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eauGrille7Couleur-Accentuation3">
    <w:name w:val="Grid Table 7 Colorful Accent 3"/>
    <w:basedOn w:val="TableauNormal"/>
    <w:uiPriority w:val="52"/>
    <w:rsid w:val="0028298D"/>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customStyle="1" w:styleId="text-align-justify">
    <w:name w:val="text-align-justify"/>
    <w:basedOn w:val="Normal"/>
    <w:rsid w:val="00CD614D"/>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Mention">
    <w:name w:val="Mention"/>
    <w:basedOn w:val="Policepardfaut"/>
    <w:uiPriority w:val="99"/>
    <w:unhideWhenUsed/>
    <w:rsid w:val="00BC30AE"/>
    <w:rPr>
      <w:color w:val="2B579A"/>
      <w:shd w:val="clear" w:color="auto" w:fill="E1DFDD"/>
    </w:rPr>
  </w:style>
  <w:style w:type="paragraph" w:customStyle="1" w:styleId="BVIfnrCharChar">
    <w:name w:val="BVI fnr Char Char"/>
    <w:aliases w:val="BVI fnr Car Car Char Char,BVI fnr Car Char Char,BVI fnr Car Car Car Car Char Char,BVI fnr Car Car Car Car Char Char Char1"/>
    <w:basedOn w:val="Normal"/>
    <w:link w:val="Appelnotedebasdep"/>
    <w:uiPriority w:val="99"/>
    <w:rsid w:val="00755D5F"/>
    <w:pPr>
      <w:spacing w:after="120" w:line="240" w:lineRule="exact"/>
      <w:ind w:left="567" w:hanging="567"/>
      <w:jc w:val="both"/>
    </w:pPr>
    <w:rPr>
      <w:vertAlign w:val="superscript"/>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3354">
      <w:bodyDiv w:val="1"/>
      <w:marLeft w:val="0"/>
      <w:marRight w:val="0"/>
      <w:marTop w:val="0"/>
      <w:marBottom w:val="0"/>
      <w:divBdr>
        <w:top w:val="none" w:sz="0" w:space="0" w:color="auto"/>
        <w:left w:val="none" w:sz="0" w:space="0" w:color="auto"/>
        <w:bottom w:val="none" w:sz="0" w:space="0" w:color="auto"/>
        <w:right w:val="none" w:sz="0" w:space="0" w:color="auto"/>
      </w:divBdr>
    </w:div>
    <w:div w:id="69040663">
      <w:bodyDiv w:val="1"/>
      <w:marLeft w:val="0"/>
      <w:marRight w:val="0"/>
      <w:marTop w:val="0"/>
      <w:marBottom w:val="0"/>
      <w:divBdr>
        <w:top w:val="none" w:sz="0" w:space="0" w:color="auto"/>
        <w:left w:val="none" w:sz="0" w:space="0" w:color="auto"/>
        <w:bottom w:val="none" w:sz="0" w:space="0" w:color="auto"/>
        <w:right w:val="none" w:sz="0" w:space="0" w:color="auto"/>
      </w:divBdr>
    </w:div>
    <w:div w:id="71439226">
      <w:bodyDiv w:val="1"/>
      <w:marLeft w:val="0"/>
      <w:marRight w:val="0"/>
      <w:marTop w:val="0"/>
      <w:marBottom w:val="0"/>
      <w:divBdr>
        <w:top w:val="none" w:sz="0" w:space="0" w:color="auto"/>
        <w:left w:val="none" w:sz="0" w:space="0" w:color="auto"/>
        <w:bottom w:val="none" w:sz="0" w:space="0" w:color="auto"/>
        <w:right w:val="none" w:sz="0" w:space="0" w:color="auto"/>
      </w:divBdr>
    </w:div>
    <w:div w:id="90972481">
      <w:bodyDiv w:val="1"/>
      <w:marLeft w:val="0"/>
      <w:marRight w:val="0"/>
      <w:marTop w:val="0"/>
      <w:marBottom w:val="0"/>
      <w:divBdr>
        <w:top w:val="none" w:sz="0" w:space="0" w:color="auto"/>
        <w:left w:val="none" w:sz="0" w:space="0" w:color="auto"/>
        <w:bottom w:val="none" w:sz="0" w:space="0" w:color="auto"/>
        <w:right w:val="none" w:sz="0" w:space="0" w:color="auto"/>
      </w:divBdr>
    </w:div>
    <w:div w:id="96101245">
      <w:bodyDiv w:val="1"/>
      <w:marLeft w:val="0"/>
      <w:marRight w:val="0"/>
      <w:marTop w:val="0"/>
      <w:marBottom w:val="0"/>
      <w:divBdr>
        <w:top w:val="none" w:sz="0" w:space="0" w:color="auto"/>
        <w:left w:val="none" w:sz="0" w:space="0" w:color="auto"/>
        <w:bottom w:val="none" w:sz="0" w:space="0" w:color="auto"/>
        <w:right w:val="none" w:sz="0" w:space="0" w:color="auto"/>
      </w:divBdr>
      <w:divsChild>
        <w:div w:id="1483543971">
          <w:marLeft w:val="0"/>
          <w:marRight w:val="0"/>
          <w:marTop w:val="0"/>
          <w:marBottom w:val="0"/>
          <w:divBdr>
            <w:top w:val="none" w:sz="0" w:space="0" w:color="auto"/>
            <w:left w:val="none" w:sz="0" w:space="0" w:color="auto"/>
            <w:bottom w:val="none" w:sz="0" w:space="0" w:color="auto"/>
            <w:right w:val="none" w:sz="0" w:space="0" w:color="auto"/>
          </w:divBdr>
          <w:divsChild>
            <w:div w:id="1802141687">
              <w:marLeft w:val="0"/>
              <w:marRight w:val="0"/>
              <w:marTop w:val="0"/>
              <w:marBottom w:val="0"/>
              <w:divBdr>
                <w:top w:val="none" w:sz="0" w:space="0" w:color="auto"/>
                <w:left w:val="none" w:sz="0" w:space="0" w:color="auto"/>
                <w:bottom w:val="none" w:sz="0" w:space="0" w:color="auto"/>
                <w:right w:val="none" w:sz="0" w:space="0" w:color="auto"/>
              </w:divBdr>
              <w:divsChild>
                <w:div w:id="1058212277">
                  <w:marLeft w:val="0"/>
                  <w:marRight w:val="0"/>
                  <w:marTop w:val="0"/>
                  <w:marBottom w:val="0"/>
                  <w:divBdr>
                    <w:top w:val="none" w:sz="0" w:space="0" w:color="auto"/>
                    <w:left w:val="none" w:sz="0" w:space="0" w:color="auto"/>
                    <w:bottom w:val="none" w:sz="0" w:space="0" w:color="auto"/>
                    <w:right w:val="none" w:sz="0" w:space="0" w:color="auto"/>
                  </w:divBdr>
                  <w:divsChild>
                    <w:div w:id="132967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66457">
          <w:marLeft w:val="0"/>
          <w:marRight w:val="0"/>
          <w:marTop w:val="0"/>
          <w:marBottom w:val="0"/>
          <w:divBdr>
            <w:top w:val="none" w:sz="0" w:space="0" w:color="auto"/>
            <w:left w:val="none" w:sz="0" w:space="0" w:color="auto"/>
            <w:bottom w:val="none" w:sz="0" w:space="0" w:color="auto"/>
            <w:right w:val="none" w:sz="0" w:space="0" w:color="auto"/>
          </w:divBdr>
          <w:divsChild>
            <w:div w:id="384185213">
              <w:marLeft w:val="0"/>
              <w:marRight w:val="0"/>
              <w:marTop w:val="0"/>
              <w:marBottom w:val="0"/>
              <w:divBdr>
                <w:top w:val="none" w:sz="0" w:space="0" w:color="auto"/>
                <w:left w:val="none" w:sz="0" w:space="0" w:color="auto"/>
                <w:bottom w:val="none" w:sz="0" w:space="0" w:color="auto"/>
                <w:right w:val="none" w:sz="0" w:space="0" w:color="auto"/>
              </w:divBdr>
              <w:divsChild>
                <w:div w:id="773744421">
                  <w:marLeft w:val="0"/>
                  <w:marRight w:val="0"/>
                  <w:marTop w:val="0"/>
                  <w:marBottom w:val="0"/>
                  <w:divBdr>
                    <w:top w:val="none" w:sz="0" w:space="0" w:color="auto"/>
                    <w:left w:val="none" w:sz="0" w:space="0" w:color="auto"/>
                    <w:bottom w:val="none" w:sz="0" w:space="0" w:color="auto"/>
                    <w:right w:val="none" w:sz="0" w:space="0" w:color="auto"/>
                  </w:divBdr>
                  <w:divsChild>
                    <w:div w:id="36687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25887">
      <w:bodyDiv w:val="1"/>
      <w:marLeft w:val="0"/>
      <w:marRight w:val="0"/>
      <w:marTop w:val="0"/>
      <w:marBottom w:val="0"/>
      <w:divBdr>
        <w:top w:val="none" w:sz="0" w:space="0" w:color="auto"/>
        <w:left w:val="none" w:sz="0" w:space="0" w:color="auto"/>
        <w:bottom w:val="none" w:sz="0" w:space="0" w:color="auto"/>
        <w:right w:val="none" w:sz="0" w:space="0" w:color="auto"/>
      </w:divBdr>
    </w:div>
    <w:div w:id="107702481">
      <w:bodyDiv w:val="1"/>
      <w:marLeft w:val="0"/>
      <w:marRight w:val="0"/>
      <w:marTop w:val="0"/>
      <w:marBottom w:val="0"/>
      <w:divBdr>
        <w:top w:val="none" w:sz="0" w:space="0" w:color="auto"/>
        <w:left w:val="none" w:sz="0" w:space="0" w:color="auto"/>
        <w:bottom w:val="none" w:sz="0" w:space="0" w:color="auto"/>
        <w:right w:val="none" w:sz="0" w:space="0" w:color="auto"/>
      </w:divBdr>
    </w:div>
    <w:div w:id="111824206">
      <w:bodyDiv w:val="1"/>
      <w:marLeft w:val="0"/>
      <w:marRight w:val="0"/>
      <w:marTop w:val="0"/>
      <w:marBottom w:val="0"/>
      <w:divBdr>
        <w:top w:val="none" w:sz="0" w:space="0" w:color="auto"/>
        <w:left w:val="none" w:sz="0" w:space="0" w:color="auto"/>
        <w:bottom w:val="none" w:sz="0" w:space="0" w:color="auto"/>
        <w:right w:val="none" w:sz="0" w:space="0" w:color="auto"/>
      </w:divBdr>
    </w:div>
    <w:div w:id="118568576">
      <w:bodyDiv w:val="1"/>
      <w:marLeft w:val="0"/>
      <w:marRight w:val="0"/>
      <w:marTop w:val="0"/>
      <w:marBottom w:val="0"/>
      <w:divBdr>
        <w:top w:val="none" w:sz="0" w:space="0" w:color="auto"/>
        <w:left w:val="none" w:sz="0" w:space="0" w:color="auto"/>
        <w:bottom w:val="none" w:sz="0" w:space="0" w:color="auto"/>
        <w:right w:val="none" w:sz="0" w:space="0" w:color="auto"/>
      </w:divBdr>
    </w:div>
    <w:div w:id="123738835">
      <w:bodyDiv w:val="1"/>
      <w:marLeft w:val="0"/>
      <w:marRight w:val="0"/>
      <w:marTop w:val="0"/>
      <w:marBottom w:val="0"/>
      <w:divBdr>
        <w:top w:val="none" w:sz="0" w:space="0" w:color="auto"/>
        <w:left w:val="none" w:sz="0" w:space="0" w:color="auto"/>
        <w:bottom w:val="none" w:sz="0" w:space="0" w:color="auto"/>
        <w:right w:val="none" w:sz="0" w:space="0" w:color="auto"/>
      </w:divBdr>
    </w:div>
    <w:div w:id="126749902">
      <w:bodyDiv w:val="1"/>
      <w:marLeft w:val="0"/>
      <w:marRight w:val="0"/>
      <w:marTop w:val="0"/>
      <w:marBottom w:val="0"/>
      <w:divBdr>
        <w:top w:val="none" w:sz="0" w:space="0" w:color="auto"/>
        <w:left w:val="none" w:sz="0" w:space="0" w:color="auto"/>
        <w:bottom w:val="none" w:sz="0" w:space="0" w:color="auto"/>
        <w:right w:val="none" w:sz="0" w:space="0" w:color="auto"/>
      </w:divBdr>
    </w:div>
    <w:div w:id="128522092">
      <w:bodyDiv w:val="1"/>
      <w:marLeft w:val="0"/>
      <w:marRight w:val="0"/>
      <w:marTop w:val="0"/>
      <w:marBottom w:val="0"/>
      <w:divBdr>
        <w:top w:val="none" w:sz="0" w:space="0" w:color="auto"/>
        <w:left w:val="none" w:sz="0" w:space="0" w:color="auto"/>
        <w:bottom w:val="none" w:sz="0" w:space="0" w:color="auto"/>
        <w:right w:val="none" w:sz="0" w:space="0" w:color="auto"/>
      </w:divBdr>
    </w:div>
    <w:div w:id="140313426">
      <w:bodyDiv w:val="1"/>
      <w:marLeft w:val="0"/>
      <w:marRight w:val="0"/>
      <w:marTop w:val="0"/>
      <w:marBottom w:val="0"/>
      <w:divBdr>
        <w:top w:val="none" w:sz="0" w:space="0" w:color="auto"/>
        <w:left w:val="none" w:sz="0" w:space="0" w:color="auto"/>
        <w:bottom w:val="none" w:sz="0" w:space="0" w:color="auto"/>
        <w:right w:val="none" w:sz="0" w:space="0" w:color="auto"/>
      </w:divBdr>
    </w:div>
    <w:div w:id="140460888">
      <w:bodyDiv w:val="1"/>
      <w:marLeft w:val="0"/>
      <w:marRight w:val="0"/>
      <w:marTop w:val="0"/>
      <w:marBottom w:val="0"/>
      <w:divBdr>
        <w:top w:val="none" w:sz="0" w:space="0" w:color="auto"/>
        <w:left w:val="none" w:sz="0" w:space="0" w:color="auto"/>
        <w:bottom w:val="none" w:sz="0" w:space="0" w:color="auto"/>
        <w:right w:val="none" w:sz="0" w:space="0" w:color="auto"/>
      </w:divBdr>
    </w:div>
    <w:div w:id="158086066">
      <w:bodyDiv w:val="1"/>
      <w:marLeft w:val="0"/>
      <w:marRight w:val="0"/>
      <w:marTop w:val="0"/>
      <w:marBottom w:val="0"/>
      <w:divBdr>
        <w:top w:val="none" w:sz="0" w:space="0" w:color="auto"/>
        <w:left w:val="none" w:sz="0" w:space="0" w:color="auto"/>
        <w:bottom w:val="none" w:sz="0" w:space="0" w:color="auto"/>
        <w:right w:val="none" w:sz="0" w:space="0" w:color="auto"/>
      </w:divBdr>
    </w:div>
    <w:div w:id="164830261">
      <w:bodyDiv w:val="1"/>
      <w:marLeft w:val="0"/>
      <w:marRight w:val="0"/>
      <w:marTop w:val="0"/>
      <w:marBottom w:val="0"/>
      <w:divBdr>
        <w:top w:val="none" w:sz="0" w:space="0" w:color="auto"/>
        <w:left w:val="none" w:sz="0" w:space="0" w:color="auto"/>
        <w:bottom w:val="none" w:sz="0" w:space="0" w:color="auto"/>
        <w:right w:val="none" w:sz="0" w:space="0" w:color="auto"/>
      </w:divBdr>
    </w:div>
    <w:div w:id="172500237">
      <w:bodyDiv w:val="1"/>
      <w:marLeft w:val="0"/>
      <w:marRight w:val="0"/>
      <w:marTop w:val="0"/>
      <w:marBottom w:val="0"/>
      <w:divBdr>
        <w:top w:val="none" w:sz="0" w:space="0" w:color="auto"/>
        <w:left w:val="none" w:sz="0" w:space="0" w:color="auto"/>
        <w:bottom w:val="none" w:sz="0" w:space="0" w:color="auto"/>
        <w:right w:val="none" w:sz="0" w:space="0" w:color="auto"/>
      </w:divBdr>
    </w:div>
    <w:div w:id="178667699">
      <w:bodyDiv w:val="1"/>
      <w:marLeft w:val="0"/>
      <w:marRight w:val="0"/>
      <w:marTop w:val="0"/>
      <w:marBottom w:val="0"/>
      <w:divBdr>
        <w:top w:val="none" w:sz="0" w:space="0" w:color="auto"/>
        <w:left w:val="none" w:sz="0" w:space="0" w:color="auto"/>
        <w:bottom w:val="none" w:sz="0" w:space="0" w:color="auto"/>
        <w:right w:val="none" w:sz="0" w:space="0" w:color="auto"/>
      </w:divBdr>
    </w:div>
    <w:div w:id="184489076">
      <w:bodyDiv w:val="1"/>
      <w:marLeft w:val="0"/>
      <w:marRight w:val="0"/>
      <w:marTop w:val="0"/>
      <w:marBottom w:val="0"/>
      <w:divBdr>
        <w:top w:val="none" w:sz="0" w:space="0" w:color="auto"/>
        <w:left w:val="none" w:sz="0" w:space="0" w:color="auto"/>
        <w:bottom w:val="none" w:sz="0" w:space="0" w:color="auto"/>
        <w:right w:val="none" w:sz="0" w:space="0" w:color="auto"/>
      </w:divBdr>
    </w:div>
    <w:div w:id="190383015">
      <w:bodyDiv w:val="1"/>
      <w:marLeft w:val="0"/>
      <w:marRight w:val="0"/>
      <w:marTop w:val="0"/>
      <w:marBottom w:val="0"/>
      <w:divBdr>
        <w:top w:val="none" w:sz="0" w:space="0" w:color="auto"/>
        <w:left w:val="none" w:sz="0" w:space="0" w:color="auto"/>
        <w:bottom w:val="none" w:sz="0" w:space="0" w:color="auto"/>
        <w:right w:val="none" w:sz="0" w:space="0" w:color="auto"/>
      </w:divBdr>
    </w:div>
    <w:div w:id="193200867">
      <w:bodyDiv w:val="1"/>
      <w:marLeft w:val="0"/>
      <w:marRight w:val="0"/>
      <w:marTop w:val="0"/>
      <w:marBottom w:val="0"/>
      <w:divBdr>
        <w:top w:val="none" w:sz="0" w:space="0" w:color="auto"/>
        <w:left w:val="none" w:sz="0" w:space="0" w:color="auto"/>
        <w:bottom w:val="none" w:sz="0" w:space="0" w:color="auto"/>
        <w:right w:val="none" w:sz="0" w:space="0" w:color="auto"/>
      </w:divBdr>
    </w:div>
    <w:div w:id="203449186">
      <w:bodyDiv w:val="1"/>
      <w:marLeft w:val="0"/>
      <w:marRight w:val="0"/>
      <w:marTop w:val="0"/>
      <w:marBottom w:val="0"/>
      <w:divBdr>
        <w:top w:val="none" w:sz="0" w:space="0" w:color="auto"/>
        <w:left w:val="none" w:sz="0" w:space="0" w:color="auto"/>
        <w:bottom w:val="none" w:sz="0" w:space="0" w:color="auto"/>
        <w:right w:val="none" w:sz="0" w:space="0" w:color="auto"/>
      </w:divBdr>
      <w:divsChild>
        <w:div w:id="1481733402">
          <w:marLeft w:val="0"/>
          <w:marRight w:val="0"/>
          <w:marTop w:val="0"/>
          <w:marBottom w:val="0"/>
          <w:divBdr>
            <w:top w:val="none" w:sz="0" w:space="0" w:color="auto"/>
            <w:left w:val="none" w:sz="0" w:space="0" w:color="auto"/>
            <w:bottom w:val="none" w:sz="0" w:space="0" w:color="auto"/>
            <w:right w:val="none" w:sz="0" w:space="0" w:color="auto"/>
          </w:divBdr>
          <w:divsChild>
            <w:div w:id="1133448996">
              <w:marLeft w:val="0"/>
              <w:marRight w:val="0"/>
              <w:marTop w:val="0"/>
              <w:marBottom w:val="0"/>
              <w:divBdr>
                <w:top w:val="none" w:sz="0" w:space="0" w:color="auto"/>
                <w:left w:val="none" w:sz="0" w:space="0" w:color="auto"/>
                <w:bottom w:val="none" w:sz="0" w:space="0" w:color="auto"/>
                <w:right w:val="none" w:sz="0" w:space="0" w:color="auto"/>
              </w:divBdr>
              <w:divsChild>
                <w:div w:id="958798878">
                  <w:marLeft w:val="0"/>
                  <w:marRight w:val="0"/>
                  <w:marTop w:val="0"/>
                  <w:marBottom w:val="0"/>
                  <w:divBdr>
                    <w:top w:val="none" w:sz="0" w:space="0" w:color="auto"/>
                    <w:left w:val="none" w:sz="0" w:space="0" w:color="auto"/>
                    <w:bottom w:val="none" w:sz="0" w:space="0" w:color="auto"/>
                    <w:right w:val="none" w:sz="0" w:space="0" w:color="auto"/>
                  </w:divBdr>
                  <w:divsChild>
                    <w:div w:id="46478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833526">
          <w:marLeft w:val="0"/>
          <w:marRight w:val="0"/>
          <w:marTop w:val="0"/>
          <w:marBottom w:val="0"/>
          <w:divBdr>
            <w:top w:val="none" w:sz="0" w:space="0" w:color="auto"/>
            <w:left w:val="none" w:sz="0" w:space="0" w:color="auto"/>
            <w:bottom w:val="none" w:sz="0" w:space="0" w:color="auto"/>
            <w:right w:val="none" w:sz="0" w:space="0" w:color="auto"/>
          </w:divBdr>
          <w:divsChild>
            <w:div w:id="2137527207">
              <w:marLeft w:val="0"/>
              <w:marRight w:val="0"/>
              <w:marTop w:val="0"/>
              <w:marBottom w:val="0"/>
              <w:divBdr>
                <w:top w:val="none" w:sz="0" w:space="0" w:color="auto"/>
                <w:left w:val="none" w:sz="0" w:space="0" w:color="auto"/>
                <w:bottom w:val="none" w:sz="0" w:space="0" w:color="auto"/>
                <w:right w:val="none" w:sz="0" w:space="0" w:color="auto"/>
              </w:divBdr>
              <w:divsChild>
                <w:div w:id="1838955888">
                  <w:marLeft w:val="0"/>
                  <w:marRight w:val="0"/>
                  <w:marTop w:val="0"/>
                  <w:marBottom w:val="0"/>
                  <w:divBdr>
                    <w:top w:val="none" w:sz="0" w:space="0" w:color="auto"/>
                    <w:left w:val="none" w:sz="0" w:space="0" w:color="auto"/>
                    <w:bottom w:val="none" w:sz="0" w:space="0" w:color="auto"/>
                    <w:right w:val="none" w:sz="0" w:space="0" w:color="auto"/>
                  </w:divBdr>
                  <w:divsChild>
                    <w:div w:id="170173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177168">
      <w:bodyDiv w:val="1"/>
      <w:marLeft w:val="0"/>
      <w:marRight w:val="0"/>
      <w:marTop w:val="0"/>
      <w:marBottom w:val="0"/>
      <w:divBdr>
        <w:top w:val="none" w:sz="0" w:space="0" w:color="auto"/>
        <w:left w:val="none" w:sz="0" w:space="0" w:color="auto"/>
        <w:bottom w:val="none" w:sz="0" w:space="0" w:color="auto"/>
        <w:right w:val="none" w:sz="0" w:space="0" w:color="auto"/>
      </w:divBdr>
    </w:div>
    <w:div w:id="245111401">
      <w:bodyDiv w:val="1"/>
      <w:marLeft w:val="0"/>
      <w:marRight w:val="0"/>
      <w:marTop w:val="0"/>
      <w:marBottom w:val="0"/>
      <w:divBdr>
        <w:top w:val="none" w:sz="0" w:space="0" w:color="auto"/>
        <w:left w:val="none" w:sz="0" w:space="0" w:color="auto"/>
        <w:bottom w:val="none" w:sz="0" w:space="0" w:color="auto"/>
        <w:right w:val="none" w:sz="0" w:space="0" w:color="auto"/>
      </w:divBdr>
    </w:div>
    <w:div w:id="252252539">
      <w:bodyDiv w:val="1"/>
      <w:marLeft w:val="0"/>
      <w:marRight w:val="0"/>
      <w:marTop w:val="0"/>
      <w:marBottom w:val="0"/>
      <w:divBdr>
        <w:top w:val="none" w:sz="0" w:space="0" w:color="auto"/>
        <w:left w:val="none" w:sz="0" w:space="0" w:color="auto"/>
        <w:bottom w:val="none" w:sz="0" w:space="0" w:color="auto"/>
        <w:right w:val="none" w:sz="0" w:space="0" w:color="auto"/>
      </w:divBdr>
    </w:div>
    <w:div w:id="274824487">
      <w:bodyDiv w:val="1"/>
      <w:marLeft w:val="0"/>
      <w:marRight w:val="0"/>
      <w:marTop w:val="0"/>
      <w:marBottom w:val="0"/>
      <w:divBdr>
        <w:top w:val="none" w:sz="0" w:space="0" w:color="auto"/>
        <w:left w:val="none" w:sz="0" w:space="0" w:color="auto"/>
        <w:bottom w:val="none" w:sz="0" w:space="0" w:color="auto"/>
        <w:right w:val="none" w:sz="0" w:space="0" w:color="auto"/>
      </w:divBdr>
    </w:div>
    <w:div w:id="277756566">
      <w:bodyDiv w:val="1"/>
      <w:marLeft w:val="0"/>
      <w:marRight w:val="0"/>
      <w:marTop w:val="0"/>
      <w:marBottom w:val="0"/>
      <w:divBdr>
        <w:top w:val="none" w:sz="0" w:space="0" w:color="auto"/>
        <w:left w:val="none" w:sz="0" w:space="0" w:color="auto"/>
        <w:bottom w:val="none" w:sz="0" w:space="0" w:color="auto"/>
        <w:right w:val="none" w:sz="0" w:space="0" w:color="auto"/>
      </w:divBdr>
    </w:div>
    <w:div w:id="289215049">
      <w:bodyDiv w:val="1"/>
      <w:marLeft w:val="0"/>
      <w:marRight w:val="0"/>
      <w:marTop w:val="0"/>
      <w:marBottom w:val="0"/>
      <w:divBdr>
        <w:top w:val="none" w:sz="0" w:space="0" w:color="auto"/>
        <w:left w:val="none" w:sz="0" w:space="0" w:color="auto"/>
        <w:bottom w:val="none" w:sz="0" w:space="0" w:color="auto"/>
        <w:right w:val="none" w:sz="0" w:space="0" w:color="auto"/>
      </w:divBdr>
    </w:div>
    <w:div w:id="355691673">
      <w:bodyDiv w:val="1"/>
      <w:marLeft w:val="0"/>
      <w:marRight w:val="0"/>
      <w:marTop w:val="0"/>
      <w:marBottom w:val="0"/>
      <w:divBdr>
        <w:top w:val="none" w:sz="0" w:space="0" w:color="auto"/>
        <w:left w:val="none" w:sz="0" w:space="0" w:color="auto"/>
        <w:bottom w:val="none" w:sz="0" w:space="0" w:color="auto"/>
        <w:right w:val="none" w:sz="0" w:space="0" w:color="auto"/>
      </w:divBdr>
    </w:div>
    <w:div w:id="357656398">
      <w:bodyDiv w:val="1"/>
      <w:marLeft w:val="0"/>
      <w:marRight w:val="0"/>
      <w:marTop w:val="0"/>
      <w:marBottom w:val="0"/>
      <w:divBdr>
        <w:top w:val="none" w:sz="0" w:space="0" w:color="auto"/>
        <w:left w:val="none" w:sz="0" w:space="0" w:color="auto"/>
        <w:bottom w:val="none" w:sz="0" w:space="0" w:color="auto"/>
        <w:right w:val="none" w:sz="0" w:space="0" w:color="auto"/>
      </w:divBdr>
    </w:div>
    <w:div w:id="368644926">
      <w:bodyDiv w:val="1"/>
      <w:marLeft w:val="0"/>
      <w:marRight w:val="0"/>
      <w:marTop w:val="0"/>
      <w:marBottom w:val="0"/>
      <w:divBdr>
        <w:top w:val="none" w:sz="0" w:space="0" w:color="auto"/>
        <w:left w:val="none" w:sz="0" w:space="0" w:color="auto"/>
        <w:bottom w:val="none" w:sz="0" w:space="0" w:color="auto"/>
        <w:right w:val="none" w:sz="0" w:space="0" w:color="auto"/>
      </w:divBdr>
    </w:div>
    <w:div w:id="377779541">
      <w:bodyDiv w:val="1"/>
      <w:marLeft w:val="0"/>
      <w:marRight w:val="0"/>
      <w:marTop w:val="0"/>
      <w:marBottom w:val="0"/>
      <w:divBdr>
        <w:top w:val="none" w:sz="0" w:space="0" w:color="auto"/>
        <w:left w:val="none" w:sz="0" w:space="0" w:color="auto"/>
        <w:bottom w:val="none" w:sz="0" w:space="0" w:color="auto"/>
        <w:right w:val="none" w:sz="0" w:space="0" w:color="auto"/>
      </w:divBdr>
    </w:div>
    <w:div w:id="385569315">
      <w:bodyDiv w:val="1"/>
      <w:marLeft w:val="0"/>
      <w:marRight w:val="0"/>
      <w:marTop w:val="0"/>
      <w:marBottom w:val="0"/>
      <w:divBdr>
        <w:top w:val="none" w:sz="0" w:space="0" w:color="auto"/>
        <w:left w:val="none" w:sz="0" w:space="0" w:color="auto"/>
        <w:bottom w:val="none" w:sz="0" w:space="0" w:color="auto"/>
        <w:right w:val="none" w:sz="0" w:space="0" w:color="auto"/>
      </w:divBdr>
      <w:divsChild>
        <w:div w:id="21060078">
          <w:marLeft w:val="0"/>
          <w:marRight w:val="0"/>
          <w:marTop w:val="0"/>
          <w:marBottom w:val="0"/>
          <w:divBdr>
            <w:top w:val="none" w:sz="0" w:space="0" w:color="auto"/>
            <w:left w:val="none" w:sz="0" w:space="0" w:color="auto"/>
            <w:bottom w:val="none" w:sz="0" w:space="0" w:color="auto"/>
            <w:right w:val="none" w:sz="0" w:space="0" w:color="auto"/>
          </w:divBdr>
        </w:div>
        <w:div w:id="302660962">
          <w:marLeft w:val="0"/>
          <w:marRight w:val="0"/>
          <w:marTop w:val="0"/>
          <w:marBottom w:val="0"/>
          <w:divBdr>
            <w:top w:val="none" w:sz="0" w:space="0" w:color="auto"/>
            <w:left w:val="none" w:sz="0" w:space="0" w:color="auto"/>
            <w:bottom w:val="none" w:sz="0" w:space="0" w:color="auto"/>
            <w:right w:val="none" w:sz="0" w:space="0" w:color="auto"/>
          </w:divBdr>
        </w:div>
        <w:div w:id="479808650">
          <w:marLeft w:val="0"/>
          <w:marRight w:val="0"/>
          <w:marTop w:val="0"/>
          <w:marBottom w:val="0"/>
          <w:divBdr>
            <w:top w:val="none" w:sz="0" w:space="0" w:color="auto"/>
            <w:left w:val="none" w:sz="0" w:space="0" w:color="auto"/>
            <w:bottom w:val="none" w:sz="0" w:space="0" w:color="auto"/>
            <w:right w:val="none" w:sz="0" w:space="0" w:color="auto"/>
          </w:divBdr>
        </w:div>
        <w:div w:id="676425432">
          <w:marLeft w:val="0"/>
          <w:marRight w:val="0"/>
          <w:marTop w:val="0"/>
          <w:marBottom w:val="0"/>
          <w:divBdr>
            <w:top w:val="none" w:sz="0" w:space="0" w:color="auto"/>
            <w:left w:val="none" w:sz="0" w:space="0" w:color="auto"/>
            <w:bottom w:val="none" w:sz="0" w:space="0" w:color="auto"/>
            <w:right w:val="none" w:sz="0" w:space="0" w:color="auto"/>
          </w:divBdr>
        </w:div>
        <w:div w:id="1072895233">
          <w:marLeft w:val="0"/>
          <w:marRight w:val="0"/>
          <w:marTop w:val="0"/>
          <w:marBottom w:val="0"/>
          <w:divBdr>
            <w:top w:val="none" w:sz="0" w:space="0" w:color="auto"/>
            <w:left w:val="none" w:sz="0" w:space="0" w:color="auto"/>
            <w:bottom w:val="none" w:sz="0" w:space="0" w:color="auto"/>
            <w:right w:val="none" w:sz="0" w:space="0" w:color="auto"/>
          </w:divBdr>
        </w:div>
        <w:div w:id="1241402304">
          <w:marLeft w:val="0"/>
          <w:marRight w:val="0"/>
          <w:marTop w:val="0"/>
          <w:marBottom w:val="0"/>
          <w:divBdr>
            <w:top w:val="none" w:sz="0" w:space="0" w:color="auto"/>
            <w:left w:val="none" w:sz="0" w:space="0" w:color="auto"/>
            <w:bottom w:val="none" w:sz="0" w:space="0" w:color="auto"/>
            <w:right w:val="none" w:sz="0" w:space="0" w:color="auto"/>
          </w:divBdr>
        </w:div>
        <w:div w:id="1677682772">
          <w:marLeft w:val="0"/>
          <w:marRight w:val="0"/>
          <w:marTop w:val="0"/>
          <w:marBottom w:val="0"/>
          <w:divBdr>
            <w:top w:val="none" w:sz="0" w:space="0" w:color="auto"/>
            <w:left w:val="none" w:sz="0" w:space="0" w:color="auto"/>
            <w:bottom w:val="none" w:sz="0" w:space="0" w:color="auto"/>
            <w:right w:val="none" w:sz="0" w:space="0" w:color="auto"/>
          </w:divBdr>
        </w:div>
        <w:div w:id="1897204838">
          <w:marLeft w:val="0"/>
          <w:marRight w:val="0"/>
          <w:marTop w:val="0"/>
          <w:marBottom w:val="0"/>
          <w:divBdr>
            <w:top w:val="none" w:sz="0" w:space="0" w:color="auto"/>
            <w:left w:val="none" w:sz="0" w:space="0" w:color="auto"/>
            <w:bottom w:val="none" w:sz="0" w:space="0" w:color="auto"/>
            <w:right w:val="none" w:sz="0" w:space="0" w:color="auto"/>
          </w:divBdr>
        </w:div>
        <w:div w:id="1965773169">
          <w:marLeft w:val="0"/>
          <w:marRight w:val="0"/>
          <w:marTop w:val="0"/>
          <w:marBottom w:val="0"/>
          <w:divBdr>
            <w:top w:val="none" w:sz="0" w:space="0" w:color="auto"/>
            <w:left w:val="none" w:sz="0" w:space="0" w:color="auto"/>
            <w:bottom w:val="none" w:sz="0" w:space="0" w:color="auto"/>
            <w:right w:val="none" w:sz="0" w:space="0" w:color="auto"/>
          </w:divBdr>
        </w:div>
        <w:div w:id="1985426027">
          <w:marLeft w:val="0"/>
          <w:marRight w:val="0"/>
          <w:marTop w:val="0"/>
          <w:marBottom w:val="0"/>
          <w:divBdr>
            <w:top w:val="none" w:sz="0" w:space="0" w:color="auto"/>
            <w:left w:val="none" w:sz="0" w:space="0" w:color="auto"/>
            <w:bottom w:val="none" w:sz="0" w:space="0" w:color="auto"/>
            <w:right w:val="none" w:sz="0" w:space="0" w:color="auto"/>
          </w:divBdr>
        </w:div>
      </w:divsChild>
    </w:div>
    <w:div w:id="386147248">
      <w:bodyDiv w:val="1"/>
      <w:marLeft w:val="0"/>
      <w:marRight w:val="0"/>
      <w:marTop w:val="0"/>
      <w:marBottom w:val="0"/>
      <w:divBdr>
        <w:top w:val="none" w:sz="0" w:space="0" w:color="auto"/>
        <w:left w:val="none" w:sz="0" w:space="0" w:color="auto"/>
        <w:bottom w:val="none" w:sz="0" w:space="0" w:color="auto"/>
        <w:right w:val="none" w:sz="0" w:space="0" w:color="auto"/>
      </w:divBdr>
      <w:divsChild>
        <w:div w:id="14384121">
          <w:marLeft w:val="0"/>
          <w:marRight w:val="0"/>
          <w:marTop w:val="0"/>
          <w:marBottom w:val="0"/>
          <w:divBdr>
            <w:top w:val="none" w:sz="0" w:space="0" w:color="auto"/>
            <w:left w:val="none" w:sz="0" w:space="0" w:color="auto"/>
            <w:bottom w:val="none" w:sz="0" w:space="0" w:color="auto"/>
            <w:right w:val="none" w:sz="0" w:space="0" w:color="auto"/>
          </w:divBdr>
        </w:div>
        <w:div w:id="44455636">
          <w:marLeft w:val="0"/>
          <w:marRight w:val="0"/>
          <w:marTop w:val="0"/>
          <w:marBottom w:val="0"/>
          <w:divBdr>
            <w:top w:val="none" w:sz="0" w:space="0" w:color="auto"/>
            <w:left w:val="none" w:sz="0" w:space="0" w:color="auto"/>
            <w:bottom w:val="none" w:sz="0" w:space="0" w:color="auto"/>
            <w:right w:val="none" w:sz="0" w:space="0" w:color="auto"/>
          </w:divBdr>
        </w:div>
        <w:div w:id="55475565">
          <w:marLeft w:val="0"/>
          <w:marRight w:val="0"/>
          <w:marTop w:val="0"/>
          <w:marBottom w:val="0"/>
          <w:divBdr>
            <w:top w:val="none" w:sz="0" w:space="0" w:color="auto"/>
            <w:left w:val="none" w:sz="0" w:space="0" w:color="auto"/>
            <w:bottom w:val="none" w:sz="0" w:space="0" w:color="auto"/>
            <w:right w:val="none" w:sz="0" w:space="0" w:color="auto"/>
          </w:divBdr>
        </w:div>
        <w:div w:id="147407049">
          <w:marLeft w:val="0"/>
          <w:marRight w:val="0"/>
          <w:marTop w:val="0"/>
          <w:marBottom w:val="0"/>
          <w:divBdr>
            <w:top w:val="none" w:sz="0" w:space="0" w:color="auto"/>
            <w:left w:val="none" w:sz="0" w:space="0" w:color="auto"/>
            <w:bottom w:val="none" w:sz="0" w:space="0" w:color="auto"/>
            <w:right w:val="none" w:sz="0" w:space="0" w:color="auto"/>
          </w:divBdr>
        </w:div>
        <w:div w:id="181239524">
          <w:marLeft w:val="0"/>
          <w:marRight w:val="0"/>
          <w:marTop w:val="0"/>
          <w:marBottom w:val="0"/>
          <w:divBdr>
            <w:top w:val="none" w:sz="0" w:space="0" w:color="auto"/>
            <w:left w:val="none" w:sz="0" w:space="0" w:color="auto"/>
            <w:bottom w:val="none" w:sz="0" w:space="0" w:color="auto"/>
            <w:right w:val="none" w:sz="0" w:space="0" w:color="auto"/>
          </w:divBdr>
        </w:div>
        <w:div w:id="191387510">
          <w:marLeft w:val="0"/>
          <w:marRight w:val="0"/>
          <w:marTop w:val="0"/>
          <w:marBottom w:val="0"/>
          <w:divBdr>
            <w:top w:val="none" w:sz="0" w:space="0" w:color="auto"/>
            <w:left w:val="none" w:sz="0" w:space="0" w:color="auto"/>
            <w:bottom w:val="none" w:sz="0" w:space="0" w:color="auto"/>
            <w:right w:val="none" w:sz="0" w:space="0" w:color="auto"/>
          </w:divBdr>
        </w:div>
        <w:div w:id="227570489">
          <w:marLeft w:val="0"/>
          <w:marRight w:val="0"/>
          <w:marTop w:val="0"/>
          <w:marBottom w:val="0"/>
          <w:divBdr>
            <w:top w:val="none" w:sz="0" w:space="0" w:color="auto"/>
            <w:left w:val="none" w:sz="0" w:space="0" w:color="auto"/>
            <w:bottom w:val="none" w:sz="0" w:space="0" w:color="auto"/>
            <w:right w:val="none" w:sz="0" w:space="0" w:color="auto"/>
          </w:divBdr>
        </w:div>
        <w:div w:id="249241629">
          <w:marLeft w:val="0"/>
          <w:marRight w:val="0"/>
          <w:marTop w:val="0"/>
          <w:marBottom w:val="0"/>
          <w:divBdr>
            <w:top w:val="none" w:sz="0" w:space="0" w:color="auto"/>
            <w:left w:val="none" w:sz="0" w:space="0" w:color="auto"/>
            <w:bottom w:val="none" w:sz="0" w:space="0" w:color="auto"/>
            <w:right w:val="none" w:sz="0" w:space="0" w:color="auto"/>
          </w:divBdr>
        </w:div>
        <w:div w:id="258148304">
          <w:marLeft w:val="0"/>
          <w:marRight w:val="0"/>
          <w:marTop w:val="0"/>
          <w:marBottom w:val="0"/>
          <w:divBdr>
            <w:top w:val="none" w:sz="0" w:space="0" w:color="auto"/>
            <w:left w:val="none" w:sz="0" w:space="0" w:color="auto"/>
            <w:bottom w:val="none" w:sz="0" w:space="0" w:color="auto"/>
            <w:right w:val="none" w:sz="0" w:space="0" w:color="auto"/>
          </w:divBdr>
        </w:div>
        <w:div w:id="272446371">
          <w:marLeft w:val="0"/>
          <w:marRight w:val="0"/>
          <w:marTop w:val="0"/>
          <w:marBottom w:val="0"/>
          <w:divBdr>
            <w:top w:val="none" w:sz="0" w:space="0" w:color="auto"/>
            <w:left w:val="none" w:sz="0" w:space="0" w:color="auto"/>
            <w:bottom w:val="none" w:sz="0" w:space="0" w:color="auto"/>
            <w:right w:val="none" w:sz="0" w:space="0" w:color="auto"/>
          </w:divBdr>
        </w:div>
        <w:div w:id="296182414">
          <w:marLeft w:val="0"/>
          <w:marRight w:val="0"/>
          <w:marTop w:val="0"/>
          <w:marBottom w:val="0"/>
          <w:divBdr>
            <w:top w:val="none" w:sz="0" w:space="0" w:color="auto"/>
            <w:left w:val="none" w:sz="0" w:space="0" w:color="auto"/>
            <w:bottom w:val="none" w:sz="0" w:space="0" w:color="auto"/>
            <w:right w:val="none" w:sz="0" w:space="0" w:color="auto"/>
          </w:divBdr>
        </w:div>
        <w:div w:id="308171378">
          <w:marLeft w:val="0"/>
          <w:marRight w:val="0"/>
          <w:marTop w:val="0"/>
          <w:marBottom w:val="0"/>
          <w:divBdr>
            <w:top w:val="none" w:sz="0" w:space="0" w:color="auto"/>
            <w:left w:val="none" w:sz="0" w:space="0" w:color="auto"/>
            <w:bottom w:val="none" w:sz="0" w:space="0" w:color="auto"/>
            <w:right w:val="none" w:sz="0" w:space="0" w:color="auto"/>
          </w:divBdr>
        </w:div>
        <w:div w:id="311983882">
          <w:marLeft w:val="0"/>
          <w:marRight w:val="0"/>
          <w:marTop w:val="0"/>
          <w:marBottom w:val="0"/>
          <w:divBdr>
            <w:top w:val="none" w:sz="0" w:space="0" w:color="auto"/>
            <w:left w:val="none" w:sz="0" w:space="0" w:color="auto"/>
            <w:bottom w:val="none" w:sz="0" w:space="0" w:color="auto"/>
            <w:right w:val="none" w:sz="0" w:space="0" w:color="auto"/>
          </w:divBdr>
        </w:div>
        <w:div w:id="344744557">
          <w:marLeft w:val="0"/>
          <w:marRight w:val="0"/>
          <w:marTop w:val="0"/>
          <w:marBottom w:val="0"/>
          <w:divBdr>
            <w:top w:val="none" w:sz="0" w:space="0" w:color="auto"/>
            <w:left w:val="none" w:sz="0" w:space="0" w:color="auto"/>
            <w:bottom w:val="none" w:sz="0" w:space="0" w:color="auto"/>
            <w:right w:val="none" w:sz="0" w:space="0" w:color="auto"/>
          </w:divBdr>
        </w:div>
        <w:div w:id="369839673">
          <w:marLeft w:val="0"/>
          <w:marRight w:val="0"/>
          <w:marTop w:val="0"/>
          <w:marBottom w:val="0"/>
          <w:divBdr>
            <w:top w:val="none" w:sz="0" w:space="0" w:color="auto"/>
            <w:left w:val="none" w:sz="0" w:space="0" w:color="auto"/>
            <w:bottom w:val="none" w:sz="0" w:space="0" w:color="auto"/>
            <w:right w:val="none" w:sz="0" w:space="0" w:color="auto"/>
          </w:divBdr>
        </w:div>
        <w:div w:id="413597729">
          <w:marLeft w:val="0"/>
          <w:marRight w:val="0"/>
          <w:marTop w:val="0"/>
          <w:marBottom w:val="0"/>
          <w:divBdr>
            <w:top w:val="none" w:sz="0" w:space="0" w:color="auto"/>
            <w:left w:val="none" w:sz="0" w:space="0" w:color="auto"/>
            <w:bottom w:val="none" w:sz="0" w:space="0" w:color="auto"/>
            <w:right w:val="none" w:sz="0" w:space="0" w:color="auto"/>
          </w:divBdr>
        </w:div>
        <w:div w:id="424809947">
          <w:marLeft w:val="0"/>
          <w:marRight w:val="0"/>
          <w:marTop w:val="0"/>
          <w:marBottom w:val="0"/>
          <w:divBdr>
            <w:top w:val="none" w:sz="0" w:space="0" w:color="auto"/>
            <w:left w:val="none" w:sz="0" w:space="0" w:color="auto"/>
            <w:bottom w:val="none" w:sz="0" w:space="0" w:color="auto"/>
            <w:right w:val="none" w:sz="0" w:space="0" w:color="auto"/>
          </w:divBdr>
        </w:div>
        <w:div w:id="428232290">
          <w:marLeft w:val="0"/>
          <w:marRight w:val="0"/>
          <w:marTop w:val="0"/>
          <w:marBottom w:val="0"/>
          <w:divBdr>
            <w:top w:val="none" w:sz="0" w:space="0" w:color="auto"/>
            <w:left w:val="none" w:sz="0" w:space="0" w:color="auto"/>
            <w:bottom w:val="none" w:sz="0" w:space="0" w:color="auto"/>
            <w:right w:val="none" w:sz="0" w:space="0" w:color="auto"/>
          </w:divBdr>
        </w:div>
        <w:div w:id="431826171">
          <w:marLeft w:val="0"/>
          <w:marRight w:val="0"/>
          <w:marTop w:val="0"/>
          <w:marBottom w:val="0"/>
          <w:divBdr>
            <w:top w:val="none" w:sz="0" w:space="0" w:color="auto"/>
            <w:left w:val="none" w:sz="0" w:space="0" w:color="auto"/>
            <w:bottom w:val="none" w:sz="0" w:space="0" w:color="auto"/>
            <w:right w:val="none" w:sz="0" w:space="0" w:color="auto"/>
          </w:divBdr>
        </w:div>
        <w:div w:id="436870601">
          <w:marLeft w:val="0"/>
          <w:marRight w:val="0"/>
          <w:marTop w:val="0"/>
          <w:marBottom w:val="0"/>
          <w:divBdr>
            <w:top w:val="none" w:sz="0" w:space="0" w:color="auto"/>
            <w:left w:val="none" w:sz="0" w:space="0" w:color="auto"/>
            <w:bottom w:val="none" w:sz="0" w:space="0" w:color="auto"/>
            <w:right w:val="none" w:sz="0" w:space="0" w:color="auto"/>
          </w:divBdr>
        </w:div>
        <w:div w:id="449014227">
          <w:marLeft w:val="0"/>
          <w:marRight w:val="0"/>
          <w:marTop w:val="0"/>
          <w:marBottom w:val="0"/>
          <w:divBdr>
            <w:top w:val="none" w:sz="0" w:space="0" w:color="auto"/>
            <w:left w:val="none" w:sz="0" w:space="0" w:color="auto"/>
            <w:bottom w:val="none" w:sz="0" w:space="0" w:color="auto"/>
            <w:right w:val="none" w:sz="0" w:space="0" w:color="auto"/>
          </w:divBdr>
        </w:div>
        <w:div w:id="455761826">
          <w:marLeft w:val="0"/>
          <w:marRight w:val="0"/>
          <w:marTop w:val="0"/>
          <w:marBottom w:val="0"/>
          <w:divBdr>
            <w:top w:val="none" w:sz="0" w:space="0" w:color="auto"/>
            <w:left w:val="none" w:sz="0" w:space="0" w:color="auto"/>
            <w:bottom w:val="none" w:sz="0" w:space="0" w:color="auto"/>
            <w:right w:val="none" w:sz="0" w:space="0" w:color="auto"/>
          </w:divBdr>
        </w:div>
        <w:div w:id="459495631">
          <w:marLeft w:val="0"/>
          <w:marRight w:val="0"/>
          <w:marTop w:val="0"/>
          <w:marBottom w:val="0"/>
          <w:divBdr>
            <w:top w:val="none" w:sz="0" w:space="0" w:color="auto"/>
            <w:left w:val="none" w:sz="0" w:space="0" w:color="auto"/>
            <w:bottom w:val="none" w:sz="0" w:space="0" w:color="auto"/>
            <w:right w:val="none" w:sz="0" w:space="0" w:color="auto"/>
          </w:divBdr>
        </w:div>
        <w:div w:id="465395359">
          <w:marLeft w:val="0"/>
          <w:marRight w:val="0"/>
          <w:marTop w:val="0"/>
          <w:marBottom w:val="0"/>
          <w:divBdr>
            <w:top w:val="none" w:sz="0" w:space="0" w:color="auto"/>
            <w:left w:val="none" w:sz="0" w:space="0" w:color="auto"/>
            <w:bottom w:val="none" w:sz="0" w:space="0" w:color="auto"/>
            <w:right w:val="none" w:sz="0" w:space="0" w:color="auto"/>
          </w:divBdr>
        </w:div>
        <w:div w:id="476194106">
          <w:marLeft w:val="0"/>
          <w:marRight w:val="0"/>
          <w:marTop w:val="0"/>
          <w:marBottom w:val="0"/>
          <w:divBdr>
            <w:top w:val="none" w:sz="0" w:space="0" w:color="auto"/>
            <w:left w:val="none" w:sz="0" w:space="0" w:color="auto"/>
            <w:bottom w:val="none" w:sz="0" w:space="0" w:color="auto"/>
            <w:right w:val="none" w:sz="0" w:space="0" w:color="auto"/>
          </w:divBdr>
        </w:div>
        <w:div w:id="480122843">
          <w:marLeft w:val="0"/>
          <w:marRight w:val="0"/>
          <w:marTop w:val="0"/>
          <w:marBottom w:val="0"/>
          <w:divBdr>
            <w:top w:val="none" w:sz="0" w:space="0" w:color="auto"/>
            <w:left w:val="none" w:sz="0" w:space="0" w:color="auto"/>
            <w:bottom w:val="none" w:sz="0" w:space="0" w:color="auto"/>
            <w:right w:val="none" w:sz="0" w:space="0" w:color="auto"/>
          </w:divBdr>
        </w:div>
        <w:div w:id="484126999">
          <w:marLeft w:val="0"/>
          <w:marRight w:val="0"/>
          <w:marTop w:val="0"/>
          <w:marBottom w:val="0"/>
          <w:divBdr>
            <w:top w:val="none" w:sz="0" w:space="0" w:color="auto"/>
            <w:left w:val="none" w:sz="0" w:space="0" w:color="auto"/>
            <w:bottom w:val="none" w:sz="0" w:space="0" w:color="auto"/>
            <w:right w:val="none" w:sz="0" w:space="0" w:color="auto"/>
          </w:divBdr>
        </w:div>
        <w:div w:id="504635845">
          <w:marLeft w:val="0"/>
          <w:marRight w:val="0"/>
          <w:marTop w:val="0"/>
          <w:marBottom w:val="0"/>
          <w:divBdr>
            <w:top w:val="none" w:sz="0" w:space="0" w:color="auto"/>
            <w:left w:val="none" w:sz="0" w:space="0" w:color="auto"/>
            <w:bottom w:val="none" w:sz="0" w:space="0" w:color="auto"/>
            <w:right w:val="none" w:sz="0" w:space="0" w:color="auto"/>
          </w:divBdr>
        </w:div>
        <w:div w:id="520321589">
          <w:marLeft w:val="0"/>
          <w:marRight w:val="0"/>
          <w:marTop w:val="0"/>
          <w:marBottom w:val="0"/>
          <w:divBdr>
            <w:top w:val="none" w:sz="0" w:space="0" w:color="auto"/>
            <w:left w:val="none" w:sz="0" w:space="0" w:color="auto"/>
            <w:bottom w:val="none" w:sz="0" w:space="0" w:color="auto"/>
            <w:right w:val="none" w:sz="0" w:space="0" w:color="auto"/>
          </w:divBdr>
        </w:div>
        <w:div w:id="581767730">
          <w:marLeft w:val="0"/>
          <w:marRight w:val="0"/>
          <w:marTop w:val="0"/>
          <w:marBottom w:val="0"/>
          <w:divBdr>
            <w:top w:val="none" w:sz="0" w:space="0" w:color="auto"/>
            <w:left w:val="none" w:sz="0" w:space="0" w:color="auto"/>
            <w:bottom w:val="none" w:sz="0" w:space="0" w:color="auto"/>
            <w:right w:val="none" w:sz="0" w:space="0" w:color="auto"/>
          </w:divBdr>
        </w:div>
        <w:div w:id="593441990">
          <w:marLeft w:val="0"/>
          <w:marRight w:val="0"/>
          <w:marTop w:val="0"/>
          <w:marBottom w:val="0"/>
          <w:divBdr>
            <w:top w:val="none" w:sz="0" w:space="0" w:color="auto"/>
            <w:left w:val="none" w:sz="0" w:space="0" w:color="auto"/>
            <w:bottom w:val="none" w:sz="0" w:space="0" w:color="auto"/>
            <w:right w:val="none" w:sz="0" w:space="0" w:color="auto"/>
          </w:divBdr>
        </w:div>
        <w:div w:id="623117505">
          <w:marLeft w:val="0"/>
          <w:marRight w:val="0"/>
          <w:marTop w:val="0"/>
          <w:marBottom w:val="0"/>
          <w:divBdr>
            <w:top w:val="none" w:sz="0" w:space="0" w:color="auto"/>
            <w:left w:val="none" w:sz="0" w:space="0" w:color="auto"/>
            <w:bottom w:val="none" w:sz="0" w:space="0" w:color="auto"/>
            <w:right w:val="none" w:sz="0" w:space="0" w:color="auto"/>
          </w:divBdr>
        </w:div>
        <w:div w:id="625351440">
          <w:marLeft w:val="0"/>
          <w:marRight w:val="0"/>
          <w:marTop w:val="0"/>
          <w:marBottom w:val="0"/>
          <w:divBdr>
            <w:top w:val="none" w:sz="0" w:space="0" w:color="auto"/>
            <w:left w:val="none" w:sz="0" w:space="0" w:color="auto"/>
            <w:bottom w:val="none" w:sz="0" w:space="0" w:color="auto"/>
            <w:right w:val="none" w:sz="0" w:space="0" w:color="auto"/>
          </w:divBdr>
        </w:div>
        <w:div w:id="644626581">
          <w:marLeft w:val="0"/>
          <w:marRight w:val="0"/>
          <w:marTop w:val="0"/>
          <w:marBottom w:val="0"/>
          <w:divBdr>
            <w:top w:val="none" w:sz="0" w:space="0" w:color="auto"/>
            <w:left w:val="none" w:sz="0" w:space="0" w:color="auto"/>
            <w:bottom w:val="none" w:sz="0" w:space="0" w:color="auto"/>
            <w:right w:val="none" w:sz="0" w:space="0" w:color="auto"/>
          </w:divBdr>
        </w:div>
        <w:div w:id="670765123">
          <w:marLeft w:val="0"/>
          <w:marRight w:val="0"/>
          <w:marTop w:val="0"/>
          <w:marBottom w:val="0"/>
          <w:divBdr>
            <w:top w:val="none" w:sz="0" w:space="0" w:color="auto"/>
            <w:left w:val="none" w:sz="0" w:space="0" w:color="auto"/>
            <w:bottom w:val="none" w:sz="0" w:space="0" w:color="auto"/>
            <w:right w:val="none" w:sz="0" w:space="0" w:color="auto"/>
          </w:divBdr>
        </w:div>
        <w:div w:id="707412147">
          <w:marLeft w:val="0"/>
          <w:marRight w:val="0"/>
          <w:marTop w:val="0"/>
          <w:marBottom w:val="0"/>
          <w:divBdr>
            <w:top w:val="none" w:sz="0" w:space="0" w:color="auto"/>
            <w:left w:val="none" w:sz="0" w:space="0" w:color="auto"/>
            <w:bottom w:val="none" w:sz="0" w:space="0" w:color="auto"/>
            <w:right w:val="none" w:sz="0" w:space="0" w:color="auto"/>
          </w:divBdr>
        </w:div>
        <w:div w:id="774137138">
          <w:marLeft w:val="0"/>
          <w:marRight w:val="0"/>
          <w:marTop w:val="0"/>
          <w:marBottom w:val="0"/>
          <w:divBdr>
            <w:top w:val="none" w:sz="0" w:space="0" w:color="auto"/>
            <w:left w:val="none" w:sz="0" w:space="0" w:color="auto"/>
            <w:bottom w:val="none" w:sz="0" w:space="0" w:color="auto"/>
            <w:right w:val="none" w:sz="0" w:space="0" w:color="auto"/>
          </w:divBdr>
        </w:div>
        <w:div w:id="798229632">
          <w:marLeft w:val="0"/>
          <w:marRight w:val="0"/>
          <w:marTop w:val="0"/>
          <w:marBottom w:val="0"/>
          <w:divBdr>
            <w:top w:val="none" w:sz="0" w:space="0" w:color="auto"/>
            <w:left w:val="none" w:sz="0" w:space="0" w:color="auto"/>
            <w:bottom w:val="none" w:sz="0" w:space="0" w:color="auto"/>
            <w:right w:val="none" w:sz="0" w:space="0" w:color="auto"/>
          </w:divBdr>
        </w:div>
        <w:div w:id="817456617">
          <w:marLeft w:val="0"/>
          <w:marRight w:val="0"/>
          <w:marTop w:val="0"/>
          <w:marBottom w:val="0"/>
          <w:divBdr>
            <w:top w:val="none" w:sz="0" w:space="0" w:color="auto"/>
            <w:left w:val="none" w:sz="0" w:space="0" w:color="auto"/>
            <w:bottom w:val="none" w:sz="0" w:space="0" w:color="auto"/>
            <w:right w:val="none" w:sz="0" w:space="0" w:color="auto"/>
          </w:divBdr>
        </w:div>
        <w:div w:id="828517575">
          <w:marLeft w:val="0"/>
          <w:marRight w:val="0"/>
          <w:marTop w:val="0"/>
          <w:marBottom w:val="0"/>
          <w:divBdr>
            <w:top w:val="none" w:sz="0" w:space="0" w:color="auto"/>
            <w:left w:val="none" w:sz="0" w:space="0" w:color="auto"/>
            <w:bottom w:val="none" w:sz="0" w:space="0" w:color="auto"/>
            <w:right w:val="none" w:sz="0" w:space="0" w:color="auto"/>
          </w:divBdr>
        </w:div>
        <w:div w:id="860316117">
          <w:marLeft w:val="0"/>
          <w:marRight w:val="0"/>
          <w:marTop w:val="0"/>
          <w:marBottom w:val="0"/>
          <w:divBdr>
            <w:top w:val="none" w:sz="0" w:space="0" w:color="auto"/>
            <w:left w:val="none" w:sz="0" w:space="0" w:color="auto"/>
            <w:bottom w:val="none" w:sz="0" w:space="0" w:color="auto"/>
            <w:right w:val="none" w:sz="0" w:space="0" w:color="auto"/>
          </w:divBdr>
        </w:div>
        <w:div w:id="865140889">
          <w:marLeft w:val="0"/>
          <w:marRight w:val="0"/>
          <w:marTop w:val="0"/>
          <w:marBottom w:val="0"/>
          <w:divBdr>
            <w:top w:val="none" w:sz="0" w:space="0" w:color="auto"/>
            <w:left w:val="none" w:sz="0" w:space="0" w:color="auto"/>
            <w:bottom w:val="none" w:sz="0" w:space="0" w:color="auto"/>
            <w:right w:val="none" w:sz="0" w:space="0" w:color="auto"/>
          </w:divBdr>
        </w:div>
        <w:div w:id="870727544">
          <w:marLeft w:val="0"/>
          <w:marRight w:val="0"/>
          <w:marTop w:val="0"/>
          <w:marBottom w:val="0"/>
          <w:divBdr>
            <w:top w:val="none" w:sz="0" w:space="0" w:color="auto"/>
            <w:left w:val="none" w:sz="0" w:space="0" w:color="auto"/>
            <w:bottom w:val="none" w:sz="0" w:space="0" w:color="auto"/>
            <w:right w:val="none" w:sz="0" w:space="0" w:color="auto"/>
          </w:divBdr>
        </w:div>
        <w:div w:id="877087954">
          <w:marLeft w:val="0"/>
          <w:marRight w:val="0"/>
          <w:marTop w:val="0"/>
          <w:marBottom w:val="0"/>
          <w:divBdr>
            <w:top w:val="none" w:sz="0" w:space="0" w:color="auto"/>
            <w:left w:val="none" w:sz="0" w:space="0" w:color="auto"/>
            <w:bottom w:val="none" w:sz="0" w:space="0" w:color="auto"/>
            <w:right w:val="none" w:sz="0" w:space="0" w:color="auto"/>
          </w:divBdr>
        </w:div>
        <w:div w:id="912080849">
          <w:marLeft w:val="0"/>
          <w:marRight w:val="0"/>
          <w:marTop w:val="0"/>
          <w:marBottom w:val="0"/>
          <w:divBdr>
            <w:top w:val="none" w:sz="0" w:space="0" w:color="auto"/>
            <w:left w:val="none" w:sz="0" w:space="0" w:color="auto"/>
            <w:bottom w:val="none" w:sz="0" w:space="0" w:color="auto"/>
            <w:right w:val="none" w:sz="0" w:space="0" w:color="auto"/>
          </w:divBdr>
        </w:div>
        <w:div w:id="948119854">
          <w:marLeft w:val="0"/>
          <w:marRight w:val="0"/>
          <w:marTop w:val="0"/>
          <w:marBottom w:val="0"/>
          <w:divBdr>
            <w:top w:val="none" w:sz="0" w:space="0" w:color="auto"/>
            <w:left w:val="none" w:sz="0" w:space="0" w:color="auto"/>
            <w:bottom w:val="none" w:sz="0" w:space="0" w:color="auto"/>
            <w:right w:val="none" w:sz="0" w:space="0" w:color="auto"/>
          </w:divBdr>
        </w:div>
        <w:div w:id="959996866">
          <w:marLeft w:val="0"/>
          <w:marRight w:val="0"/>
          <w:marTop w:val="0"/>
          <w:marBottom w:val="0"/>
          <w:divBdr>
            <w:top w:val="none" w:sz="0" w:space="0" w:color="auto"/>
            <w:left w:val="none" w:sz="0" w:space="0" w:color="auto"/>
            <w:bottom w:val="none" w:sz="0" w:space="0" w:color="auto"/>
            <w:right w:val="none" w:sz="0" w:space="0" w:color="auto"/>
          </w:divBdr>
        </w:div>
        <w:div w:id="1016423732">
          <w:marLeft w:val="0"/>
          <w:marRight w:val="0"/>
          <w:marTop w:val="0"/>
          <w:marBottom w:val="0"/>
          <w:divBdr>
            <w:top w:val="none" w:sz="0" w:space="0" w:color="auto"/>
            <w:left w:val="none" w:sz="0" w:space="0" w:color="auto"/>
            <w:bottom w:val="none" w:sz="0" w:space="0" w:color="auto"/>
            <w:right w:val="none" w:sz="0" w:space="0" w:color="auto"/>
          </w:divBdr>
        </w:div>
        <w:div w:id="1025517882">
          <w:marLeft w:val="0"/>
          <w:marRight w:val="0"/>
          <w:marTop w:val="0"/>
          <w:marBottom w:val="0"/>
          <w:divBdr>
            <w:top w:val="none" w:sz="0" w:space="0" w:color="auto"/>
            <w:left w:val="none" w:sz="0" w:space="0" w:color="auto"/>
            <w:bottom w:val="none" w:sz="0" w:space="0" w:color="auto"/>
            <w:right w:val="none" w:sz="0" w:space="0" w:color="auto"/>
          </w:divBdr>
        </w:div>
        <w:div w:id="1044063024">
          <w:marLeft w:val="0"/>
          <w:marRight w:val="0"/>
          <w:marTop w:val="0"/>
          <w:marBottom w:val="0"/>
          <w:divBdr>
            <w:top w:val="none" w:sz="0" w:space="0" w:color="auto"/>
            <w:left w:val="none" w:sz="0" w:space="0" w:color="auto"/>
            <w:bottom w:val="none" w:sz="0" w:space="0" w:color="auto"/>
            <w:right w:val="none" w:sz="0" w:space="0" w:color="auto"/>
          </w:divBdr>
        </w:div>
        <w:div w:id="1061296451">
          <w:marLeft w:val="0"/>
          <w:marRight w:val="0"/>
          <w:marTop w:val="0"/>
          <w:marBottom w:val="0"/>
          <w:divBdr>
            <w:top w:val="none" w:sz="0" w:space="0" w:color="auto"/>
            <w:left w:val="none" w:sz="0" w:space="0" w:color="auto"/>
            <w:bottom w:val="none" w:sz="0" w:space="0" w:color="auto"/>
            <w:right w:val="none" w:sz="0" w:space="0" w:color="auto"/>
          </w:divBdr>
        </w:div>
        <w:div w:id="1082289365">
          <w:marLeft w:val="0"/>
          <w:marRight w:val="0"/>
          <w:marTop w:val="0"/>
          <w:marBottom w:val="0"/>
          <w:divBdr>
            <w:top w:val="none" w:sz="0" w:space="0" w:color="auto"/>
            <w:left w:val="none" w:sz="0" w:space="0" w:color="auto"/>
            <w:bottom w:val="none" w:sz="0" w:space="0" w:color="auto"/>
            <w:right w:val="none" w:sz="0" w:space="0" w:color="auto"/>
          </w:divBdr>
        </w:div>
        <w:div w:id="1166945275">
          <w:marLeft w:val="0"/>
          <w:marRight w:val="0"/>
          <w:marTop w:val="0"/>
          <w:marBottom w:val="0"/>
          <w:divBdr>
            <w:top w:val="none" w:sz="0" w:space="0" w:color="auto"/>
            <w:left w:val="none" w:sz="0" w:space="0" w:color="auto"/>
            <w:bottom w:val="none" w:sz="0" w:space="0" w:color="auto"/>
            <w:right w:val="none" w:sz="0" w:space="0" w:color="auto"/>
          </w:divBdr>
        </w:div>
        <w:div w:id="1218125195">
          <w:marLeft w:val="0"/>
          <w:marRight w:val="0"/>
          <w:marTop w:val="0"/>
          <w:marBottom w:val="0"/>
          <w:divBdr>
            <w:top w:val="none" w:sz="0" w:space="0" w:color="auto"/>
            <w:left w:val="none" w:sz="0" w:space="0" w:color="auto"/>
            <w:bottom w:val="none" w:sz="0" w:space="0" w:color="auto"/>
            <w:right w:val="none" w:sz="0" w:space="0" w:color="auto"/>
          </w:divBdr>
        </w:div>
        <w:div w:id="1279217901">
          <w:marLeft w:val="0"/>
          <w:marRight w:val="0"/>
          <w:marTop w:val="0"/>
          <w:marBottom w:val="0"/>
          <w:divBdr>
            <w:top w:val="none" w:sz="0" w:space="0" w:color="auto"/>
            <w:left w:val="none" w:sz="0" w:space="0" w:color="auto"/>
            <w:bottom w:val="none" w:sz="0" w:space="0" w:color="auto"/>
            <w:right w:val="none" w:sz="0" w:space="0" w:color="auto"/>
          </w:divBdr>
        </w:div>
        <w:div w:id="1312177341">
          <w:marLeft w:val="0"/>
          <w:marRight w:val="0"/>
          <w:marTop w:val="0"/>
          <w:marBottom w:val="0"/>
          <w:divBdr>
            <w:top w:val="none" w:sz="0" w:space="0" w:color="auto"/>
            <w:left w:val="none" w:sz="0" w:space="0" w:color="auto"/>
            <w:bottom w:val="none" w:sz="0" w:space="0" w:color="auto"/>
            <w:right w:val="none" w:sz="0" w:space="0" w:color="auto"/>
          </w:divBdr>
        </w:div>
        <w:div w:id="1333141617">
          <w:marLeft w:val="0"/>
          <w:marRight w:val="0"/>
          <w:marTop w:val="0"/>
          <w:marBottom w:val="0"/>
          <w:divBdr>
            <w:top w:val="none" w:sz="0" w:space="0" w:color="auto"/>
            <w:left w:val="none" w:sz="0" w:space="0" w:color="auto"/>
            <w:bottom w:val="none" w:sz="0" w:space="0" w:color="auto"/>
            <w:right w:val="none" w:sz="0" w:space="0" w:color="auto"/>
          </w:divBdr>
        </w:div>
        <w:div w:id="1382023584">
          <w:marLeft w:val="0"/>
          <w:marRight w:val="0"/>
          <w:marTop w:val="0"/>
          <w:marBottom w:val="0"/>
          <w:divBdr>
            <w:top w:val="none" w:sz="0" w:space="0" w:color="auto"/>
            <w:left w:val="none" w:sz="0" w:space="0" w:color="auto"/>
            <w:bottom w:val="none" w:sz="0" w:space="0" w:color="auto"/>
            <w:right w:val="none" w:sz="0" w:space="0" w:color="auto"/>
          </w:divBdr>
        </w:div>
        <w:div w:id="1442064942">
          <w:marLeft w:val="0"/>
          <w:marRight w:val="0"/>
          <w:marTop w:val="0"/>
          <w:marBottom w:val="0"/>
          <w:divBdr>
            <w:top w:val="none" w:sz="0" w:space="0" w:color="auto"/>
            <w:left w:val="none" w:sz="0" w:space="0" w:color="auto"/>
            <w:bottom w:val="none" w:sz="0" w:space="0" w:color="auto"/>
            <w:right w:val="none" w:sz="0" w:space="0" w:color="auto"/>
          </w:divBdr>
        </w:div>
        <w:div w:id="1464733399">
          <w:marLeft w:val="0"/>
          <w:marRight w:val="0"/>
          <w:marTop w:val="0"/>
          <w:marBottom w:val="0"/>
          <w:divBdr>
            <w:top w:val="none" w:sz="0" w:space="0" w:color="auto"/>
            <w:left w:val="none" w:sz="0" w:space="0" w:color="auto"/>
            <w:bottom w:val="none" w:sz="0" w:space="0" w:color="auto"/>
            <w:right w:val="none" w:sz="0" w:space="0" w:color="auto"/>
          </w:divBdr>
        </w:div>
        <w:div w:id="1465847182">
          <w:marLeft w:val="0"/>
          <w:marRight w:val="0"/>
          <w:marTop w:val="0"/>
          <w:marBottom w:val="0"/>
          <w:divBdr>
            <w:top w:val="none" w:sz="0" w:space="0" w:color="auto"/>
            <w:left w:val="none" w:sz="0" w:space="0" w:color="auto"/>
            <w:bottom w:val="none" w:sz="0" w:space="0" w:color="auto"/>
            <w:right w:val="none" w:sz="0" w:space="0" w:color="auto"/>
          </w:divBdr>
        </w:div>
        <w:div w:id="1478035674">
          <w:marLeft w:val="0"/>
          <w:marRight w:val="0"/>
          <w:marTop w:val="0"/>
          <w:marBottom w:val="0"/>
          <w:divBdr>
            <w:top w:val="none" w:sz="0" w:space="0" w:color="auto"/>
            <w:left w:val="none" w:sz="0" w:space="0" w:color="auto"/>
            <w:bottom w:val="none" w:sz="0" w:space="0" w:color="auto"/>
            <w:right w:val="none" w:sz="0" w:space="0" w:color="auto"/>
          </w:divBdr>
        </w:div>
        <w:div w:id="1482233628">
          <w:marLeft w:val="0"/>
          <w:marRight w:val="0"/>
          <w:marTop w:val="0"/>
          <w:marBottom w:val="0"/>
          <w:divBdr>
            <w:top w:val="none" w:sz="0" w:space="0" w:color="auto"/>
            <w:left w:val="none" w:sz="0" w:space="0" w:color="auto"/>
            <w:bottom w:val="none" w:sz="0" w:space="0" w:color="auto"/>
            <w:right w:val="none" w:sz="0" w:space="0" w:color="auto"/>
          </w:divBdr>
        </w:div>
        <w:div w:id="1482236432">
          <w:marLeft w:val="0"/>
          <w:marRight w:val="0"/>
          <w:marTop w:val="0"/>
          <w:marBottom w:val="0"/>
          <w:divBdr>
            <w:top w:val="none" w:sz="0" w:space="0" w:color="auto"/>
            <w:left w:val="none" w:sz="0" w:space="0" w:color="auto"/>
            <w:bottom w:val="none" w:sz="0" w:space="0" w:color="auto"/>
            <w:right w:val="none" w:sz="0" w:space="0" w:color="auto"/>
          </w:divBdr>
        </w:div>
        <w:div w:id="1509902063">
          <w:marLeft w:val="0"/>
          <w:marRight w:val="0"/>
          <w:marTop w:val="0"/>
          <w:marBottom w:val="0"/>
          <w:divBdr>
            <w:top w:val="none" w:sz="0" w:space="0" w:color="auto"/>
            <w:left w:val="none" w:sz="0" w:space="0" w:color="auto"/>
            <w:bottom w:val="none" w:sz="0" w:space="0" w:color="auto"/>
            <w:right w:val="none" w:sz="0" w:space="0" w:color="auto"/>
          </w:divBdr>
        </w:div>
        <w:div w:id="1537886528">
          <w:marLeft w:val="0"/>
          <w:marRight w:val="0"/>
          <w:marTop w:val="0"/>
          <w:marBottom w:val="0"/>
          <w:divBdr>
            <w:top w:val="none" w:sz="0" w:space="0" w:color="auto"/>
            <w:left w:val="none" w:sz="0" w:space="0" w:color="auto"/>
            <w:bottom w:val="none" w:sz="0" w:space="0" w:color="auto"/>
            <w:right w:val="none" w:sz="0" w:space="0" w:color="auto"/>
          </w:divBdr>
        </w:div>
        <w:div w:id="1540893222">
          <w:marLeft w:val="0"/>
          <w:marRight w:val="0"/>
          <w:marTop w:val="0"/>
          <w:marBottom w:val="0"/>
          <w:divBdr>
            <w:top w:val="none" w:sz="0" w:space="0" w:color="auto"/>
            <w:left w:val="none" w:sz="0" w:space="0" w:color="auto"/>
            <w:bottom w:val="none" w:sz="0" w:space="0" w:color="auto"/>
            <w:right w:val="none" w:sz="0" w:space="0" w:color="auto"/>
          </w:divBdr>
        </w:div>
        <w:div w:id="1552838638">
          <w:marLeft w:val="0"/>
          <w:marRight w:val="0"/>
          <w:marTop w:val="0"/>
          <w:marBottom w:val="0"/>
          <w:divBdr>
            <w:top w:val="none" w:sz="0" w:space="0" w:color="auto"/>
            <w:left w:val="none" w:sz="0" w:space="0" w:color="auto"/>
            <w:bottom w:val="none" w:sz="0" w:space="0" w:color="auto"/>
            <w:right w:val="none" w:sz="0" w:space="0" w:color="auto"/>
          </w:divBdr>
        </w:div>
        <w:div w:id="1554466173">
          <w:marLeft w:val="0"/>
          <w:marRight w:val="0"/>
          <w:marTop w:val="0"/>
          <w:marBottom w:val="0"/>
          <w:divBdr>
            <w:top w:val="none" w:sz="0" w:space="0" w:color="auto"/>
            <w:left w:val="none" w:sz="0" w:space="0" w:color="auto"/>
            <w:bottom w:val="none" w:sz="0" w:space="0" w:color="auto"/>
            <w:right w:val="none" w:sz="0" w:space="0" w:color="auto"/>
          </w:divBdr>
        </w:div>
        <w:div w:id="1566143371">
          <w:marLeft w:val="0"/>
          <w:marRight w:val="0"/>
          <w:marTop w:val="0"/>
          <w:marBottom w:val="0"/>
          <w:divBdr>
            <w:top w:val="none" w:sz="0" w:space="0" w:color="auto"/>
            <w:left w:val="none" w:sz="0" w:space="0" w:color="auto"/>
            <w:bottom w:val="none" w:sz="0" w:space="0" w:color="auto"/>
            <w:right w:val="none" w:sz="0" w:space="0" w:color="auto"/>
          </w:divBdr>
        </w:div>
        <w:div w:id="1578855475">
          <w:marLeft w:val="0"/>
          <w:marRight w:val="0"/>
          <w:marTop w:val="0"/>
          <w:marBottom w:val="0"/>
          <w:divBdr>
            <w:top w:val="none" w:sz="0" w:space="0" w:color="auto"/>
            <w:left w:val="none" w:sz="0" w:space="0" w:color="auto"/>
            <w:bottom w:val="none" w:sz="0" w:space="0" w:color="auto"/>
            <w:right w:val="none" w:sz="0" w:space="0" w:color="auto"/>
          </w:divBdr>
        </w:div>
        <w:div w:id="1581595208">
          <w:marLeft w:val="0"/>
          <w:marRight w:val="0"/>
          <w:marTop w:val="0"/>
          <w:marBottom w:val="0"/>
          <w:divBdr>
            <w:top w:val="none" w:sz="0" w:space="0" w:color="auto"/>
            <w:left w:val="none" w:sz="0" w:space="0" w:color="auto"/>
            <w:bottom w:val="none" w:sz="0" w:space="0" w:color="auto"/>
            <w:right w:val="none" w:sz="0" w:space="0" w:color="auto"/>
          </w:divBdr>
        </w:div>
        <w:div w:id="1601062065">
          <w:marLeft w:val="0"/>
          <w:marRight w:val="0"/>
          <w:marTop w:val="0"/>
          <w:marBottom w:val="0"/>
          <w:divBdr>
            <w:top w:val="none" w:sz="0" w:space="0" w:color="auto"/>
            <w:left w:val="none" w:sz="0" w:space="0" w:color="auto"/>
            <w:bottom w:val="none" w:sz="0" w:space="0" w:color="auto"/>
            <w:right w:val="none" w:sz="0" w:space="0" w:color="auto"/>
          </w:divBdr>
        </w:div>
        <w:div w:id="1627853842">
          <w:marLeft w:val="0"/>
          <w:marRight w:val="0"/>
          <w:marTop w:val="0"/>
          <w:marBottom w:val="0"/>
          <w:divBdr>
            <w:top w:val="none" w:sz="0" w:space="0" w:color="auto"/>
            <w:left w:val="none" w:sz="0" w:space="0" w:color="auto"/>
            <w:bottom w:val="none" w:sz="0" w:space="0" w:color="auto"/>
            <w:right w:val="none" w:sz="0" w:space="0" w:color="auto"/>
          </w:divBdr>
        </w:div>
        <w:div w:id="1650475878">
          <w:marLeft w:val="0"/>
          <w:marRight w:val="0"/>
          <w:marTop w:val="0"/>
          <w:marBottom w:val="0"/>
          <w:divBdr>
            <w:top w:val="none" w:sz="0" w:space="0" w:color="auto"/>
            <w:left w:val="none" w:sz="0" w:space="0" w:color="auto"/>
            <w:bottom w:val="none" w:sz="0" w:space="0" w:color="auto"/>
            <w:right w:val="none" w:sz="0" w:space="0" w:color="auto"/>
          </w:divBdr>
        </w:div>
        <w:div w:id="1692494098">
          <w:marLeft w:val="0"/>
          <w:marRight w:val="0"/>
          <w:marTop w:val="0"/>
          <w:marBottom w:val="0"/>
          <w:divBdr>
            <w:top w:val="none" w:sz="0" w:space="0" w:color="auto"/>
            <w:left w:val="none" w:sz="0" w:space="0" w:color="auto"/>
            <w:bottom w:val="none" w:sz="0" w:space="0" w:color="auto"/>
            <w:right w:val="none" w:sz="0" w:space="0" w:color="auto"/>
          </w:divBdr>
        </w:div>
        <w:div w:id="1721400833">
          <w:marLeft w:val="0"/>
          <w:marRight w:val="0"/>
          <w:marTop w:val="0"/>
          <w:marBottom w:val="0"/>
          <w:divBdr>
            <w:top w:val="none" w:sz="0" w:space="0" w:color="auto"/>
            <w:left w:val="none" w:sz="0" w:space="0" w:color="auto"/>
            <w:bottom w:val="none" w:sz="0" w:space="0" w:color="auto"/>
            <w:right w:val="none" w:sz="0" w:space="0" w:color="auto"/>
          </w:divBdr>
        </w:div>
        <w:div w:id="1740900553">
          <w:marLeft w:val="0"/>
          <w:marRight w:val="0"/>
          <w:marTop w:val="0"/>
          <w:marBottom w:val="0"/>
          <w:divBdr>
            <w:top w:val="none" w:sz="0" w:space="0" w:color="auto"/>
            <w:left w:val="none" w:sz="0" w:space="0" w:color="auto"/>
            <w:bottom w:val="none" w:sz="0" w:space="0" w:color="auto"/>
            <w:right w:val="none" w:sz="0" w:space="0" w:color="auto"/>
          </w:divBdr>
        </w:div>
        <w:div w:id="1742867152">
          <w:marLeft w:val="0"/>
          <w:marRight w:val="0"/>
          <w:marTop w:val="0"/>
          <w:marBottom w:val="0"/>
          <w:divBdr>
            <w:top w:val="none" w:sz="0" w:space="0" w:color="auto"/>
            <w:left w:val="none" w:sz="0" w:space="0" w:color="auto"/>
            <w:bottom w:val="none" w:sz="0" w:space="0" w:color="auto"/>
            <w:right w:val="none" w:sz="0" w:space="0" w:color="auto"/>
          </w:divBdr>
        </w:div>
        <w:div w:id="1750954857">
          <w:marLeft w:val="0"/>
          <w:marRight w:val="0"/>
          <w:marTop w:val="0"/>
          <w:marBottom w:val="0"/>
          <w:divBdr>
            <w:top w:val="none" w:sz="0" w:space="0" w:color="auto"/>
            <w:left w:val="none" w:sz="0" w:space="0" w:color="auto"/>
            <w:bottom w:val="none" w:sz="0" w:space="0" w:color="auto"/>
            <w:right w:val="none" w:sz="0" w:space="0" w:color="auto"/>
          </w:divBdr>
        </w:div>
        <w:div w:id="1804691618">
          <w:marLeft w:val="0"/>
          <w:marRight w:val="0"/>
          <w:marTop w:val="0"/>
          <w:marBottom w:val="0"/>
          <w:divBdr>
            <w:top w:val="none" w:sz="0" w:space="0" w:color="auto"/>
            <w:left w:val="none" w:sz="0" w:space="0" w:color="auto"/>
            <w:bottom w:val="none" w:sz="0" w:space="0" w:color="auto"/>
            <w:right w:val="none" w:sz="0" w:space="0" w:color="auto"/>
          </w:divBdr>
        </w:div>
        <w:div w:id="1806195940">
          <w:marLeft w:val="0"/>
          <w:marRight w:val="0"/>
          <w:marTop w:val="0"/>
          <w:marBottom w:val="0"/>
          <w:divBdr>
            <w:top w:val="none" w:sz="0" w:space="0" w:color="auto"/>
            <w:left w:val="none" w:sz="0" w:space="0" w:color="auto"/>
            <w:bottom w:val="none" w:sz="0" w:space="0" w:color="auto"/>
            <w:right w:val="none" w:sz="0" w:space="0" w:color="auto"/>
          </w:divBdr>
        </w:div>
        <w:div w:id="1807577958">
          <w:marLeft w:val="0"/>
          <w:marRight w:val="0"/>
          <w:marTop w:val="0"/>
          <w:marBottom w:val="0"/>
          <w:divBdr>
            <w:top w:val="none" w:sz="0" w:space="0" w:color="auto"/>
            <w:left w:val="none" w:sz="0" w:space="0" w:color="auto"/>
            <w:bottom w:val="none" w:sz="0" w:space="0" w:color="auto"/>
            <w:right w:val="none" w:sz="0" w:space="0" w:color="auto"/>
          </w:divBdr>
        </w:div>
        <w:div w:id="1815559977">
          <w:marLeft w:val="0"/>
          <w:marRight w:val="0"/>
          <w:marTop w:val="0"/>
          <w:marBottom w:val="0"/>
          <w:divBdr>
            <w:top w:val="none" w:sz="0" w:space="0" w:color="auto"/>
            <w:left w:val="none" w:sz="0" w:space="0" w:color="auto"/>
            <w:bottom w:val="none" w:sz="0" w:space="0" w:color="auto"/>
            <w:right w:val="none" w:sz="0" w:space="0" w:color="auto"/>
          </w:divBdr>
        </w:div>
        <w:div w:id="1818372020">
          <w:marLeft w:val="0"/>
          <w:marRight w:val="0"/>
          <w:marTop w:val="0"/>
          <w:marBottom w:val="0"/>
          <w:divBdr>
            <w:top w:val="none" w:sz="0" w:space="0" w:color="auto"/>
            <w:left w:val="none" w:sz="0" w:space="0" w:color="auto"/>
            <w:bottom w:val="none" w:sz="0" w:space="0" w:color="auto"/>
            <w:right w:val="none" w:sz="0" w:space="0" w:color="auto"/>
          </w:divBdr>
        </w:div>
        <w:div w:id="1825775347">
          <w:marLeft w:val="0"/>
          <w:marRight w:val="0"/>
          <w:marTop w:val="0"/>
          <w:marBottom w:val="0"/>
          <w:divBdr>
            <w:top w:val="none" w:sz="0" w:space="0" w:color="auto"/>
            <w:left w:val="none" w:sz="0" w:space="0" w:color="auto"/>
            <w:bottom w:val="none" w:sz="0" w:space="0" w:color="auto"/>
            <w:right w:val="none" w:sz="0" w:space="0" w:color="auto"/>
          </w:divBdr>
        </w:div>
        <w:div w:id="1847859049">
          <w:marLeft w:val="0"/>
          <w:marRight w:val="0"/>
          <w:marTop w:val="0"/>
          <w:marBottom w:val="0"/>
          <w:divBdr>
            <w:top w:val="none" w:sz="0" w:space="0" w:color="auto"/>
            <w:left w:val="none" w:sz="0" w:space="0" w:color="auto"/>
            <w:bottom w:val="none" w:sz="0" w:space="0" w:color="auto"/>
            <w:right w:val="none" w:sz="0" w:space="0" w:color="auto"/>
          </w:divBdr>
        </w:div>
        <w:div w:id="1852257233">
          <w:marLeft w:val="0"/>
          <w:marRight w:val="0"/>
          <w:marTop w:val="0"/>
          <w:marBottom w:val="0"/>
          <w:divBdr>
            <w:top w:val="none" w:sz="0" w:space="0" w:color="auto"/>
            <w:left w:val="none" w:sz="0" w:space="0" w:color="auto"/>
            <w:bottom w:val="none" w:sz="0" w:space="0" w:color="auto"/>
            <w:right w:val="none" w:sz="0" w:space="0" w:color="auto"/>
          </w:divBdr>
        </w:div>
        <w:div w:id="1853101484">
          <w:marLeft w:val="0"/>
          <w:marRight w:val="0"/>
          <w:marTop w:val="0"/>
          <w:marBottom w:val="0"/>
          <w:divBdr>
            <w:top w:val="none" w:sz="0" w:space="0" w:color="auto"/>
            <w:left w:val="none" w:sz="0" w:space="0" w:color="auto"/>
            <w:bottom w:val="none" w:sz="0" w:space="0" w:color="auto"/>
            <w:right w:val="none" w:sz="0" w:space="0" w:color="auto"/>
          </w:divBdr>
        </w:div>
        <w:div w:id="1857452663">
          <w:marLeft w:val="0"/>
          <w:marRight w:val="0"/>
          <w:marTop w:val="0"/>
          <w:marBottom w:val="0"/>
          <w:divBdr>
            <w:top w:val="none" w:sz="0" w:space="0" w:color="auto"/>
            <w:left w:val="none" w:sz="0" w:space="0" w:color="auto"/>
            <w:bottom w:val="none" w:sz="0" w:space="0" w:color="auto"/>
            <w:right w:val="none" w:sz="0" w:space="0" w:color="auto"/>
          </w:divBdr>
        </w:div>
        <w:div w:id="1862276792">
          <w:marLeft w:val="0"/>
          <w:marRight w:val="0"/>
          <w:marTop w:val="0"/>
          <w:marBottom w:val="0"/>
          <w:divBdr>
            <w:top w:val="none" w:sz="0" w:space="0" w:color="auto"/>
            <w:left w:val="none" w:sz="0" w:space="0" w:color="auto"/>
            <w:bottom w:val="none" w:sz="0" w:space="0" w:color="auto"/>
            <w:right w:val="none" w:sz="0" w:space="0" w:color="auto"/>
          </w:divBdr>
        </w:div>
        <w:div w:id="1961643129">
          <w:marLeft w:val="0"/>
          <w:marRight w:val="0"/>
          <w:marTop w:val="0"/>
          <w:marBottom w:val="0"/>
          <w:divBdr>
            <w:top w:val="none" w:sz="0" w:space="0" w:color="auto"/>
            <w:left w:val="none" w:sz="0" w:space="0" w:color="auto"/>
            <w:bottom w:val="none" w:sz="0" w:space="0" w:color="auto"/>
            <w:right w:val="none" w:sz="0" w:space="0" w:color="auto"/>
          </w:divBdr>
        </w:div>
        <w:div w:id="1977680424">
          <w:marLeft w:val="0"/>
          <w:marRight w:val="0"/>
          <w:marTop w:val="0"/>
          <w:marBottom w:val="0"/>
          <w:divBdr>
            <w:top w:val="none" w:sz="0" w:space="0" w:color="auto"/>
            <w:left w:val="none" w:sz="0" w:space="0" w:color="auto"/>
            <w:bottom w:val="none" w:sz="0" w:space="0" w:color="auto"/>
            <w:right w:val="none" w:sz="0" w:space="0" w:color="auto"/>
          </w:divBdr>
        </w:div>
        <w:div w:id="1991133098">
          <w:marLeft w:val="0"/>
          <w:marRight w:val="0"/>
          <w:marTop w:val="0"/>
          <w:marBottom w:val="0"/>
          <w:divBdr>
            <w:top w:val="none" w:sz="0" w:space="0" w:color="auto"/>
            <w:left w:val="none" w:sz="0" w:space="0" w:color="auto"/>
            <w:bottom w:val="none" w:sz="0" w:space="0" w:color="auto"/>
            <w:right w:val="none" w:sz="0" w:space="0" w:color="auto"/>
          </w:divBdr>
        </w:div>
        <w:div w:id="2001078395">
          <w:marLeft w:val="0"/>
          <w:marRight w:val="0"/>
          <w:marTop w:val="0"/>
          <w:marBottom w:val="0"/>
          <w:divBdr>
            <w:top w:val="none" w:sz="0" w:space="0" w:color="auto"/>
            <w:left w:val="none" w:sz="0" w:space="0" w:color="auto"/>
            <w:bottom w:val="none" w:sz="0" w:space="0" w:color="auto"/>
            <w:right w:val="none" w:sz="0" w:space="0" w:color="auto"/>
          </w:divBdr>
        </w:div>
        <w:div w:id="2015060886">
          <w:marLeft w:val="0"/>
          <w:marRight w:val="0"/>
          <w:marTop w:val="0"/>
          <w:marBottom w:val="0"/>
          <w:divBdr>
            <w:top w:val="none" w:sz="0" w:space="0" w:color="auto"/>
            <w:left w:val="none" w:sz="0" w:space="0" w:color="auto"/>
            <w:bottom w:val="none" w:sz="0" w:space="0" w:color="auto"/>
            <w:right w:val="none" w:sz="0" w:space="0" w:color="auto"/>
          </w:divBdr>
        </w:div>
        <w:div w:id="2026248200">
          <w:marLeft w:val="0"/>
          <w:marRight w:val="0"/>
          <w:marTop w:val="0"/>
          <w:marBottom w:val="0"/>
          <w:divBdr>
            <w:top w:val="none" w:sz="0" w:space="0" w:color="auto"/>
            <w:left w:val="none" w:sz="0" w:space="0" w:color="auto"/>
            <w:bottom w:val="none" w:sz="0" w:space="0" w:color="auto"/>
            <w:right w:val="none" w:sz="0" w:space="0" w:color="auto"/>
          </w:divBdr>
        </w:div>
        <w:div w:id="2055689876">
          <w:marLeft w:val="0"/>
          <w:marRight w:val="0"/>
          <w:marTop w:val="0"/>
          <w:marBottom w:val="0"/>
          <w:divBdr>
            <w:top w:val="none" w:sz="0" w:space="0" w:color="auto"/>
            <w:left w:val="none" w:sz="0" w:space="0" w:color="auto"/>
            <w:bottom w:val="none" w:sz="0" w:space="0" w:color="auto"/>
            <w:right w:val="none" w:sz="0" w:space="0" w:color="auto"/>
          </w:divBdr>
        </w:div>
        <w:div w:id="2074935503">
          <w:marLeft w:val="0"/>
          <w:marRight w:val="0"/>
          <w:marTop w:val="0"/>
          <w:marBottom w:val="0"/>
          <w:divBdr>
            <w:top w:val="none" w:sz="0" w:space="0" w:color="auto"/>
            <w:left w:val="none" w:sz="0" w:space="0" w:color="auto"/>
            <w:bottom w:val="none" w:sz="0" w:space="0" w:color="auto"/>
            <w:right w:val="none" w:sz="0" w:space="0" w:color="auto"/>
          </w:divBdr>
        </w:div>
        <w:div w:id="2125926953">
          <w:marLeft w:val="0"/>
          <w:marRight w:val="0"/>
          <w:marTop w:val="0"/>
          <w:marBottom w:val="0"/>
          <w:divBdr>
            <w:top w:val="none" w:sz="0" w:space="0" w:color="auto"/>
            <w:left w:val="none" w:sz="0" w:space="0" w:color="auto"/>
            <w:bottom w:val="none" w:sz="0" w:space="0" w:color="auto"/>
            <w:right w:val="none" w:sz="0" w:space="0" w:color="auto"/>
          </w:divBdr>
        </w:div>
      </w:divsChild>
    </w:div>
    <w:div w:id="404038428">
      <w:bodyDiv w:val="1"/>
      <w:marLeft w:val="0"/>
      <w:marRight w:val="0"/>
      <w:marTop w:val="0"/>
      <w:marBottom w:val="0"/>
      <w:divBdr>
        <w:top w:val="none" w:sz="0" w:space="0" w:color="auto"/>
        <w:left w:val="none" w:sz="0" w:space="0" w:color="auto"/>
        <w:bottom w:val="none" w:sz="0" w:space="0" w:color="auto"/>
        <w:right w:val="none" w:sz="0" w:space="0" w:color="auto"/>
      </w:divBdr>
    </w:div>
    <w:div w:id="405953340">
      <w:bodyDiv w:val="1"/>
      <w:marLeft w:val="0"/>
      <w:marRight w:val="0"/>
      <w:marTop w:val="0"/>
      <w:marBottom w:val="0"/>
      <w:divBdr>
        <w:top w:val="none" w:sz="0" w:space="0" w:color="auto"/>
        <w:left w:val="none" w:sz="0" w:space="0" w:color="auto"/>
        <w:bottom w:val="none" w:sz="0" w:space="0" w:color="auto"/>
        <w:right w:val="none" w:sz="0" w:space="0" w:color="auto"/>
      </w:divBdr>
    </w:div>
    <w:div w:id="420763586">
      <w:bodyDiv w:val="1"/>
      <w:marLeft w:val="0"/>
      <w:marRight w:val="0"/>
      <w:marTop w:val="0"/>
      <w:marBottom w:val="0"/>
      <w:divBdr>
        <w:top w:val="none" w:sz="0" w:space="0" w:color="auto"/>
        <w:left w:val="none" w:sz="0" w:space="0" w:color="auto"/>
        <w:bottom w:val="none" w:sz="0" w:space="0" w:color="auto"/>
        <w:right w:val="none" w:sz="0" w:space="0" w:color="auto"/>
      </w:divBdr>
    </w:div>
    <w:div w:id="433550226">
      <w:bodyDiv w:val="1"/>
      <w:marLeft w:val="0"/>
      <w:marRight w:val="0"/>
      <w:marTop w:val="0"/>
      <w:marBottom w:val="0"/>
      <w:divBdr>
        <w:top w:val="none" w:sz="0" w:space="0" w:color="auto"/>
        <w:left w:val="none" w:sz="0" w:space="0" w:color="auto"/>
        <w:bottom w:val="none" w:sz="0" w:space="0" w:color="auto"/>
        <w:right w:val="none" w:sz="0" w:space="0" w:color="auto"/>
      </w:divBdr>
    </w:div>
    <w:div w:id="460460369">
      <w:bodyDiv w:val="1"/>
      <w:marLeft w:val="0"/>
      <w:marRight w:val="0"/>
      <w:marTop w:val="0"/>
      <w:marBottom w:val="0"/>
      <w:divBdr>
        <w:top w:val="none" w:sz="0" w:space="0" w:color="auto"/>
        <w:left w:val="none" w:sz="0" w:space="0" w:color="auto"/>
        <w:bottom w:val="none" w:sz="0" w:space="0" w:color="auto"/>
        <w:right w:val="none" w:sz="0" w:space="0" w:color="auto"/>
      </w:divBdr>
    </w:div>
    <w:div w:id="469443212">
      <w:bodyDiv w:val="1"/>
      <w:marLeft w:val="0"/>
      <w:marRight w:val="0"/>
      <w:marTop w:val="0"/>
      <w:marBottom w:val="0"/>
      <w:divBdr>
        <w:top w:val="none" w:sz="0" w:space="0" w:color="auto"/>
        <w:left w:val="none" w:sz="0" w:space="0" w:color="auto"/>
        <w:bottom w:val="none" w:sz="0" w:space="0" w:color="auto"/>
        <w:right w:val="none" w:sz="0" w:space="0" w:color="auto"/>
      </w:divBdr>
    </w:div>
    <w:div w:id="483395779">
      <w:bodyDiv w:val="1"/>
      <w:marLeft w:val="0"/>
      <w:marRight w:val="0"/>
      <w:marTop w:val="0"/>
      <w:marBottom w:val="0"/>
      <w:divBdr>
        <w:top w:val="none" w:sz="0" w:space="0" w:color="auto"/>
        <w:left w:val="none" w:sz="0" w:space="0" w:color="auto"/>
        <w:bottom w:val="none" w:sz="0" w:space="0" w:color="auto"/>
        <w:right w:val="none" w:sz="0" w:space="0" w:color="auto"/>
      </w:divBdr>
    </w:div>
    <w:div w:id="483930287">
      <w:bodyDiv w:val="1"/>
      <w:marLeft w:val="0"/>
      <w:marRight w:val="0"/>
      <w:marTop w:val="0"/>
      <w:marBottom w:val="0"/>
      <w:divBdr>
        <w:top w:val="none" w:sz="0" w:space="0" w:color="auto"/>
        <w:left w:val="none" w:sz="0" w:space="0" w:color="auto"/>
        <w:bottom w:val="none" w:sz="0" w:space="0" w:color="auto"/>
        <w:right w:val="none" w:sz="0" w:space="0" w:color="auto"/>
      </w:divBdr>
    </w:div>
    <w:div w:id="495075103">
      <w:bodyDiv w:val="1"/>
      <w:marLeft w:val="0"/>
      <w:marRight w:val="0"/>
      <w:marTop w:val="0"/>
      <w:marBottom w:val="0"/>
      <w:divBdr>
        <w:top w:val="none" w:sz="0" w:space="0" w:color="auto"/>
        <w:left w:val="none" w:sz="0" w:space="0" w:color="auto"/>
        <w:bottom w:val="none" w:sz="0" w:space="0" w:color="auto"/>
        <w:right w:val="none" w:sz="0" w:space="0" w:color="auto"/>
      </w:divBdr>
    </w:div>
    <w:div w:id="498546312">
      <w:bodyDiv w:val="1"/>
      <w:marLeft w:val="0"/>
      <w:marRight w:val="0"/>
      <w:marTop w:val="0"/>
      <w:marBottom w:val="0"/>
      <w:divBdr>
        <w:top w:val="none" w:sz="0" w:space="0" w:color="auto"/>
        <w:left w:val="none" w:sz="0" w:space="0" w:color="auto"/>
        <w:bottom w:val="none" w:sz="0" w:space="0" w:color="auto"/>
        <w:right w:val="none" w:sz="0" w:space="0" w:color="auto"/>
      </w:divBdr>
    </w:div>
    <w:div w:id="505904331">
      <w:bodyDiv w:val="1"/>
      <w:marLeft w:val="0"/>
      <w:marRight w:val="0"/>
      <w:marTop w:val="0"/>
      <w:marBottom w:val="0"/>
      <w:divBdr>
        <w:top w:val="none" w:sz="0" w:space="0" w:color="auto"/>
        <w:left w:val="none" w:sz="0" w:space="0" w:color="auto"/>
        <w:bottom w:val="none" w:sz="0" w:space="0" w:color="auto"/>
        <w:right w:val="none" w:sz="0" w:space="0" w:color="auto"/>
      </w:divBdr>
    </w:div>
    <w:div w:id="506677262">
      <w:bodyDiv w:val="1"/>
      <w:marLeft w:val="0"/>
      <w:marRight w:val="0"/>
      <w:marTop w:val="0"/>
      <w:marBottom w:val="0"/>
      <w:divBdr>
        <w:top w:val="none" w:sz="0" w:space="0" w:color="auto"/>
        <w:left w:val="none" w:sz="0" w:space="0" w:color="auto"/>
        <w:bottom w:val="none" w:sz="0" w:space="0" w:color="auto"/>
        <w:right w:val="none" w:sz="0" w:space="0" w:color="auto"/>
      </w:divBdr>
    </w:div>
    <w:div w:id="509947434">
      <w:bodyDiv w:val="1"/>
      <w:marLeft w:val="0"/>
      <w:marRight w:val="0"/>
      <w:marTop w:val="0"/>
      <w:marBottom w:val="0"/>
      <w:divBdr>
        <w:top w:val="none" w:sz="0" w:space="0" w:color="auto"/>
        <w:left w:val="none" w:sz="0" w:space="0" w:color="auto"/>
        <w:bottom w:val="none" w:sz="0" w:space="0" w:color="auto"/>
        <w:right w:val="none" w:sz="0" w:space="0" w:color="auto"/>
      </w:divBdr>
      <w:divsChild>
        <w:div w:id="1545560729">
          <w:marLeft w:val="0"/>
          <w:marRight w:val="0"/>
          <w:marTop w:val="0"/>
          <w:marBottom w:val="0"/>
          <w:divBdr>
            <w:top w:val="none" w:sz="0" w:space="0" w:color="auto"/>
            <w:left w:val="none" w:sz="0" w:space="0" w:color="auto"/>
            <w:bottom w:val="none" w:sz="0" w:space="0" w:color="auto"/>
            <w:right w:val="none" w:sz="0" w:space="0" w:color="auto"/>
          </w:divBdr>
          <w:divsChild>
            <w:div w:id="47925159">
              <w:marLeft w:val="0"/>
              <w:marRight w:val="0"/>
              <w:marTop w:val="0"/>
              <w:marBottom w:val="0"/>
              <w:divBdr>
                <w:top w:val="none" w:sz="0" w:space="0" w:color="auto"/>
                <w:left w:val="none" w:sz="0" w:space="0" w:color="auto"/>
                <w:bottom w:val="none" w:sz="0" w:space="0" w:color="auto"/>
                <w:right w:val="none" w:sz="0" w:space="0" w:color="auto"/>
              </w:divBdr>
              <w:divsChild>
                <w:div w:id="1313411640">
                  <w:marLeft w:val="0"/>
                  <w:marRight w:val="0"/>
                  <w:marTop w:val="0"/>
                  <w:marBottom w:val="0"/>
                  <w:divBdr>
                    <w:top w:val="none" w:sz="0" w:space="0" w:color="auto"/>
                    <w:left w:val="none" w:sz="0" w:space="0" w:color="auto"/>
                    <w:bottom w:val="none" w:sz="0" w:space="0" w:color="auto"/>
                    <w:right w:val="none" w:sz="0" w:space="0" w:color="auto"/>
                  </w:divBdr>
                  <w:divsChild>
                    <w:div w:id="133314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126576">
          <w:marLeft w:val="0"/>
          <w:marRight w:val="0"/>
          <w:marTop w:val="0"/>
          <w:marBottom w:val="0"/>
          <w:divBdr>
            <w:top w:val="none" w:sz="0" w:space="0" w:color="auto"/>
            <w:left w:val="none" w:sz="0" w:space="0" w:color="auto"/>
            <w:bottom w:val="none" w:sz="0" w:space="0" w:color="auto"/>
            <w:right w:val="none" w:sz="0" w:space="0" w:color="auto"/>
          </w:divBdr>
          <w:divsChild>
            <w:div w:id="1427574381">
              <w:marLeft w:val="0"/>
              <w:marRight w:val="0"/>
              <w:marTop w:val="0"/>
              <w:marBottom w:val="0"/>
              <w:divBdr>
                <w:top w:val="none" w:sz="0" w:space="0" w:color="auto"/>
                <w:left w:val="none" w:sz="0" w:space="0" w:color="auto"/>
                <w:bottom w:val="none" w:sz="0" w:space="0" w:color="auto"/>
                <w:right w:val="none" w:sz="0" w:space="0" w:color="auto"/>
              </w:divBdr>
              <w:divsChild>
                <w:div w:id="645742508">
                  <w:marLeft w:val="0"/>
                  <w:marRight w:val="0"/>
                  <w:marTop w:val="0"/>
                  <w:marBottom w:val="0"/>
                  <w:divBdr>
                    <w:top w:val="none" w:sz="0" w:space="0" w:color="auto"/>
                    <w:left w:val="none" w:sz="0" w:space="0" w:color="auto"/>
                    <w:bottom w:val="none" w:sz="0" w:space="0" w:color="auto"/>
                    <w:right w:val="none" w:sz="0" w:space="0" w:color="auto"/>
                  </w:divBdr>
                  <w:divsChild>
                    <w:div w:id="135904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273869">
      <w:bodyDiv w:val="1"/>
      <w:marLeft w:val="0"/>
      <w:marRight w:val="0"/>
      <w:marTop w:val="0"/>
      <w:marBottom w:val="0"/>
      <w:divBdr>
        <w:top w:val="none" w:sz="0" w:space="0" w:color="auto"/>
        <w:left w:val="none" w:sz="0" w:space="0" w:color="auto"/>
        <w:bottom w:val="none" w:sz="0" w:space="0" w:color="auto"/>
        <w:right w:val="none" w:sz="0" w:space="0" w:color="auto"/>
      </w:divBdr>
    </w:div>
    <w:div w:id="516506092">
      <w:bodyDiv w:val="1"/>
      <w:marLeft w:val="0"/>
      <w:marRight w:val="0"/>
      <w:marTop w:val="0"/>
      <w:marBottom w:val="0"/>
      <w:divBdr>
        <w:top w:val="none" w:sz="0" w:space="0" w:color="auto"/>
        <w:left w:val="none" w:sz="0" w:space="0" w:color="auto"/>
        <w:bottom w:val="none" w:sz="0" w:space="0" w:color="auto"/>
        <w:right w:val="none" w:sz="0" w:space="0" w:color="auto"/>
      </w:divBdr>
    </w:div>
    <w:div w:id="539828101">
      <w:bodyDiv w:val="1"/>
      <w:marLeft w:val="0"/>
      <w:marRight w:val="0"/>
      <w:marTop w:val="0"/>
      <w:marBottom w:val="0"/>
      <w:divBdr>
        <w:top w:val="none" w:sz="0" w:space="0" w:color="auto"/>
        <w:left w:val="none" w:sz="0" w:space="0" w:color="auto"/>
        <w:bottom w:val="none" w:sz="0" w:space="0" w:color="auto"/>
        <w:right w:val="none" w:sz="0" w:space="0" w:color="auto"/>
      </w:divBdr>
    </w:div>
    <w:div w:id="551622756">
      <w:bodyDiv w:val="1"/>
      <w:marLeft w:val="0"/>
      <w:marRight w:val="0"/>
      <w:marTop w:val="0"/>
      <w:marBottom w:val="0"/>
      <w:divBdr>
        <w:top w:val="none" w:sz="0" w:space="0" w:color="auto"/>
        <w:left w:val="none" w:sz="0" w:space="0" w:color="auto"/>
        <w:bottom w:val="none" w:sz="0" w:space="0" w:color="auto"/>
        <w:right w:val="none" w:sz="0" w:space="0" w:color="auto"/>
      </w:divBdr>
    </w:div>
    <w:div w:id="552618237">
      <w:bodyDiv w:val="1"/>
      <w:marLeft w:val="0"/>
      <w:marRight w:val="0"/>
      <w:marTop w:val="0"/>
      <w:marBottom w:val="0"/>
      <w:divBdr>
        <w:top w:val="none" w:sz="0" w:space="0" w:color="auto"/>
        <w:left w:val="none" w:sz="0" w:space="0" w:color="auto"/>
        <w:bottom w:val="none" w:sz="0" w:space="0" w:color="auto"/>
        <w:right w:val="none" w:sz="0" w:space="0" w:color="auto"/>
      </w:divBdr>
    </w:div>
    <w:div w:id="554661563">
      <w:bodyDiv w:val="1"/>
      <w:marLeft w:val="0"/>
      <w:marRight w:val="0"/>
      <w:marTop w:val="0"/>
      <w:marBottom w:val="0"/>
      <w:divBdr>
        <w:top w:val="none" w:sz="0" w:space="0" w:color="auto"/>
        <w:left w:val="none" w:sz="0" w:space="0" w:color="auto"/>
        <w:bottom w:val="none" w:sz="0" w:space="0" w:color="auto"/>
        <w:right w:val="none" w:sz="0" w:space="0" w:color="auto"/>
      </w:divBdr>
    </w:div>
    <w:div w:id="556671740">
      <w:bodyDiv w:val="1"/>
      <w:marLeft w:val="0"/>
      <w:marRight w:val="0"/>
      <w:marTop w:val="0"/>
      <w:marBottom w:val="0"/>
      <w:divBdr>
        <w:top w:val="none" w:sz="0" w:space="0" w:color="auto"/>
        <w:left w:val="none" w:sz="0" w:space="0" w:color="auto"/>
        <w:bottom w:val="none" w:sz="0" w:space="0" w:color="auto"/>
        <w:right w:val="none" w:sz="0" w:space="0" w:color="auto"/>
      </w:divBdr>
    </w:div>
    <w:div w:id="557135002">
      <w:bodyDiv w:val="1"/>
      <w:marLeft w:val="0"/>
      <w:marRight w:val="0"/>
      <w:marTop w:val="0"/>
      <w:marBottom w:val="0"/>
      <w:divBdr>
        <w:top w:val="none" w:sz="0" w:space="0" w:color="auto"/>
        <w:left w:val="none" w:sz="0" w:space="0" w:color="auto"/>
        <w:bottom w:val="none" w:sz="0" w:space="0" w:color="auto"/>
        <w:right w:val="none" w:sz="0" w:space="0" w:color="auto"/>
      </w:divBdr>
    </w:div>
    <w:div w:id="559632344">
      <w:bodyDiv w:val="1"/>
      <w:marLeft w:val="0"/>
      <w:marRight w:val="0"/>
      <w:marTop w:val="0"/>
      <w:marBottom w:val="0"/>
      <w:divBdr>
        <w:top w:val="none" w:sz="0" w:space="0" w:color="auto"/>
        <w:left w:val="none" w:sz="0" w:space="0" w:color="auto"/>
        <w:bottom w:val="none" w:sz="0" w:space="0" w:color="auto"/>
        <w:right w:val="none" w:sz="0" w:space="0" w:color="auto"/>
      </w:divBdr>
    </w:div>
    <w:div w:id="562254408">
      <w:bodyDiv w:val="1"/>
      <w:marLeft w:val="0"/>
      <w:marRight w:val="0"/>
      <w:marTop w:val="0"/>
      <w:marBottom w:val="0"/>
      <w:divBdr>
        <w:top w:val="none" w:sz="0" w:space="0" w:color="auto"/>
        <w:left w:val="none" w:sz="0" w:space="0" w:color="auto"/>
        <w:bottom w:val="none" w:sz="0" w:space="0" w:color="auto"/>
        <w:right w:val="none" w:sz="0" w:space="0" w:color="auto"/>
      </w:divBdr>
    </w:div>
    <w:div w:id="564222013">
      <w:bodyDiv w:val="1"/>
      <w:marLeft w:val="0"/>
      <w:marRight w:val="0"/>
      <w:marTop w:val="0"/>
      <w:marBottom w:val="0"/>
      <w:divBdr>
        <w:top w:val="none" w:sz="0" w:space="0" w:color="auto"/>
        <w:left w:val="none" w:sz="0" w:space="0" w:color="auto"/>
        <w:bottom w:val="none" w:sz="0" w:space="0" w:color="auto"/>
        <w:right w:val="none" w:sz="0" w:space="0" w:color="auto"/>
      </w:divBdr>
    </w:div>
    <w:div w:id="576983072">
      <w:bodyDiv w:val="1"/>
      <w:marLeft w:val="0"/>
      <w:marRight w:val="0"/>
      <w:marTop w:val="0"/>
      <w:marBottom w:val="0"/>
      <w:divBdr>
        <w:top w:val="none" w:sz="0" w:space="0" w:color="auto"/>
        <w:left w:val="none" w:sz="0" w:space="0" w:color="auto"/>
        <w:bottom w:val="none" w:sz="0" w:space="0" w:color="auto"/>
        <w:right w:val="none" w:sz="0" w:space="0" w:color="auto"/>
      </w:divBdr>
    </w:div>
    <w:div w:id="583688921">
      <w:bodyDiv w:val="1"/>
      <w:marLeft w:val="0"/>
      <w:marRight w:val="0"/>
      <w:marTop w:val="0"/>
      <w:marBottom w:val="0"/>
      <w:divBdr>
        <w:top w:val="none" w:sz="0" w:space="0" w:color="auto"/>
        <w:left w:val="none" w:sz="0" w:space="0" w:color="auto"/>
        <w:bottom w:val="none" w:sz="0" w:space="0" w:color="auto"/>
        <w:right w:val="none" w:sz="0" w:space="0" w:color="auto"/>
      </w:divBdr>
    </w:div>
    <w:div w:id="609162726">
      <w:bodyDiv w:val="1"/>
      <w:marLeft w:val="0"/>
      <w:marRight w:val="0"/>
      <w:marTop w:val="0"/>
      <w:marBottom w:val="0"/>
      <w:divBdr>
        <w:top w:val="none" w:sz="0" w:space="0" w:color="auto"/>
        <w:left w:val="none" w:sz="0" w:space="0" w:color="auto"/>
        <w:bottom w:val="none" w:sz="0" w:space="0" w:color="auto"/>
        <w:right w:val="none" w:sz="0" w:space="0" w:color="auto"/>
      </w:divBdr>
    </w:div>
    <w:div w:id="615408980">
      <w:bodyDiv w:val="1"/>
      <w:marLeft w:val="0"/>
      <w:marRight w:val="0"/>
      <w:marTop w:val="0"/>
      <w:marBottom w:val="0"/>
      <w:divBdr>
        <w:top w:val="none" w:sz="0" w:space="0" w:color="auto"/>
        <w:left w:val="none" w:sz="0" w:space="0" w:color="auto"/>
        <w:bottom w:val="none" w:sz="0" w:space="0" w:color="auto"/>
        <w:right w:val="none" w:sz="0" w:space="0" w:color="auto"/>
      </w:divBdr>
    </w:div>
    <w:div w:id="652687185">
      <w:bodyDiv w:val="1"/>
      <w:marLeft w:val="0"/>
      <w:marRight w:val="0"/>
      <w:marTop w:val="0"/>
      <w:marBottom w:val="0"/>
      <w:divBdr>
        <w:top w:val="none" w:sz="0" w:space="0" w:color="auto"/>
        <w:left w:val="none" w:sz="0" w:space="0" w:color="auto"/>
        <w:bottom w:val="none" w:sz="0" w:space="0" w:color="auto"/>
        <w:right w:val="none" w:sz="0" w:space="0" w:color="auto"/>
      </w:divBdr>
    </w:div>
    <w:div w:id="653530914">
      <w:bodyDiv w:val="1"/>
      <w:marLeft w:val="0"/>
      <w:marRight w:val="0"/>
      <w:marTop w:val="0"/>
      <w:marBottom w:val="0"/>
      <w:divBdr>
        <w:top w:val="none" w:sz="0" w:space="0" w:color="auto"/>
        <w:left w:val="none" w:sz="0" w:space="0" w:color="auto"/>
        <w:bottom w:val="none" w:sz="0" w:space="0" w:color="auto"/>
        <w:right w:val="none" w:sz="0" w:space="0" w:color="auto"/>
      </w:divBdr>
    </w:div>
    <w:div w:id="656497607">
      <w:bodyDiv w:val="1"/>
      <w:marLeft w:val="0"/>
      <w:marRight w:val="0"/>
      <w:marTop w:val="0"/>
      <w:marBottom w:val="0"/>
      <w:divBdr>
        <w:top w:val="none" w:sz="0" w:space="0" w:color="auto"/>
        <w:left w:val="none" w:sz="0" w:space="0" w:color="auto"/>
        <w:bottom w:val="none" w:sz="0" w:space="0" w:color="auto"/>
        <w:right w:val="none" w:sz="0" w:space="0" w:color="auto"/>
      </w:divBdr>
      <w:divsChild>
        <w:div w:id="19161142">
          <w:marLeft w:val="0"/>
          <w:marRight w:val="0"/>
          <w:marTop w:val="0"/>
          <w:marBottom w:val="0"/>
          <w:divBdr>
            <w:top w:val="none" w:sz="0" w:space="0" w:color="auto"/>
            <w:left w:val="none" w:sz="0" w:space="0" w:color="auto"/>
            <w:bottom w:val="none" w:sz="0" w:space="0" w:color="auto"/>
            <w:right w:val="none" w:sz="0" w:space="0" w:color="auto"/>
          </w:divBdr>
        </w:div>
        <w:div w:id="180551874">
          <w:marLeft w:val="0"/>
          <w:marRight w:val="0"/>
          <w:marTop w:val="0"/>
          <w:marBottom w:val="0"/>
          <w:divBdr>
            <w:top w:val="none" w:sz="0" w:space="0" w:color="auto"/>
            <w:left w:val="none" w:sz="0" w:space="0" w:color="auto"/>
            <w:bottom w:val="none" w:sz="0" w:space="0" w:color="auto"/>
            <w:right w:val="none" w:sz="0" w:space="0" w:color="auto"/>
          </w:divBdr>
        </w:div>
        <w:div w:id="1118531117">
          <w:marLeft w:val="0"/>
          <w:marRight w:val="0"/>
          <w:marTop w:val="0"/>
          <w:marBottom w:val="0"/>
          <w:divBdr>
            <w:top w:val="none" w:sz="0" w:space="0" w:color="auto"/>
            <w:left w:val="none" w:sz="0" w:space="0" w:color="auto"/>
            <w:bottom w:val="none" w:sz="0" w:space="0" w:color="auto"/>
            <w:right w:val="none" w:sz="0" w:space="0" w:color="auto"/>
          </w:divBdr>
        </w:div>
        <w:div w:id="1215584290">
          <w:marLeft w:val="0"/>
          <w:marRight w:val="0"/>
          <w:marTop w:val="0"/>
          <w:marBottom w:val="0"/>
          <w:divBdr>
            <w:top w:val="none" w:sz="0" w:space="0" w:color="auto"/>
            <w:left w:val="none" w:sz="0" w:space="0" w:color="auto"/>
            <w:bottom w:val="none" w:sz="0" w:space="0" w:color="auto"/>
            <w:right w:val="none" w:sz="0" w:space="0" w:color="auto"/>
          </w:divBdr>
        </w:div>
        <w:div w:id="1827624516">
          <w:marLeft w:val="0"/>
          <w:marRight w:val="0"/>
          <w:marTop w:val="0"/>
          <w:marBottom w:val="0"/>
          <w:divBdr>
            <w:top w:val="none" w:sz="0" w:space="0" w:color="auto"/>
            <w:left w:val="none" w:sz="0" w:space="0" w:color="auto"/>
            <w:bottom w:val="none" w:sz="0" w:space="0" w:color="auto"/>
            <w:right w:val="none" w:sz="0" w:space="0" w:color="auto"/>
          </w:divBdr>
        </w:div>
      </w:divsChild>
    </w:div>
    <w:div w:id="661079962">
      <w:bodyDiv w:val="1"/>
      <w:marLeft w:val="0"/>
      <w:marRight w:val="0"/>
      <w:marTop w:val="0"/>
      <w:marBottom w:val="0"/>
      <w:divBdr>
        <w:top w:val="none" w:sz="0" w:space="0" w:color="auto"/>
        <w:left w:val="none" w:sz="0" w:space="0" w:color="auto"/>
        <w:bottom w:val="none" w:sz="0" w:space="0" w:color="auto"/>
        <w:right w:val="none" w:sz="0" w:space="0" w:color="auto"/>
      </w:divBdr>
    </w:div>
    <w:div w:id="667636442">
      <w:bodyDiv w:val="1"/>
      <w:marLeft w:val="0"/>
      <w:marRight w:val="0"/>
      <w:marTop w:val="0"/>
      <w:marBottom w:val="0"/>
      <w:divBdr>
        <w:top w:val="none" w:sz="0" w:space="0" w:color="auto"/>
        <w:left w:val="none" w:sz="0" w:space="0" w:color="auto"/>
        <w:bottom w:val="none" w:sz="0" w:space="0" w:color="auto"/>
        <w:right w:val="none" w:sz="0" w:space="0" w:color="auto"/>
      </w:divBdr>
      <w:divsChild>
        <w:div w:id="1113132694">
          <w:marLeft w:val="0"/>
          <w:marRight w:val="0"/>
          <w:marTop w:val="0"/>
          <w:marBottom w:val="0"/>
          <w:divBdr>
            <w:top w:val="none" w:sz="0" w:space="0" w:color="auto"/>
            <w:left w:val="none" w:sz="0" w:space="0" w:color="auto"/>
            <w:bottom w:val="none" w:sz="0" w:space="0" w:color="auto"/>
            <w:right w:val="none" w:sz="0" w:space="0" w:color="auto"/>
          </w:divBdr>
        </w:div>
        <w:div w:id="1722749254">
          <w:marLeft w:val="0"/>
          <w:marRight w:val="0"/>
          <w:marTop w:val="0"/>
          <w:marBottom w:val="0"/>
          <w:divBdr>
            <w:top w:val="none" w:sz="0" w:space="0" w:color="auto"/>
            <w:left w:val="none" w:sz="0" w:space="0" w:color="auto"/>
            <w:bottom w:val="none" w:sz="0" w:space="0" w:color="auto"/>
            <w:right w:val="none" w:sz="0" w:space="0" w:color="auto"/>
          </w:divBdr>
        </w:div>
      </w:divsChild>
    </w:div>
    <w:div w:id="678625719">
      <w:bodyDiv w:val="1"/>
      <w:marLeft w:val="0"/>
      <w:marRight w:val="0"/>
      <w:marTop w:val="0"/>
      <w:marBottom w:val="0"/>
      <w:divBdr>
        <w:top w:val="none" w:sz="0" w:space="0" w:color="auto"/>
        <w:left w:val="none" w:sz="0" w:space="0" w:color="auto"/>
        <w:bottom w:val="none" w:sz="0" w:space="0" w:color="auto"/>
        <w:right w:val="none" w:sz="0" w:space="0" w:color="auto"/>
      </w:divBdr>
    </w:div>
    <w:div w:id="679043150">
      <w:bodyDiv w:val="1"/>
      <w:marLeft w:val="0"/>
      <w:marRight w:val="0"/>
      <w:marTop w:val="0"/>
      <w:marBottom w:val="0"/>
      <w:divBdr>
        <w:top w:val="none" w:sz="0" w:space="0" w:color="auto"/>
        <w:left w:val="none" w:sz="0" w:space="0" w:color="auto"/>
        <w:bottom w:val="none" w:sz="0" w:space="0" w:color="auto"/>
        <w:right w:val="none" w:sz="0" w:space="0" w:color="auto"/>
      </w:divBdr>
    </w:div>
    <w:div w:id="703097936">
      <w:bodyDiv w:val="1"/>
      <w:marLeft w:val="0"/>
      <w:marRight w:val="0"/>
      <w:marTop w:val="0"/>
      <w:marBottom w:val="0"/>
      <w:divBdr>
        <w:top w:val="none" w:sz="0" w:space="0" w:color="auto"/>
        <w:left w:val="none" w:sz="0" w:space="0" w:color="auto"/>
        <w:bottom w:val="none" w:sz="0" w:space="0" w:color="auto"/>
        <w:right w:val="none" w:sz="0" w:space="0" w:color="auto"/>
      </w:divBdr>
    </w:div>
    <w:div w:id="708378950">
      <w:bodyDiv w:val="1"/>
      <w:marLeft w:val="0"/>
      <w:marRight w:val="0"/>
      <w:marTop w:val="0"/>
      <w:marBottom w:val="0"/>
      <w:divBdr>
        <w:top w:val="none" w:sz="0" w:space="0" w:color="auto"/>
        <w:left w:val="none" w:sz="0" w:space="0" w:color="auto"/>
        <w:bottom w:val="none" w:sz="0" w:space="0" w:color="auto"/>
        <w:right w:val="none" w:sz="0" w:space="0" w:color="auto"/>
      </w:divBdr>
    </w:div>
    <w:div w:id="716514503">
      <w:bodyDiv w:val="1"/>
      <w:marLeft w:val="0"/>
      <w:marRight w:val="0"/>
      <w:marTop w:val="0"/>
      <w:marBottom w:val="0"/>
      <w:divBdr>
        <w:top w:val="none" w:sz="0" w:space="0" w:color="auto"/>
        <w:left w:val="none" w:sz="0" w:space="0" w:color="auto"/>
        <w:bottom w:val="none" w:sz="0" w:space="0" w:color="auto"/>
        <w:right w:val="none" w:sz="0" w:space="0" w:color="auto"/>
      </w:divBdr>
    </w:div>
    <w:div w:id="767116061">
      <w:bodyDiv w:val="1"/>
      <w:marLeft w:val="0"/>
      <w:marRight w:val="0"/>
      <w:marTop w:val="0"/>
      <w:marBottom w:val="0"/>
      <w:divBdr>
        <w:top w:val="none" w:sz="0" w:space="0" w:color="auto"/>
        <w:left w:val="none" w:sz="0" w:space="0" w:color="auto"/>
        <w:bottom w:val="none" w:sz="0" w:space="0" w:color="auto"/>
        <w:right w:val="none" w:sz="0" w:space="0" w:color="auto"/>
      </w:divBdr>
    </w:div>
    <w:div w:id="770004259">
      <w:bodyDiv w:val="1"/>
      <w:marLeft w:val="0"/>
      <w:marRight w:val="0"/>
      <w:marTop w:val="0"/>
      <w:marBottom w:val="0"/>
      <w:divBdr>
        <w:top w:val="none" w:sz="0" w:space="0" w:color="auto"/>
        <w:left w:val="none" w:sz="0" w:space="0" w:color="auto"/>
        <w:bottom w:val="none" w:sz="0" w:space="0" w:color="auto"/>
        <w:right w:val="none" w:sz="0" w:space="0" w:color="auto"/>
      </w:divBdr>
    </w:div>
    <w:div w:id="789085417">
      <w:bodyDiv w:val="1"/>
      <w:marLeft w:val="0"/>
      <w:marRight w:val="0"/>
      <w:marTop w:val="0"/>
      <w:marBottom w:val="0"/>
      <w:divBdr>
        <w:top w:val="none" w:sz="0" w:space="0" w:color="auto"/>
        <w:left w:val="none" w:sz="0" w:space="0" w:color="auto"/>
        <w:bottom w:val="none" w:sz="0" w:space="0" w:color="auto"/>
        <w:right w:val="none" w:sz="0" w:space="0" w:color="auto"/>
      </w:divBdr>
    </w:div>
    <w:div w:id="792558016">
      <w:bodyDiv w:val="1"/>
      <w:marLeft w:val="0"/>
      <w:marRight w:val="0"/>
      <w:marTop w:val="0"/>
      <w:marBottom w:val="0"/>
      <w:divBdr>
        <w:top w:val="none" w:sz="0" w:space="0" w:color="auto"/>
        <w:left w:val="none" w:sz="0" w:space="0" w:color="auto"/>
        <w:bottom w:val="none" w:sz="0" w:space="0" w:color="auto"/>
        <w:right w:val="none" w:sz="0" w:space="0" w:color="auto"/>
      </w:divBdr>
    </w:div>
    <w:div w:id="794101098">
      <w:bodyDiv w:val="1"/>
      <w:marLeft w:val="0"/>
      <w:marRight w:val="0"/>
      <w:marTop w:val="0"/>
      <w:marBottom w:val="0"/>
      <w:divBdr>
        <w:top w:val="none" w:sz="0" w:space="0" w:color="auto"/>
        <w:left w:val="none" w:sz="0" w:space="0" w:color="auto"/>
        <w:bottom w:val="none" w:sz="0" w:space="0" w:color="auto"/>
        <w:right w:val="none" w:sz="0" w:space="0" w:color="auto"/>
      </w:divBdr>
      <w:divsChild>
        <w:div w:id="1635058272">
          <w:marLeft w:val="0"/>
          <w:marRight w:val="0"/>
          <w:marTop w:val="0"/>
          <w:marBottom w:val="0"/>
          <w:divBdr>
            <w:top w:val="none" w:sz="0" w:space="0" w:color="auto"/>
            <w:left w:val="none" w:sz="0" w:space="0" w:color="auto"/>
            <w:bottom w:val="none" w:sz="0" w:space="0" w:color="auto"/>
            <w:right w:val="none" w:sz="0" w:space="0" w:color="auto"/>
          </w:divBdr>
          <w:divsChild>
            <w:div w:id="1471048274">
              <w:marLeft w:val="0"/>
              <w:marRight w:val="0"/>
              <w:marTop w:val="0"/>
              <w:marBottom w:val="0"/>
              <w:divBdr>
                <w:top w:val="none" w:sz="0" w:space="0" w:color="auto"/>
                <w:left w:val="none" w:sz="0" w:space="0" w:color="auto"/>
                <w:bottom w:val="none" w:sz="0" w:space="0" w:color="auto"/>
                <w:right w:val="none" w:sz="0" w:space="0" w:color="auto"/>
              </w:divBdr>
              <w:divsChild>
                <w:div w:id="149374146">
                  <w:marLeft w:val="0"/>
                  <w:marRight w:val="0"/>
                  <w:marTop w:val="0"/>
                  <w:marBottom w:val="0"/>
                  <w:divBdr>
                    <w:top w:val="none" w:sz="0" w:space="0" w:color="auto"/>
                    <w:left w:val="none" w:sz="0" w:space="0" w:color="auto"/>
                    <w:bottom w:val="none" w:sz="0" w:space="0" w:color="auto"/>
                    <w:right w:val="none" w:sz="0" w:space="0" w:color="auto"/>
                  </w:divBdr>
                  <w:divsChild>
                    <w:div w:id="154953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938913">
          <w:marLeft w:val="0"/>
          <w:marRight w:val="0"/>
          <w:marTop w:val="0"/>
          <w:marBottom w:val="0"/>
          <w:divBdr>
            <w:top w:val="none" w:sz="0" w:space="0" w:color="auto"/>
            <w:left w:val="none" w:sz="0" w:space="0" w:color="auto"/>
            <w:bottom w:val="none" w:sz="0" w:space="0" w:color="auto"/>
            <w:right w:val="none" w:sz="0" w:space="0" w:color="auto"/>
          </w:divBdr>
          <w:divsChild>
            <w:div w:id="1068650731">
              <w:marLeft w:val="0"/>
              <w:marRight w:val="0"/>
              <w:marTop w:val="0"/>
              <w:marBottom w:val="0"/>
              <w:divBdr>
                <w:top w:val="none" w:sz="0" w:space="0" w:color="auto"/>
                <w:left w:val="none" w:sz="0" w:space="0" w:color="auto"/>
                <w:bottom w:val="none" w:sz="0" w:space="0" w:color="auto"/>
                <w:right w:val="none" w:sz="0" w:space="0" w:color="auto"/>
              </w:divBdr>
              <w:divsChild>
                <w:div w:id="990989095">
                  <w:marLeft w:val="0"/>
                  <w:marRight w:val="0"/>
                  <w:marTop w:val="0"/>
                  <w:marBottom w:val="0"/>
                  <w:divBdr>
                    <w:top w:val="none" w:sz="0" w:space="0" w:color="auto"/>
                    <w:left w:val="none" w:sz="0" w:space="0" w:color="auto"/>
                    <w:bottom w:val="none" w:sz="0" w:space="0" w:color="auto"/>
                    <w:right w:val="none" w:sz="0" w:space="0" w:color="auto"/>
                  </w:divBdr>
                  <w:divsChild>
                    <w:div w:id="78558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307629">
      <w:bodyDiv w:val="1"/>
      <w:marLeft w:val="0"/>
      <w:marRight w:val="0"/>
      <w:marTop w:val="0"/>
      <w:marBottom w:val="0"/>
      <w:divBdr>
        <w:top w:val="none" w:sz="0" w:space="0" w:color="auto"/>
        <w:left w:val="none" w:sz="0" w:space="0" w:color="auto"/>
        <w:bottom w:val="none" w:sz="0" w:space="0" w:color="auto"/>
        <w:right w:val="none" w:sz="0" w:space="0" w:color="auto"/>
      </w:divBdr>
    </w:div>
    <w:div w:id="804468261">
      <w:bodyDiv w:val="1"/>
      <w:marLeft w:val="0"/>
      <w:marRight w:val="0"/>
      <w:marTop w:val="0"/>
      <w:marBottom w:val="0"/>
      <w:divBdr>
        <w:top w:val="none" w:sz="0" w:space="0" w:color="auto"/>
        <w:left w:val="none" w:sz="0" w:space="0" w:color="auto"/>
        <w:bottom w:val="none" w:sz="0" w:space="0" w:color="auto"/>
        <w:right w:val="none" w:sz="0" w:space="0" w:color="auto"/>
      </w:divBdr>
    </w:div>
    <w:div w:id="819729069">
      <w:bodyDiv w:val="1"/>
      <w:marLeft w:val="0"/>
      <w:marRight w:val="0"/>
      <w:marTop w:val="0"/>
      <w:marBottom w:val="0"/>
      <w:divBdr>
        <w:top w:val="none" w:sz="0" w:space="0" w:color="auto"/>
        <w:left w:val="none" w:sz="0" w:space="0" w:color="auto"/>
        <w:bottom w:val="none" w:sz="0" w:space="0" w:color="auto"/>
        <w:right w:val="none" w:sz="0" w:space="0" w:color="auto"/>
      </w:divBdr>
    </w:div>
    <w:div w:id="821193200">
      <w:bodyDiv w:val="1"/>
      <w:marLeft w:val="0"/>
      <w:marRight w:val="0"/>
      <w:marTop w:val="0"/>
      <w:marBottom w:val="0"/>
      <w:divBdr>
        <w:top w:val="none" w:sz="0" w:space="0" w:color="auto"/>
        <w:left w:val="none" w:sz="0" w:space="0" w:color="auto"/>
        <w:bottom w:val="none" w:sz="0" w:space="0" w:color="auto"/>
        <w:right w:val="none" w:sz="0" w:space="0" w:color="auto"/>
      </w:divBdr>
    </w:div>
    <w:div w:id="822088080">
      <w:bodyDiv w:val="1"/>
      <w:marLeft w:val="0"/>
      <w:marRight w:val="0"/>
      <w:marTop w:val="0"/>
      <w:marBottom w:val="0"/>
      <w:divBdr>
        <w:top w:val="none" w:sz="0" w:space="0" w:color="auto"/>
        <w:left w:val="none" w:sz="0" w:space="0" w:color="auto"/>
        <w:bottom w:val="none" w:sz="0" w:space="0" w:color="auto"/>
        <w:right w:val="none" w:sz="0" w:space="0" w:color="auto"/>
      </w:divBdr>
      <w:divsChild>
        <w:div w:id="78407373">
          <w:marLeft w:val="0"/>
          <w:marRight w:val="0"/>
          <w:marTop w:val="0"/>
          <w:marBottom w:val="0"/>
          <w:divBdr>
            <w:top w:val="none" w:sz="0" w:space="0" w:color="auto"/>
            <w:left w:val="none" w:sz="0" w:space="0" w:color="auto"/>
            <w:bottom w:val="none" w:sz="0" w:space="0" w:color="auto"/>
            <w:right w:val="none" w:sz="0" w:space="0" w:color="auto"/>
          </w:divBdr>
        </w:div>
        <w:div w:id="124543931">
          <w:marLeft w:val="0"/>
          <w:marRight w:val="0"/>
          <w:marTop w:val="0"/>
          <w:marBottom w:val="0"/>
          <w:divBdr>
            <w:top w:val="none" w:sz="0" w:space="0" w:color="auto"/>
            <w:left w:val="none" w:sz="0" w:space="0" w:color="auto"/>
            <w:bottom w:val="none" w:sz="0" w:space="0" w:color="auto"/>
            <w:right w:val="none" w:sz="0" w:space="0" w:color="auto"/>
          </w:divBdr>
        </w:div>
        <w:div w:id="549851650">
          <w:marLeft w:val="0"/>
          <w:marRight w:val="0"/>
          <w:marTop w:val="0"/>
          <w:marBottom w:val="0"/>
          <w:divBdr>
            <w:top w:val="none" w:sz="0" w:space="0" w:color="auto"/>
            <w:left w:val="none" w:sz="0" w:space="0" w:color="auto"/>
            <w:bottom w:val="none" w:sz="0" w:space="0" w:color="auto"/>
            <w:right w:val="none" w:sz="0" w:space="0" w:color="auto"/>
          </w:divBdr>
        </w:div>
        <w:div w:id="986742721">
          <w:marLeft w:val="0"/>
          <w:marRight w:val="0"/>
          <w:marTop w:val="0"/>
          <w:marBottom w:val="0"/>
          <w:divBdr>
            <w:top w:val="none" w:sz="0" w:space="0" w:color="auto"/>
            <w:left w:val="none" w:sz="0" w:space="0" w:color="auto"/>
            <w:bottom w:val="none" w:sz="0" w:space="0" w:color="auto"/>
            <w:right w:val="none" w:sz="0" w:space="0" w:color="auto"/>
          </w:divBdr>
        </w:div>
        <w:div w:id="1130366003">
          <w:marLeft w:val="0"/>
          <w:marRight w:val="0"/>
          <w:marTop w:val="0"/>
          <w:marBottom w:val="0"/>
          <w:divBdr>
            <w:top w:val="none" w:sz="0" w:space="0" w:color="auto"/>
            <w:left w:val="none" w:sz="0" w:space="0" w:color="auto"/>
            <w:bottom w:val="none" w:sz="0" w:space="0" w:color="auto"/>
            <w:right w:val="none" w:sz="0" w:space="0" w:color="auto"/>
          </w:divBdr>
        </w:div>
      </w:divsChild>
    </w:div>
    <w:div w:id="844441423">
      <w:bodyDiv w:val="1"/>
      <w:marLeft w:val="0"/>
      <w:marRight w:val="0"/>
      <w:marTop w:val="0"/>
      <w:marBottom w:val="0"/>
      <w:divBdr>
        <w:top w:val="none" w:sz="0" w:space="0" w:color="auto"/>
        <w:left w:val="none" w:sz="0" w:space="0" w:color="auto"/>
        <w:bottom w:val="none" w:sz="0" w:space="0" w:color="auto"/>
        <w:right w:val="none" w:sz="0" w:space="0" w:color="auto"/>
      </w:divBdr>
    </w:div>
    <w:div w:id="862207404">
      <w:bodyDiv w:val="1"/>
      <w:marLeft w:val="0"/>
      <w:marRight w:val="0"/>
      <w:marTop w:val="0"/>
      <w:marBottom w:val="0"/>
      <w:divBdr>
        <w:top w:val="none" w:sz="0" w:space="0" w:color="auto"/>
        <w:left w:val="none" w:sz="0" w:space="0" w:color="auto"/>
        <w:bottom w:val="none" w:sz="0" w:space="0" w:color="auto"/>
        <w:right w:val="none" w:sz="0" w:space="0" w:color="auto"/>
      </w:divBdr>
    </w:div>
    <w:div w:id="865289662">
      <w:bodyDiv w:val="1"/>
      <w:marLeft w:val="0"/>
      <w:marRight w:val="0"/>
      <w:marTop w:val="0"/>
      <w:marBottom w:val="0"/>
      <w:divBdr>
        <w:top w:val="none" w:sz="0" w:space="0" w:color="auto"/>
        <w:left w:val="none" w:sz="0" w:space="0" w:color="auto"/>
        <w:bottom w:val="none" w:sz="0" w:space="0" w:color="auto"/>
        <w:right w:val="none" w:sz="0" w:space="0" w:color="auto"/>
      </w:divBdr>
      <w:divsChild>
        <w:div w:id="110322940">
          <w:marLeft w:val="274"/>
          <w:marRight w:val="0"/>
          <w:marTop w:val="0"/>
          <w:marBottom w:val="0"/>
          <w:divBdr>
            <w:top w:val="none" w:sz="0" w:space="0" w:color="auto"/>
            <w:left w:val="none" w:sz="0" w:space="0" w:color="auto"/>
            <w:bottom w:val="none" w:sz="0" w:space="0" w:color="auto"/>
            <w:right w:val="none" w:sz="0" w:space="0" w:color="auto"/>
          </w:divBdr>
        </w:div>
        <w:div w:id="311718770">
          <w:marLeft w:val="274"/>
          <w:marRight w:val="0"/>
          <w:marTop w:val="0"/>
          <w:marBottom w:val="0"/>
          <w:divBdr>
            <w:top w:val="none" w:sz="0" w:space="0" w:color="auto"/>
            <w:left w:val="none" w:sz="0" w:space="0" w:color="auto"/>
            <w:bottom w:val="none" w:sz="0" w:space="0" w:color="auto"/>
            <w:right w:val="none" w:sz="0" w:space="0" w:color="auto"/>
          </w:divBdr>
        </w:div>
        <w:div w:id="1371879097">
          <w:marLeft w:val="274"/>
          <w:marRight w:val="0"/>
          <w:marTop w:val="0"/>
          <w:marBottom w:val="0"/>
          <w:divBdr>
            <w:top w:val="none" w:sz="0" w:space="0" w:color="auto"/>
            <w:left w:val="none" w:sz="0" w:space="0" w:color="auto"/>
            <w:bottom w:val="none" w:sz="0" w:space="0" w:color="auto"/>
            <w:right w:val="none" w:sz="0" w:space="0" w:color="auto"/>
          </w:divBdr>
        </w:div>
      </w:divsChild>
    </w:div>
    <w:div w:id="867959171">
      <w:bodyDiv w:val="1"/>
      <w:marLeft w:val="0"/>
      <w:marRight w:val="0"/>
      <w:marTop w:val="0"/>
      <w:marBottom w:val="0"/>
      <w:divBdr>
        <w:top w:val="none" w:sz="0" w:space="0" w:color="auto"/>
        <w:left w:val="none" w:sz="0" w:space="0" w:color="auto"/>
        <w:bottom w:val="none" w:sz="0" w:space="0" w:color="auto"/>
        <w:right w:val="none" w:sz="0" w:space="0" w:color="auto"/>
      </w:divBdr>
    </w:div>
    <w:div w:id="869340198">
      <w:bodyDiv w:val="1"/>
      <w:marLeft w:val="0"/>
      <w:marRight w:val="0"/>
      <w:marTop w:val="0"/>
      <w:marBottom w:val="0"/>
      <w:divBdr>
        <w:top w:val="none" w:sz="0" w:space="0" w:color="auto"/>
        <w:left w:val="none" w:sz="0" w:space="0" w:color="auto"/>
        <w:bottom w:val="none" w:sz="0" w:space="0" w:color="auto"/>
        <w:right w:val="none" w:sz="0" w:space="0" w:color="auto"/>
      </w:divBdr>
    </w:div>
    <w:div w:id="899556524">
      <w:bodyDiv w:val="1"/>
      <w:marLeft w:val="0"/>
      <w:marRight w:val="0"/>
      <w:marTop w:val="0"/>
      <w:marBottom w:val="0"/>
      <w:divBdr>
        <w:top w:val="none" w:sz="0" w:space="0" w:color="auto"/>
        <w:left w:val="none" w:sz="0" w:space="0" w:color="auto"/>
        <w:bottom w:val="none" w:sz="0" w:space="0" w:color="auto"/>
        <w:right w:val="none" w:sz="0" w:space="0" w:color="auto"/>
      </w:divBdr>
    </w:div>
    <w:div w:id="926617216">
      <w:bodyDiv w:val="1"/>
      <w:marLeft w:val="0"/>
      <w:marRight w:val="0"/>
      <w:marTop w:val="0"/>
      <w:marBottom w:val="0"/>
      <w:divBdr>
        <w:top w:val="none" w:sz="0" w:space="0" w:color="auto"/>
        <w:left w:val="none" w:sz="0" w:space="0" w:color="auto"/>
        <w:bottom w:val="none" w:sz="0" w:space="0" w:color="auto"/>
        <w:right w:val="none" w:sz="0" w:space="0" w:color="auto"/>
      </w:divBdr>
    </w:div>
    <w:div w:id="929002711">
      <w:bodyDiv w:val="1"/>
      <w:marLeft w:val="0"/>
      <w:marRight w:val="0"/>
      <w:marTop w:val="0"/>
      <w:marBottom w:val="0"/>
      <w:divBdr>
        <w:top w:val="none" w:sz="0" w:space="0" w:color="auto"/>
        <w:left w:val="none" w:sz="0" w:space="0" w:color="auto"/>
        <w:bottom w:val="none" w:sz="0" w:space="0" w:color="auto"/>
        <w:right w:val="none" w:sz="0" w:space="0" w:color="auto"/>
      </w:divBdr>
    </w:div>
    <w:div w:id="929309918">
      <w:bodyDiv w:val="1"/>
      <w:marLeft w:val="0"/>
      <w:marRight w:val="0"/>
      <w:marTop w:val="0"/>
      <w:marBottom w:val="0"/>
      <w:divBdr>
        <w:top w:val="none" w:sz="0" w:space="0" w:color="auto"/>
        <w:left w:val="none" w:sz="0" w:space="0" w:color="auto"/>
        <w:bottom w:val="none" w:sz="0" w:space="0" w:color="auto"/>
        <w:right w:val="none" w:sz="0" w:space="0" w:color="auto"/>
      </w:divBdr>
    </w:div>
    <w:div w:id="937635468">
      <w:bodyDiv w:val="1"/>
      <w:marLeft w:val="0"/>
      <w:marRight w:val="0"/>
      <w:marTop w:val="0"/>
      <w:marBottom w:val="0"/>
      <w:divBdr>
        <w:top w:val="none" w:sz="0" w:space="0" w:color="auto"/>
        <w:left w:val="none" w:sz="0" w:space="0" w:color="auto"/>
        <w:bottom w:val="none" w:sz="0" w:space="0" w:color="auto"/>
        <w:right w:val="none" w:sz="0" w:space="0" w:color="auto"/>
      </w:divBdr>
    </w:div>
    <w:div w:id="940650987">
      <w:bodyDiv w:val="1"/>
      <w:marLeft w:val="0"/>
      <w:marRight w:val="0"/>
      <w:marTop w:val="0"/>
      <w:marBottom w:val="0"/>
      <w:divBdr>
        <w:top w:val="none" w:sz="0" w:space="0" w:color="auto"/>
        <w:left w:val="none" w:sz="0" w:space="0" w:color="auto"/>
        <w:bottom w:val="none" w:sz="0" w:space="0" w:color="auto"/>
        <w:right w:val="none" w:sz="0" w:space="0" w:color="auto"/>
      </w:divBdr>
    </w:div>
    <w:div w:id="945386719">
      <w:bodyDiv w:val="1"/>
      <w:marLeft w:val="0"/>
      <w:marRight w:val="0"/>
      <w:marTop w:val="0"/>
      <w:marBottom w:val="0"/>
      <w:divBdr>
        <w:top w:val="none" w:sz="0" w:space="0" w:color="auto"/>
        <w:left w:val="none" w:sz="0" w:space="0" w:color="auto"/>
        <w:bottom w:val="none" w:sz="0" w:space="0" w:color="auto"/>
        <w:right w:val="none" w:sz="0" w:space="0" w:color="auto"/>
      </w:divBdr>
    </w:div>
    <w:div w:id="949434832">
      <w:bodyDiv w:val="1"/>
      <w:marLeft w:val="0"/>
      <w:marRight w:val="0"/>
      <w:marTop w:val="0"/>
      <w:marBottom w:val="0"/>
      <w:divBdr>
        <w:top w:val="none" w:sz="0" w:space="0" w:color="auto"/>
        <w:left w:val="none" w:sz="0" w:space="0" w:color="auto"/>
        <w:bottom w:val="none" w:sz="0" w:space="0" w:color="auto"/>
        <w:right w:val="none" w:sz="0" w:space="0" w:color="auto"/>
      </w:divBdr>
    </w:div>
    <w:div w:id="956376908">
      <w:bodyDiv w:val="1"/>
      <w:marLeft w:val="0"/>
      <w:marRight w:val="0"/>
      <w:marTop w:val="0"/>
      <w:marBottom w:val="0"/>
      <w:divBdr>
        <w:top w:val="none" w:sz="0" w:space="0" w:color="auto"/>
        <w:left w:val="none" w:sz="0" w:space="0" w:color="auto"/>
        <w:bottom w:val="none" w:sz="0" w:space="0" w:color="auto"/>
        <w:right w:val="none" w:sz="0" w:space="0" w:color="auto"/>
      </w:divBdr>
    </w:div>
    <w:div w:id="956453250">
      <w:bodyDiv w:val="1"/>
      <w:marLeft w:val="0"/>
      <w:marRight w:val="0"/>
      <w:marTop w:val="0"/>
      <w:marBottom w:val="0"/>
      <w:divBdr>
        <w:top w:val="none" w:sz="0" w:space="0" w:color="auto"/>
        <w:left w:val="none" w:sz="0" w:space="0" w:color="auto"/>
        <w:bottom w:val="none" w:sz="0" w:space="0" w:color="auto"/>
        <w:right w:val="none" w:sz="0" w:space="0" w:color="auto"/>
      </w:divBdr>
    </w:div>
    <w:div w:id="958560679">
      <w:bodyDiv w:val="1"/>
      <w:marLeft w:val="0"/>
      <w:marRight w:val="0"/>
      <w:marTop w:val="0"/>
      <w:marBottom w:val="0"/>
      <w:divBdr>
        <w:top w:val="none" w:sz="0" w:space="0" w:color="auto"/>
        <w:left w:val="none" w:sz="0" w:space="0" w:color="auto"/>
        <w:bottom w:val="none" w:sz="0" w:space="0" w:color="auto"/>
        <w:right w:val="none" w:sz="0" w:space="0" w:color="auto"/>
      </w:divBdr>
    </w:div>
    <w:div w:id="959917588">
      <w:bodyDiv w:val="1"/>
      <w:marLeft w:val="0"/>
      <w:marRight w:val="0"/>
      <w:marTop w:val="0"/>
      <w:marBottom w:val="0"/>
      <w:divBdr>
        <w:top w:val="none" w:sz="0" w:space="0" w:color="auto"/>
        <w:left w:val="none" w:sz="0" w:space="0" w:color="auto"/>
        <w:bottom w:val="none" w:sz="0" w:space="0" w:color="auto"/>
        <w:right w:val="none" w:sz="0" w:space="0" w:color="auto"/>
      </w:divBdr>
    </w:div>
    <w:div w:id="961572083">
      <w:bodyDiv w:val="1"/>
      <w:marLeft w:val="0"/>
      <w:marRight w:val="0"/>
      <w:marTop w:val="0"/>
      <w:marBottom w:val="0"/>
      <w:divBdr>
        <w:top w:val="none" w:sz="0" w:space="0" w:color="auto"/>
        <w:left w:val="none" w:sz="0" w:space="0" w:color="auto"/>
        <w:bottom w:val="none" w:sz="0" w:space="0" w:color="auto"/>
        <w:right w:val="none" w:sz="0" w:space="0" w:color="auto"/>
      </w:divBdr>
    </w:div>
    <w:div w:id="984313631">
      <w:bodyDiv w:val="1"/>
      <w:marLeft w:val="0"/>
      <w:marRight w:val="0"/>
      <w:marTop w:val="0"/>
      <w:marBottom w:val="0"/>
      <w:divBdr>
        <w:top w:val="none" w:sz="0" w:space="0" w:color="auto"/>
        <w:left w:val="none" w:sz="0" w:space="0" w:color="auto"/>
        <w:bottom w:val="none" w:sz="0" w:space="0" w:color="auto"/>
        <w:right w:val="none" w:sz="0" w:space="0" w:color="auto"/>
      </w:divBdr>
      <w:divsChild>
        <w:div w:id="36588109">
          <w:marLeft w:val="0"/>
          <w:marRight w:val="0"/>
          <w:marTop w:val="0"/>
          <w:marBottom w:val="0"/>
          <w:divBdr>
            <w:top w:val="none" w:sz="0" w:space="0" w:color="auto"/>
            <w:left w:val="none" w:sz="0" w:space="0" w:color="auto"/>
            <w:bottom w:val="none" w:sz="0" w:space="0" w:color="auto"/>
            <w:right w:val="none" w:sz="0" w:space="0" w:color="auto"/>
          </w:divBdr>
        </w:div>
        <w:div w:id="208078067">
          <w:marLeft w:val="0"/>
          <w:marRight w:val="0"/>
          <w:marTop w:val="0"/>
          <w:marBottom w:val="0"/>
          <w:divBdr>
            <w:top w:val="none" w:sz="0" w:space="0" w:color="auto"/>
            <w:left w:val="none" w:sz="0" w:space="0" w:color="auto"/>
            <w:bottom w:val="none" w:sz="0" w:space="0" w:color="auto"/>
            <w:right w:val="none" w:sz="0" w:space="0" w:color="auto"/>
          </w:divBdr>
        </w:div>
        <w:div w:id="1692681827">
          <w:marLeft w:val="0"/>
          <w:marRight w:val="0"/>
          <w:marTop w:val="0"/>
          <w:marBottom w:val="0"/>
          <w:divBdr>
            <w:top w:val="none" w:sz="0" w:space="0" w:color="auto"/>
            <w:left w:val="none" w:sz="0" w:space="0" w:color="auto"/>
            <w:bottom w:val="none" w:sz="0" w:space="0" w:color="auto"/>
            <w:right w:val="none" w:sz="0" w:space="0" w:color="auto"/>
          </w:divBdr>
        </w:div>
        <w:div w:id="1878424040">
          <w:marLeft w:val="0"/>
          <w:marRight w:val="0"/>
          <w:marTop w:val="0"/>
          <w:marBottom w:val="0"/>
          <w:divBdr>
            <w:top w:val="none" w:sz="0" w:space="0" w:color="auto"/>
            <w:left w:val="none" w:sz="0" w:space="0" w:color="auto"/>
            <w:bottom w:val="none" w:sz="0" w:space="0" w:color="auto"/>
            <w:right w:val="none" w:sz="0" w:space="0" w:color="auto"/>
          </w:divBdr>
        </w:div>
        <w:div w:id="2080709295">
          <w:marLeft w:val="0"/>
          <w:marRight w:val="0"/>
          <w:marTop w:val="0"/>
          <w:marBottom w:val="0"/>
          <w:divBdr>
            <w:top w:val="none" w:sz="0" w:space="0" w:color="auto"/>
            <w:left w:val="none" w:sz="0" w:space="0" w:color="auto"/>
            <w:bottom w:val="none" w:sz="0" w:space="0" w:color="auto"/>
            <w:right w:val="none" w:sz="0" w:space="0" w:color="auto"/>
          </w:divBdr>
        </w:div>
        <w:div w:id="2135177735">
          <w:marLeft w:val="0"/>
          <w:marRight w:val="0"/>
          <w:marTop w:val="0"/>
          <w:marBottom w:val="0"/>
          <w:divBdr>
            <w:top w:val="none" w:sz="0" w:space="0" w:color="auto"/>
            <w:left w:val="none" w:sz="0" w:space="0" w:color="auto"/>
            <w:bottom w:val="none" w:sz="0" w:space="0" w:color="auto"/>
            <w:right w:val="none" w:sz="0" w:space="0" w:color="auto"/>
          </w:divBdr>
        </w:div>
      </w:divsChild>
    </w:div>
    <w:div w:id="997146783">
      <w:bodyDiv w:val="1"/>
      <w:marLeft w:val="0"/>
      <w:marRight w:val="0"/>
      <w:marTop w:val="0"/>
      <w:marBottom w:val="0"/>
      <w:divBdr>
        <w:top w:val="none" w:sz="0" w:space="0" w:color="auto"/>
        <w:left w:val="none" w:sz="0" w:space="0" w:color="auto"/>
        <w:bottom w:val="none" w:sz="0" w:space="0" w:color="auto"/>
        <w:right w:val="none" w:sz="0" w:space="0" w:color="auto"/>
      </w:divBdr>
    </w:div>
    <w:div w:id="1003126086">
      <w:bodyDiv w:val="1"/>
      <w:marLeft w:val="0"/>
      <w:marRight w:val="0"/>
      <w:marTop w:val="0"/>
      <w:marBottom w:val="0"/>
      <w:divBdr>
        <w:top w:val="none" w:sz="0" w:space="0" w:color="auto"/>
        <w:left w:val="none" w:sz="0" w:space="0" w:color="auto"/>
        <w:bottom w:val="none" w:sz="0" w:space="0" w:color="auto"/>
        <w:right w:val="none" w:sz="0" w:space="0" w:color="auto"/>
      </w:divBdr>
    </w:div>
    <w:div w:id="1016692038">
      <w:bodyDiv w:val="1"/>
      <w:marLeft w:val="0"/>
      <w:marRight w:val="0"/>
      <w:marTop w:val="0"/>
      <w:marBottom w:val="0"/>
      <w:divBdr>
        <w:top w:val="none" w:sz="0" w:space="0" w:color="auto"/>
        <w:left w:val="none" w:sz="0" w:space="0" w:color="auto"/>
        <w:bottom w:val="none" w:sz="0" w:space="0" w:color="auto"/>
        <w:right w:val="none" w:sz="0" w:space="0" w:color="auto"/>
      </w:divBdr>
    </w:div>
    <w:div w:id="1019234329">
      <w:bodyDiv w:val="1"/>
      <w:marLeft w:val="0"/>
      <w:marRight w:val="0"/>
      <w:marTop w:val="0"/>
      <w:marBottom w:val="0"/>
      <w:divBdr>
        <w:top w:val="none" w:sz="0" w:space="0" w:color="auto"/>
        <w:left w:val="none" w:sz="0" w:space="0" w:color="auto"/>
        <w:bottom w:val="none" w:sz="0" w:space="0" w:color="auto"/>
        <w:right w:val="none" w:sz="0" w:space="0" w:color="auto"/>
      </w:divBdr>
    </w:div>
    <w:div w:id="1021276715">
      <w:bodyDiv w:val="1"/>
      <w:marLeft w:val="0"/>
      <w:marRight w:val="0"/>
      <w:marTop w:val="0"/>
      <w:marBottom w:val="0"/>
      <w:divBdr>
        <w:top w:val="none" w:sz="0" w:space="0" w:color="auto"/>
        <w:left w:val="none" w:sz="0" w:space="0" w:color="auto"/>
        <w:bottom w:val="none" w:sz="0" w:space="0" w:color="auto"/>
        <w:right w:val="none" w:sz="0" w:space="0" w:color="auto"/>
      </w:divBdr>
    </w:div>
    <w:div w:id="1022903493">
      <w:bodyDiv w:val="1"/>
      <w:marLeft w:val="0"/>
      <w:marRight w:val="0"/>
      <w:marTop w:val="0"/>
      <w:marBottom w:val="0"/>
      <w:divBdr>
        <w:top w:val="none" w:sz="0" w:space="0" w:color="auto"/>
        <w:left w:val="none" w:sz="0" w:space="0" w:color="auto"/>
        <w:bottom w:val="none" w:sz="0" w:space="0" w:color="auto"/>
        <w:right w:val="none" w:sz="0" w:space="0" w:color="auto"/>
      </w:divBdr>
    </w:div>
    <w:div w:id="1029333879">
      <w:bodyDiv w:val="1"/>
      <w:marLeft w:val="0"/>
      <w:marRight w:val="0"/>
      <w:marTop w:val="0"/>
      <w:marBottom w:val="0"/>
      <w:divBdr>
        <w:top w:val="none" w:sz="0" w:space="0" w:color="auto"/>
        <w:left w:val="none" w:sz="0" w:space="0" w:color="auto"/>
        <w:bottom w:val="none" w:sz="0" w:space="0" w:color="auto"/>
        <w:right w:val="none" w:sz="0" w:space="0" w:color="auto"/>
      </w:divBdr>
    </w:div>
    <w:div w:id="1053768617">
      <w:bodyDiv w:val="1"/>
      <w:marLeft w:val="0"/>
      <w:marRight w:val="0"/>
      <w:marTop w:val="0"/>
      <w:marBottom w:val="0"/>
      <w:divBdr>
        <w:top w:val="none" w:sz="0" w:space="0" w:color="auto"/>
        <w:left w:val="none" w:sz="0" w:space="0" w:color="auto"/>
        <w:bottom w:val="none" w:sz="0" w:space="0" w:color="auto"/>
        <w:right w:val="none" w:sz="0" w:space="0" w:color="auto"/>
      </w:divBdr>
    </w:div>
    <w:div w:id="1058209828">
      <w:bodyDiv w:val="1"/>
      <w:marLeft w:val="0"/>
      <w:marRight w:val="0"/>
      <w:marTop w:val="0"/>
      <w:marBottom w:val="0"/>
      <w:divBdr>
        <w:top w:val="none" w:sz="0" w:space="0" w:color="auto"/>
        <w:left w:val="none" w:sz="0" w:space="0" w:color="auto"/>
        <w:bottom w:val="none" w:sz="0" w:space="0" w:color="auto"/>
        <w:right w:val="none" w:sz="0" w:space="0" w:color="auto"/>
      </w:divBdr>
    </w:div>
    <w:div w:id="1072891234">
      <w:bodyDiv w:val="1"/>
      <w:marLeft w:val="0"/>
      <w:marRight w:val="0"/>
      <w:marTop w:val="0"/>
      <w:marBottom w:val="0"/>
      <w:divBdr>
        <w:top w:val="none" w:sz="0" w:space="0" w:color="auto"/>
        <w:left w:val="none" w:sz="0" w:space="0" w:color="auto"/>
        <w:bottom w:val="none" w:sz="0" w:space="0" w:color="auto"/>
        <w:right w:val="none" w:sz="0" w:space="0" w:color="auto"/>
      </w:divBdr>
      <w:divsChild>
        <w:div w:id="231476413">
          <w:marLeft w:val="0"/>
          <w:marRight w:val="0"/>
          <w:marTop w:val="0"/>
          <w:marBottom w:val="0"/>
          <w:divBdr>
            <w:top w:val="none" w:sz="0" w:space="0" w:color="auto"/>
            <w:left w:val="none" w:sz="0" w:space="0" w:color="auto"/>
            <w:bottom w:val="none" w:sz="0" w:space="0" w:color="auto"/>
            <w:right w:val="none" w:sz="0" w:space="0" w:color="auto"/>
          </w:divBdr>
        </w:div>
        <w:div w:id="512110531">
          <w:marLeft w:val="0"/>
          <w:marRight w:val="0"/>
          <w:marTop w:val="0"/>
          <w:marBottom w:val="0"/>
          <w:divBdr>
            <w:top w:val="none" w:sz="0" w:space="0" w:color="auto"/>
            <w:left w:val="none" w:sz="0" w:space="0" w:color="auto"/>
            <w:bottom w:val="none" w:sz="0" w:space="0" w:color="auto"/>
            <w:right w:val="none" w:sz="0" w:space="0" w:color="auto"/>
          </w:divBdr>
        </w:div>
      </w:divsChild>
    </w:div>
    <w:div w:id="1078475918">
      <w:bodyDiv w:val="1"/>
      <w:marLeft w:val="0"/>
      <w:marRight w:val="0"/>
      <w:marTop w:val="0"/>
      <w:marBottom w:val="0"/>
      <w:divBdr>
        <w:top w:val="none" w:sz="0" w:space="0" w:color="auto"/>
        <w:left w:val="none" w:sz="0" w:space="0" w:color="auto"/>
        <w:bottom w:val="none" w:sz="0" w:space="0" w:color="auto"/>
        <w:right w:val="none" w:sz="0" w:space="0" w:color="auto"/>
      </w:divBdr>
      <w:divsChild>
        <w:div w:id="1199702622">
          <w:marLeft w:val="0"/>
          <w:marRight w:val="0"/>
          <w:marTop w:val="0"/>
          <w:marBottom w:val="0"/>
          <w:divBdr>
            <w:top w:val="none" w:sz="0" w:space="0" w:color="auto"/>
            <w:left w:val="none" w:sz="0" w:space="0" w:color="auto"/>
            <w:bottom w:val="none" w:sz="0" w:space="0" w:color="auto"/>
            <w:right w:val="none" w:sz="0" w:space="0" w:color="auto"/>
          </w:divBdr>
        </w:div>
        <w:div w:id="1840080927">
          <w:marLeft w:val="0"/>
          <w:marRight w:val="0"/>
          <w:marTop w:val="0"/>
          <w:marBottom w:val="0"/>
          <w:divBdr>
            <w:top w:val="none" w:sz="0" w:space="0" w:color="auto"/>
            <w:left w:val="none" w:sz="0" w:space="0" w:color="auto"/>
            <w:bottom w:val="none" w:sz="0" w:space="0" w:color="auto"/>
            <w:right w:val="none" w:sz="0" w:space="0" w:color="auto"/>
          </w:divBdr>
        </w:div>
      </w:divsChild>
    </w:div>
    <w:div w:id="1081295500">
      <w:bodyDiv w:val="1"/>
      <w:marLeft w:val="0"/>
      <w:marRight w:val="0"/>
      <w:marTop w:val="0"/>
      <w:marBottom w:val="0"/>
      <w:divBdr>
        <w:top w:val="none" w:sz="0" w:space="0" w:color="auto"/>
        <w:left w:val="none" w:sz="0" w:space="0" w:color="auto"/>
        <w:bottom w:val="none" w:sz="0" w:space="0" w:color="auto"/>
        <w:right w:val="none" w:sz="0" w:space="0" w:color="auto"/>
      </w:divBdr>
    </w:div>
    <w:div w:id="1081373720">
      <w:bodyDiv w:val="1"/>
      <w:marLeft w:val="0"/>
      <w:marRight w:val="0"/>
      <w:marTop w:val="0"/>
      <w:marBottom w:val="0"/>
      <w:divBdr>
        <w:top w:val="none" w:sz="0" w:space="0" w:color="auto"/>
        <w:left w:val="none" w:sz="0" w:space="0" w:color="auto"/>
        <w:bottom w:val="none" w:sz="0" w:space="0" w:color="auto"/>
        <w:right w:val="none" w:sz="0" w:space="0" w:color="auto"/>
      </w:divBdr>
    </w:div>
    <w:div w:id="1082603059">
      <w:bodyDiv w:val="1"/>
      <w:marLeft w:val="0"/>
      <w:marRight w:val="0"/>
      <w:marTop w:val="0"/>
      <w:marBottom w:val="0"/>
      <w:divBdr>
        <w:top w:val="none" w:sz="0" w:space="0" w:color="auto"/>
        <w:left w:val="none" w:sz="0" w:space="0" w:color="auto"/>
        <w:bottom w:val="none" w:sz="0" w:space="0" w:color="auto"/>
        <w:right w:val="none" w:sz="0" w:space="0" w:color="auto"/>
      </w:divBdr>
    </w:div>
    <w:div w:id="1089350042">
      <w:bodyDiv w:val="1"/>
      <w:marLeft w:val="0"/>
      <w:marRight w:val="0"/>
      <w:marTop w:val="0"/>
      <w:marBottom w:val="0"/>
      <w:divBdr>
        <w:top w:val="none" w:sz="0" w:space="0" w:color="auto"/>
        <w:left w:val="none" w:sz="0" w:space="0" w:color="auto"/>
        <w:bottom w:val="none" w:sz="0" w:space="0" w:color="auto"/>
        <w:right w:val="none" w:sz="0" w:space="0" w:color="auto"/>
      </w:divBdr>
    </w:div>
    <w:div w:id="1109007917">
      <w:bodyDiv w:val="1"/>
      <w:marLeft w:val="0"/>
      <w:marRight w:val="0"/>
      <w:marTop w:val="0"/>
      <w:marBottom w:val="0"/>
      <w:divBdr>
        <w:top w:val="none" w:sz="0" w:space="0" w:color="auto"/>
        <w:left w:val="none" w:sz="0" w:space="0" w:color="auto"/>
        <w:bottom w:val="none" w:sz="0" w:space="0" w:color="auto"/>
        <w:right w:val="none" w:sz="0" w:space="0" w:color="auto"/>
      </w:divBdr>
    </w:div>
    <w:div w:id="1116146071">
      <w:bodyDiv w:val="1"/>
      <w:marLeft w:val="0"/>
      <w:marRight w:val="0"/>
      <w:marTop w:val="0"/>
      <w:marBottom w:val="0"/>
      <w:divBdr>
        <w:top w:val="none" w:sz="0" w:space="0" w:color="auto"/>
        <w:left w:val="none" w:sz="0" w:space="0" w:color="auto"/>
        <w:bottom w:val="none" w:sz="0" w:space="0" w:color="auto"/>
        <w:right w:val="none" w:sz="0" w:space="0" w:color="auto"/>
      </w:divBdr>
      <w:divsChild>
        <w:div w:id="158825">
          <w:marLeft w:val="0"/>
          <w:marRight w:val="0"/>
          <w:marTop w:val="0"/>
          <w:marBottom w:val="0"/>
          <w:divBdr>
            <w:top w:val="none" w:sz="0" w:space="0" w:color="auto"/>
            <w:left w:val="none" w:sz="0" w:space="0" w:color="auto"/>
            <w:bottom w:val="none" w:sz="0" w:space="0" w:color="auto"/>
            <w:right w:val="none" w:sz="0" w:space="0" w:color="auto"/>
          </w:divBdr>
        </w:div>
        <w:div w:id="7954500">
          <w:marLeft w:val="0"/>
          <w:marRight w:val="0"/>
          <w:marTop w:val="0"/>
          <w:marBottom w:val="0"/>
          <w:divBdr>
            <w:top w:val="none" w:sz="0" w:space="0" w:color="auto"/>
            <w:left w:val="none" w:sz="0" w:space="0" w:color="auto"/>
            <w:bottom w:val="none" w:sz="0" w:space="0" w:color="auto"/>
            <w:right w:val="none" w:sz="0" w:space="0" w:color="auto"/>
          </w:divBdr>
        </w:div>
        <w:div w:id="37319260">
          <w:marLeft w:val="0"/>
          <w:marRight w:val="0"/>
          <w:marTop w:val="0"/>
          <w:marBottom w:val="0"/>
          <w:divBdr>
            <w:top w:val="none" w:sz="0" w:space="0" w:color="auto"/>
            <w:left w:val="none" w:sz="0" w:space="0" w:color="auto"/>
            <w:bottom w:val="none" w:sz="0" w:space="0" w:color="auto"/>
            <w:right w:val="none" w:sz="0" w:space="0" w:color="auto"/>
          </w:divBdr>
        </w:div>
        <w:div w:id="53550898">
          <w:marLeft w:val="0"/>
          <w:marRight w:val="0"/>
          <w:marTop w:val="0"/>
          <w:marBottom w:val="0"/>
          <w:divBdr>
            <w:top w:val="none" w:sz="0" w:space="0" w:color="auto"/>
            <w:left w:val="none" w:sz="0" w:space="0" w:color="auto"/>
            <w:bottom w:val="none" w:sz="0" w:space="0" w:color="auto"/>
            <w:right w:val="none" w:sz="0" w:space="0" w:color="auto"/>
          </w:divBdr>
        </w:div>
        <w:div w:id="79260600">
          <w:marLeft w:val="0"/>
          <w:marRight w:val="0"/>
          <w:marTop w:val="0"/>
          <w:marBottom w:val="0"/>
          <w:divBdr>
            <w:top w:val="none" w:sz="0" w:space="0" w:color="auto"/>
            <w:left w:val="none" w:sz="0" w:space="0" w:color="auto"/>
            <w:bottom w:val="none" w:sz="0" w:space="0" w:color="auto"/>
            <w:right w:val="none" w:sz="0" w:space="0" w:color="auto"/>
          </w:divBdr>
        </w:div>
        <w:div w:id="96102506">
          <w:marLeft w:val="0"/>
          <w:marRight w:val="0"/>
          <w:marTop w:val="0"/>
          <w:marBottom w:val="0"/>
          <w:divBdr>
            <w:top w:val="none" w:sz="0" w:space="0" w:color="auto"/>
            <w:left w:val="none" w:sz="0" w:space="0" w:color="auto"/>
            <w:bottom w:val="none" w:sz="0" w:space="0" w:color="auto"/>
            <w:right w:val="none" w:sz="0" w:space="0" w:color="auto"/>
          </w:divBdr>
        </w:div>
        <w:div w:id="133565692">
          <w:marLeft w:val="0"/>
          <w:marRight w:val="0"/>
          <w:marTop w:val="0"/>
          <w:marBottom w:val="0"/>
          <w:divBdr>
            <w:top w:val="none" w:sz="0" w:space="0" w:color="auto"/>
            <w:left w:val="none" w:sz="0" w:space="0" w:color="auto"/>
            <w:bottom w:val="none" w:sz="0" w:space="0" w:color="auto"/>
            <w:right w:val="none" w:sz="0" w:space="0" w:color="auto"/>
          </w:divBdr>
        </w:div>
        <w:div w:id="142426508">
          <w:marLeft w:val="0"/>
          <w:marRight w:val="0"/>
          <w:marTop w:val="0"/>
          <w:marBottom w:val="0"/>
          <w:divBdr>
            <w:top w:val="none" w:sz="0" w:space="0" w:color="auto"/>
            <w:left w:val="none" w:sz="0" w:space="0" w:color="auto"/>
            <w:bottom w:val="none" w:sz="0" w:space="0" w:color="auto"/>
            <w:right w:val="none" w:sz="0" w:space="0" w:color="auto"/>
          </w:divBdr>
        </w:div>
        <w:div w:id="162858142">
          <w:marLeft w:val="0"/>
          <w:marRight w:val="0"/>
          <w:marTop w:val="0"/>
          <w:marBottom w:val="0"/>
          <w:divBdr>
            <w:top w:val="none" w:sz="0" w:space="0" w:color="auto"/>
            <w:left w:val="none" w:sz="0" w:space="0" w:color="auto"/>
            <w:bottom w:val="none" w:sz="0" w:space="0" w:color="auto"/>
            <w:right w:val="none" w:sz="0" w:space="0" w:color="auto"/>
          </w:divBdr>
        </w:div>
        <w:div w:id="182402416">
          <w:marLeft w:val="0"/>
          <w:marRight w:val="0"/>
          <w:marTop w:val="0"/>
          <w:marBottom w:val="0"/>
          <w:divBdr>
            <w:top w:val="none" w:sz="0" w:space="0" w:color="auto"/>
            <w:left w:val="none" w:sz="0" w:space="0" w:color="auto"/>
            <w:bottom w:val="none" w:sz="0" w:space="0" w:color="auto"/>
            <w:right w:val="none" w:sz="0" w:space="0" w:color="auto"/>
          </w:divBdr>
        </w:div>
        <w:div w:id="204997493">
          <w:marLeft w:val="0"/>
          <w:marRight w:val="0"/>
          <w:marTop w:val="0"/>
          <w:marBottom w:val="0"/>
          <w:divBdr>
            <w:top w:val="none" w:sz="0" w:space="0" w:color="auto"/>
            <w:left w:val="none" w:sz="0" w:space="0" w:color="auto"/>
            <w:bottom w:val="none" w:sz="0" w:space="0" w:color="auto"/>
            <w:right w:val="none" w:sz="0" w:space="0" w:color="auto"/>
          </w:divBdr>
        </w:div>
        <w:div w:id="224873301">
          <w:marLeft w:val="0"/>
          <w:marRight w:val="0"/>
          <w:marTop w:val="0"/>
          <w:marBottom w:val="0"/>
          <w:divBdr>
            <w:top w:val="none" w:sz="0" w:space="0" w:color="auto"/>
            <w:left w:val="none" w:sz="0" w:space="0" w:color="auto"/>
            <w:bottom w:val="none" w:sz="0" w:space="0" w:color="auto"/>
            <w:right w:val="none" w:sz="0" w:space="0" w:color="auto"/>
          </w:divBdr>
        </w:div>
        <w:div w:id="238289991">
          <w:marLeft w:val="0"/>
          <w:marRight w:val="0"/>
          <w:marTop w:val="0"/>
          <w:marBottom w:val="0"/>
          <w:divBdr>
            <w:top w:val="none" w:sz="0" w:space="0" w:color="auto"/>
            <w:left w:val="none" w:sz="0" w:space="0" w:color="auto"/>
            <w:bottom w:val="none" w:sz="0" w:space="0" w:color="auto"/>
            <w:right w:val="none" w:sz="0" w:space="0" w:color="auto"/>
          </w:divBdr>
        </w:div>
        <w:div w:id="243802840">
          <w:marLeft w:val="0"/>
          <w:marRight w:val="0"/>
          <w:marTop w:val="0"/>
          <w:marBottom w:val="0"/>
          <w:divBdr>
            <w:top w:val="none" w:sz="0" w:space="0" w:color="auto"/>
            <w:left w:val="none" w:sz="0" w:space="0" w:color="auto"/>
            <w:bottom w:val="none" w:sz="0" w:space="0" w:color="auto"/>
            <w:right w:val="none" w:sz="0" w:space="0" w:color="auto"/>
          </w:divBdr>
        </w:div>
        <w:div w:id="244732682">
          <w:marLeft w:val="0"/>
          <w:marRight w:val="0"/>
          <w:marTop w:val="0"/>
          <w:marBottom w:val="0"/>
          <w:divBdr>
            <w:top w:val="none" w:sz="0" w:space="0" w:color="auto"/>
            <w:left w:val="none" w:sz="0" w:space="0" w:color="auto"/>
            <w:bottom w:val="none" w:sz="0" w:space="0" w:color="auto"/>
            <w:right w:val="none" w:sz="0" w:space="0" w:color="auto"/>
          </w:divBdr>
        </w:div>
        <w:div w:id="245463679">
          <w:marLeft w:val="0"/>
          <w:marRight w:val="0"/>
          <w:marTop w:val="0"/>
          <w:marBottom w:val="0"/>
          <w:divBdr>
            <w:top w:val="none" w:sz="0" w:space="0" w:color="auto"/>
            <w:left w:val="none" w:sz="0" w:space="0" w:color="auto"/>
            <w:bottom w:val="none" w:sz="0" w:space="0" w:color="auto"/>
            <w:right w:val="none" w:sz="0" w:space="0" w:color="auto"/>
          </w:divBdr>
        </w:div>
        <w:div w:id="277952630">
          <w:marLeft w:val="0"/>
          <w:marRight w:val="0"/>
          <w:marTop w:val="0"/>
          <w:marBottom w:val="0"/>
          <w:divBdr>
            <w:top w:val="none" w:sz="0" w:space="0" w:color="auto"/>
            <w:left w:val="none" w:sz="0" w:space="0" w:color="auto"/>
            <w:bottom w:val="none" w:sz="0" w:space="0" w:color="auto"/>
            <w:right w:val="none" w:sz="0" w:space="0" w:color="auto"/>
          </w:divBdr>
        </w:div>
        <w:div w:id="278683761">
          <w:marLeft w:val="0"/>
          <w:marRight w:val="0"/>
          <w:marTop w:val="0"/>
          <w:marBottom w:val="0"/>
          <w:divBdr>
            <w:top w:val="none" w:sz="0" w:space="0" w:color="auto"/>
            <w:left w:val="none" w:sz="0" w:space="0" w:color="auto"/>
            <w:bottom w:val="none" w:sz="0" w:space="0" w:color="auto"/>
            <w:right w:val="none" w:sz="0" w:space="0" w:color="auto"/>
          </w:divBdr>
        </w:div>
        <w:div w:id="278922192">
          <w:marLeft w:val="0"/>
          <w:marRight w:val="0"/>
          <w:marTop w:val="0"/>
          <w:marBottom w:val="0"/>
          <w:divBdr>
            <w:top w:val="none" w:sz="0" w:space="0" w:color="auto"/>
            <w:left w:val="none" w:sz="0" w:space="0" w:color="auto"/>
            <w:bottom w:val="none" w:sz="0" w:space="0" w:color="auto"/>
            <w:right w:val="none" w:sz="0" w:space="0" w:color="auto"/>
          </w:divBdr>
        </w:div>
        <w:div w:id="287509726">
          <w:marLeft w:val="0"/>
          <w:marRight w:val="0"/>
          <w:marTop w:val="0"/>
          <w:marBottom w:val="0"/>
          <w:divBdr>
            <w:top w:val="none" w:sz="0" w:space="0" w:color="auto"/>
            <w:left w:val="none" w:sz="0" w:space="0" w:color="auto"/>
            <w:bottom w:val="none" w:sz="0" w:space="0" w:color="auto"/>
            <w:right w:val="none" w:sz="0" w:space="0" w:color="auto"/>
          </w:divBdr>
        </w:div>
        <w:div w:id="311721291">
          <w:marLeft w:val="0"/>
          <w:marRight w:val="0"/>
          <w:marTop w:val="0"/>
          <w:marBottom w:val="0"/>
          <w:divBdr>
            <w:top w:val="none" w:sz="0" w:space="0" w:color="auto"/>
            <w:left w:val="none" w:sz="0" w:space="0" w:color="auto"/>
            <w:bottom w:val="none" w:sz="0" w:space="0" w:color="auto"/>
            <w:right w:val="none" w:sz="0" w:space="0" w:color="auto"/>
          </w:divBdr>
        </w:div>
        <w:div w:id="335231111">
          <w:marLeft w:val="0"/>
          <w:marRight w:val="0"/>
          <w:marTop w:val="0"/>
          <w:marBottom w:val="0"/>
          <w:divBdr>
            <w:top w:val="none" w:sz="0" w:space="0" w:color="auto"/>
            <w:left w:val="none" w:sz="0" w:space="0" w:color="auto"/>
            <w:bottom w:val="none" w:sz="0" w:space="0" w:color="auto"/>
            <w:right w:val="none" w:sz="0" w:space="0" w:color="auto"/>
          </w:divBdr>
        </w:div>
        <w:div w:id="342976466">
          <w:marLeft w:val="0"/>
          <w:marRight w:val="0"/>
          <w:marTop w:val="0"/>
          <w:marBottom w:val="0"/>
          <w:divBdr>
            <w:top w:val="none" w:sz="0" w:space="0" w:color="auto"/>
            <w:left w:val="none" w:sz="0" w:space="0" w:color="auto"/>
            <w:bottom w:val="none" w:sz="0" w:space="0" w:color="auto"/>
            <w:right w:val="none" w:sz="0" w:space="0" w:color="auto"/>
          </w:divBdr>
        </w:div>
        <w:div w:id="354383554">
          <w:marLeft w:val="0"/>
          <w:marRight w:val="0"/>
          <w:marTop w:val="0"/>
          <w:marBottom w:val="0"/>
          <w:divBdr>
            <w:top w:val="none" w:sz="0" w:space="0" w:color="auto"/>
            <w:left w:val="none" w:sz="0" w:space="0" w:color="auto"/>
            <w:bottom w:val="none" w:sz="0" w:space="0" w:color="auto"/>
            <w:right w:val="none" w:sz="0" w:space="0" w:color="auto"/>
          </w:divBdr>
        </w:div>
        <w:div w:id="361979035">
          <w:marLeft w:val="0"/>
          <w:marRight w:val="0"/>
          <w:marTop w:val="0"/>
          <w:marBottom w:val="0"/>
          <w:divBdr>
            <w:top w:val="none" w:sz="0" w:space="0" w:color="auto"/>
            <w:left w:val="none" w:sz="0" w:space="0" w:color="auto"/>
            <w:bottom w:val="none" w:sz="0" w:space="0" w:color="auto"/>
            <w:right w:val="none" w:sz="0" w:space="0" w:color="auto"/>
          </w:divBdr>
        </w:div>
        <w:div w:id="367150231">
          <w:marLeft w:val="0"/>
          <w:marRight w:val="0"/>
          <w:marTop w:val="0"/>
          <w:marBottom w:val="0"/>
          <w:divBdr>
            <w:top w:val="none" w:sz="0" w:space="0" w:color="auto"/>
            <w:left w:val="none" w:sz="0" w:space="0" w:color="auto"/>
            <w:bottom w:val="none" w:sz="0" w:space="0" w:color="auto"/>
            <w:right w:val="none" w:sz="0" w:space="0" w:color="auto"/>
          </w:divBdr>
        </w:div>
        <w:div w:id="378820389">
          <w:marLeft w:val="0"/>
          <w:marRight w:val="0"/>
          <w:marTop w:val="0"/>
          <w:marBottom w:val="0"/>
          <w:divBdr>
            <w:top w:val="none" w:sz="0" w:space="0" w:color="auto"/>
            <w:left w:val="none" w:sz="0" w:space="0" w:color="auto"/>
            <w:bottom w:val="none" w:sz="0" w:space="0" w:color="auto"/>
            <w:right w:val="none" w:sz="0" w:space="0" w:color="auto"/>
          </w:divBdr>
        </w:div>
        <w:div w:id="387462693">
          <w:marLeft w:val="0"/>
          <w:marRight w:val="0"/>
          <w:marTop w:val="0"/>
          <w:marBottom w:val="0"/>
          <w:divBdr>
            <w:top w:val="none" w:sz="0" w:space="0" w:color="auto"/>
            <w:left w:val="none" w:sz="0" w:space="0" w:color="auto"/>
            <w:bottom w:val="none" w:sz="0" w:space="0" w:color="auto"/>
            <w:right w:val="none" w:sz="0" w:space="0" w:color="auto"/>
          </w:divBdr>
        </w:div>
        <w:div w:id="389423600">
          <w:marLeft w:val="0"/>
          <w:marRight w:val="0"/>
          <w:marTop w:val="0"/>
          <w:marBottom w:val="0"/>
          <w:divBdr>
            <w:top w:val="none" w:sz="0" w:space="0" w:color="auto"/>
            <w:left w:val="none" w:sz="0" w:space="0" w:color="auto"/>
            <w:bottom w:val="none" w:sz="0" w:space="0" w:color="auto"/>
            <w:right w:val="none" w:sz="0" w:space="0" w:color="auto"/>
          </w:divBdr>
        </w:div>
        <w:div w:id="391780342">
          <w:marLeft w:val="0"/>
          <w:marRight w:val="0"/>
          <w:marTop w:val="0"/>
          <w:marBottom w:val="0"/>
          <w:divBdr>
            <w:top w:val="none" w:sz="0" w:space="0" w:color="auto"/>
            <w:left w:val="none" w:sz="0" w:space="0" w:color="auto"/>
            <w:bottom w:val="none" w:sz="0" w:space="0" w:color="auto"/>
            <w:right w:val="none" w:sz="0" w:space="0" w:color="auto"/>
          </w:divBdr>
        </w:div>
        <w:div w:id="444693961">
          <w:marLeft w:val="0"/>
          <w:marRight w:val="0"/>
          <w:marTop w:val="0"/>
          <w:marBottom w:val="0"/>
          <w:divBdr>
            <w:top w:val="none" w:sz="0" w:space="0" w:color="auto"/>
            <w:left w:val="none" w:sz="0" w:space="0" w:color="auto"/>
            <w:bottom w:val="none" w:sz="0" w:space="0" w:color="auto"/>
            <w:right w:val="none" w:sz="0" w:space="0" w:color="auto"/>
          </w:divBdr>
        </w:div>
        <w:div w:id="496767280">
          <w:marLeft w:val="0"/>
          <w:marRight w:val="0"/>
          <w:marTop w:val="0"/>
          <w:marBottom w:val="0"/>
          <w:divBdr>
            <w:top w:val="none" w:sz="0" w:space="0" w:color="auto"/>
            <w:left w:val="none" w:sz="0" w:space="0" w:color="auto"/>
            <w:bottom w:val="none" w:sz="0" w:space="0" w:color="auto"/>
            <w:right w:val="none" w:sz="0" w:space="0" w:color="auto"/>
          </w:divBdr>
        </w:div>
        <w:div w:id="513419597">
          <w:marLeft w:val="0"/>
          <w:marRight w:val="0"/>
          <w:marTop w:val="0"/>
          <w:marBottom w:val="0"/>
          <w:divBdr>
            <w:top w:val="none" w:sz="0" w:space="0" w:color="auto"/>
            <w:left w:val="none" w:sz="0" w:space="0" w:color="auto"/>
            <w:bottom w:val="none" w:sz="0" w:space="0" w:color="auto"/>
            <w:right w:val="none" w:sz="0" w:space="0" w:color="auto"/>
          </w:divBdr>
        </w:div>
        <w:div w:id="531039265">
          <w:marLeft w:val="0"/>
          <w:marRight w:val="0"/>
          <w:marTop w:val="0"/>
          <w:marBottom w:val="0"/>
          <w:divBdr>
            <w:top w:val="none" w:sz="0" w:space="0" w:color="auto"/>
            <w:left w:val="none" w:sz="0" w:space="0" w:color="auto"/>
            <w:bottom w:val="none" w:sz="0" w:space="0" w:color="auto"/>
            <w:right w:val="none" w:sz="0" w:space="0" w:color="auto"/>
          </w:divBdr>
        </w:div>
        <w:div w:id="585924400">
          <w:marLeft w:val="0"/>
          <w:marRight w:val="0"/>
          <w:marTop w:val="0"/>
          <w:marBottom w:val="0"/>
          <w:divBdr>
            <w:top w:val="none" w:sz="0" w:space="0" w:color="auto"/>
            <w:left w:val="none" w:sz="0" w:space="0" w:color="auto"/>
            <w:bottom w:val="none" w:sz="0" w:space="0" w:color="auto"/>
            <w:right w:val="none" w:sz="0" w:space="0" w:color="auto"/>
          </w:divBdr>
        </w:div>
        <w:div w:id="589891246">
          <w:marLeft w:val="0"/>
          <w:marRight w:val="0"/>
          <w:marTop w:val="0"/>
          <w:marBottom w:val="0"/>
          <w:divBdr>
            <w:top w:val="none" w:sz="0" w:space="0" w:color="auto"/>
            <w:left w:val="none" w:sz="0" w:space="0" w:color="auto"/>
            <w:bottom w:val="none" w:sz="0" w:space="0" w:color="auto"/>
            <w:right w:val="none" w:sz="0" w:space="0" w:color="auto"/>
          </w:divBdr>
        </w:div>
        <w:div w:id="651329005">
          <w:marLeft w:val="0"/>
          <w:marRight w:val="0"/>
          <w:marTop w:val="0"/>
          <w:marBottom w:val="0"/>
          <w:divBdr>
            <w:top w:val="none" w:sz="0" w:space="0" w:color="auto"/>
            <w:left w:val="none" w:sz="0" w:space="0" w:color="auto"/>
            <w:bottom w:val="none" w:sz="0" w:space="0" w:color="auto"/>
            <w:right w:val="none" w:sz="0" w:space="0" w:color="auto"/>
          </w:divBdr>
        </w:div>
        <w:div w:id="685054637">
          <w:marLeft w:val="0"/>
          <w:marRight w:val="0"/>
          <w:marTop w:val="0"/>
          <w:marBottom w:val="0"/>
          <w:divBdr>
            <w:top w:val="none" w:sz="0" w:space="0" w:color="auto"/>
            <w:left w:val="none" w:sz="0" w:space="0" w:color="auto"/>
            <w:bottom w:val="none" w:sz="0" w:space="0" w:color="auto"/>
            <w:right w:val="none" w:sz="0" w:space="0" w:color="auto"/>
          </w:divBdr>
        </w:div>
        <w:div w:id="685837491">
          <w:marLeft w:val="0"/>
          <w:marRight w:val="0"/>
          <w:marTop w:val="0"/>
          <w:marBottom w:val="0"/>
          <w:divBdr>
            <w:top w:val="none" w:sz="0" w:space="0" w:color="auto"/>
            <w:left w:val="none" w:sz="0" w:space="0" w:color="auto"/>
            <w:bottom w:val="none" w:sz="0" w:space="0" w:color="auto"/>
            <w:right w:val="none" w:sz="0" w:space="0" w:color="auto"/>
          </w:divBdr>
        </w:div>
        <w:div w:id="692220721">
          <w:marLeft w:val="0"/>
          <w:marRight w:val="0"/>
          <w:marTop w:val="0"/>
          <w:marBottom w:val="0"/>
          <w:divBdr>
            <w:top w:val="none" w:sz="0" w:space="0" w:color="auto"/>
            <w:left w:val="none" w:sz="0" w:space="0" w:color="auto"/>
            <w:bottom w:val="none" w:sz="0" w:space="0" w:color="auto"/>
            <w:right w:val="none" w:sz="0" w:space="0" w:color="auto"/>
          </w:divBdr>
        </w:div>
        <w:div w:id="698361861">
          <w:marLeft w:val="0"/>
          <w:marRight w:val="0"/>
          <w:marTop w:val="0"/>
          <w:marBottom w:val="0"/>
          <w:divBdr>
            <w:top w:val="none" w:sz="0" w:space="0" w:color="auto"/>
            <w:left w:val="none" w:sz="0" w:space="0" w:color="auto"/>
            <w:bottom w:val="none" w:sz="0" w:space="0" w:color="auto"/>
            <w:right w:val="none" w:sz="0" w:space="0" w:color="auto"/>
          </w:divBdr>
        </w:div>
        <w:div w:id="705329919">
          <w:marLeft w:val="0"/>
          <w:marRight w:val="0"/>
          <w:marTop w:val="0"/>
          <w:marBottom w:val="0"/>
          <w:divBdr>
            <w:top w:val="none" w:sz="0" w:space="0" w:color="auto"/>
            <w:left w:val="none" w:sz="0" w:space="0" w:color="auto"/>
            <w:bottom w:val="none" w:sz="0" w:space="0" w:color="auto"/>
            <w:right w:val="none" w:sz="0" w:space="0" w:color="auto"/>
          </w:divBdr>
        </w:div>
        <w:div w:id="712189386">
          <w:marLeft w:val="0"/>
          <w:marRight w:val="0"/>
          <w:marTop w:val="0"/>
          <w:marBottom w:val="0"/>
          <w:divBdr>
            <w:top w:val="none" w:sz="0" w:space="0" w:color="auto"/>
            <w:left w:val="none" w:sz="0" w:space="0" w:color="auto"/>
            <w:bottom w:val="none" w:sz="0" w:space="0" w:color="auto"/>
            <w:right w:val="none" w:sz="0" w:space="0" w:color="auto"/>
          </w:divBdr>
        </w:div>
        <w:div w:id="719597277">
          <w:marLeft w:val="0"/>
          <w:marRight w:val="0"/>
          <w:marTop w:val="0"/>
          <w:marBottom w:val="0"/>
          <w:divBdr>
            <w:top w:val="none" w:sz="0" w:space="0" w:color="auto"/>
            <w:left w:val="none" w:sz="0" w:space="0" w:color="auto"/>
            <w:bottom w:val="none" w:sz="0" w:space="0" w:color="auto"/>
            <w:right w:val="none" w:sz="0" w:space="0" w:color="auto"/>
          </w:divBdr>
        </w:div>
        <w:div w:id="812603930">
          <w:marLeft w:val="0"/>
          <w:marRight w:val="0"/>
          <w:marTop w:val="0"/>
          <w:marBottom w:val="0"/>
          <w:divBdr>
            <w:top w:val="none" w:sz="0" w:space="0" w:color="auto"/>
            <w:left w:val="none" w:sz="0" w:space="0" w:color="auto"/>
            <w:bottom w:val="none" w:sz="0" w:space="0" w:color="auto"/>
            <w:right w:val="none" w:sz="0" w:space="0" w:color="auto"/>
          </w:divBdr>
        </w:div>
        <w:div w:id="819274058">
          <w:marLeft w:val="0"/>
          <w:marRight w:val="0"/>
          <w:marTop w:val="0"/>
          <w:marBottom w:val="0"/>
          <w:divBdr>
            <w:top w:val="none" w:sz="0" w:space="0" w:color="auto"/>
            <w:left w:val="none" w:sz="0" w:space="0" w:color="auto"/>
            <w:bottom w:val="none" w:sz="0" w:space="0" w:color="auto"/>
            <w:right w:val="none" w:sz="0" w:space="0" w:color="auto"/>
          </w:divBdr>
        </w:div>
        <w:div w:id="841816997">
          <w:marLeft w:val="0"/>
          <w:marRight w:val="0"/>
          <w:marTop w:val="0"/>
          <w:marBottom w:val="0"/>
          <w:divBdr>
            <w:top w:val="none" w:sz="0" w:space="0" w:color="auto"/>
            <w:left w:val="none" w:sz="0" w:space="0" w:color="auto"/>
            <w:bottom w:val="none" w:sz="0" w:space="0" w:color="auto"/>
            <w:right w:val="none" w:sz="0" w:space="0" w:color="auto"/>
          </w:divBdr>
        </w:div>
        <w:div w:id="879629621">
          <w:marLeft w:val="0"/>
          <w:marRight w:val="0"/>
          <w:marTop w:val="0"/>
          <w:marBottom w:val="0"/>
          <w:divBdr>
            <w:top w:val="none" w:sz="0" w:space="0" w:color="auto"/>
            <w:left w:val="none" w:sz="0" w:space="0" w:color="auto"/>
            <w:bottom w:val="none" w:sz="0" w:space="0" w:color="auto"/>
            <w:right w:val="none" w:sz="0" w:space="0" w:color="auto"/>
          </w:divBdr>
        </w:div>
        <w:div w:id="883446396">
          <w:marLeft w:val="0"/>
          <w:marRight w:val="0"/>
          <w:marTop w:val="0"/>
          <w:marBottom w:val="0"/>
          <w:divBdr>
            <w:top w:val="none" w:sz="0" w:space="0" w:color="auto"/>
            <w:left w:val="none" w:sz="0" w:space="0" w:color="auto"/>
            <w:bottom w:val="none" w:sz="0" w:space="0" w:color="auto"/>
            <w:right w:val="none" w:sz="0" w:space="0" w:color="auto"/>
          </w:divBdr>
        </w:div>
        <w:div w:id="884565849">
          <w:marLeft w:val="0"/>
          <w:marRight w:val="0"/>
          <w:marTop w:val="0"/>
          <w:marBottom w:val="0"/>
          <w:divBdr>
            <w:top w:val="none" w:sz="0" w:space="0" w:color="auto"/>
            <w:left w:val="none" w:sz="0" w:space="0" w:color="auto"/>
            <w:bottom w:val="none" w:sz="0" w:space="0" w:color="auto"/>
            <w:right w:val="none" w:sz="0" w:space="0" w:color="auto"/>
          </w:divBdr>
        </w:div>
        <w:div w:id="953903180">
          <w:marLeft w:val="0"/>
          <w:marRight w:val="0"/>
          <w:marTop w:val="0"/>
          <w:marBottom w:val="0"/>
          <w:divBdr>
            <w:top w:val="none" w:sz="0" w:space="0" w:color="auto"/>
            <w:left w:val="none" w:sz="0" w:space="0" w:color="auto"/>
            <w:bottom w:val="none" w:sz="0" w:space="0" w:color="auto"/>
            <w:right w:val="none" w:sz="0" w:space="0" w:color="auto"/>
          </w:divBdr>
        </w:div>
        <w:div w:id="985474052">
          <w:marLeft w:val="0"/>
          <w:marRight w:val="0"/>
          <w:marTop w:val="0"/>
          <w:marBottom w:val="0"/>
          <w:divBdr>
            <w:top w:val="none" w:sz="0" w:space="0" w:color="auto"/>
            <w:left w:val="none" w:sz="0" w:space="0" w:color="auto"/>
            <w:bottom w:val="none" w:sz="0" w:space="0" w:color="auto"/>
            <w:right w:val="none" w:sz="0" w:space="0" w:color="auto"/>
          </w:divBdr>
        </w:div>
        <w:div w:id="991909918">
          <w:marLeft w:val="0"/>
          <w:marRight w:val="0"/>
          <w:marTop w:val="0"/>
          <w:marBottom w:val="0"/>
          <w:divBdr>
            <w:top w:val="none" w:sz="0" w:space="0" w:color="auto"/>
            <w:left w:val="none" w:sz="0" w:space="0" w:color="auto"/>
            <w:bottom w:val="none" w:sz="0" w:space="0" w:color="auto"/>
            <w:right w:val="none" w:sz="0" w:space="0" w:color="auto"/>
          </w:divBdr>
        </w:div>
        <w:div w:id="1006709538">
          <w:marLeft w:val="0"/>
          <w:marRight w:val="0"/>
          <w:marTop w:val="0"/>
          <w:marBottom w:val="0"/>
          <w:divBdr>
            <w:top w:val="none" w:sz="0" w:space="0" w:color="auto"/>
            <w:left w:val="none" w:sz="0" w:space="0" w:color="auto"/>
            <w:bottom w:val="none" w:sz="0" w:space="0" w:color="auto"/>
            <w:right w:val="none" w:sz="0" w:space="0" w:color="auto"/>
          </w:divBdr>
        </w:div>
        <w:div w:id="1013531210">
          <w:marLeft w:val="0"/>
          <w:marRight w:val="0"/>
          <w:marTop w:val="0"/>
          <w:marBottom w:val="0"/>
          <w:divBdr>
            <w:top w:val="none" w:sz="0" w:space="0" w:color="auto"/>
            <w:left w:val="none" w:sz="0" w:space="0" w:color="auto"/>
            <w:bottom w:val="none" w:sz="0" w:space="0" w:color="auto"/>
            <w:right w:val="none" w:sz="0" w:space="0" w:color="auto"/>
          </w:divBdr>
        </w:div>
        <w:div w:id="1023479759">
          <w:marLeft w:val="0"/>
          <w:marRight w:val="0"/>
          <w:marTop w:val="0"/>
          <w:marBottom w:val="0"/>
          <w:divBdr>
            <w:top w:val="none" w:sz="0" w:space="0" w:color="auto"/>
            <w:left w:val="none" w:sz="0" w:space="0" w:color="auto"/>
            <w:bottom w:val="none" w:sz="0" w:space="0" w:color="auto"/>
            <w:right w:val="none" w:sz="0" w:space="0" w:color="auto"/>
          </w:divBdr>
        </w:div>
        <w:div w:id="1037045776">
          <w:marLeft w:val="0"/>
          <w:marRight w:val="0"/>
          <w:marTop w:val="0"/>
          <w:marBottom w:val="0"/>
          <w:divBdr>
            <w:top w:val="none" w:sz="0" w:space="0" w:color="auto"/>
            <w:left w:val="none" w:sz="0" w:space="0" w:color="auto"/>
            <w:bottom w:val="none" w:sz="0" w:space="0" w:color="auto"/>
            <w:right w:val="none" w:sz="0" w:space="0" w:color="auto"/>
          </w:divBdr>
        </w:div>
        <w:div w:id="1038092871">
          <w:marLeft w:val="0"/>
          <w:marRight w:val="0"/>
          <w:marTop w:val="0"/>
          <w:marBottom w:val="0"/>
          <w:divBdr>
            <w:top w:val="none" w:sz="0" w:space="0" w:color="auto"/>
            <w:left w:val="none" w:sz="0" w:space="0" w:color="auto"/>
            <w:bottom w:val="none" w:sz="0" w:space="0" w:color="auto"/>
            <w:right w:val="none" w:sz="0" w:space="0" w:color="auto"/>
          </w:divBdr>
        </w:div>
        <w:div w:id="1043284104">
          <w:marLeft w:val="0"/>
          <w:marRight w:val="0"/>
          <w:marTop w:val="0"/>
          <w:marBottom w:val="0"/>
          <w:divBdr>
            <w:top w:val="none" w:sz="0" w:space="0" w:color="auto"/>
            <w:left w:val="none" w:sz="0" w:space="0" w:color="auto"/>
            <w:bottom w:val="none" w:sz="0" w:space="0" w:color="auto"/>
            <w:right w:val="none" w:sz="0" w:space="0" w:color="auto"/>
          </w:divBdr>
        </w:div>
        <w:div w:id="1055355777">
          <w:marLeft w:val="0"/>
          <w:marRight w:val="0"/>
          <w:marTop w:val="0"/>
          <w:marBottom w:val="0"/>
          <w:divBdr>
            <w:top w:val="none" w:sz="0" w:space="0" w:color="auto"/>
            <w:left w:val="none" w:sz="0" w:space="0" w:color="auto"/>
            <w:bottom w:val="none" w:sz="0" w:space="0" w:color="auto"/>
            <w:right w:val="none" w:sz="0" w:space="0" w:color="auto"/>
          </w:divBdr>
        </w:div>
        <w:div w:id="1076781839">
          <w:marLeft w:val="0"/>
          <w:marRight w:val="0"/>
          <w:marTop w:val="0"/>
          <w:marBottom w:val="0"/>
          <w:divBdr>
            <w:top w:val="none" w:sz="0" w:space="0" w:color="auto"/>
            <w:left w:val="none" w:sz="0" w:space="0" w:color="auto"/>
            <w:bottom w:val="none" w:sz="0" w:space="0" w:color="auto"/>
            <w:right w:val="none" w:sz="0" w:space="0" w:color="auto"/>
          </w:divBdr>
        </w:div>
        <w:div w:id="1083602362">
          <w:marLeft w:val="0"/>
          <w:marRight w:val="0"/>
          <w:marTop w:val="0"/>
          <w:marBottom w:val="0"/>
          <w:divBdr>
            <w:top w:val="none" w:sz="0" w:space="0" w:color="auto"/>
            <w:left w:val="none" w:sz="0" w:space="0" w:color="auto"/>
            <w:bottom w:val="none" w:sz="0" w:space="0" w:color="auto"/>
            <w:right w:val="none" w:sz="0" w:space="0" w:color="auto"/>
          </w:divBdr>
        </w:div>
        <w:div w:id="1089540959">
          <w:marLeft w:val="0"/>
          <w:marRight w:val="0"/>
          <w:marTop w:val="0"/>
          <w:marBottom w:val="0"/>
          <w:divBdr>
            <w:top w:val="none" w:sz="0" w:space="0" w:color="auto"/>
            <w:left w:val="none" w:sz="0" w:space="0" w:color="auto"/>
            <w:bottom w:val="none" w:sz="0" w:space="0" w:color="auto"/>
            <w:right w:val="none" w:sz="0" w:space="0" w:color="auto"/>
          </w:divBdr>
        </w:div>
        <w:div w:id="1097169027">
          <w:marLeft w:val="0"/>
          <w:marRight w:val="0"/>
          <w:marTop w:val="0"/>
          <w:marBottom w:val="0"/>
          <w:divBdr>
            <w:top w:val="none" w:sz="0" w:space="0" w:color="auto"/>
            <w:left w:val="none" w:sz="0" w:space="0" w:color="auto"/>
            <w:bottom w:val="none" w:sz="0" w:space="0" w:color="auto"/>
            <w:right w:val="none" w:sz="0" w:space="0" w:color="auto"/>
          </w:divBdr>
        </w:div>
        <w:div w:id="1117220008">
          <w:marLeft w:val="0"/>
          <w:marRight w:val="0"/>
          <w:marTop w:val="0"/>
          <w:marBottom w:val="0"/>
          <w:divBdr>
            <w:top w:val="none" w:sz="0" w:space="0" w:color="auto"/>
            <w:left w:val="none" w:sz="0" w:space="0" w:color="auto"/>
            <w:bottom w:val="none" w:sz="0" w:space="0" w:color="auto"/>
            <w:right w:val="none" w:sz="0" w:space="0" w:color="auto"/>
          </w:divBdr>
        </w:div>
        <w:div w:id="1130127100">
          <w:marLeft w:val="0"/>
          <w:marRight w:val="0"/>
          <w:marTop w:val="0"/>
          <w:marBottom w:val="0"/>
          <w:divBdr>
            <w:top w:val="none" w:sz="0" w:space="0" w:color="auto"/>
            <w:left w:val="none" w:sz="0" w:space="0" w:color="auto"/>
            <w:bottom w:val="none" w:sz="0" w:space="0" w:color="auto"/>
            <w:right w:val="none" w:sz="0" w:space="0" w:color="auto"/>
          </w:divBdr>
        </w:div>
        <w:div w:id="1133718174">
          <w:marLeft w:val="0"/>
          <w:marRight w:val="0"/>
          <w:marTop w:val="0"/>
          <w:marBottom w:val="0"/>
          <w:divBdr>
            <w:top w:val="none" w:sz="0" w:space="0" w:color="auto"/>
            <w:left w:val="none" w:sz="0" w:space="0" w:color="auto"/>
            <w:bottom w:val="none" w:sz="0" w:space="0" w:color="auto"/>
            <w:right w:val="none" w:sz="0" w:space="0" w:color="auto"/>
          </w:divBdr>
        </w:div>
        <w:div w:id="1141506512">
          <w:marLeft w:val="0"/>
          <w:marRight w:val="0"/>
          <w:marTop w:val="0"/>
          <w:marBottom w:val="0"/>
          <w:divBdr>
            <w:top w:val="none" w:sz="0" w:space="0" w:color="auto"/>
            <w:left w:val="none" w:sz="0" w:space="0" w:color="auto"/>
            <w:bottom w:val="none" w:sz="0" w:space="0" w:color="auto"/>
            <w:right w:val="none" w:sz="0" w:space="0" w:color="auto"/>
          </w:divBdr>
        </w:div>
        <w:div w:id="1160925189">
          <w:marLeft w:val="0"/>
          <w:marRight w:val="0"/>
          <w:marTop w:val="0"/>
          <w:marBottom w:val="0"/>
          <w:divBdr>
            <w:top w:val="none" w:sz="0" w:space="0" w:color="auto"/>
            <w:left w:val="none" w:sz="0" w:space="0" w:color="auto"/>
            <w:bottom w:val="none" w:sz="0" w:space="0" w:color="auto"/>
            <w:right w:val="none" w:sz="0" w:space="0" w:color="auto"/>
          </w:divBdr>
        </w:div>
        <w:div w:id="1161509505">
          <w:marLeft w:val="0"/>
          <w:marRight w:val="0"/>
          <w:marTop w:val="0"/>
          <w:marBottom w:val="0"/>
          <w:divBdr>
            <w:top w:val="none" w:sz="0" w:space="0" w:color="auto"/>
            <w:left w:val="none" w:sz="0" w:space="0" w:color="auto"/>
            <w:bottom w:val="none" w:sz="0" w:space="0" w:color="auto"/>
            <w:right w:val="none" w:sz="0" w:space="0" w:color="auto"/>
          </w:divBdr>
        </w:div>
        <w:div w:id="1171212710">
          <w:marLeft w:val="0"/>
          <w:marRight w:val="0"/>
          <w:marTop w:val="0"/>
          <w:marBottom w:val="0"/>
          <w:divBdr>
            <w:top w:val="none" w:sz="0" w:space="0" w:color="auto"/>
            <w:left w:val="none" w:sz="0" w:space="0" w:color="auto"/>
            <w:bottom w:val="none" w:sz="0" w:space="0" w:color="auto"/>
            <w:right w:val="none" w:sz="0" w:space="0" w:color="auto"/>
          </w:divBdr>
        </w:div>
        <w:div w:id="1214806256">
          <w:marLeft w:val="0"/>
          <w:marRight w:val="0"/>
          <w:marTop w:val="0"/>
          <w:marBottom w:val="0"/>
          <w:divBdr>
            <w:top w:val="none" w:sz="0" w:space="0" w:color="auto"/>
            <w:left w:val="none" w:sz="0" w:space="0" w:color="auto"/>
            <w:bottom w:val="none" w:sz="0" w:space="0" w:color="auto"/>
            <w:right w:val="none" w:sz="0" w:space="0" w:color="auto"/>
          </w:divBdr>
        </w:div>
        <w:div w:id="1293948629">
          <w:marLeft w:val="0"/>
          <w:marRight w:val="0"/>
          <w:marTop w:val="0"/>
          <w:marBottom w:val="0"/>
          <w:divBdr>
            <w:top w:val="none" w:sz="0" w:space="0" w:color="auto"/>
            <w:left w:val="none" w:sz="0" w:space="0" w:color="auto"/>
            <w:bottom w:val="none" w:sz="0" w:space="0" w:color="auto"/>
            <w:right w:val="none" w:sz="0" w:space="0" w:color="auto"/>
          </w:divBdr>
        </w:div>
        <w:div w:id="1296566573">
          <w:marLeft w:val="0"/>
          <w:marRight w:val="0"/>
          <w:marTop w:val="0"/>
          <w:marBottom w:val="0"/>
          <w:divBdr>
            <w:top w:val="none" w:sz="0" w:space="0" w:color="auto"/>
            <w:left w:val="none" w:sz="0" w:space="0" w:color="auto"/>
            <w:bottom w:val="none" w:sz="0" w:space="0" w:color="auto"/>
            <w:right w:val="none" w:sz="0" w:space="0" w:color="auto"/>
          </w:divBdr>
        </w:div>
        <w:div w:id="1319773176">
          <w:marLeft w:val="0"/>
          <w:marRight w:val="0"/>
          <w:marTop w:val="0"/>
          <w:marBottom w:val="0"/>
          <w:divBdr>
            <w:top w:val="none" w:sz="0" w:space="0" w:color="auto"/>
            <w:left w:val="none" w:sz="0" w:space="0" w:color="auto"/>
            <w:bottom w:val="none" w:sz="0" w:space="0" w:color="auto"/>
            <w:right w:val="none" w:sz="0" w:space="0" w:color="auto"/>
          </w:divBdr>
        </w:div>
        <w:div w:id="1349258502">
          <w:marLeft w:val="0"/>
          <w:marRight w:val="0"/>
          <w:marTop w:val="0"/>
          <w:marBottom w:val="0"/>
          <w:divBdr>
            <w:top w:val="none" w:sz="0" w:space="0" w:color="auto"/>
            <w:left w:val="none" w:sz="0" w:space="0" w:color="auto"/>
            <w:bottom w:val="none" w:sz="0" w:space="0" w:color="auto"/>
            <w:right w:val="none" w:sz="0" w:space="0" w:color="auto"/>
          </w:divBdr>
        </w:div>
        <w:div w:id="1356618944">
          <w:marLeft w:val="0"/>
          <w:marRight w:val="0"/>
          <w:marTop w:val="0"/>
          <w:marBottom w:val="0"/>
          <w:divBdr>
            <w:top w:val="none" w:sz="0" w:space="0" w:color="auto"/>
            <w:left w:val="none" w:sz="0" w:space="0" w:color="auto"/>
            <w:bottom w:val="none" w:sz="0" w:space="0" w:color="auto"/>
            <w:right w:val="none" w:sz="0" w:space="0" w:color="auto"/>
          </w:divBdr>
        </w:div>
        <w:div w:id="1357081304">
          <w:marLeft w:val="0"/>
          <w:marRight w:val="0"/>
          <w:marTop w:val="0"/>
          <w:marBottom w:val="0"/>
          <w:divBdr>
            <w:top w:val="none" w:sz="0" w:space="0" w:color="auto"/>
            <w:left w:val="none" w:sz="0" w:space="0" w:color="auto"/>
            <w:bottom w:val="none" w:sz="0" w:space="0" w:color="auto"/>
            <w:right w:val="none" w:sz="0" w:space="0" w:color="auto"/>
          </w:divBdr>
        </w:div>
        <w:div w:id="1357807222">
          <w:marLeft w:val="0"/>
          <w:marRight w:val="0"/>
          <w:marTop w:val="0"/>
          <w:marBottom w:val="0"/>
          <w:divBdr>
            <w:top w:val="none" w:sz="0" w:space="0" w:color="auto"/>
            <w:left w:val="none" w:sz="0" w:space="0" w:color="auto"/>
            <w:bottom w:val="none" w:sz="0" w:space="0" w:color="auto"/>
            <w:right w:val="none" w:sz="0" w:space="0" w:color="auto"/>
          </w:divBdr>
        </w:div>
        <w:div w:id="1395733484">
          <w:marLeft w:val="0"/>
          <w:marRight w:val="0"/>
          <w:marTop w:val="0"/>
          <w:marBottom w:val="0"/>
          <w:divBdr>
            <w:top w:val="none" w:sz="0" w:space="0" w:color="auto"/>
            <w:left w:val="none" w:sz="0" w:space="0" w:color="auto"/>
            <w:bottom w:val="none" w:sz="0" w:space="0" w:color="auto"/>
            <w:right w:val="none" w:sz="0" w:space="0" w:color="auto"/>
          </w:divBdr>
        </w:div>
        <w:div w:id="1437672107">
          <w:marLeft w:val="0"/>
          <w:marRight w:val="0"/>
          <w:marTop w:val="0"/>
          <w:marBottom w:val="0"/>
          <w:divBdr>
            <w:top w:val="none" w:sz="0" w:space="0" w:color="auto"/>
            <w:left w:val="none" w:sz="0" w:space="0" w:color="auto"/>
            <w:bottom w:val="none" w:sz="0" w:space="0" w:color="auto"/>
            <w:right w:val="none" w:sz="0" w:space="0" w:color="auto"/>
          </w:divBdr>
        </w:div>
        <w:div w:id="1536967493">
          <w:marLeft w:val="0"/>
          <w:marRight w:val="0"/>
          <w:marTop w:val="0"/>
          <w:marBottom w:val="0"/>
          <w:divBdr>
            <w:top w:val="none" w:sz="0" w:space="0" w:color="auto"/>
            <w:left w:val="none" w:sz="0" w:space="0" w:color="auto"/>
            <w:bottom w:val="none" w:sz="0" w:space="0" w:color="auto"/>
            <w:right w:val="none" w:sz="0" w:space="0" w:color="auto"/>
          </w:divBdr>
        </w:div>
        <w:div w:id="1546138342">
          <w:marLeft w:val="0"/>
          <w:marRight w:val="0"/>
          <w:marTop w:val="0"/>
          <w:marBottom w:val="0"/>
          <w:divBdr>
            <w:top w:val="none" w:sz="0" w:space="0" w:color="auto"/>
            <w:left w:val="none" w:sz="0" w:space="0" w:color="auto"/>
            <w:bottom w:val="none" w:sz="0" w:space="0" w:color="auto"/>
            <w:right w:val="none" w:sz="0" w:space="0" w:color="auto"/>
          </w:divBdr>
        </w:div>
        <w:div w:id="1588150048">
          <w:marLeft w:val="0"/>
          <w:marRight w:val="0"/>
          <w:marTop w:val="0"/>
          <w:marBottom w:val="0"/>
          <w:divBdr>
            <w:top w:val="none" w:sz="0" w:space="0" w:color="auto"/>
            <w:left w:val="none" w:sz="0" w:space="0" w:color="auto"/>
            <w:bottom w:val="none" w:sz="0" w:space="0" w:color="auto"/>
            <w:right w:val="none" w:sz="0" w:space="0" w:color="auto"/>
          </w:divBdr>
        </w:div>
        <w:div w:id="1600603026">
          <w:marLeft w:val="0"/>
          <w:marRight w:val="0"/>
          <w:marTop w:val="0"/>
          <w:marBottom w:val="0"/>
          <w:divBdr>
            <w:top w:val="none" w:sz="0" w:space="0" w:color="auto"/>
            <w:left w:val="none" w:sz="0" w:space="0" w:color="auto"/>
            <w:bottom w:val="none" w:sz="0" w:space="0" w:color="auto"/>
            <w:right w:val="none" w:sz="0" w:space="0" w:color="auto"/>
          </w:divBdr>
        </w:div>
        <w:div w:id="1644848144">
          <w:marLeft w:val="0"/>
          <w:marRight w:val="0"/>
          <w:marTop w:val="0"/>
          <w:marBottom w:val="0"/>
          <w:divBdr>
            <w:top w:val="none" w:sz="0" w:space="0" w:color="auto"/>
            <w:left w:val="none" w:sz="0" w:space="0" w:color="auto"/>
            <w:bottom w:val="none" w:sz="0" w:space="0" w:color="auto"/>
            <w:right w:val="none" w:sz="0" w:space="0" w:color="auto"/>
          </w:divBdr>
        </w:div>
        <w:div w:id="1654680235">
          <w:marLeft w:val="0"/>
          <w:marRight w:val="0"/>
          <w:marTop w:val="0"/>
          <w:marBottom w:val="0"/>
          <w:divBdr>
            <w:top w:val="none" w:sz="0" w:space="0" w:color="auto"/>
            <w:left w:val="none" w:sz="0" w:space="0" w:color="auto"/>
            <w:bottom w:val="none" w:sz="0" w:space="0" w:color="auto"/>
            <w:right w:val="none" w:sz="0" w:space="0" w:color="auto"/>
          </w:divBdr>
        </w:div>
        <w:div w:id="1686248296">
          <w:marLeft w:val="0"/>
          <w:marRight w:val="0"/>
          <w:marTop w:val="0"/>
          <w:marBottom w:val="0"/>
          <w:divBdr>
            <w:top w:val="none" w:sz="0" w:space="0" w:color="auto"/>
            <w:left w:val="none" w:sz="0" w:space="0" w:color="auto"/>
            <w:bottom w:val="none" w:sz="0" w:space="0" w:color="auto"/>
            <w:right w:val="none" w:sz="0" w:space="0" w:color="auto"/>
          </w:divBdr>
        </w:div>
        <w:div w:id="1736120696">
          <w:marLeft w:val="0"/>
          <w:marRight w:val="0"/>
          <w:marTop w:val="0"/>
          <w:marBottom w:val="0"/>
          <w:divBdr>
            <w:top w:val="none" w:sz="0" w:space="0" w:color="auto"/>
            <w:left w:val="none" w:sz="0" w:space="0" w:color="auto"/>
            <w:bottom w:val="none" w:sz="0" w:space="0" w:color="auto"/>
            <w:right w:val="none" w:sz="0" w:space="0" w:color="auto"/>
          </w:divBdr>
        </w:div>
        <w:div w:id="1755082148">
          <w:marLeft w:val="0"/>
          <w:marRight w:val="0"/>
          <w:marTop w:val="0"/>
          <w:marBottom w:val="0"/>
          <w:divBdr>
            <w:top w:val="none" w:sz="0" w:space="0" w:color="auto"/>
            <w:left w:val="none" w:sz="0" w:space="0" w:color="auto"/>
            <w:bottom w:val="none" w:sz="0" w:space="0" w:color="auto"/>
            <w:right w:val="none" w:sz="0" w:space="0" w:color="auto"/>
          </w:divBdr>
        </w:div>
        <w:div w:id="1806652562">
          <w:marLeft w:val="0"/>
          <w:marRight w:val="0"/>
          <w:marTop w:val="0"/>
          <w:marBottom w:val="0"/>
          <w:divBdr>
            <w:top w:val="none" w:sz="0" w:space="0" w:color="auto"/>
            <w:left w:val="none" w:sz="0" w:space="0" w:color="auto"/>
            <w:bottom w:val="none" w:sz="0" w:space="0" w:color="auto"/>
            <w:right w:val="none" w:sz="0" w:space="0" w:color="auto"/>
          </w:divBdr>
        </w:div>
        <w:div w:id="1826699462">
          <w:marLeft w:val="0"/>
          <w:marRight w:val="0"/>
          <w:marTop w:val="0"/>
          <w:marBottom w:val="0"/>
          <w:divBdr>
            <w:top w:val="none" w:sz="0" w:space="0" w:color="auto"/>
            <w:left w:val="none" w:sz="0" w:space="0" w:color="auto"/>
            <w:bottom w:val="none" w:sz="0" w:space="0" w:color="auto"/>
            <w:right w:val="none" w:sz="0" w:space="0" w:color="auto"/>
          </w:divBdr>
        </w:div>
        <w:div w:id="1893344463">
          <w:marLeft w:val="0"/>
          <w:marRight w:val="0"/>
          <w:marTop w:val="0"/>
          <w:marBottom w:val="0"/>
          <w:divBdr>
            <w:top w:val="none" w:sz="0" w:space="0" w:color="auto"/>
            <w:left w:val="none" w:sz="0" w:space="0" w:color="auto"/>
            <w:bottom w:val="none" w:sz="0" w:space="0" w:color="auto"/>
            <w:right w:val="none" w:sz="0" w:space="0" w:color="auto"/>
          </w:divBdr>
        </w:div>
        <w:div w:id="1956330069">
          <w:marLeft w:val="0"/>
          <w:marRight w:val="0"/>
          <w:marTop w:val="0"/>
          <w:marBottom w:val="0"/>
          <w:divBdr>
            <w:top w:val="none" w:sz="0" w:space="0" w:color="auto"/>
            <w:left w:val="none" w:sz="0" w:space="0" w:color="auto"/>
            <w:bottom w:val="none" w:sz="0" w:space="0" w:color="auto"/>
            <w:right w:val="none" w:sz="0" w:space="0" w:color="auto"/>
          </w:divBdr>
        </w:div>
        <w:div w:id="1964916280">
          <w:marLeft w:val="0"/>
          <w:marRight w:val="0"/>
          <w:marTop w:val="0"/>
          <w:marBottom w:val="0"/>
          <w:divBdr>
            <w:top w:val="none" w:sz="0" w:space="0" w:color="auto"/>
            <w:left w:val="none" w:sz="0" w:space="0" w:color="auto"/>
            <w:bottom w:val="none" w:sz="0" w:space="0" w:color="auto"/>
            <w:right w:val="none" w:sz="0" w:space="0" w:color="auto"/>
          </w:divBdr>
        </w:div>
        <w:div w:id="1971284436">
          <w:marLeft w:val="0"/>
          <w:marRight w:val="0"/>
          <w:marTop w:val="0"/>
          <w:marBottom w:val="0"/>
          <w:divBdr>
            <w:top w:val="none" w:sz="0" w:space="0" w:color="auto"/>
            <w:left w:val="none" w:sz="0" w:space="0" w:color="auto"/>
            <w:bottom w:val="none" w:sz="0" w:space="0" w:color="auto"/>
            <w:right w:val="none" w:sz="0" w:space="0" w:color="auto"/>
          </w:divBdr>
        </w:div>
        <w:div w:id="1975787317">
          <w:marLeft w:val="0"/>
          <w:marRight w:val="0"/>
          <w:marTop w:val="0"/>
          <w:marBottom w:val="0"/>
          <w:divBdr>
            <w:top w:val="none" w:sz="0" w:space="0" w:color="auto"/>
            <w:left w:val="none" w:sz="0" w:space="0" w:color="auto"/>
            <w:bottom w:val="none" w:sz="0" w:space="0" w:color="auto"/>
            <w:right w:val="none" w:sz="0" w:space="0" w:color="auto"/>
          </w:divBdr>
        </w:div>
        <w:div w:id="1977100603">
          <w:marLeft w:val="0"/>
          <w:marRight w:val="0"/>
          <w:marTop w:val="0"/>
          <w:marBottom w:val="0"/>
          <w:divBdr>
            <w:top w:val="none" w:sz="0" w:space="0" w:color="auto"/>
            <w:left w:val="none" w:sz="0" w:space="0" w:color="auto"/>
            <w:bottom w:val="none" w:sz="0" w:space="0" w:color="auto"/>
            <w:right w:val="none" w:sz="0" w:space="0" w:color="auto"/>
          </w:divBdr>
        </w:div>
        <w:div w:id="1983148698">
          <w:marLeft w:val="0"/>
          <w:marRight w:val="0"/>
          <w:marTop w:val="0"/>
          <w:marBottom w:val="0"/>
          <w:divBdr>
            <w:top w:val="none" w:sz="0" w:space="0" w:color="auto"/>
            <w:left w:val="none" w:sz="0" w:space="0" w:color="auto"/>
            <w:bottom w:val="none" w:sz="0" w:space="0" w:color="auto"/>
            <w:right w:val="none" w:sz="0" w:space="0" w:color="auto"/>
          </w:divBdr>
        </w:div>
        <w:div w:id="2089381850">
          <w:marLeft w:val="0"/>
          <w:marRight w:val="0"/>
          <w:marTop w:val="0"/>
          <w:marBottom w:val="0"/>
          <w:divBdr>
            <w:top w:val="none" w:sz="0" w:space="0" w:color="auto"/>
            <w:left w:val="none" w:sz="0" w:space="0" w:color="auto"/>
            <w:bottom w:val="none" w:sz="0" w:space="0" w:color="auto"/>
            <w:right w:val="none" w:sz="0" w:space="0" w:color="auto"/>
          </w:divBdr>
        </w:div>
      </w:divsChild>
    </w:div>
    <w:div w:id="1116950992">
      <w:bodyDiv w:val="1"/>
      <w:marLeft w:val="0"/>
      <w:marRight w:val="0"/>
      <w:marTop w:val="0"/>
      <w:marBottom w:val="0"/>
      <w:divBdr>
        <w:top w:val="none" w:sz="0" w:space="0" w:color="auto"/>
        <w:left w:val="none" w:sz="0" w:space="0" w:color="auto"/>
        <w:bottom w:val="none" w:sz="0" w:space="0" w:color="auto"/>
        <w:right w:val="none" w:sz="0" w:space="0" w:color="auto"/>
      </w:divBdr>
    </w:div>
    <w:div w:id="1120950605">
      <w:bodyDiv w:val="1"/>
      <w:marLeft w:val="0"/>
      <w:marRight w:val="0"/>
      <w:marTop w:val="0"/>
      <w:marBottom w:val="0"/>
      <w:divBdr>
        <w:top w:val="none" w:sz="0" w:space="0" w:color="auto"/>
        <w:left w:val="none" w:sz="0" w:space="0" w:color="auto"/>
        <w:bottom w:val="none" w:sz="0" w:space="0" w:color="auto"/>
        <w:right w:val="none" w:sz="0" w:space="0" w:color="auto"/>
      </w:divBdr>
    </w:div>
    <w:div w:id="1130631268">
      <w:bodyDiv w:val="1"/>
      <w:marLeft w:val="0"/>
      <w:marRight w:val="0"/>
      <w:marTop w:val="0"/>
      <w:marBottom w:val="0"/>
      <w:divBdr>
        <w:top w:val="none" w:sz="0" w:space="0" w:color="auto"/>
        <w:left w:val="none" w:sz="0" w:space="0" w:color="auto"/>
        <w:bottom w:val="none" w:sz="0" w:space="0" w:color="auto"/>
        <w:right w:val="none" w:sz="0" w:space="0" w:color="auto"/>
      </w:divBdr>
    </w:div>
    <w:div w:id="1153716580">
      <w:bodyDiv w:val="1"/>
      <w:marLeft w:val="0"/>
      <w:marRight w:val="0"/>
      <w:marTop w:val="0"/>
      <w:marBottom w:val="0"/>
      <w:divBdr>
        <w:top w:val="none" w:sz="0" w:space="0" w:color="auto"/>
        <w:left w:val="none" w:sz="0" w:space="0" w:color="auto"/>
        <w:bottom w:val="none" w:sz="0" w:space="0" w:color="auto"/>
        <w:right w:val="none" w:sz="0" w:space="0" w:color="auto"/>
      </w:divBdr>
    </w:div>
    <w:div w:id="1162887448">
      <w:bodyDiv w:val="1"/>
      <w:marLeft w:val="0"/>
      <w:marRight w:val="0"/>
      <w:marTop w:val="0"/>
      <w:marBottom w:val="0"/>
      <w:divBdr>
        <w:top w:val="none" w:sz="0" w:space="0" w:color="auto"/>
        <w:left w:val="none" w:sz="0" w:space="0" w:color="auto"/>
        <w:bottom w:val="none" w:sz="0" w:space="0" w:color="auto"/>
        <w:right w:val="none" w:sz="0" w:space="0" w:color="auto"/>
      </w:divBdr>
    </w:div>
    <w:div w:id="1166285965">
      <w:bodyDiv w:val="1"/>
      <w:marLeft w:val="0"/>
      <w:marRight w:val="0"/>
      <w:marTop w:val="0"/>
      <w:marBottom w:val="0"/>
      <w:divBdr>
        <w:top w:val="none" w:sz="0" w:space="0" w:color="auto"/>
        <w:left w:val="none" w:sz="0" w:space="0" w:color="auto"/>
        <w:bottom w:val="none" w:sz="0" w:space="0" w:color="auto"/>
        <w:right w:val="none" w:sz="0" w:space="0" w:color="auto"/>
      </w:divBdr>
    </w:div>
    <w:div w:id="1177423781">
      <w:bodyDiv w:val="1"/>
      <w:marLeft w:val="0"/>
      <w:marRight w:val="0"/>
      <w:marTop w:val="0"/>
      <w:marBottom w:val="0"/>
      <w:divBdr>
        <w:top w:val="none" w:sz="0" w:space="0" w:color="auto"/>
        <w:left w:val="none" w:sz="0" w:space="0" w:color="auto"/>
        <w:bottom w:val="none" w:sz="0" w:space="0" w:color="auto"/>
        <w:right w:val="none" w:sz="0" w:space="0" w:color="auto"/>
      </w:divBdr>
    </w:div>
    <w:div w:id="1179659757">
      <w:bodyDiv w:val="1"/>
      <w:marLeft w:val="0"/>
      <w:marRight w:val="0"/>
      <w:marTop w:val="0"/>
      <w:marBottom w:val="0"/>
      <w:divBdr>
        <w:top w:val="none" w:sz="0" w:space="0" w:color="auto"/>
        <w:left w:val="none" w:sz="0" w:space="0" w:color="auto"/>
        <w:bottom w:val="none" w:sz="0" w:space="0" w:color="auto"/>
        <w:right w:val="none" w:sz="0" w:space="0" w:color="auto"/>
      </w:divBdr>
    </w:div>
    <w:div w:id="1181166019">
      <w:bodyDiv w:val="1"/>
      <w:marLeft w:val="0"/>
      <w:marRight w:val="0"/>
      <w:marTop w:val="0"/>
      <w:marBottom w:val="0"/>
      <w:divBdr>
        <w:top w:val="none" w:sz="0" w:space="0" w:color="auto"/>
        <w:left w:val="none" w:sz="0" w:space="0" w:color="auto"/>
        <w:bottom w:val="none" w:sz="0" w:space="0" w:color="auto"/>
        <w:right w:val="none" w:sz="0" w:space="0" w:color="auto"/>
      </w:divBdr>
    </w:div>
    <w:div w:id="1181235539">
      <w:bodyDiv w:val="1"/>
      <w:marLeft w:val="0"/>
      <w:marRight w:val="0"/>
      <w:marTop w:val="0"/>
      <w:marBottom w:val="0"/>
      <w:divBdr>
        <w:top w:val="none" w:sz="0" w:space="0" w:color="auto"/>
        <w:left w:val="none" w:sz="0" w:space="0" w:color="auto"/>
        <w:bottom w:val="none" w:sz="0" w:space="0" w:color="auto"/>
        <w:right w:val="none" w:sz="0" w:space="0" w:color="auto"/>
      </w:divBdr>
    </w:div>
    <w:div w:id="1181814237">
      <w:bodyDiv w:val="1"/>
      <w:marLeft w:val="0"/>
      <w:marRight w:val="0"/>
      <w:marTop w:val="0"/>
      <w:marBottom w:val="0"/>
      <w:divBdr>
        <w:top w:val="none" w:sz="0" w:space="0" w:color="auto"/>
        <w:left w:val="none" w:sz="0" w:space="0" w:color="auto"/>
        <w:bottom w:val="none" w:sz="0" w:space="0" w:color="auto"/>
        <w:right w:val="none" w:sz="0" w:space="0" w:color="auto"/>
      </w:divBdr>
    </w:div>
    <w:div w:id="1197279974">
      <w:bodyDiv w:val="1"/>
      <w:marLeft w:val="0"/>
      <w:marRight w:val="0"/>
      <w:marTop w:val="0"/>
      <w:marBottom w:val="0"/>
      <w:divBdr>
        <w:top w:val="none" w:sz="0" w:space="0" w:color="auto"/>
        <w:left w:val="none" w:sz="0" w:space="0" w:color="auto"/>
        <w:bottom w:val="none" w:sz="0" w:space="0" w:color="auto"/>
        <w:right w:val="none" w:sz="0" w:space="0" w:color="auto"/>
      </w:divBdr>
    </w:div>
    <w:div w:id="1197501867">
      <w:bodyDiv w:val="1"/>
      <w:marLeft w:val="0"/>
      <w:marRight w:val="0"/>
      <w:marTop w:val="0"/>
      <w:marBottom w:val="0"/>
      <w:divBdr>
        <w:top w:val="none" w:sz="0" w:space="0" w:color="auto"/>
        <w:left w:val="none" w:sz="0" w:space="0" w:color="auto"/>
        <w:bottom w:val="none" w:sz="0" w:space="0" w:color="auto"/>
        <w:right w:val="none" w:sz="0" w:space="0" w:color="auto"/>
      </w:divBdr>
    </w:div>
    <w:div w:id="1200900768">
      <w:bodyDiv w:val="1"/>
      <w:marLeft w:val="0"/>
      <w:marRight w:val="0"/>
      <w:marTop w:val="0"/>
      <w:marBottom w:val="0"/>
      <w:divBdr>
        <w:top w:val="none" w:sz="0" w:space="0" w:color="auto"/>
        <w:left w:val="none" w:sz="0" w:space="0" w:color="auto"/>
        <w:bottom w:val="none" w:sz="0" w:space="0" w:color="auto"/>
        <w:right w:val="none" w:sz="0" w:space="0" w:color="auto"/>
      </w:divBdr>
    </w:div>
    <w:div w:id="1203132424">
      <w:bodyDiv w:val="1"/>
      <w:marLeft w:val="0"/>
      <w:marRight w:val="0"/>
      <w:marTop w:val="0"/>
      <w:marBottom w:val="0"/>
      <w:divBdr>
        <w:top w:val="none" w:sz="0" w:space="0" w:color="auto"/>
        <w:left w:val="none" w:sz="0" w:space="0" w:color="auto"/>
        <w:bottom w:val="none" w:sz="0" w:space="0" w:color="auto"/>
        <w:right w:val="none" w:sz="0" w:space="0" w:color="auto"/>
      </w:divBdr>
    </w:div>
    <w:div w:id="1204638665">
      <w:bodyDiv w:val="1"/>
      <w:marLeft w:val="0"/>
      <w:marRight w:val="0"/>
      <w:marTop w:val="0"/>
      <w:marBottom w:val="0"/>
      <w:divBdr>
        <w:top w:val="none" w:sz="0" w:space="0" w:color="auto"/>
        <w:left w:val="none" w:sz="0" w:space="0" w:color="auto"/>
        <w:bottom w:val="none" w:sz="0" w:space="0" w:color="auto"/>
        <w:right w:val="none" w:sz="0" w:space="0" w:color="auto"/>
      </w:divBdr>
      <w:divsChild>
        <w:div w:id="134639699">
          <w:marLeft w:val="0"/>
          <w:marRight w:val="0"/>
          <w:marTop w:val="0"/>
          <w:marBottom w:val="0"/>
          <w:divBdr>
            <w:top w:val="none" w:sz="0" w:space="0" w:color="auto"/>
            <w:left w:val="none" w:sz="0" w:space="0" w:color="auto"/>
            <w:bottom w:val="none" w:sz="0" w:space="0" w:color="auto"/>
            <w:right w:val="none" w:sz="0" w:space="0" w:color="auto"/>
          </w:divBdr>
        </w:div>
        <w:div w:id="1013461714">
          <w:marLeft w:val="0"/>
          <w:marRight w:val="0"/>
          <w:marTop w:val="0"/>
          <w:marBottom w:val="0"/>
          <w:divBdr>
            <w:top w:val="none" w:sz="0" w:space="0" w:color="auto"/>
            <w:left w:val="none" w:sz="0" w:space="0" w:color="auto"/>
            <w:bottom w:val="none" w:sz="0" w:space="0" w:color="auto"/>
            <w:right w:val="none" w:sz="0" w:space="0" w:color="auto"/>
          </w:divBdr>
        </w:div>
      </w:divsChild>
    </w:div>
    <w:div w:id="1211305347">
      <w:bodyDiv w:val="1"/>
      <w:marLeft w:val="0"/>
      <w:marRight w:val="0"/>
      <w:marTop w:val="0"/>
      <w:marBottom w:val="0"/>
      <w:divBdr>
        <w:top w:val="none" w:sz="0" w:space="0" w:color="auto"/>
        <w:left w:val="none" w:sz="0" w:space="0" w:color="auto"/>
        <w:bottom w:val="none" w:sz="0" w:space="0" w:color="auto"/>
        <w:right w:val="none" w:sz="0" w:space="0" w:color="auto"/>
      </w:divBdr>
    </w:div>
    <w:div w:id="1217398375">
      <w:bodyDiv w:val="1"/>
      <w:marLeft w:val="0"/>
      <w:marRight w:val="0"/>
      <w:marTop w:val="0"/>
      <w:marBottom w:val="0"/>
      <w:divBdr>
        <w:top w:val="none" w:sz="0" w:space="0" w:color="auto"/>
        <w:left w:val="none" w:sz="0" w:space="0" w:color="auto"/>
        <w:bottom w:val="none" w:sz="0" w:space="0" w:color="auto"/>
        <w:right w:val="none" w:sz="0" w:space="0" w:color="auto"/>
      </w:divBdr>
    </w:div>
    <w:div w:id="1220167810">
      <w:bodyDiv w:val="1"/>
      <w:marLeft w:val="0"/>
      <w:marRight w:val="0"/>
      <w:marTop w:val="0"/>
      <w:marBottom w:val="0"/>
      <w:divBdr>
        <w:top w:val="none" w:sz="0" w:space="0" w:color="auto"/>
        <w:left w:val="none" w:sz="0" w:space="0" w:color="auto"/>
        <w:bottom w:val="none" w:sz="0" w:space="0" w:color="auto"/>
        <w:right w:val="none" w:sz="0" w:space="0" w:color="auto"/>
      </w:divBdr>
    </w:div>
    <w:div w:id="1222398892">
      <w:bodyDiv w:val="1"/>
      <w:marLeft w:val="0"/>
      <w:marRight w:val="0"/>
      <w:marTop w:val="0"/>
      <w:marBottom w:val="0"/>
      <w:divBdr>
        <w:top w:val="none" w:sz="0" w:space="0" w:color="auto"/>
        <w:left w:val="none" w:sz="0" w:space="0" w:color="auto"/>
        <w:bottom w:val="none" w:sz="0" w:space="0" w:color="auto"/>
        <w:right w:val="none" w:sz="0" w:space="0" w:color="auto"/>
      </w:divBdr>
    </w:div>
    <w:div w:id="1227062974">
      <w:bodyDiv w:val="1"/>
      <w:marLeft w:val="0"/>
      <w:marRight w:val="0"/>
      <w:marTop w:val="0"/>
      <w:marBottom w:val="0"/>
      <w:divBdr>
        <w:top w:val="none" w:sz="0" w:space="0" w:color="auto"/>
        <w:left w:val="none" w:sz="0" w:space="0" w:color="auto"/>
        <w:bottom w:val="none" w:sz="0" w:space="0" w:color="auto"/>
        <w:right w:val="none" w:sz="0" w:space="0" w:color="auto"/>
      </w:divBdr>
    </w:div>
    <w:div w:id="1227958385">
      <w:bodyDiv w:val="1"/>
      <w:marLeft w:val="0"/>
      <w:marRight w:val="0"/>
      <w:marTop w:val="0"/>
      <w:marBottom w:val="0"/>
      <w:divBdr>
        <w:top w:val="none" w:sz="0" w:space="0" w:color="auto"/>
        <w:left w:val="none" w:sz="0" w:space="0" w:color="auto"/>
        <w:bottom w:val="none" w:sz="0" w:space="0" w:color="auto"/>
        <w:right w:val="none" w:sz="0" w:space="0" w:color="auto"/>
      </w:divBdr>
      <w:divsChild>
        <w:div w:id="1191384098">
          <w:marLeft w:val="1080"/>
          <w:marRight w:val="0"/>
          <w:marTop w:val="100"/>
          <w:marBottom w:val="0"/>
          <w:divBdr>
            <w:top w:val="none" w:sz="0" w:space="0" w:color="auto"/>
            <w:left w:val="none" w:sz="0" w:space="0" w:color="auto"/>
            <w:bottom w:val="none" w:sz="0" w:space="0" w:color="auto"/>
            <w:right w:val="none" w:sz="0" w:space="0" w:color="auto"/>
          </w:divBdr>
        </w:div>
        <w:div w:id="1113206266">
          <w:marLeft w:val="1080"/>
          <w:marRight w:val="0"/>
          <w:marTop w:val="100"/>
          <w:marBottom w:val="0"/>
          <w:divBdr>
            <w:top w:val="none" w:sz="0" w:space="0" w:color="auto"/>
            <w:left w:val="none" w:sz="0" w:space="0" w:color="auto"/>
            <w:bottom w:val="none" w:sz="0" w:space="0" w:color="auto"/>
            <w:right w:val="none" w:sz="0" w:space="0" w:color="auto"/>
          </w:divBdr>
        </w:div>
        <w:div w:id="1200242134">
          <w:marLeft w:val="1080"/>
          <w:marRight w:val="0"/>
          <w:marTop w:val="100"/>
          <w:marBottom w:val="0"/>
          <w:divBdr>
            <w:top w:val="none" w:sz="0" w:space="0" w:color="auto"/>
            <w:left w:val="none" w:sz="0" w:space="0" w:color="auto"/>
            <w:bottom w:val="none" w:sz="0" w:space="0" w:color="auto"/>
            <w:right w:val="none" w:sz="0" w:space="0" w:color="auto"/>
          </w:divBdr>
        </w:div>
      </w:divsChild>
    </w:div>
    <w:div w:id="1230580014">
      <w:bodyDiv w:val="1"/>
      <w:marLeft w:val="0"/>
      <w:marRight w:val="0"/>
      <w:marTop w:val="0"/>
      <w:marBottom w:val="0"/>
      <w:divBdr>
        <w:top w:val="none" w:sz="0" w:space="0" w:color="auto"/>
        <w:left w:val="none" w:sz="0" w:space="0" w:color="auto"/>
        <w:bottom w:val="none" w:sz="0" w:space="0" w:color="auto"/>
        <w:right w:val="none" w:sz="0" w:space="0" w:color="auto"/>
      </w:divBdr>
      <w:divsChild>
        <w:div w:id="1464345955">
          <w:marLeft w:val="590"/>
          <w:marRight w:val="0"/>
          <w:marTop w:val="0"/>
          <w:marBottom w:val="240"/>
          <w:divBdr>
            <w:top w:val="none" w:sz="0" w:space="0" w:color="auto"/>
            <w:left w:val="none" w:sz="0" w:space="0" w:color="auto"/>
            <w:bottom w:val="none" w:sz="0" w:space="0" w:color="auto"/>
            <w:right w:val="none" w:sz="0" w:space="0" w:color="auto"/>
          </w:divBdr>
        </w:div>
      </w:divsChild>
    </w:div>
    <w:div w:id="1238638521">
      <w:bodyDiv w:val="1"/>
      <w:marLeft w:val="0"/>
      <w:marRight w:val="0"/>
      <w:marTop w:val="0"/>
      <w:marBottom w:val="0"/>
      <w:divBdr>
        <w:top w:val="none" w:sz="0" w:space="0" w:color="auto"/>
        <w:left w:val="none" w:sz="0" w:space="0" w:color="auto"/>
        <w:bottom w:val="none" w:sz="0" w:space="0" w:color="auto"/>
        <w:right w:val="none" w:sz="0" w:space="0" w:color="auto"/>
      </w:divBdr>
    </w:div>
    <w:div w:id="1253901295">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065338">
      <w:bodyDiv w:val="1"/>
      <w:marLeft w:val="0"/>
      <w:marRight w:val="0"/>
      <w:marTop w:val="0"/>
      <w:marBottom w:val="0"/>
      <w:divBdr>
        <w:top w:val="none" w:sz="0" w:space="0" w:color="auto"/>
        <w:left w:val="none" w:sz="0" w:space="0" w:color="auto"/>
        <w:bottom w:val="none" w:sz="0" w:space="0" w:color="auto"/>
        <w:right w:val="none" w:sz="0" w:space="0" w:color="auto"/>
      </w:divBdr>
    </w:div>
    <w:div w:id="1285189883">
      <w:bodyDiv w:val="1"/>
      <w:marLeft w:val="0"/>
      <w:marRight w:val="0"/>
      <w:marTop w:val="0"/>
      <w:marBottom w:val="0"/>
      <w:divBdr>
        <w:top w:val="none" w:sz="0" w:space="0" w:color="auto"/>
        <w:left w:val="none" w:sz="0" w:space="0" w:color="auto"/>
        <w:bottom w:val="none" w:sz="0" w:space="0" w:color="auto"/>
        <w:right w:val="none" w:sz="0" w:space="0" w:color="auto"/>
      </w:divBdr>
    </w:div>
    <w:div w:id="1289630469">
      <w:bodyDiv w:val="1"/>
      <w:marLeft w:val="0"/>
      <w:marRight w:val="0"/>
      <w:marTop w:val="0"/>
      <w:marBottom w:val="0"/>
      <w:divBdr>
        <w:top w:val="none" w:sz="0" w:space="0" w:color="auto"/>
        <w:left w:val="none" w:sz="0" w:space="0" w:color="auto"/>
        <w:bottom w:val="none" w:sz="0" w:space="0" w:color="auto"/>
        <w:right w:val="none" w:sz="0" w:space="0" w:color="auto"/>
      </w:divBdr>
    </w:div>
    <w:div w:id="1296527508">
      <w:bodyDiv w:val="1"/>
      <w:marLeft w:val="0"/>
      <w:marRight w:val="0"/>
      <w:marTop w:val="0"/>
      <w:marBottom w:val="0"/>
      <w:divBdr>
        <w:top w:val="none" w:sz="0" w:space="0" w:color="auto"/>
        <w:left w:val="none" w:sz="0" w:space="0" w:color="auto"/>
        <w:bottom w:val="none" w:sz="0" w:space="0" w:color="auto"/>
        <w:right w:val="none" w:sz="0" w:space="0" w:color="auto"/>
      </w:divBdr>
    </w:div>
    <w:div w:id="1296985887">
      <w:bodyDiv w:val="1"/>
      <w:marLeft w:val="0"/>
      <w:marRight w:val="0"/>
      <w:marTop w:val="0"/>
      <w:marBottom w:val="0"/>
      <w:divBdr>
        <w:top w:val="none" w:sz="0" w:space="0" w:color="auto"/>
        <w:left w:val="none" w:sz="0" w:space="0" w:color="auto"/>
        <w:bottom w:val="none" w:sz="0" w:space="0" w:color="auto"/>
        <w:right w:val="none" w:sz="0" w:space="0" w:color="auto"/>
      </w:divBdr>
    </w:div>
    <w:div w:id="1304584967">
      <w:bodyDiv w:val="1"/>
      <w:marLeft w:val="0"/>
      <w:marRight w:val="0"/>
      <w:marTop w:val="0"/>
      <w:marBottom w:val="0"/>
      <w:divBdr>
        <w:top w:val="none" w:sz="0" w:space="0" w:color="auto"/>
        <w:left w:val="none" w:sz="0" w:space="0" w:color="auto"/>
        <w:bottom w:val="none" w:sz="0" w:space="0" w:color="auto"/>
        <w:right w:val="none" w:sz="0" w:space="0" w:color="auto"/>
      </w:divBdr>
    </w:div>
    <w:div w:id="1308973961">
      <w:bodyDiv w:val="1"/>
      <w:marLeft w:val="0"/>
      <w:marRight w:val="0"/>
      <w:marTop w:val="0"/>
      <w:marBottom w:val="0"/>
      <w:divBdr>
        <w:top w:val="none" w:sz="0" w:space="0" w:color="auto"/>
        <w:left w:val="none" w:sz="0" w:space="0" w:color="auto"/>
        <w:bottom w:val="none" w:sz="0" w:space="0" w:color="auto"/>
        <w:right w:val="none" w:sz="0" w:space="0" w:color="auto"/>
      </w:divBdr>
    </w:div>
    <w:div w:id="1315833918">
      <w:bodyDiv w:val="1"/>
      <w:marLeft w:val="0"/>
      <w:marRight w:val="0"/>
      <w:marTop w:val="0"/>
      <w:marBottom w:val="0"/>
      <w:divBdr>
        <w:top w:val="none" w:sz="0" w:space="0" w:color="auto"/>
        <w:left w:val="none" w:sz="0" w:space="0" w:color="auto"/>
        <w:bottom w:val="none" w:sz="0" w:space="0" w:color="auto"/>
        <w:right w:val="none" w:sz="0" w:space="0" w:color="auto"/>
      </w:divBdr>
    </w:div>
    <w:div w:id="1320038486">
      <w:bodyDiv w:val="1"/>
      <w:marLeft w:val="0"/>
      <w:marRight w:val="0"/>
      <w:marTop w:val="0"/>
      <w:marBottom w:val="0"/>
      <w:divBdr>
        <w:top w:val="none" w:sz="0" w:space="0" w:color="auto"/>
        <w:left w:val="none" w:sz="0" w:space="0" w:color="auto"/>
        <w:bottom w:val="none" w:sz="0" w:space="0" w:color="auto"/>
        <w:right w:val="none" w:sz="0" w:space="0" w:color="auto"/>
      </w:divBdr>
    </w:div>
    <w:div w:id="1321273123">
      <w:bodyDiv w:val="1"/>
      <w:marLeft w:val="0"/>
      <w:marRight w:val="0"/>
      <w:marTop w:val="0"/>
      <w:marBottom w:val="0"/>
      <w:divBdr>
        <w:top w:val="none" w:sz="0" w:space="0" w:color="auto"/>
        <w:left w:val="none" w:sz="0" w:space="0" w:color="auto"/>
        <w:bottom w:val="none" w:sz="0" w:space="0" w:color="auto"/>
        <w:right w:val="none" w:sz="0" w:space="0" w:color="auto"/>
      </w:divBdr>
    </w:div>
    <w:div w:id="1337617029">
      <w:bodyDiv w:val="1"/>
      <w:marLeft w:val="0"/>
      <w:marRight w:val="0"/>
      <w:marTop w:val="0"/>
      <w:marBottom w:val="0"/>
      <w:divBdr>
        <w:top w:val="none" w:sz="0" w:space="0" w:color="auto"/>
        <w:left w:val="none" w:sz="0" w:space="0" w:color="auto"/>
        <w:bottom w:val="none" w:sz="0" w:space="0" w:color="auto"/>
        <w:right w:val="none" w:sz="0" w:space="0" w:color="auto"/>
      </w:divBdr>
    </w:div>
    <w:div w:id="1339775490">
      <w:bodyDiv w:val="1"/>
      <w:marLeft w:val="0"/>
      <w:marRight w:val="0"/>
      <w:marTop w:val="0"/>
      <w:marBottom w:val="0"/>
      <w:divBdr>
        <w:top w:val="none" w:sz="0" w:space="0" w:color="auto"/>
        <w:left w:val="none" w:sz="0" w:space="0" w:color="auto"/>
        <w:bottom w:val="none" w:sz="0" w:space="0" w:color="auto"/>
        <w:right w:val="none" w:sz="0" w:space="0" w:color="auto"/>
      </w:divBdr>
    </w:div>
    <w:div w:id="1341813962">
      <w:bodyDiv w:val="1"/>
      <w:marLeft w:val="0"/>
      <w:marRight w:val="0"/>
      <w:marTop w:val="0"/>
      <w:marBottom w:val="0"/>
      <w:divBdr>
        <w:top w:val="none" w:sz="0" w:space="0" w:color="auto"/>
        <w:left w:val="none" w:sz="0" w:space="0" w:color="auto"/>
        <w:bottom w:val="none" w:sz="0" w:space="0" w:color="auto"/>
        <w:right w:val="none" w:sz="0" w:space="0" w:color="auto"/>
      </w:divBdr>
    </w:div>
    <w:div w:id="1348169688">
      <w:bodyDiv w:val="1"/>
      <w:marLeft w:val="0"/>
      <w:marRight w:val="0"/>
      <w:marTop w:val="0"/>
      <w:marBottom w:val="0"/>
      <w:divBdr>
        <w:top w:val="none" w:sz="0" w:space="0" w:color="auto"/>
        <w:left w:val="none" w:sz="0" w:space="0" w:color="auto"/>
        <w:bottom w:val="none" w:sz="0" w:space="0" w:color="auto"/>
        <w:right w:val="none" w:sz="0" w:space="0" w:color="auto"/>
      </w:divBdr>
    </w:div>
    <w:div w:id="1348215209">
      <w:bodyDiv w:val="1"/>
      <w:marLeft w:val="0"/>
      <w:marRight w:val="0"/>
      <w:marTop w:val="0"/>
      <w:marBottom w:val="0"/>
      <w:divBdr>
        <w:top w:val="none" w:sz="0" w:space="0" w:color="auto"/>
        <w:left w:val="none" w:sz="0" w:space="0" w:color="auto"/>
        <w:bottom w:val="none" w:sz="0" w:space="0" w:color="auto"/>
        <w:right w:val="none" w:sz="0" w:space="0" w:color="auto"/>
      </w:divBdr>
    </w:div>
    <w:div w:id="1349483011">
      <w:bodyDiv w:val="1"/>
      <w:marLeft w:val="0"/>
      <w:marRight w:val="0"/>
      <w:marTop w:val="0"/>
      <w:marBottom w:val="0"/>
      <w:divBdr>
        <w:top w:val="none" w:sz="0" w:space="0" w:color="auto"/>
        <w:left w:val="none" w:sz="0" w:space="0" w:color="auto"/>
        <w:bottom w:val="none" w:sz="0" w:space="0" w:color="auto"/>
        <w:right w:val="none" w:sz="0" w:space="0" w:color="auto"/>
      </w:divBdr>
    </w:div>
    <w:div w:id="1371800821">
      <w:bodyDiv w:val="1"/>
      <w:marLeft w:val="0"/>
      <w:marRight w:val="0"/>
      <w:marTop w:val="0"/>
      <w:marBottom w:val="0"/>
      <w:divBdr>
        <w:top w:val="none" w:sz="0" w:space="0" w:color="auto"/>
        <w:left w:val="none" w:sz="0" w:space="0" w:color="auto"/>
        <w:bottom w:val="none" w:sz="0" w:space="0" w:color="auto"/>
        <w:right w:val="none" w:sz="0" w:space="0" w:color="auto"/>
      </w:divBdr>
    </w:div>
    <w:div w:id="1385368170">
      <w:bodyDiv w:val="1"/>
      <w:marLeft w:val="0"/>
      <w:marRight w:val="0"/>
      <w:marTop w:val="0"/>
      <w:marBottom w:val="0"/>
      <w:divBdr>
        <w:top w:val="none" w:sz="0" w:space="0" w:color="auto"/>
        <w:left w:val="none" w:sz="0" w:space="0" w:color="auto"/>
        <w:bottom w:val="none" w:sz="0" w:space="0" w:color="auto"/>
        <w:right w:val="none" w:sz="0" w:space="0" w:color="auto"/>
      </w:divBdr>
    </w:div>
    <w:div w:id="1404764571">
      <w:bodyDiv w:val="1"/>
      <w:marLeft w:val="0"/>
      <w:marRight w:val="0"/>
      <w:marTop w:val="0"/>
      <w:marBottom w:val="0"/>
      <w:divBdr>
        <w:top w:val="none" w:sz="0" w:space="0" w:color="auto"/>
        <w:left w:val="none" w:sz="0" w:space="0" w:color="auto"/>
        <w:bottom w:val="none" w:sz="0" w:space="0" w:color="auto"/>
        <w:right w:val="none" w:sz="0" w:space="0" w:color="auto"/>
      </w:divBdr>
    </w:div>
    <w:div w:id="1412123185">
      <w:bodyDiv w:val="1"/>
      <w:marLeft w:val="0"/>
      <w:marRight w:val="0"/>
      <w:marTop w:val="0"/>
      <w:marBottom w:val="0"/>
      <w:divBdr>
        <w:top w:val="none" w:sz="0" w:space="0" w:color="auto"/>
        <w:left w:val="none" w:sz="0" w:space="0" w:color="auto"/>
        <w:bottom w:val="none" w:sz="0" w:space="0" w:color="auto"/>
        <w:right w:val="none" w:sz="0" w:space="0" w:color="auto"/>
      </w:divBdr>
    </w:div>
    <w:div w:id="1419597120">
      <w:bodyDiv w:val="1"/>
      <w:marLeft w:val="0"/>
      <w:marRight w:val="0"/>
      <w:marTop w:val="0"/>
      <w:marBottom w:val="0"/>
      <w:divBdr>
        <w:top w:val="none" w:sz="0" w:space="0" w:color="auto"/>
        <w:left w:val="none" w:sz="0" w:space="0" w:color="auto"/>
        <w:bottom w:val="none" w:sz="0" w:space="0" w:color="auto"/>
        <w:right w:val="none" w:sz="0" w:space="0" w:color="auto"/>
      </w:divBdr>
    </w:div>
    <w:div w:id="1427191610">
      <w:bodyDiv w:val="1"/>
      <w:marLeft w:val="0"/>
      <w:marRight w:val="0"/>
      <w:marTop w:val="0"/>
      <w:marBottom w:val="0"/>
      <w:divBdr>
        <w:top w:val="none" w:sz="0" w:space="0" w:color="auto"/>
        <w:left w:val="none" w:sz="0" w:space="0" w:color="auto"/>
        <w:bottom w:val="none" w:sz="0" w:space="0" w:color="auto"/>
        <w:right w:val="none" w:sz="0" w:space="0" w:color="auto"/>
      </w:divBdr>
    </w:div>
    <w:div w:id="1428689949">
      <w:bodyDiv w:val="1"/>
      <w:marLeft w:val="0"/>
      <w:marRight w:val="0"/>
      <w:marTop w:val="0"/>
      <w:marBottom w:val="0"/>
      <w:divBdr>
        <w:top w:val="none" w:sz="0" w:space="0" w:color="auto"/>
        <w:left w:val="none" w:sz="0" w:space="0" w:color="auto"/>
        <w:bottom w:val="none" w:sz="0" w:space="0" w:color="auto"/>
        <w:right w:val="none" w:sz="0" w:space="0" w:color="auto"/>
      </w:divBdr>
    </w:div>
    <w:div w:id="1432357233">
      <w:bodyDiv w:val="1"/>
      <w:marLeft w:val="0"/>
      <w:marRight w:val="0"/>
      <w:marTop w:val="0"/>
      <w:marBottom w:val="0"/>
      <w:divBdr>
        <w:top w:val="none" w:sz="0" w:space="0" w:color="auto"/>
        <w:left w:val="none" w:sz="0" w:space="0" w:color="auto"/>
        <w:bottom w:val="none" w:sz="0" w:space="0" w:color="auto"/>
        <w:right w:val="none" w:sz="0" w:space="0" w:color="auto"/>
      </w:divBdr>
    </w:div>
    <w:div w:id="1440103824">
      <w:bodyDiv w:val="1"/>
      <w:marLeft w:val="0"/>
      <w:marRight w:val="0"/>
      <w:marTop w:val="0"/>
      <w:marBottom w:val="0"/>
      <w:divBdr>
        <w:top w:val="none" w:sz="0" w:space="0" w:color="auto"/>
        <w:left w:val="none" w:sz="0" w:space="0" w:color="auto"/>
        <w:bottom w:val="none" w:sz="0" w:space="0" w:color="auto"/>
        <w:right w:val="none" w:sz="0" w:space="0" w:color="auto"/>
      </w:divBdr>
    </w:div>
    <w:div w:id="1448235639">
      <w:bodyDiv w:val="1"/>
      <w:marLeft w:val="0"/>
      <w:marRight w:val="0"/>
      <w:marTop w:val="0"/>
      <w:marBottom w:val="0"/>
      <w:divBdr>
        <w:top w:val="none" w:sz="0" w:space="0" w:color="auto"/>
        <w:left w:val="none" w:sz="0" w:space="0" w:color="auto"/>
        <w:bottom w:val="none" w:sz="0" w:space="0" w:color="auto"/>
        <w:right w:val="none" w:sz="0" w:space="0" w:color="auto"/>
      </w:divBdr>
    </w:div>
    <w:div w:id="1453011836">
      <w:bodyDiv w:val="1"/>
      <w:marLeft w:val="0"/>
      <w:marRight w:val="0"/>
      <w:marTop w:val="0"/>
      <w:marBottom w:val="0"/>
      <w:divBdr>
        <w:top w:val="none" w:sz="0" w:space="0" w:color="auto"/>
        <w:left w:val="none" w:sz="0" w:space="0" w:color="auto"/>
        <w:bottom w:val="none" w:sz="0" w:space="0" w:color="auto"/>
        <w:right w:val="none" w:sz="0" w:space="0" w:color="auto"/>
      </w:divBdr>
    </w:div>
    <w:div w:id="1471901292">
      <w:bodyDiv w:val="1"/>
      <w:marLeft w:val="0"/>
      <w:marRight w:val="0"/>
      <w:marTop w:val="0"/>
      <w:marBottom w:val="0"/>
      <w:divBdr>
        <w:top w:val="none" w:sz="0" w:space="0" w:color="auto"/>
        <w:left w:val="none" w:sz="0" w:space="0" w:color="auto"/>
        <w:bottom w:val="none" w:sz="0" w:space="0" w:color="auto"/>
        <w:right w:val="none" w:sz="0" w:space="0" w:color="auto"/>
      </w:divBdr>
    </w:div>
    <w:div w:id="1478379499">
      <w:bodyDiv w:val="1"/>
      <w:marLeft w:val="0"/>
      <w:marRight w:val="0"/>
      <w:marTop w:val="0"/>
      <w:marBottom w:val="0"/>
      <w:divBdr>
        <w:top w:val="none" w:sz="0" w:space="0" w:color="auto"/>
        <w:left w:val="none" w:sz="0" w:space="0" w:color="auto"/>
        <w:bottom w:val="none" w:sz="0" w:space="0" w:color="auto"/>
        <w:right w:val="none" w:sz="0" w:space="0" w:color="auto"/>
      </w:divBdr>
    </w:div>
    <w:div w:id="1479572797">
      <w:bodyDiv w:val="1"/>
      <w:marLeft w:val="0"/>
      <w:marRight w:val="0"/>
      <w:marTop w:val="0"/>
      <w:marBottom w:val="0"/>
      <w:divBdr>
        <w:top w:val="none" w:sz="0" w:space="0" w:color="auto"/>
        <w:left w:val="none" w:sz="0" w:space="0" w:color="auto"/>
        <w:bottom w:val="none" w:sz="0" w:space="0" w:color="auto"/>
        <w:right w:val="none" w:sz="0" w:space="0" w:color="auto"/>
      </w:divBdr>
    </w:div>
    <w:div w:id="1489319812">
      <w:bodyDiv w:val="1"/>
      <w:marLeft w:val="0"/>
      <w:marRight w:val="0"/>
      <w:marTop w:val="0"/>
      <w:marBottom w:val="0"/>
      <w:divBdr>
        <w:top w:val="none" w:sz="0" w:space="0" w:color="auto"/>
        <w:left w:val="none" w:sz="0" w:space="0" w:color="auto"/>
        <w:bottom w:val="none" w:sz="0" w:space="0" w:color="auto"/>
        <w:right w:val="none" w:sz="0" w:space="0" w:color="auto"/>
      </w:divBdr>
    </w:div>
    <w:div w:id="1499150362">
      <w:bodyDiv w:val="1"/>
      <w:marLeft w:val="0"/>
      <w:marRight w:val="0"/>
      <w:marTop w:val="0"/>
      <w:marBottom w:val="0"/>
      <w:divBdr>
        <w:top w:val="none" w:sz="0" w:space="0" w:color="auto"/>
        <w:left w:val="none" w:sz="0" w:space="0" w:color="auto"/>
        <w:bottom w:val="none" w:sz="0" w:space="0" w:color="auto"/>
        <w:right w:val="none" w:sz="0" w:space="0" w:color="auto"/>
      </w:divBdr>
    </w:div>
    <w:div w:id="1507095934">
      <w:bodyDiv w:val="1"/>
      <w:marLeft w:val="0"/>
      <w:marRight w:val="0"/>
      <w:marTop w:val="0"/>
      <w:marBottom w:val="0"/>
      <w:divBdr>
        <w:top w:val="none" w:sz="0" w:space="0" w:color="auto"/>
        <w:left w:val="none" w:sz="0" w:space="0" w:color="auto"/>
        <w:bottom w:val="none" w:sz="0" w:space="0" w:color="auto"/>
        <w:right w:val="none" w:sz="0" w:space="0" w:color="auto"/>
      </w:divBdr>
    </w:div>
    <w:div w:id="1507867743">
      <w:bodyDiv w:val="1"/>
      <w:marLeft w:val="0"/>
      <w:marRight w:val="0"/>
      <w:marTop w:val="0"/>
      <w:marBottom w:val="0"/>
      <w:divBdr>
        <w:top w:val="none" w:sz="0" w:space="0" w:color="auto"/>
        <w:left w:val="none" w:sz="0" w:space="0" w:color="auto"/>
        <w:bottom w:val="none" w:sz="0" w:space="0" w:color="auto"/>
        <w:right w:val="none" w:sz="0" w:space="0" w:color="auto"/>
      </w:divBdr>
    </w:div>
    <w:div w:id="1520655513">
      <w:bodyDiv w:val="1"/>
      <w:marLeft w:val="0"/>
      <w:marRight w:val="0"/>
      <w:marTop w:val="0"/>
      <w:marBottom w:val="0"/>
      <w:divBdr>
        <w:top w:val="none" w:sz="0" w:space="0" w:color="auto"/>
        <w:left w:val="none" w:sz="0" w:space="0" w:color="auto"/>
        <w:bottom w:val="none" w:sz="0" w:space="0" w:color="auto"/>
        <w:right w:val="none" w:sz="0" w:space="0" w:color="auto"/>
      </w:divBdr>
    </w:div>
    <w:div w:id="1546676535">
      <w:bodyDiv w:val="1"/>
      <w:marLeft w:val="0"/>
      <w:marRight w:val="0"/>
      <w:marTop w:val="0"/>
      <w:marBottom w:val="0"/>
      <w:divBdr>
        <w:top w:val="none" w:sz="0" w:space="0" w:color="auto"/>
        <w:left w:val="none" w:sz="0" w:space="0" w:color="auto"/>
        <w:bottom w:val="none" w:sz="0" w:space="0" w:color="auto"/>
        <w:right w:val="none" w:sz="0" w:space="0" w:color="auto"/>
      </w:divBdr>
    </w:div>
    <w:div w:id="1573194173">
      <w:bodyDiv w:val="1"/>
      <w:marLeft w:val="0"/>
      <w:marRight w:val="0"/>
      <w:marTop w:val="0"/>
      <w:marBottom w:val="0"/>
      <w:divBdr>
        <w:top w:val="none" w:sz="0" w:space="0" w:color="auto"/>
        <w:left w:val="none" w:sz="0" w:space="0" w:color="auto"/>
        <w:bottom w:val="none" w:sz="0" w:space="0" w:color="auto"/>
        <w:right w:val="none" w:sz="0" w:space="0" w:color="auto"/>
      </w:divBdr>
    </w:div>
    <w:div w:id="1593390113">
      <w:bodyDiv w:val="1"/>
      <w:marLeft w:val="0"/>
      <w:marRight w:val="0"/>
      <w:marTop w:val="0"/>
      <w:marBottom w:val="0"/>
      <w:divBdr>
        <w:top w:val="none" w:sz="0" w:space="0" w:color="auto"/>
        <w:left w:val="none" w:sz="0" w:space="0" w:color="auto"/>
        <w:bottom w:val="none" w:sz="0" w:space="0" w:color="auto"/>
        <w:right w:val="none" w:sz="0" w:space="0" w:color="auto"/>
      </w:divBdr>
    </w:div>
    <w:div w:id="1596326231">
      <w:bodyDiv w:val="1"/>
      <w:marLeft w:val="0"/>
      <w:marRight w:val="0"/>
      <w:marTop w:val="0"/>
      <w:marBottom w:val="0"/>
      <w:divBdr>
        <w:top w:val="none" w:sz="0" w:space="0" w:color="auto"/>
        <w:left w:val="none" w:sz="0" w:space="0" w:color="auto"/>
        <w:bottom w:val="none" w:sz="0" w:space="0" w:color="auto"/>
        <w:right w:val="none" w:sz="0" w:space="0" w:color="auto"/>
      </w:divBdr>
    </w:div>
    <w:div w:id="1598781947">
      <w:bodyDiv w:val="1"/>
      <w:marLeft w:val="0"/>
      <w:marRight w:val="0"/>
      <w:marTop w:val="0"/>
      <w:marBottom w:val="0"/>
      <w:divBdr>
        <w:top w:val="none" w:sz="0" w:space="0" w:color="auto"/>
        <w:left w:val="none" w:sz="0" w:space="0" w:color="auto"/>
        <w:bottom w:val="none" w:sz="0" w:space="0" w:color="auto"/>
        <w:right w:val="none" w:sz="0" w:space="0" w:color="auto"/>
      </w:divBdr>
      <w:divsChild>
        <w:div w:id="1709987041">
          <w:marLeft w:val="0"/>
          <w:marRight w:val="0"/>
          <w:marTop w:val="0"/>
          <w:marBottom w:val="0"/>
          <w:divBdr>
            <w:top w:val="none" w:sz="0" w:space="0" w:color="auto"/>
            <w:left w:val="none" w:sz="0" w:space="0" w:color="auto"/>
            <w:bottom w:val="none" w:sz="0" w:space="0" w:color="auto"/>
            <w:right w:val="none" w:sz="0" w:space="0" w:color="auto"/>
          </w:divBdr>
        </w:div>
        <w:div w:id="2052025095">
          <w:marLeft w:val="0"/>
          <w:marRight w:val="0"/>
          <w:marTop w:val="0"/>
          <w:marBottom w:val="0"/>
          <w:divBdr>
            <w:top w:val="none" w:sz="0" w:space="0" w:color="auto"/>
            <w:left w:val="none" w:sz="0" w:space="0" w:color="auto"/>
            <w:bottom w:val="none" w:sz="0" w:space="0" w:color="auto"/>
            <w:right w:val="none" w:sz="0" w:space="0" w:color="auto"/>
          </w:divBdr>
        </w:div>
      </w:divsChild>
    </w:div>
    <w:div w:id="1618677040">
      <w:bodyDiv w:val="1"/>
      <w:marLeft w:val="0"/>
      <w:marRight w:val="0"/>
      <w:marTop w:val="0"/>
      <w:marBottom w:val="0"/>
      <w:divBdr>
        <w:top w:val="none" w:sz="0" w:space="0" w:color="auto"/>
        <w:left w:val="none" w:sz="0" w:space="0" w:color="auto"/>
        <w:bottom w:val="none" w:sz="0" w:space="0" w:color="auto"/>
        <w:right w:val="none" w:sz="0" w:space="0" w:color="auto"/>
      </w:divBdr>
    </w:div>
    <w:div w:id="1636253657">
      <w:bodyDiv w:val="1"/>
      <w:marLeft w:val="0"/>
      <w:marRight w:val="0"/>
      <w:marTop w:val="0"/>
      <w:marBottom w:val="0"/>
      <w:divBdr>
        <w:top w:val="none" w:sz="0" w:space="0" w:color="auto"/>
        <w:left w:val="none" w:sz="0" w:space="0" w:color="auto"/>
        <w:bottom w:val="none" w:sz="0" w:space="0" w:color="auto"/>
        <w:right w:val="none" w:sz="0" w:space="0" w:color="auto"/>
      </w:divBdr>
    </w:div>
    <w:div w:id="1637104335">
      <w:bodyDiv w:val="1"/>
      <w:marLeft w:val="0"/>
      <w:marRight w:val="0"/>
      <w:marTop w:val="0"/>
      <w:marBottom w:val="0"/>
      <w:divBdr>
        <w:top w:val="none" w:sz="0" w:space="0" w:color="auto"/>
        <w:left w:val="none" w:sz="0" w:space="0" w:color="auto"/>
        <w:bottom w:val="none" w:sz="0" w:space="0" w:color="auto"/>
        <w:right w:val="none" w:sz="0" w:space="0" w:color="auto"/>
      </w:divBdr>
    </w:div>
    <w:div w:id="1642880142">
      <w:bodyDiv w:val="1"/>
      <w:marLeft w:val="0"/>
      <w:marRight w:val="0"/>
      <w:marTop w:val="0"/>
      <w:marBottom w:val="0"/>
      <w:divBdr>
        <w:top w:val="none" w:sz="0" w:space="0" w:color="auto"/>
        <w:left w:val="none" w:sz="0" w:space="0" w:color="auto"/>
        <w:bottom w:val="none" w:sz="0" w:space="0" w:color="auto"/>
        <w:right w:val="none" w:sz="0" w:space="0" w:color="auto"/>
      </w:divBdr>
    </w:div>
    <w:div w:id="1685089299">
      <w:bodyDiv w:val="1"/>
      <w:marLeft w:val="0"/>
      <w:marRight w:val="0"/>
      <w:marTop w:val="0"/>
      <w:marBottom w:val="0"/>
      <w:divBdr>
        <w:top w:val="none" w:sz="0" w:space="0" w:color="auto"/>
        <w:left w:val="none" w:sz="0" w:space="0" w:color="auto"/>
        <w:bottom w:val="none" w:sz="0" w:space="0" w:color="auto"/>
        <w:right w:val="none" w:sz="0" w:space="0" w:color="auto"/>
      </w:divBdr>
      <w:divsChild>
        <w:div w:id="203518853">
          <w:marLeft w:val="360"/>
          <w:marRight w:val="0"/>
          <w:marTop w:val="200"/>
          <w:marBottom w:val="0"/>
          <w:divBdr>
            <w:top w:val="none" w:sz="0" w:space="0" w:color="auto"/>
            <w:left w:val="none" w:sz="0" w:space="0" w:color="auto"/>
            <w:bottom w:val="none" w:sz="0" w:space="0" w:color="auto"/>
            <w:right w:val="none" w:sz="0" w:space="0" w:color="auto"/>
          </w:divBdr>
        </w:div>
      </w:divsChild>
    </w:div>
    <w:div w:id="1690793728">
      <w:bodyDiv w:val="1"/>
      <w:marLeft w:val="0"/>
      <w:marRight w:val="0"/>
      <w:marTop w:val="0"/>
      <w:marBottom w:val="0"/>
      <w:divBdr>
        <w:top w:val="none" w:sz="0" w:space="0" w:color="auto"/>
        <w:left w:val="none" w:sz="0" w:space="0" w:color="auto"/>
        <w:bottom w:val="none" w:sz="0" w:space="0" w:color="auto"/>
        <w:right w:val="none" w:sz="0" w:space="0" w:color="auto"/>
      </w:divBdr>
    </w:div>
    <w:div w:id="1696468193">
      <w:bodyDiv w:val="1"/>
      <w:marLeft w:val="0"/>
      <w:marRight w:val="0"/>
      <w:marTop w:val="0"/>
      <w:marBottom w:val="0"/>
      <w:divBdr>
        <w:top w:val="none" w:sz="0" w:space="0" w:color="auto"/>
        <w:left w:val="none" w:sz="0" w:space="0" w:color="auto"/>
        <w:bottom w:val="none" w:sz="0" w:space="0" w:color="auto"/>
        <w:right w:val="none" w:sz="0" w:space="0" w:color="auto"/>
      </w:divBdr>
    </w:div>
    <w:div w:id="1705205218">
      <w:bodyDiv w:val="1"/>
      <w:marLeft w:val="0"/>
      <w:marRight w:val="0"/>
      <w:marTop w:val="0"/>
      <w:marBottom w:val="0"/>
      <w:divBdr>
        <w:top w:val="none" w:sz="0" w:space="0" w:color="auto"/>
        <w:left w:val="none" w:sz="0" w:space="0" w:color="auto"/>
        <w:bottom w:val="none" w:sz="0" w:space="0" w:color="auto"/>
        <w:right w:val="none" w:sz="0" w:space="0" w:color="auto"/>
      </w:divBdr>
    </w:div>
    <w:div w:id="1714840474">
      <w:bodyDiv w:val="1"/>
      <w:marLeft w:val="0"/>
      <w:marRight w:val="0"/>
      <w:marTop w:val="0"/>
      <w:marBottom w:val="0"/>
      <w:divBdr>
        <w:top w:val="none" w:sz="0" w:space="0" w:color="auto"/>
        <w:left w:val="none" w:sz="0" w:space="0" w:color="auto"/>
        <w:bottom w:val="none" w:sz="0" w:space="0" w:color="auto"/>
        <w:right w:val="none" w:sz="0" w:space="0" w:color="auto"/>
      </w:divBdr>
    </w:div>
    <w:div w:id="1719931055">
      <w:bodyDiv w:val="1"/>
      <w:marLeft w:val="0"/>
      <w:marRight w:val="0"/>
      <w:marTop w:val="0"/>
      <w:marBottom w:val="0"/>
      <w:divBdr>
        <w:top w:val="none" w:sz="0" w:space="0" w:color="auto"/>
        <w:left w:val="none" w:sz="0" w:space="0" w:color="auto"/>
        <w:bottom w:val="none" w:sz="0" w:space="0" w:color="auto"/>
        <w:right w:val="none" w:sz="0" w:space="0" w:color="auto"/>
      </w:divBdr>
    </w:div>
    <w:div w:id="1723015356">
      <w:bodyDiv w:val="1"/>
      <w:marLeft w:val="0"/>
      <w:marRight w:val="0"/>
      <w:marTop w:val="0"/>
      <w:marBottom w:val="0"/>
      <w:divBdr>
        <w:top w:val="none" w:sz="0" w:space="0" w:color="auto"/>
        <w:left w:val="none" w:sz="0" w:space="0" w:color="auto"/>
        <w:bottom w:val="none" w:sz="0" w:space="0" w:color="auto"/>
        <w:right w:val="none" w:sz="0" w:space="0" w:color="auto"/>
      </w:divBdr>
    </w:div>
    <w:div w:id="1724520626">
      <w:bodyDiv w:val="1"/>
      <w:marLeft w:val="0"/>
      <w:marRight w:val="0"/>
      <w:marTop w:val="0"/>
      <w:marBottom w:val="0"/>
      <w:divBdr>
        <w:top w:val="none" w:sz="0" w:space="0" w:color="auto"/>
        <w:left w:val="none" w:sz="0" w:space="0" w:color="auto"/>
        <w:bottom w:val="none" w:sz="0" w:space="0" w:color="auto"/>
        <w:right w:val="none" w:sz="0" w:space="0" w:color="auto"/>
      </w:divBdr>
    </w:div>
    <w:div w:id="1726834527">
      <w:bodyDiv w:val="1"/>
      <w:marLeft w:val="0"/>
      <w:marRight w:val="0"/>
      <w:marTop w:val="0"/>
      <w:marBottom w:val="0"/>
      <w:divBdr>
        <w:top w:val="none" w:sz="0" w:space="0" w:color="auto"/>
        <w:left w:val="none" w:sz="0" w:space="0" w:color="auto"/>
        <w:bottom w:val="none" w:sz="0" w:space="0" w:color="auto"/>
        <w:right w:val="none" w:sz="0" w:space="0" w:color="auto"/>
      </w:divBdr>
    </w:div>
    <w:div w:id="1730377868">
      <w:bodyDiv w:val="1"/>
      <w:marLeft w:val="0"/>
      <w:marRight w:val="0"/>
      <w:marTop w:val="0"/>
      <w:marBottom w:val="0"/>
      <w:divBdr>
        <w:top w:val="none" w:sz="0" w:space="0" w:color="auto"/>
        <w:left w:val="none" w:sz="0" w:space="0" w:color="auto"/>
        <w:bottom w:val="none" w:sz="0" w:space="0" w:color="auto"/>
        <w:right w:val="none" w:sz="0" w:space="0" w:color="auto"/>
      </w:divBdr>
    </w:div>
    <w:div w:id="1731995292">
      <w:bodyDiv w:val="1"/>
      <w:marLeft w:val="0"/>
      <w:marRight w:val="0"/>
      <w:marTop w:val="0"/>
      <w:marBottom w:val="0"/>
      <w:divBdr>
        <w:top w:val="none" w:sz="0" w:space="0" w:color="auto"/>
        <w:left w:val="none" w:sz="0" w:space="0" w:color="auto"/>
        <w:bottom w:val="none" w:sz="0" w:space="0" w:color="auto"/>
        <w:right w:val="none" w:sz="0" w:space="0" w:color="auto"/>
      </w:divBdr>
    </w:div>
    <w:div w:id="1755055746">
      <w:bodyDiv w:val="1"/>
      <w:marLeft w:val="0"/>
      <w:marRight w:val="0"/>
      <w:marTop w:val="0"/>
      <w:marBottom w:val="0"/>
      <w:divBdr>
        <w:top w:val="none" w:sz="0" w:space="0" w:color="auto"/>
        <w:left w:val="none" w:sz="0" w:space="0" w:color="auto"/>
        <w:bottom w:val="none" w:sz="0" w:space="0" w:color="auto"/>
        <w:right w:val="none" w:sz="0" w:space="0" w:color="auto"/>
      </w:divBdr>
    </w:div>
    <w:div w:id="1755710073">
      <w:bodyDiv w:val="1"/>
      <w:marLeft w:val="0"/>
      <w:marRight w:val="0"/>
      <w:marTop w:val="0"/>
      <w:marBottom w:val="0"/>
      <w:divBdr>
        <w:top w:val="none" w:sz="0" w:space="0" w:color="auto"/>
        <w:left w:val="none" w:sz="0" w:space="0" w:color="auto"/>
        <w:bottom w:val="none" w:sz="0" w:space="0" w:color="auto"/>
        <w:right w:val="none" w:sz="0" w:space="0" w:color="auto"/>
      </w:divBdr>
    </w:div>
    <w:div w:id="1779326147">
      <w:bodyDiv w:val="1"/>
      <w:marLeft w:val="0"/>
      <w:marRight w:val="0"/>
      <w:marTop w:val="0"/>
      <w:marBottom w:val="0"/>
      <w:divBdr>
        <w:top w:val="none" w:sz="0" w:space="0" w:color="auto"/>
        <w:left w:val="none" w:sz="0" w:space="0" w:color="auto"/>
        <w:bottom w:val="none" w:sz="0" w:space="0" w:color="auto"/>
        <w:right w:val="none" w:sz="0" w:space="0" w:color="auto"/>
      </w:divBdr>
    </w:div>
    <w:div w:id="1786726372">
      <w:bodyDiv w:val="1"/>
      <w:marLeft w:val="0"/>
      <w:marRight w:val="0"/>
      <w:marTop w:val="0"/>
      <w:marBottom w:val="0"/>
      <w:divBdr>
        <w:top w:val="none" w:sz="0" w:space="0" w:color="auto"/>
        <w:left w:val="none" w:sz="0" w:space="0" w:color="auto"/>
        <w:bottom w:val="none" w:sz="0" w:space="0" w:color="auto"/>
        <w:right w:val="none" w:sz="0" w:space="0" w:color="auto"/>
      </w:divBdr>
    </w:div>
    <w:div w:id="1794862450">
      <w:bodyDiv w:val="1"/>
      <w:marLeft w:val="0"/>
      <w:marRight w:val="0"/>
      <w:marTop w:val="0"/>
      <w:marBottom w:val="0"/>
      <w:divBdr>
        <w:top w:val="none" w:sz="0" w:space="0" w:color="auto"/>
        <w:left w:val="none" w:sz="0" w:space="0" w:color="auto"/>
        <w:bottom w:val="none" w:sz="0" w:space="0" w:color="auto"/>
        <w:right w:val="none" w:sz="0" w:space="0" w:color="auto"/>
      </w:divBdr>
    </w:div>
    <w:div w:id="1798453376">
      <w:bodyDiv w:val="1"/>
      <w:marLeft w:val="0"/>
      <w:marRight w:val="0"/>
      <w:marTop w:val="0"/>
      <w:marBottom w:val="0"/>
      <w:divBdr>
        <w:top w:val="none" w:sz="0" w:space="0" w:color="auto"/>
        <w:left w:val="none" w:sz="0" w:space="0" w:color="auto"/>
        <w:bottom w:val="none" w:sz="0" w:space="0" w:color="auto"/>
        <w:right w:val="none" w:sz="0" w:space="0" w:color="auto"/>
      </w:divBdr>
    </w:div>
    <w:div w:id="1803426748">
      <w:bodyDiv w:val="1"/>
      <w:marLeft w:val="0"/>
      <w:marRight w:val="0"/>
      <w:marTop w:val="0"/>
      <w:marBottom w:val="0"/>
      <w:divBdr>
        <w:top w:val="none" w:sz="0" w:space="0" w:color="auto"/>
        <w:left w:val="none" w:sz="0" w:space="0" w:color="auto"/>
        <w:bottom w:val="none" w:sz="0" w:space="0" w:color="auto"/>
        <w:right w:val="none" w:sz="0" w:space="0" w:color="auto"/>
      </w:divBdr>
    </w:div>
    <w:div w:id="1805927689">
      <w:bodyDiv w:val="1"/>
      <w:marLeft w:val="0"/>
      <w:marRight w:val="0"/>
      <w:marTop w:val="0"/>
      <w:marBottom w:val="0"/>
      <w:divBdr>
        <w:top w:val="none" w:sz="0" w:space="0" w:color="auto"/>
        <w:left w:val="none" w:sz="0" w:space="0" w:color="auto"/>
        <w:bottom w:val="none" w:sz="0" w:space="0" w:color="auto"/>
        <w:right w:val="none" w:sz="0" w:space="0" w:color="auto"/>
      </w:divBdr>
    </w:div>
    <w:div w:id="1824615650">
      <w:bodyDiv w:val="1"/>
      <w:marLeft w:val="0"/>
      <w:marRight w:val="0"/>
      <w:marTop w:val="0"/>
      <w:marBottom w:val="0"/>
      <w:divBdr>
        <w:top w:val="none" w:sz="0" w:space="0" w:color="auto"/>
        <w:left w:val="none" w:sz="0" w:space="0" w:color="auto"/>
        <w:bottom w:val="none" w:sz="0" w:space="0" w:color="auto"/>
        <w:right w:val="none" w:sz="0" w:space="0" w:color="auto"/>
      </w:divBdr>
    </w:div>
    <w:div w:id="1840346328">
      <w:bodyDiv w:val="1"/>
      <w:marLeft w:val="0"/>
      <w:marRight w:val="0"/>
      <w:marTop w:val="0"/>
      <w:marBottom w:val="0"/>
      <w:divBdr>
        <w:top w:val="none" w:sz="0" w:space="0" w:color="auto"/>
        <w:left w:val="none" w:sz="0" w:space="0" w:color="auto"/>
        <w:bottom w:val="none" w:sz="0" w:space="0" w:color="auto"/>
        <w:right w:val="none" w:sz="0" w:space="0" w:color="auto"/>
      </w:divBdr>
    </w:div>
    <w:div w:id="1844591115">
      <w:bodyDiv w:val="1"/>
      <w:marLeft w:val="0"/>
      <w:marRight w:val="0"/>
      <w:marTop w:val="0"/>
      <w:marBottom w:val="0"/>
      <w:divBdr>
        <w:top w:val="none" w:sz="0" w:space="0" w:color="auto"/>
        <w:left w:val="none" w:sz="0" w:space="0" w:color="auto"/>
        <w:bottom w:val="none" w:sz="0" w:space="0" w:color="auto"/>
        <w:right w:val="none" w:sz="0" w:space="0" w:color="auto"/>
      </w:divBdr>
    </w:div>
    <w:div w:id="1844666193">
      <w:bodyDiv w:val="1"/>
      <w:marLeft w:val="0"/>
      <w:marRight w:val="0"/>
      <w:marTop w:val="0"/>
      <w:marBottom w:val="0"/>
      <w:divBdr>
        <w:top w:val="none" w:sz="0" w:space="0" w:color="auto"/>
        <w:left w:val="none" w:sz="0" w:space="0" w:color="auto"/>
        <w:bottom w:val="none" w:sz="0" w:space="0" w:color="auto"/>
        <w:right w:val="none" w:sz="0" w:space="0" w:color="auto"/>
      </w:divBdr>
    </w:div>
    <w:div w:id="1848322474">
      <w:bodyDiv w:val="1"/>
      <w:marLeft w:val="0"/>
      <w:marRight w:val="0"/>
      <w:marTop w:val="0"/>
      <w:marBottom w:val="0"/>
      <w:divBdr>
        <w:top w:val="none" w:sz="0" w:space="0" w:color="auto"/>
        <w:left w:val="none" w:sz="0" w:space="0" w:color="auto"/>
        <w:bottom w:val="none" w:sz="0" w:space="0" w:color="auto"/>
        <w:right w:val="none" w:sz="0" w:space="0" w:color="auto"/>
      </w:divBdr>
    </w:div>
    <w:div w:id="1854298197">
      <w:bodyDiv w:val="1"/>
      <w:marLeft w:val="0"/>
      <w:marRight w:val="0"/>
      <w:marTop w:val="0"/>
      <w:marBottom w:val="0"/>
      <w:divBdr>
        <w:top w:val="none" w:sz="0" w:space="0" w:color="auto"/>
        <w:left w:val="none" w:sz="0" w:space="0" w:color="auto"/>
        <w:bottom w:val="none" w:sz="0" w:space="0" w:color="auto"/>
        <w:right w:val="none" w:sz="0" w:space="0" w:color="auto"/>
      </w:divBdr>
    </w:div>
    <w:div w:id="1867908435">
      <w:bodyDiv w:val="1"/>
      <w:marLeft w:val="0"/>
      <w:marRight w:val="0"/>
      <w:marTop w:val="0"/>
      <w:marBottom w:val="0"/>
      <w:divBdr>
        <w:top w:val="none" w:sz="0" w:space="0" w:color="auto"/>
        <w:left w:val="none" w:sz="0" w:space="0" w:color="auto"/>
        <w:bottom w:val="none" w:sz="0" w:space="0" w:color="auto"/>
        <w:right w:val="none" w:sz="0" w:space="0" w:color="auto"/>
      </w:divBdr>
    </w:div>
    <w:div w:id="1874541048">
      <w:bodyDiv w:val="1"/>
      <w:marLeft w:val="0"/>
      <w:marRight w:val="0"/>
      <w:marTop w:val="0"/>
      <w:marBottom w:val="0"/>
      <w:divBdr>
        <w:top w:val="none" w:sz="0" w:space="0" w:color="auto"/>
        <w:left w:val="none" w:sz="0" w:space="0" w:color="auto"/>
        <w:bottom w:val="none" w:sz="0" w:space="0" w:color="auto"/>
        <w:right w:val="none" w:sz="0" w:space="0" w:color="auto"/>
      </w:divBdr>
    </w:div>
    <w:div w:id="1878736159">
      <w:bodyDiv w:val="1"/>
      <w:marLeft w:val="0"/>
      <w:marRight w:val="0"/>
      <w:marTop w:val="0"/>
      <w:marBottom w:val="0"/>
      <w:divBdr>
        <w:top w:val="none" w:sz="0" w:space="0" w:color="auto"/>
        <w:left w:val="none" w:sz="0" w:space="0" w:color="auto"/>
        <w:bottom w:val="none" w:sz="0" w:space="0" w:color="auto"/>
        <w:right w:val="none" w:sz="0" w:space="0" w:color="auto"/>
      </w:divBdr>
      <w:divsChild>
        <w:div w:id="4020026">
          <w:marLeft w:val="0"/>
          <w:marRight w:val="0"/>
          <w:marTop w:val="0"/>
          <w:marBottom w:val="0"/>
          <w:divBdr>
            <w:top w:val="none" w:sz="0" w:space="0" w:color="auto"/>
            <w:left w:val="none" w:sz="0" w:space="0" w:color="auto"/>
            <w:bottom w:val="none" w:sz="0" w:space="0" w:color="auto"/>
            <w:right w:val="none" w:sz="0" w:space="0" w:color="auto"/>
          </w:divBdr>
        </w:div>
        <w:div w:id="31929684">
          <w:marLeft w:val="0"/>
          <w:marRight w:val="0"/>
          <w:marTop w:val="0"/>
          <w:marBottom w:val="0"/>
          <w:divBdr>
            <w:top w:val="none" w:sz="0" w:space="0" w:color="auto"/>
            <w:left w:val="none" w:sz="0" w:space="0" w:color="auto"/>
            <w:bottom w:val="none" w:sz="0" w:space="0" w:color="auto"/>
            <w:right w:val="none" w:sz="0" w:space="0" w:color="auto"/>
          </w:divBdr>
        </w:div>
        <w:div w:id="44836773">
          <w:marLeft w:val="0"/>
          <w:marRight w:val="0"/>
          <w:marTop w:val="0"/>
          <w:marBottom w:val="0"/>
          <w:divBdr>
            <w:top w:val="none" w:sz="0" w:space="0" w:color="auto"/>
            <w:left w:val="none" w:sz="0" w:space="0" w:color="auto"/>
            <w:bottom w:val="none" w:sz="0" w:space="0" w:color="auto"/>
            <w:right w:val="none" w:sz="0" w:space="0" w:color="auto"/>
          </w:divBdr>
        </w:div>
        <w:div w:id="175580860">
          <w:marLeft w:val="0"/>
          <w:marRight w:val="0"/>
          <w:marTop w:val="0"/>
          <w:marBottom w:val="0"/>
          <w:divBdr>
            <w:top w:val="none" w:sz="0" w:space="0" w:color="auto"/>
            <w:left w:val="none" w:sz="0" w:space="0" w:color="auto"/>
            <w:bottom w:val="none" w:sz="0" w:space="0" w:color="auto"/>
            <w:right w:val="none" w:sz="0" w:space="0" w:color="auto"/>
          </w:divBdr>
        </w:div>
        <w:div w:id="1378626665">
          <w:marLeft w:val="0"/>
          <w:marRight w:val="0"/>
          <w:marTop w:val="0"/>
          <w:marBottom w:val="0"/>
          <w:divBdr>
            <w:top w:val="none" w:sz="0" w:space="0" w:color="auto"/>
            <w:left w:val="none" w:sz="0" w:space="0" w:color="auto"/>
            <w:bottom w:val="none" w:sz="0" w:space="0" w:color="auto"/>
            <w:right w:val="none" w:sz="0" w:space="0" w:color="auto"/>
          </w:divBdr>
          <w:divsChild>
            <w:div w:id="715860209">
              <w:marLeft w:val="0"/>
              <w:marRight w:val="0"/>
              <w:marTop w:val="0"/>
              <w:marBottom w:val="0"/>
              <w:divBdr>
                <w:top w:val="none" w:sz="0" w:space="0" w:color="auto"/>
                <w:left w:val="none" w:sz="0" w:space="0" w:color="auto"/>
                <w:bottom w:val="none" w:sz="0" w:space="0" w:color="auto"/>
                <w:right w:val="none" w:sz="0" w:space="0" w:color="auto"/>
              </w:divBdr>
            </w:div>
            <w:div w:id="743140359">
              <w:marLeft w:val="0"/>
              <w:marRight w:val="0"/>
              <w:marTop w:val="0"/>
              <w:marBottom w:val="0"/>
              <w:divBdr>
                <w:top w:val="none" w:sz="0" w:space="0" w:color="auto"/>
                <w:left w:val="none" w:sz="0" w:space="0" w:color="auto"/>
                <w:bottom w:val="none" w:sz="0" w:space="0" w:color="auto"/>
                <w:right w:val="none" w:sz="0" w:space="0" w:color="auto"/>
              </w:divBdr>
            </w:div>
            <w:div w:id="961032297">
              <w:marLeft w:val="0"/>
              <w:marRight w:val="0"/>
              <w:marTop w:val="0"/>
              <w:marBottom w:val="0"/>
              <w:divBdr>
                <w:top w:val="none" w:sz="0" w:space="0" w:color="auto"/>
                <w:left w:val="none" w:sz="0" w:space="0" w:color="auto"/>
                <w:bottom w:val="none" w:sz="0" w:space="0" w:color="auto"/>
                <w:right w:val="none" w:sz="0" w:space="0" w:color="auto"/>
              </w:divBdr>
            </w:div>
            <w:div w:id="1243487936">
              <w:marLeft w:val="0"/>
              <w:marRight w:val="0"/>
              <w:marTop w:val="0"/>
              <w:marBottom w:val="0"/>
              <w:divBdr>
                <w:top w:val="none" w:sz="0" w:space="0" w:color="auto"/>
                <w:left w:val="none" w:sz="0" w:space="0" w:color="auto"/>
                <w:bottom w:val="none" w:sz="0" w:space="0" w:color="auto"/>
                <w:right w:val="none" w:sz="0" w:space="0" w:color="auto"/>
              </w:divBdr>
            </w:div>
            <w:div w:id="1296596016">
              <w:marLeft w:val="0"/>
              <w:marRight w:val="0"/>
              <w:marTop w:val="0"/>
              <w:marBottom w:val="0"/>
              <w:divBdr>
                <w:top w:val="none" w:sz="0" w:space="0" w:color="auto"/>
                <w:left w:val="none" w:sz="0" w:space="0" w:color="auto"/>
                <w:bottom w:val="none" w:sz="0" w:space="0" w:color="auto"/>
                <w:right w:val="none" w:sz="0" w:space="0" w:color="auto"/>
              </w:divBdr>
            </w:div>
            <w:div w:id="1297837505">
              <w:marLeft w:val="0"/>
              <w:marRight w:val="0"/>
              <w:marTop w:val="0"/>
              <w:marBottom w:val="0"/>
              <w:divBdr>
                <w:top w:val="none" w:sz="0" w:space="0" w:color="auto"/>
                <w:left w:val="none" w:sz="0" w:space="0" w:color="auto"/>
                <w:bottom w:val="none" w:sz="0" w:space="0" w:color="auto"/>
                <w:right w:val="none" w:sz="0" w:space="0" w:color="auto"/>
              </w:divBdr>
            </w:div>
            <w:div w:id="1415929394">
              <w:marLeft w:val="0"/>
              <w:marRight w:val="0"/>
              <w:marTop w:val="0"/>
              <w:marBottom w:val="0"/>
              <w:divBdr>
                <w:top w:val="none" w:sz="0" w:space="0" w:color="auto"/>
                <w:left w:val="none" w:sz="0" w:space="0" w:color="auto"/>
                <w:bottom w:val="none" w:sz="0" w:space="0" w:color="auto"/>
                <w:right w:val="none" w:sz="0" w:space="0" w:color="auto"/>
              </w:divBdr>
            </w:div>
            <w:div w:id="1963879182">
              <w:marLeft w:val="0"/>
              <w:marRight w:val="0"/>
              <w:marTop w:val="0"/>
              <w:marBottom w:val="0"/>
              <w:divBdr>
                <w:top w:val="none" w:sz="0" w:space="0" w:color="auto"/>
                <w:left w:val="none" w:sz="0" w:space="0" w:color="auto"/>
                <w:bottom w:val="none" w:sz="0" w:space="0" w:color="auto"/>
                <w:right w:val="none" w:sz="0" w:space="0" w:color="auto"/>
              </w:divBdr>
            </w:div>
            <w:div w:id="1991858221">
              <w:marLeft w:val="0"/>
              <w:marRight w:val="0"/>
              <w:marTop w:val="0"/>
              <w:marBottom w:val="0"/>
              <w:divBdr>
                <w:top w:val="none" w:sz="0" w:space="0" w:color="auto"/>
                <w:left w:val="none" w:sz="0" w:space="0" w:color="auto"/>
                <w:bottom w:val="none" w:sz="0" w:space="0" w:color="auto"/>
                <w:right w:val="none" w:sz="0" w:space="0" w:color="auto"/>
              </w:divBdr>
            </w:div>
          </w:divsChild>
        </w:div>
        <w:div w:id="1380398403">
          <w:marLeft w:val="0"/>
          <w:marRight w:val="0"/>
          <w:marTop w:val="0"/>
          <w:marBottom w:val="0"/>
          <w:divBdr>
            <w:top w:val="none" w:sz="0" w:space="0" w:color="auto"/>
            <w:left w:val="none" w:sz="0" w:space="0" w:color="auto"/>
            <w:bottom w:val="none" w:sz="0" w:space="0" w:color="auto"/>
            <w:right w:val="none" w:sz="0" w:space="0" w:color="auto"/>
          </w:divBdr>
        </w:div>
        <w:div w:id="1539776444">
          <w:marLeft w:val="0"/>
          <w:marRight w:val="0"/>
          <w:marTop w:val="0"/>
          <w:marBottom w:val="0"/>
          <w:divBdr>
            <w:top w:val="none" w:sz="0" w:space="0" w:color="auto"/>
            <w:left w:val="none" w:sz="0" w:space="0" w:color="auto"/>
            <w:bottom w:val="none" w:sz="0" w:space="0" w:color="auto"/>
            <w:right w:val="none" w:sz="0" w:space="0" w:color="auto"/>
          </w:divBdr>
        </w:div>
        <w:div w:id="1592422901">
          <w:marLeft w:val="0"/>
          <w:marRight w:val="0"/>
          <w:marTop w:val="0"/>
          <w:marBottom w:val="0"/>
          <w:divBdr>
            <w:top w:val="none" w:sz="0" w:space="0" w:color="auto"/>
            <w:left w:val="none" w:sz="0" w:space="0" w:color="auto"/>
            <w:bottom w:val="none" w:sz="0" w:space="0" w:color="auto"/>
            <w:right w:val="none" w:sz="0" w:space="0" w:color="auto"/>
          </w:divBdr>
        </w:div>
        <w:div w:id="1770151342">
          <w:marLeft w:val="0"/>
          <w:marRight w:val="0"/>
          <w:marTop w:val="0"/>
          <w:marBottom w:val="0"/>
          <w:divBdr>
            <w:top w:val="none" w:sz="0" w:space="0" w:color="auto"/>
            <w:left w:val="none" w:sz="0" w:space="0" w:color="auto"/>
            <w:bottom w:val="none" w:sz="0" w:space="0" w:color="auto"/>
            <w:right w:val="none" w:sz="0" w:space="0" w:color="auto"/>
          </w:divBdr>
        </w:div>
        <w:div w:id="1858616714">
          <w:marLeft w:val="0"/>
          <w:marRight w:val="0"/>
          <w:marTop w:val="0"/>
          <w:marBottom w:val="0"/>
          <w:divBdr>
            <w:top w:val="none" w:sz="0" w:space="0" w:color="auto"/>
            <w:left w:val="none" w:sz="0" w:space="0" w:color="auto"/>
            <w:bottom w:val="none" w:sz="0" w:space="0" w:color="auto"/>
            <w:right w:val="none" w:sz="0" w:space="0" w:color="auto"/>
          </w:divBdr>
        </w:div>
        <w:div w:id="1916472651">
          <w:marLeft w:val="0"/>
          <w:marRight w:val="0"/>
          <w:marTop w:val="0"/>
          <w:marBottom w:val="0"/>
          <w:divBdr>
            <w:top w:val="none" w:sz="0" w:space="0" w:color="auto"/>
            <w:left w:val="none" w:sz="0" w:space="0" w:color="auto"/>
            <w:bottom w:val="none" w:sz="0" w:space="0" w:color="auto"/>
            <w:right w:val="none" w:sz="0" w:space="0" w:color="auto"/>
          </w:divBdr>
        </w:div>
        <w:div w:id="1921328036">
          <w:marLeft w:val="0"/>
          <w:marRight w:val="0"/>
          <w:marTop w:val="0"/>
          <w:marBottom w:val="0"/>
          <w:divBdr>
            <w:top w:val="none" w:sz="0" w:space="0" w:color="auto"/>
            <w:left w:val="none" w:sz="0" w:space="0" w:color="auto"/>
            <w:bottom w:val="none" w:sz="0" w:space="0" w:color="auto"/>
            <w:right w:val="none" w:sz="0" w:space="0" w:color="auto"/>
          </w:divBdr>
        </w:div>
        <w:div w:id="1926455967">
          <w:marLeft w:val="0"/>
          <w:marRight w:val="0"/>
          <w:marTop w:val="0"/>
          <w:marBottom w:val="0"/>
          <w:divBdr>
            <w:top w:val="none" w:sz="0" w:space="0" w:color="auto"/>
            <w:left w:val="none" w:sz="0" w:space="0" w:color="auto"/>
            <w:bottom w:val="none" w:sz="0" w:space="0" w:color="auto"/>
            <w:right w:val="none" w:sz="0" w:space="0" w:color="auto"/>
          </w:divBdr>
        </w:div>
        <w:div w:id="1930195652">
          <w:marLeft w:val="0"/>
          <w:marRight w:val="0"/>
          <w:marTop w:val="0"/>
          <w:marBottom w:val="0"/>
          <w:divBdr>
            <w:top w:val="none" w:sz="0" w:space="0" w:color="auto"/>
            <w:left w:val="none" w:sz="0" w:space="0" w:color="auto"/>
            <w:bottom w:val="none" w:sz="0" w:space="0" w:color="auto"/>
            <w:right w:val="none" w:sz="0" w:space="0" w:color="auto"/>
          </w:divBdr>
        </w:div>
      </w:divsChild>
    </w:div>
    <w:div w:id="1891920933">
      <w:bodyDiv w:val="1"/>
      <w:marLeft w:val="0"/>
      <w:marRight w:val="0"/>
      <w:marTop w:val="0"/>
      <w:marBottom w:val="0"/>
      <w:divBdr>
        <w:top w:val="none" w:sz="0" w:space="0" w:color="auto"/>
        <w:left w:val="none" w:sz="0" w:space="0" w:color="auto"/>
        <w:bottom w:val="none" w:sz="0" w:space="0" w:color="auto"/>
        <w:right w:val="none" w:sz="0" w:space="0" w:color="auto"/>
      </w:divBdr>
    </w:div>
    <w:div w:id="1896698444">
      <w:bodyDiv w:val="1"/>
      <w:marLeft w:val="0"/>
      <w:marRight w:val="0"/>
      <w:marTop w:val="0"/>
      <w:marBottom w:val="0"/>
      <w:divBdr>
        <w:top w:val="none" w:sz="0" w:space="0" w:color="auto"/>
        <w:left w:val="none" w:sz="0" w:space="0" w:color="auto"/>
        <w:bottom w:val="none" w:sz="0" w:space="0" w:color="auto"/>
        <w:right w:val="none" w:sz="0" w:space="0" w:color="auto"/>
      </w:divBdr>
      <w:divsChild>
        <w:div w:id="1211107959">
          <w:marLeft w:val="446"/>
          <w:marRight w:val="0"/>
          <w:marTop w:val="0"/>
          <w:marBottom w:val="0"/>
          <w:divBdr>
            <w:top w:val="none" w:sz="0" w:space="0" w:color="auto"/>
            <w:left w:val="none" w:sz="0" w:space="0" w:color="auto"/>
            <w:bottom w:val="none" w:sz="0" w:space="0" w:color="auto"/>
            <w:right w:val="none" w:sz="0" w:space="0" w:color="auto"/>
          </w:divBdr>
        </w:div>
        <w:div w:id="1488328915">
          <w:marLeft w:val="446"/>
          <w:marRight w:val="0"/>
          <w:marTop w:val="0"/>
          <w:marBottom w:val="0"/>
          <w:divBdr>
            <w:top w:val="none" w:sz="0" w:space="0" w:color="auto"/>
            <w:left w:val="none" w:sz="0" w:space="0" w:color="auto"/>
            <w:bottom w:val="none" w:sz="0" w:space="0" w:color="auto"/>
            <w:right w:val="none" w:sz="0" w:space="0" w:color="auto"/>
          </w:divBdr>
        </w:div>
      </w:divsChild>
    </w:div>
    <w:div w:id="1923833768">
      <w:bodyDiv w:val="1"/>
      <w:marLeft w:val="0"/>
      <w:marRight w:val="0"/>
      <w:marTop w:val="0"/>
      <w:marBottom w:val="0"/>
      <w:divBdr>
        <w:top w:val="none" w:sz="0" w:space="0" w:color="auto"/>
        <w:left w:val="none" w:sz="0" w:space="0" w:color="auto"/>
        <w:bottom w:val="none" w:sz="0" w:space="0" w:color="auto"/>
        <w:right w:val="none" w:sz="0" w:space="0" w:color="auto"/>
      </w:divBdr>
    </w:div>
    <w:div w:id="1929001271">
      <w:bodyDiv w:val="1"/>
      <w:marLeft w:val="0"/>
      <w:marRight w:val="0"/>
      <w:marTop w:val="0"/>
      <w:marBottom w:val="0"/>
      <w:divBdr>
        <w:top w:val="none" w:sz="0" w:space="0" w:color="auto"/>
        <w:left w:val="none" w:sz="0" w:space="0" w:color="auto"/>
        <w:bottom w:val="none" w:sz="0" w:space="0" w:color="auto"/>
        <w:right w:val="none" w:sz="0" w:space="0" w:color="auto"/>
      </w:divBdr>
    </w:div>
    <w:div w:id="1929268841">
      <w:bodyDiv w:val="1"/>
      <w:marLeft w:val="0"/>
      <w:marRight w:val="0"/>
      <w:marTop w:val="0"/>
      <w:marBottom w:val="0"/>
      <w:divBdr>
        <w:top w:val="none" w:sz="0" w:space="0" w:color="auto"/>
        <w:left w:val="none" w:sz="0" w:space="0" w:color="auto"/>
        <w:bottom w:val="none" w:sz="0" w:space="0" w:color="auto"/>
        <w:right w:val="none" w:sz="0" w:space="0" w:color="auto"/>
      </w:divBdr>
    </w:div>
    <w:div w:id="1941138555">
      <w:bodyDiv w:val="1"/>
      <w:marLeft w:val="0"/>
      <w:marRight w:val="0"/>
      <w:marTop w:val="0"/>
      <w:marBottom w:val="0"/>
      <w:divBdr>
        <w:top w:val="none" w:sz="0" w:space="0" w:color="auto"/>
        <w:left w:val="none" w:sz="0" w:space="0" w:color="auto"/>
        <w:bottom w:val="none" w:sz="0" w:space="0" w:color="auto"/>
        <w:right w:val="none" w:sz="0" w:space="0" w:color="auto"/>
      </w:divBdr>
    </w:div>
    <w:div w:id="1944266573">
      <w:bodyDiv w:val="1"/>
      <w:marLeft w:val="0"/>
      <w:marRight w:val="0"/>
      <w:marTop w:val="0"/>
      <w:marBottom w:val="0"/>
      <w:divBdr>
        <w:top w:val="none" w:sz="0" w:space="0" w:color="auto"/>
        <w:left w:val="none" w:sz="0" w:space="0" w:color="auto"/>
        <w:bottom w:val="none" w:sz="0" w:space="0" w:color="auto"/>
        <w:right w:val="none" w:sz="0" w:space="0" w:color="auto"/>
      </w:divBdr>
    </w:div>
    <w:div w:id="1944722977">
      <w:bodyDiv w:val="1"/>
      <w:marLeft w:val="0"/>
      <w:marRight w:val="0"/>
      <w:marTop w:val="0"/>
      <w:marBottom w:val="0"/>
      <w:divBdr>
        <w:top w:val="none" w:sz="0" w:space="0" w:color="auto"/>
        <w:left w:val="none" w:sz="0" w:space="0" w:color="auto"/>
        <w:bottom w:val="none" w:sz="0" w:space="0" w:color="auto"/>
        <w:right w:val="none" w:sz="0" w:space="0" w:color="auto"/>
      </w:divBdr>
    </w:div>
    <w:div w:id="1947299378">
      <w:bodyDiv w:val="1"/>
      <w:marLeft w:val="0"/>
      <w:marRight w:val="0"/>
      <w:marTop w:val="0"/>
      <w:marBottom w:val="0"/>
      <w:divBdr>
        <w:top w:val="none" w:sz="0" w:space="0" w:color="auto"/>
        <w:left w:val="none" w:sz="0" w:space="0" w:color="auto"/>
        <w:bottom w:val="none" w:sz="0" w:space="0" w:color="auto"/>
        <w:right w:val="none" w:sz="0" w:space="0" w:color="auto"/>
      </w:divBdr>
    </w:div>
    <w:div w:id="1954510540">
      <w:bodyDiv w:val="1"/>
      <w:marLeft w:val="0"/>
      <w:marRight w:val="0"/>
      <w:marTop w:val="0"/>
      <w:marBottom w:val="0"/>
      <w:divBdr>
        <w:top w:val="none" w:sz="0" w:space="0" w:color="auto"/>
        <w:left w:val="none" w:sz="0" w:space="0" w:color="auto"/>
        <w:bottom w:val="none" w:sz="0" w:space="0" w:color="auto"/>
        <w:right w:val="none" w:sz="0" w:space="0" w:color="auto"/>
      </w:divBdr>
    </w:div>
    <w:div w:id="1958675475">
      <w:bodyDiv w:val="1"/>
      <w:marLeft w:val="0"/>
      <w:marRight w:val="0"/>
      <w:marTop w:val="0"/>
      <w:marBottom w:val="0"/>
      <w:divBdr>
        <w:top w:val="none" w:sz="0" w:space="0" w:color="auto"/>
        <w:left w:val="none" w:sz="0" w:space="0" w:color="auto"/>
        <w:bottom w:val="none" w:sz="0" w:space="0" w:color="auto"/>
        <w:right w:val="none" w:sz="0" w:space="0" w:color="auto"/>
      </w:divBdr>
    </w:div>
    <w:div w:id="1960911267">
      <w:bodyDiv w:val="1"/>
      <w:marLeft w:val="0"/>
      <w:marRight w:val="0"/>
      <w:marTop w:val="0"/>
      <w:marBottom w:val="0"/>
      <w:divBdr>
        <w:top w:val="none" w:sz="0" w:space="0" w:color="auto"/>
        <w:left w:val="none" w:sz="0" w:space="0" w:color="auto"/>
        <w:bottom w:val="none" w:sz="0" w:space="0" w:color="auto"/>
        <w:right w:val="none" w:sz="0" w:space="0" w:color="auto"/>
      </w:divBdr>
    </w:div>
    <w:div w:id="1962572022">
      <w:bodyDiv w:val="1"/>
      <w:marLeft w:val="0"/>
      <w:marRight w:val="0"/>
      <w:marTop w:val="0"/>
      <w:marBottom w:val="0"/>
      <w:divBdr>
        <w:top w:val="none" w:sz="0" w:space="0" w:color="auto"/>
        <w:left w:val="none" w:sz="0" w:space="0" w:color="auto"/>
        <w:bottom w:val="none" w:sz="0" w:space="0" w:color="auto"/>
        <w:right w:val="none" w:sz="0" w:space="0" w:color="auto"/>
      </w:divBdr>
      <w:divsChild>
        <w:div w:id="1487013047">
          <w:marLeft w:val="0"/>
          <w:marRight w:val="0"/>
          <w:marTop w:val="0"/>
          <w:marBottom w:val="0"/>
          <w:divBdr>
            <w:top w:val="none" w:sz="0" w:space="0" w:color="auto"/>
            <w:left w:val="none" w:sz="0" w:space="0" w:color="auto"/>
            <w:bottom w:val="none" w:sz="0" w:space="0" w:color="auto"/>
            <w:right w:val="none" w:sz="0" w:space="0" w:color="auto"/>
          </w:divBdr>
          <w:divsChild>
            <w:div w:id="898057036">
              <w:marLeft w:val="0"/>
              <w:marRight w:val="0"/>
              <w:marTop w:val="0"/>
              <w:marBottom w:val="0"/>
              <w:divBdr>
                <w:top w:val="none" w:sz="0" w:space="0" w:color="auto"/>
                <w:left w:val="none" w:sz="0" w:space="0" w:color="auto"/>
                <w:bottom w:val="none" w:sz="0" w:space="0" w:color="auto"/>
                <w:right w:val="none" w:sz="0" w:space="0" w:color="auto"/>
              </w:divBdr>
              <w:divsChild>
                <w:div w:id="920526751">
                  <w:marLeft w:val="0"/>
                  <w:marRight w:val="0"/>
                  <w:marTop w:val="0"/>
                  <w:marBottom w:val="0"/>
                  <w:divBdr>
                    <w:top w:val="none" w:sz="0" w:space="0" w:color="auto"/>
                    <w:left w:val="none" w:sz="0" w:space="0" w:color="auto"/>
                    <w:bottom w:val="none" w:sz="0" w:space="0" w:color="auto"/>
                    <w:right w:val="none" w:sz="0" w:space="0" w:color="auto"/>
                  </w:divBdr>
                  <w:divsChild>
                    <w:div w:id="65040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05378">
          <w:marLeft w:val="0"/>
          <w:marRight w:val="0"/>
          <w:marTop w:val="0"/>
          <w:marBottom w:val="0"/>
          <w:divBdr>
            <w:top w:val="none" w:sz="0" w:space="0" w:color="auto"/>
            <w:left w:val="none" w:sz="0" w:space="0" w:color="auto"/>
            <w:bottom w:val="none" w:sz="0" w:space="0" w:color="auto"/>
            <w:right w:val="none" w:sz="0" w:space="0" w:color="auto"/>
          </w:divBdr>
          <w:divsChild>
            <w:div w:id="1311252001">
              <w:marLeft w:val="0"/>
              <w:marRight w:val="0"/>
              <w:marTop w:val="0"/>
              <w:marBottom w:val="0"/>
              <w:divBdr>
                <w:top w:val="none" w:sz="0" w:space="0" w:color="auto"/>
                <w:left w:val="none" w:sz="0" w:space="0" w:color="auto"/>
                <w:bottom w:val="none" w:sz="0" w:space="0" w:color="auto"/>
                <w:right w:val="none" w:sz="0" w:space="0" w:color="auto"/>
              </w:divBdr>
              <w:divsChild>
                <w:div w:id="1412656298">
                  <w:marLeft w:val="0"/>
                  <w:marRight w:val="0"/>
                  <w:marTop w:val="0"/>
                  <w:marBottom w:val="0"/>
                  <w:divBdr>
                    <w:top w:val="none" w:sz="0" w:space="0" w:color="auto"/>
                    <w:left w:val="none" w:sz="0" w:space="0" w:color="auto"/>
                    <w:bottom w:val="none" w:sz="0" w:space="0" w:color="auto"/>
                    <w:right w:val="none" w:sz="0" w:space="0" w:color="auto"/>
                  </w:divBdr>
                  <w:divsChild>
                    <w:div w:id="10114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660664">
      <w:bodyDiv w:val="1"/>
      <w:marLeft w:val="0"/>
      <w:marRight w:val="0"/>
      <w:marTop w:val="0"/>
      <w:marBottom w:val="0"/>
      <w:divBdr>
        <w:top w:val="none" w:sz="0" w:space="0" w:color="auto"/>
        <w:left w:val="none" w:sz="0" w:space="0" w:color="auto"/>
        <w:bottom w:val="none" w:sz="0" w:space="0" w:color="auto"/>
        <w:right w:val="none" w:sz="0" w:space="0" w:color="auto"/>
      </w:divBdr>
    </w:div>
    <w:div w:id="1980914771">
      <w:bodyDiv w:val="1"/>
      <w:marLeft w:val="0"/>
      <w:marRight w:val="0"/>
      <w:marTop w:val="0"/>
      <w:marBottom w:val="0"/>
      <w:divBdr>
        <w:top w:val="none" w:sz="0" w:space="0" w:color="auto"/>
        <w:left w:val="none" w:sz="0" w:space="0" w:color="auto"/>
        <w:bottom w:val="none" w:sz="0" w:space="0" w:color="auto"/>
        <w:right w:val="none" w:sz="0" w:space="0" w:color="auto"/>
      </w:divBdr>
    </w:div>
    <w:div w:id="2007780125">
      <w:bodyDiv w:val="1"/>
      <w:marLeft w:val="0"/>
      <w:marRight w:val="0"/>
      <w:marTop w:val="0"/>
      <w:marBottom w:val="0"/>
      <w:divBdr>
        <w:top w:val="none" w:sz="0" w:space="0" w:color="auto"/>
        <w:left w:val="none" w:sz="0" w:space="0" w:color="auto"/>
        <w:bottom w:val="none" w:sz="0" w:space="0" w:color="auto"/>
        <w:right w:val="none" w:sz="0" w:space="0" w:color="auto"/>
      </w:divBdr>
    </w:div>
    <w:div w:id="2009867064">
      <w:bodyDiv w:val="1"/>
      <w:marLeft w:val="0"/>
      <w:marRight w:val="0"/>
      <w:marTop w:val="0"/>
      <w:marBottom w:val="0"/>
      <w:divBdr>
        <w:top w:val="none" w:sz="0" w:space="0" w:color="auto"/>
        <w:left w:val="none" w:sz="0" w:space="0" w:color="auto"/>
        <w:bottom w:val="none" w:sz="0" w:space="0" w:color="auto"/>
        <w:right w:val="none" w:sz="0" w:space="0" w:color="auto"/>
      </w:divBdr>
    </w:div>
    <w:div w:id="2022511720">
      <w:bodyDiv w:val="1"/>
      <w:marLeft w:val="0"/>
      <w:marRight w:val="0"/>
      <w:marTop w:val="0"/>
      <w:marBottom w:val="0"/>
      <w:divBdr>
        <w:top w:val="none" w:sz="0" w:space="0" w:color="auto"/>
        <w:left w:val="none" w:sz="0" w:space="0" w:color="auto"/>
        <w:bottom w:val="none" w:sz="0" w:space="0" w:color="auto"/>
        <w:right w:val="none" w:sz="0" w:space="0" w:color="auto"/>
      </w:divBdr>
    </w:div>
    <w:div w:id="2023045395">
      <w:bodyDiv w:val="1"/>
      <w:marLeft w:val="0"/>
      <w:marRight w:val="0"/>
      <w:marTop w:val="0"/>
      <w:marBottom w:val="0"/>
      <w:divBdr>
        <w:top w:val="none" w:sz="0" w:space="0" w:color="auto"/>
        <w:left w:val="none" w:sz="0" w:space="0" w:color="auto"/>
        <w:bottom w:val="none" w:sz="0" w:space="0" w:color="auto"/>
        <w:right w:val="none" w:sz="0" w:space="0" w:color="auto"/>
      </w:divBdr>
    </w:div>
    <w:div w:id="2035765392">
      <w:bodyDiv w:val="1"/>
      <w:marLeft w:val="0"/>
      <w:marRight w:val="0"/>
      <w:marTop w:val="0"/>
      <w:marBottom w:val="0"/>
      <w:divBdr>
        <w:top w:val="none" w:sz="0" w:space="0" w:color="auto"/>
        <w:left w:val="none" w:sz="0" w:space="0" w:color="auto"/>
        <w:bottom w:val="none" w:sz="0" w:space="0" w:color="auto"/>
        <w:right w:val="none" w:sz="0" w:space="0" w:color="auto"/>
      </w:divBdr>
    </w:div>
    <w:div w:id="2046322778">
      <w:bodyDiv w:val="1"/>
      <w:marLeft w:val="0"/>
      <w:marRight w:val="0"/>
      <w:marTop w:val="0"/>
      <w:marBottom w:val="0"/>
      <w:divBdr>
        <w:top w:val="none" w:sz="0" w:space="0" w:color="auto"/>
        <w:left w:val="none" w:sz="0" w:space="0" w:color="auto"/>
        <w:bottom w:val="none" w:sz="0" w:space="0" w:color="auto"/>
        <w:right w:val="none" w:sz="0" w:space="0" w:color="auto"/>
      </w:divBdr>
    </w:div>
    <w:div w:id="2059477788">
      <w:bodyDiv w:val="1"/>
      <w:marLeft w:val="0"/>
      <w:marRight w:val="0"/>
      <w:marTop w:val="0"/>
      <w:marBottom w:val="0"/>
      <w:divBdr>
        <w:top w:val="none" w:sz="0" w:space="0" w:color="auto"/>
        <w:left w:val="none" w:sz="0" w:space="0" w:color="auto"/>
        <w:bottom w:val="none" w:sz="0" w:space="0" w:color="auto"/>
        <w:right w:val="none" w:sz="0" w:space="0" w:color="auto"/>
      </w:divBdr>
    </w:div>
    <w:div w:id="2080979468">
      <w:bodyDiv w:val="1"/>
      <w:marLeft w:val="0"/>
      <w:marRight w:val="0"/>
      <w:marTop w:val="0"/>
      <w:marBottom w:val="0"/>
      <w:divBdr>
        <w:top w:val="none" w:sz="0" w:space="0" w:color="auto"/>
        <w:left w:val="none" w:sz="0" w:space="0" w:color="auto"/>
        <w:bottom w:val="none" w:sz="0" w:space="0" w:color="auto"/>
        <w:right w:val="none" w:sz="0" w:space="0" w:color="auto"/>
      </w:divBdr>
    </w:div>
    <w:div w:id="2086105411">
      <w:bodyDiv w:val="1"/>
      <w:marLeft w:val="0"/>
      <w:marRight w:val="0"/>
      <w:marTop w:val="0"/>
      <w:marBottom w:val="0"/>
      <w:divBdr>
        <w:top w:val="none" w:sz="0" w:space="0" w:color="auto"/>
        <w:left w:val="none" w:sz="0" w:space="0" w:color="auto"/>
        <w:bottom w:val="none" w:sz="0" w:space="0" w:color="auto"/>
        <w:right w:val="none" w:sz="0" w:space="0" w:color="auto"/>
      </w:divBdr>
    </w:div>
    <w:div w:id="2091193995">
      <w:bodyDiv w:val="1"/>
      <w:marLeft w:val="0"/>
      <w:marRight w:val="0"/>
      <w:marTop w:val="0"/>
      <w:marBottom w:val="0"/>
      <w:divBdr>
        <w:top w:val="none" w:sz="0" w:space="0" w:color="auto"/>
        <w:left w:val="none" w:sz="0" w:space="0" w:color="auto"/>
        <w:bottom w:val="none" w:sz="0" w:space="0" w:color="auto"/>
        <w:right w:val="none" w:sz="0" w:space="0" w:color="auto"/>
      </w:divBdr>
    </w:div>
    <w:div w:id="2096048928">
      <w:bodyDiv w:val="1"/>
      <w:marLeft w:val="0"/>
      <w:marRight w:val="0"/>
      <w:marTop w:val="0"/>
      <w:marBottom w:val="0"/>
      <w:divBdr>
        <w:top w:val="none" w:sz="0" w:space="0" w:color="auto"/>
        <w:left w:val="none" w:sz="0" w:space="0" w:color="auto"/>
        <w:bottom w:val="none" w:sz="0" w:space="0" w:color="auto"/>
        <w:right w:val="none" w:sz="0" w:space="0" w:color="auto"/>
      </w:divBdr>
    </w:div>
    <w:div w:id="2105219925">
      <w:bodyDiv w:val="1"/>
      <w:marLeft w:val="0"/>
      <w:marRight w:val="0"/>
      <w:marTop w:val="0"/>
      <w:marBottom w:val="0"/>
      <w:divBdr>
        <w:top w:val="none" w:sz="0" w:space="0" w:color="auto"/>
        <w:left w:val="none" w:sz="0" w:space="0" w:color="auto"/>
        <w:bottom w:val="none" w:sz="0" w:space="0" w:color="auto"/>
        <w:right w:val="none" w:sz="0" w:space="0" w:color="auto"/>
      </w:divBdr>
    </w:div>
    <w:div w:id="2109500074">
      <w:bodyDiv w:val="1"/>
      <w:marLeft w:val="0"/>
      <w:marRight w:val="0"/>
      <w:marTop w:val="0"/>
      <w:marBottom w:val="0"/>
      <w:divBdr>
        <w:top w:val="none" w:sz="0" w:space="0" w:color="auto"/>
        <w:left w:val="none" w:sz="0" w:space="0" w:color="auto"/>
        <w:bottom w:val="none" w:sz="0" w:space="0" w:color="auto"/>
        <w:right w:val="none" w:sz="0" w:space="0" w:color="auto"/>
      </w:divBdr>
    </w:div>
    <w:div w:id="2113626717">
      <w:bodyDiv w:val="1"/>
      <w:marLeft w:val="0"/>
      <w:marRight w:val="0"/>
      <w:marTop w:val="0"/>
      <w:marBottom w:val="0"/>
      <w:divBdr>
        <w:top w:val="none" w:sz="0" w:space="0" w:color="auto"/>
        <w:left w:val="none" w:sz="0" w:space="0" w:color="auto"/>
        <w:bottom w:val="none" w:sz="0" w:space="0" w:color="auto"/>
        <w:right w:val="none" w:sz="0" w:space="0" w:color="auto"/>
      </w:divBdr>
    </w:div>
    <w:div w:id="2122798616">
      <w:bodyDiv w:val="1"/>
      <w:marLeft w:val="0"/>
      <w:marRight w:val="0"/>
      <w:marTop w:val="0"/>
      <w:marBottom w:val="0"/>
      <w:divBdr>
        <w:top w:val="none" w:sz="0" w:space="0" w:color="auto"/>
        <w:left w:val="none" w:sz="0" w:space="0" w:color="auto"/>
        <w:bottom w:val="none" w:sz="0" w:space="0" w:color="auto"/>
        <w:right w:val="none" w:sz="0" w:space="0" w:color="auto"/>
      </w:divBdr>
    </w:div>
    <w:div w:id="2123453038">
      <w:bodyDiv w:val="1"/>
      <w:marLeft w:val="0"/>
      <w:marRight w:val="0"/>
      <w:marTop w:val="0"/>
      <w:marBottom w:val="0"/>
      <w:divBdr>
        <w:top w:val="none" w:sz="0" w:space="0" w:color="auto"/>
        <w:left w:val="none" w:sz="0" w:space="0" w:color="auto"/>
        <w:bottom w:val="none" w:sz="0" w:space="0" w:color="auto"/>
        <w:right w:val="none" w:sz="0" w:space="0" w:color="auto"/>
      </w:divBdr>
    </w:div>
    <w:div w:id="2133208384">
      <w:bodyDiv w:val="1"/>
      <w:marLeft w:val="0"/>
      <w:marRight w:val="0"/>
      <w:marTop w:val="0"/>
      <w:marBottom w:val="0"/>
      <w:divBdr>
        <w:top w:val="none" w:sz="0" w:space="0" w:color="auto"/>
        <w:left w:val="none" w:sz="0" w:space="0" w:color="auto"/>
        <w:bottom w:val="none" w:sz="0" w:space="0" w:color="auto"/>
        <w:right w:val="none" w:sz="0" w:space="0" w:color="auto"/>
      </w:divBdr>
    </w:div>
    <w:div w:id="2141994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image" Target="media/image37.png"/><Relationship Id="rId21" Type="http://schemas.openxmlformats.org/officeDocument/2006/relationships/header" Target="header4.xml"/><Relationship Id="rId42" Type="http://schemas.openxmlformats.org/officeDocument/2006/relationships/chart" Target="charts/chart40.xml"/><Relationship Id="rId47" Type="http://schemas.openxmlformats.org/officeDocument/2006/relationships/chart" Target="charts/chart8.xml"/><Relationship Id="rId63" Type="http://schemas.openxmlformats.org/officeDocument/2006/relationships/chart" Target="charts/chart20.xml"/><Relationship Id="rId68" Type="http://schemas.openxmlformats.org/officeDocument/2006/relationships/chart" Target="charts/chart23.xml"/><Relationship Id="rId84" Type="http://schemas.openxmlformats.org/officeDocument/2006/relationships/chart" Target="charts/chart31.xml"/><Relationship Id="rId89" Type="http://schemas.openxmlformats.org/officeDocument/2006/relationships/image" Target="media/image9.png"/><Relationship Id="rId112" Type="http://schemas.openxmlformats.org/officeDocument/2006/relationships/image" Target="media/image32.png"/><Relationship Id="rId16" Type="http://schemas.openxmlformats.org/officeDocument/2006/relationships/image" Target="media/image310.png"/><Relationship Id="rId107" Type="http://schemas.openxmlformats.org/officeDocument/2006/relationships/image" Target="media/image27.png"/><Relationship Id="rId11" Type="http://schemas.openxmlformats.org/officeDocument/2006/relationships/image" Target="media/image1.png"/><Relationship Id="rId32" Type="http://schemas.openxmlformats.org/officeDocument/2006/relationships/image" Target="media/image4.png"/><Relationship Id="rId37" Type="http://schemas.openxmlformats.org/officeDocument/2006/relationships/chart" Target="charts/chart2.xml"/><Relationship Id="rId53" Type="http://schemas.openxmlformats.org/officeDocument/2006/relationships/chart" Target="charts/chart111.xml"/><Relationship Id="rId58" Type="http://schemas.openxmlformats.org/officeDocument/2006/relationships/chart" Target="charts/chart16.xml"/><Relationship Id="rId74" Type="http://schemas.openxmlformats.org/officeDocument/2006/relationships/chart" Target="charts/chart26.xml"/><Relationship Id="rId79" Type="http://schemas.openxmlformats.org/officeDocument/2006/relationships/chart" Target="charts/chart29.xml"/><Relationship Id="rId102" Type="http://schemas.openxmlformats.org/officeDocument/2006/relationships/image" Target="media/image22.png"/><Relationship Id="rId123" Type="http://schemas.openxmlformats.org/officeDocument/2006/relationships/image" Target="media/image43.png"/><Relationship Id="rId5" Type="http://schemas.openxmlformats.org/officeDocument/2006/relationships/numbering" Target="numbering.xml"/><Relationship Id="rId90" Type="http://schemas.openxmlformats.org/officeDocument/2006/relationships/image" Target="media/image10.svg"/><Relationship Id="rId95" Type="http://schemas.openxmlformats.org/officeDocument/2006/relationships/image" Target="media/image15.png"/><Relationship Id="rId19" Type="http://schemas.openxmlformats.org/officeDocument/2006/relationships/footer" Target="footer1.xml"/><Relationship Id="rId14" Type="http://schemas.openxmlformats.org/officeDocument/2006/relationships/image" Target="media/image20.jpeg"/><Relationship Id="rId22" Type="http://schemas.openxmlformats.org/officeDocument/2006/relationships/header" Target="header5.xml"/><Relationship Id="rId27" Type="http://schemas.openxmlformats.org/officeDocument/2006/relationships/footer" Target="footer3.xml"/><Relationship Id="rId30" Type="http://schemas.openxmlformats.org/officeDocument/2006/relationships/header" Target="header11.xml"/><Relationship Id="rId35" Type="http://schemas.openxmlformats.org/officeDocument/2006/relationships/chart" Target="charts/chart1.xml"/><Relationship Id="rId43" Type="http://schemas.openxmlformats.org/officeDocument/2006/relationships/chart" Target="charts/chart5.xml"/><Relationship Id="rId48" Type="http://schemas.openxmlformats.org/officeDocument/2006/relationships/chart" Target="charts/chart80.xml"/><Relationship Id="rId56" Type="http://schemas.openxmlformats.org/officeDocument/2006/relationships/chart" Target="charts/chart14.xml"/><Relationship Id="rId64" Type="http://schemas.openxmlformats.org/officeDocument/2006/relationships/chart" Target="charts/chart200.xml"/><Relationship Id="rId69" Type="http://schemas.openxmlformats.org/officeDocument/2006/relationships/chart" Target="charts/chart230.xml"/><Relationship Id="rId77" Type="http://schemas.openxmlformats.org/officeDocument/2006/relationships/chart" Target="charts/chart28.xml"/><Relationship Id="rId100" Type="http://schemas.openxmlformats.org/officeDocument/2006/relationships/image" Target="media/image20.svg"/><Relationship Id="rId105" Type="http://schemas.openxmlformats.org/officeDocument/2006/relationships/image" Target="media/image25.png"/><Relationship Id="rId113" Type="http://schemas.openxmlformats.org/officeDocument/2006/relationships/image" Target="media/image33.png"/><Relationship Id="rId118" Type="http://schemas.openxmlformats.org/officeDocument/2006/relationships/image" Target="media/image38.png"/><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chart" Target="charts/chart10.xml"/><Relationship Id="rId72" Type="http://schemas.openxmlformats.org/officeDocument/2006/relationships/chart" Target="charts/chart25.xml"/><Relationship Id="rId80" Type="http://schemas.openxmlformats.org/officeDocument/2006/relationships/chart" Target="charts/chart290.xml"/><Relationship Id="rId85" Type="http://schemas.openxmlformats.org/officeDocument/2006/relationships/chart" Target="charts/chart310.xml"/><Relationship Id="rId93" Type="http://schemas.openxmlformats.org/officeDocument/2006/relationships/image" Target="media/image13.png"/><Relationship Id="rId98" Type="http://schemas.openxmlformats.org/officeDocument/2006/relationships/image" Target="media/image18.svg"/><Relationship Id="rId12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10.png"/><Relationship Id="rId17" Type="http://schemas.openxmlformats.org/officeDocument/2006/relationships/header" Target="header1.xml"/><Relationship Id="rId25" Type="http://schemas.openxmlformats.org/officeDocument/2006/relationships/header" Target="header7.xml"/><Relationship Id="rId33" Type="http://schemas.openxmlformats.org/officeDocument/2006/relationships/image" Target="media/image5.png"/><Relationship Id="rId38" Type="http://schemas.openxmlformats.org/officeDocument/2006/relationships/chart" Target="charts/chart210.xml"/><Relationship Id="rId46" Type="http://schemas.openxmlformats.org/officeDocument/2006/relationships/chart" Target="charts/chart7.xml"/><Relationship Id="rId59" Type="http://schemas.openxmlformats.org/officeDocument/2006/relationships/chart" Target="charts/chart17.xml"/><Relationship Id="rId67" Type="http://schemas.openxmlformats.org/officeDocument/2006/relationships/chart" Target="charts/chart22.xml"/><Relationship Id="rId103" Type="http://schemas.openxmlformats.org/officeDocument/2006/relationships/image" Target="media/image23.png"/><Relationship Id="rId108" Type="http://schemas.openxmlformats.org/officeDocument/2006/relationships/image" Target="media/image28.png"/><Relationship Id="rId116" Type="http://schemas.openxmlformats.org/officeDocument/2006/relationships/image" Target="media/image36.png"/><Relationship Id="rId124"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chart" Target="charts/chart4.xml"/><Relationship Id="rId54" Type="http://schemas.openxmlformats.org/officeDocument/2006/relationships/chart" Target="charts/chart12.xml"/><Relationship Id="rId62" Type="http://schemas.openxmlformats.org/officeDocument/2006/relationships/chart" Target="charts/chart190.xml"/><Relationship Id="rId70" Type="http://schemas.openxmlformats.org/officeDocument/2006/relationships/chart" Target="charts/chart24.xml"/><Relationship Id="rId75" Type="http://schemas.openxmlformats.org/officeDocument/2006/relationships/chart" Target="charts/chart260.xml"/><Relationship Id="rId83" Type="http://schemas.openxmlformats.org/officeDocument/2006/relationships/chart" Target="charts/chart300.xml"/><Relationship Id="rId88" Type="http://schemas.openxmlformats.org/officeDocument/2006/relationships/chart" Target="charts/chart33.xml"/><Relationship Id="rId91" Type="http://schemas.openxmlformats.org/officeDocument/2006/relationships/image" Target="media/image11.png"/><Relationship Id="rId96" Type="http://schemas.openxmlformats.org/officeDocument/2006/relationships/image" Target="media/image16.svg"/><Relationship Id="rId11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header" Target="header9.xml"/><Relationship Id="rId36" Type="http://schemas.openxmlformats.org/officeDocument/2006/relationships/chart" Target="charts/chart110.xml"/><Relationship Id="rId49" Type="http://schemas.openxmlformats.org/officeDocument/2006/relationships/chart" Target="charts/chart9.xml"/><Relationship Id="rId57" Type="http://schemas.openxmlformats.org/officeDocument/2006/relationships/chart" Target="charts/chart15.xml"/><Relationship Id="rId106" Type="http://schemas.openxmlformats.org/officeDocument/2006/relationships/image" Target="media/image26.png"/><Relationship Id="rId114" Type="http://schemas.openxmlformats.org/officeDocument/2006/relationships/image" Target="media/image34.png"/><Relationship Id="rId119" Type="http://schemas.openxmlformats.org/officeDocument/2006/relationships/image" Target="media/image39.png"/><Relationship Id="rId127" Type="http://schemas.microsoft.com/office/2020/10/relationships/intelligence" Target="intelligence2.xml"/><Relationship Id="rId10" Type="http://schemas.openxmlformats.org/officeDocument/2006/relationships/endnotes" Target="endnotes.xml"/><Relationship Id="rId31" Type="http://schemas.openxmlformats.org/officeDocument/2006/relationships/header" Target="header12.xml"/><Relationship Id="rId44" Type="http://schemas.openxmlformats.org/officeDocument/2006/relationships/chart" Target="charts/chart50.xml"/><Relationship Id="rId52" Type="http://schemas.openxmlformats.org/officeDocument/2006/relationships/chart" Target="charts/chart11.xml"/><Relationship Id="rId60" Type="http://schemas.openxmlformats.org/officeDocument/2006/relationships/chart" Target="charts/chart18.xml"/><Relationship Id="rId65" Type="http://schemas.openxmlformats.org/officeDocument/2006/relationships/chart" Target="charts/chart21.xml"/><Relationship Id="rId73" Type="http://schemas.openxmlformats.org/officeDocument/2006/relationships/chart" Target="charts/chart250.xml"/><Relationship Id="rId78" Type="http://schemas.openxmlformats.org/officeDocument/2006/relationships/chart" Target="charts/chart280.xml"/><Relationship Id="rId81" Type="http://schemas.openxmlformats.org/officeDocument/2006/relationships/image" Target="media/image7.png"/><Relationship Id="rId86" Type="http://schemas.openxmlformats.org/officeDocument/2006/relationships/image" Target="media/image8.emf"/><Relationship Id="rId94" Type="http://schemas.openxmlformats.org/officeDocument/2006/relationships/image" Target="media/image14.svg"/><Relationship Id="rId99" Type="http://schemas.openxmlformats.org/officeDocument/2006/relationships/image" Target="media/image19.png"/><Relationship Id="rId101" Type="http://schemas.openxmlformats.org/officeDocument/2006/relationships/image" Target="media/image21.png"/><Relationship Id="rId122" Type="http://schemas.openxmlformats.org/officeDocument/2006/relationships/image" Target="media/image4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eader" Target="header2.xml"/><Relationship Id="rId39" Type="http://schemas.openxmlformats.org/officeDocument/2006/relationships/chart" Target="charts/chart3.xml"/><Relationship Id="rId109" Type="http://schemas.openxmlformats.org/officeDocument/2006/relationships/image" Target="media/image29.png"/><Relationship Id="rId34" Type="http://schemas.openxmlformats.org/officeDocument/2006/relationships/image" Target="media/image6.png"/><Relationship Id="rId50" Type="http://schemas.openxmlformats.org/officeDocument/2006/relationships/chart" Target="charts/chart90.xml"/><Relationship Id="rId55" Type="http://schemas.openxmlformats.org/officeDocument/2006/relationships/chart" Target="charts/chart13.xml"/><Relationship Id="rId76" Type="http://schemas.openxmlformats.org/officeDocument/2006/relationships/chart" Target="charts/chart27.xml"/><Relationship Id="rId97" Type="http://schemas.openxmlformats.org/officeDocument/2006/relationships/image" Target="media/image17.png"/><Relationship Id="rId104" Type="http://schemas.openxmlformats.org/officeDocument/2006/relationships/image" Target="media/image24.png"/><Relationship Id="rId120" Type="http://schemas.openxmlformats.org/officeDocument/2006/relationships/image" Target="media/image40.png"/><Relationship Id="rId125" Type="http://schemas.openxmlformats.org/officeDocument/2006/relationships/glossaryDocument" Target="glossary/document.xml"/><Relationship Id="rId7" Type="http://schemas.openxmlformats.org/officeDocument/2006/relationships/settings" Target="settings.xml"/><Relationship Id="rId71" Type="http://schemas.openxmlformats.org/officeDocument/2006/relationships/chart" Target="charts/chart240.xml"/><Relationship Id="rId92" Type="http://schemas.openxmlformats.org/officeDocument/2006/relationships/image" Target="media/image12.svg"/><Relationship Id="rId2" Type="http://schemas.openxmlformats.org/officeDocument/2006/relationships/customXml" Target="../customXml/item2.xml"/><Relationship Id="rId29" Type="http://schemas.openxmlformats.org/officeDocument/2006/relationships/header" Target="header10.xml"/><Relationship Id="rId24" Type="http://schemas.openxmlformats.org/officeDocument/2006/relationships/header" Target="header6.xml"/><Relationship Id="rId40" Type="http://schemas.openxmlformats.org/officeDocument/2006/relationships/chart" Target="charts/chart34.xml"/><Relationship Id="rId45" Type="http://schemas.openxmlformats.org/officeDocument/2006/relationships/chart" Target="charts/chart6.xml"/><Relationship Id="rId66" Type="http://schemas.openxmlformats.org/officeDocument/2006/relationships/chart" Target="charts/chart211.xml"/><Relationship Id="rId87" Type="http://schemas.openxmlformats.org/officeDocument/2006/relationships/chart" Target="charts/chart32.xml"/><Relationship Id="rId110" Type="http://schemas.openxmlformats.org/officeDocument/2006/relationships/image" Target="media/image30.png"/><Relationship Id="rId115" Type="http://schemas.openxmlformats.org/officeDocument/2006/relationships/image" Target="media/image35.png"/><Relationship Id="rId61" Type="http://schemas.openxmlformats.org/officeDocument/2006/relationships/chart" Target="charts/chart19.xml"/><Relationship Id="rId82" Type="http://schemas.openxmlformats.org/officeDocument/2006/relationships/chart" Target="charts/chart30.xml"/></Relationships>
</file>

<file path=word/_rels/footer3.xml.rels><?xml version="1.0" encoding="UTF-8" standalone="yes"?>
<Relationships xmlns="http://schemas.openxmlformats.org/package/2006/relationships"><Relationship Id="rId1" Type="http://schemas.openxmlformats.org/officeDocument/2006/relationships/image" Target="media/image9.gif"/></Relationships>
</file>

<file path=word/_rels/footnotes.xml.rels><?xml version="1.0" encoding="UTF-8" standalone="yes"?>
<Relationships xmlns="http://schemas.openxmlformats.org/package/2006/relationships"><Relationship Id="rId2" Type="http://schemas.openxmlformats.org/officeDocument/2006/relationships/hyperlink" Target="http://www.depps.sante.gouv.ci" TargetMode="External"/><Relationship Id="rId1" Type="http://schemas.openxmlformats.org/officeDocument/2006/relationships/hyperlink" Target="https://uk01.z.antigena.com/l/_ltCzbnQ_ppJR41fIaTYXARe3r2pSdU2lpZOxaWtZhahsnThe2I8YKYeoyPTxBt8ocd7ab~1k_YWMK_GVsmYB9Br93rwS-56phqKZZnOSXJ1n8eb96GwgZM0bXqbDbKXwxF9Ubx3LQDgs5R2mm0z9tLoNfbMVSJSLENt6o04NN8iut3VufchBhtXrUt5CVHKt8QIPKFmp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orgtbi-my.sharepoint.com/personal/m_angui_institute_global/Documents/Library/Revue%20PNDS/Outils%20RAMP%20CTC/240615%20Revue%20PNDS%20-%20Working%20Documen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orgtbi-my.sharepoint.com/personal/m_angui_institute_global/Documents/Library/Revue%20PNDS/Outils%20RAMP%20CTC/240615%20Revue%20PNDS%20-%20Working%20Document.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5.xml"/></Relationships>
</file>

<file path=word/charts/_rels/chart110.xml.rels><?xml version="1.0" encoding="UTF-8" standalone="yes"?>
<Relationships xmlns="http://schemas.openxmlformats.org/package/2006/relationships"><Relationship Id="rId3" Type="http://schemas.openxmlformats.org/officeDocument/2006/relationships/oleObject" Target="https://orgtbi-my.sharepoint.com/personal/m_angui_institute_global/Documents/Library/Revue%20PNDS/Outils%20RAMP%20CTC/240615%20Revue%20PNDS%20-%20Working%20Document.xlsx" TargetMode="External"/><Relationship Id="rId2" Type="http://schemas.microsoft.com/office/2011/relationships/chartColorStyle" Target="colors110.xml"/><Relationship Id="rId1" Type="http://schemas.microsoft.com/office/2011/relationships/chartStyle" Target="style110.xml"/></Relationships>
</file>

<file path=word/charts/_rels/chart111.xml.rels><?xml version="1.0" encoding="UTF-8" standalone="yes"?>
<Relationships xmlns="http://schemas.openxmlformats.org/package/2006/relationships"><Relationship Id="rId3" Type="http://schemas.openxmlformats.org/officeDocument/2006/relationships/oleObject" Target="https://orgtbi-my.sharepoint.com/personal/m_angui_institute_global/Documents/Library/Revue%20PNDS/Outils%20RAMP%20CTC/240615%20Revue%20PNDS%20-%20Working%20Document.xlsx" TargetMode="External"/><Relationship Id="rId2" Type="http://schemas.microsoft.com/office/2011/relationships/chartColorStyle" Target="colors111.xml"/><Relationship Id="rId1" Type="http://schemas.microsoft.com/office/2011/relationships/chartStyle" Target="style111.xml"/><Relationship Id="rId4" Type="http://schemas.openxmlformats.org/officeDocument/2006/relationships/chartUserShapes" Target="../drawings/drawing50.xml"/></Relationships>
</file>

<file path=word/charts/_rels/chart12.xml.rels><?xml version="1.0" encoding="UTF-8" standalone="yes"?>
<Relationships xmlns="http://schemas.openxmlformats.org/package/2006/relationships"><Relationship Id="rId3" Type="http://schemas.openxmlformats.org/officeDocument/2006/relationships/oleObject" Target="https://orgtbi-my.sharepoint.com/personal/m_angui_institute_global/Documents/Library/Revue%20PNDS/Outils%20RAMP%20CTC/240615%20Revue%20PNDS%20-%20Working%20Document.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oleObject" Target="https://orgtbi-my.sharepoint.com/personal/m_angui_institute_global/Documents/Library/Revue%20PNDS/Outils%20RAMP%20CTC/240615%20Revue%20PNDS%20-%20Working%20Document.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7.xml"/></Relationships>
</file>

<file path=word/charts/_rels/chart14.xml.rels><?xml version="1.0" encoding="UTF-8" standalone="yes"?>
<Relationships xmlns="http://schemas.openxmlformats.org/package/2006/relationships"><Relationship Id="rId3" Type="http://schemas.openxmlformats.org/officeDocument/2006/relationships/oleObject" Target="https://orgtbi-my.sharepoint.com/personal/m_angui_institute_global/Documents/Library/Revue%20PNDS/Outils%20RAMP%20CTC/240615%20Revue%20PNDS%20-%20Working%20Document.xlsx" TargetMode="Externa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8.xml"/></Relationships>
</file>

<file path=word/charts/_rels/chart15.xml.rels><?xml version="1.0" encoding="UTF-8" standalone="yes"?>
<Relationships xmlns="http://schemas.openxmlformats.org/package/2006/relationships"><Relationship Id="rId3" Type="http://schemas.openxmlformats.org/officeDocument/2006/relationships/oleObject" Target="https://orgtbi-my.sharepoint.com/personal/m_angui_institute_global/Documents/Library/Revue%20PNDS/SIGPS%20INDICATEUR%20RHS%202024_05122024%20(version%201).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orgtbi.sharepoint.com/sites/GRP_TBI_CotedIvoire/Shared%20Documents/Delivery/02%20-%20Work%20outputs/Revue%20MoH/Rapport%20de%20revue/Outils%20Methodologiques/Rapport%20RAMP%20PNDS/Evolution%20des%20indicateurs%20ODD%20-%20RAMP.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orgtbi-my.sharepoint.com/personal/m_angui_institute_global/Documents/Library/Revue%20PNDS/Outils%20RAMP%20CTC/240615%20Revue%20PNDS%20-%20Working%20Document.xlsx" TargetMode="Externa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chartUserShapes" Target="../drawings/drawing9.xml"/></Relationships>
</file>

<file path=word/charts/_rels/chart18.xml.rels><?xml version="1.0" encoding="UTF-8" standalone="yes"?>
<Relationships xmlns="http://schemas.openxmlformats.org/package/2006/relationships"><Relationship Id="rId3" Type="http://schemas.openxmlformats.org/officeDocument/2006/relationships/oleObject" Target="https://orgtbi-my.sharepoint.com/personal/m_angui_institute_global/Documents/Library/Revue%20PNDS/Outils%20RAMP%20CTC/240615%20Revue%20PNDS%20-%20Working%20Document.xlsx" TargetMode="Externa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chartUserShapes" Target="../drawings/drawing10.xml"/></Relationships>
</file>

<file path=word/charts/_rels/chart19.xml.rels><?xml version="1.0" encoding="UTF-8" standalone="yes"?>
<Relationships xmlns="http://schemas.openxmlformats.org/package/2006/relationships"><Relationship Id="rId3" Type="http://schemas.openxmlformats.org/officeDocument/2006/relationships/oleObject" Target="https://orgtbi-my.sharepoint.com/personal/m_angui_institute_global/Documents/Library/Revue%20PNDS/Outils%20RAMP%20CTC/240615%20Revue%20PNDS%20-%20Working%20Document.xlsx" TargetMode="Externa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chartUserShapes" Target="../drawings/drawing11.xml"/></Relationships>
</file>

<file path=word/charts/_rels/chart190.xml.rels><?xml version="1.0" encoding="UTF-8" standalone="yes"?>
<Relationships xmlns="http://schemas.openxmlformats.org/package/2006/relationships"><Relationship Id="rId3" Type="http://schemas.openxmlformats.org/officeDocument/2006/relationships/oleObject" Target="https://orgtbi-my.sharepoint.com/personal/m_angui_institute_global/Documents/Library/Revue%20PNDS/Outils%20RAMP%20CTC/240615%20Revue%20PNDS%20-%20Working%20Document.xlsx" TargetMode="External"/><Relationship Id="rId2" Type="http://schemas.microsoft.com/office/2011/relationships/chartColorStyle" Target="colors190.xml"/><Relationship Id="rId1" Type="http://schemas.microsoft.com/office/2011/relationships/chartStyle" Target="style190.xml"/><Relationship Id="rId4" Type="http://schemas.openxmlformats.org/officeDocument/2006/relationships/chartUserShapes" Target="../drawings/drawing111.xml"/></Relationships>
</file>

<file path=word/charts/_rels/chart2.xml.rels><?xml version="1.0" encoding="UTF-8" standalone="yes"?>
<Relationships xmlns="http://schemas.openxmlformats.org/package/2006/relationships"><Relationship Id="rId3" Type="http://schemas.openxmlformats.org/officeDocument/2006/relationships/oleObject" Target="https://orgtbi-my.sharepoint.com/personal/m_angui_institute_global/Documents/Library/Revue%20PNDS/Outils%20RAMP%20CTC/240615%20Revue%20PNDS%20-%20Working%20Document.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orgtbi-my.sharepoint.com/personal/m_angui_institute_global/Documents/Library/Revue%20PNDS/Outils%20RAMP%20CTC/240615%20Revue%20PNDS%20-%20Working%20Document.xlsx" TargetMode="Externa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chartUserShapes" Target="../drawings/drawing12.xml"/></Relationships>
</file>

<file path=word/charts/_rels/chart200.xml.rels><?xml version="1.0" encoding="UTF-8" standalone="yes"?>
<Relationships xmlns="http://schemas.openxmlformats.org/package/2006/relationships"><Relationship Id="rId3" Type="http://schemas.openxmlformats.org/officeDocument/2006/relationships/oleObject" Target="https://orgtbi-my.sharepoint.com/personal/m_angui_institute_global/Documents/Library/Revue%20PNDS/Outils%20RAMP%20CTC/240615%20Revue%20PNDS%20-%20Working%20Document.xlsx" TargetMode="External"/><Relationship Id="rId2" Type="http://schemas.microsoft.com/office/2011/relationships/chartColorStyle" Target="colors200.xml"/><Relationship Id="rId1" Type="http://schemas.microsoft.com/office/2011/relationships/chartStyle" Target="style200.xml"/><Relationship Id="rId4" Type="http://schemas.openxmlformats.org/officeDocument/2006/relationships/chartUserShapes" Target="../drawings/drawing120.xml"/></Relationships>
</file>

<file path=word/charts/_rels/chart21.xml.rels><?xml version="1.0" encoding="UTF-8" standalone="yes"?>
<Relationships xmlns="http://schemas.openxmlformats.org/package/2006/relationships"><Relationship Id="rId3" Type="http://schemas.openxmlformats.org/officeDocument/2006/relationships/oleObject" Target="https://orgtbi-my.sharepoint.com/personal/m_angui_institute_global/Documents/Library/Revue%20PNDS/Outils%20RAMP%20CTC/240615%20Revue%20PNDS%20-%20Working%20Document.xlsx" TargetMode="Externa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chartUserShapes" Target="../drawings/drawing13.xml"/></Relationships>
</file>

<file path=word/charts/_rels/chart210.xml.rels><?xml version="1.0" encoding="UTF-8" standalone="yes"?>
<Relationships xmlns="http://schemas.openxmlformats.org/package/2006/relationships"><Relationship Id="rId3" Type="http://schemas.openxmlformats.org/officeDocument/2006/relationships/oleObject" Target="https://orgtbi-my.sharepoint.com/personal/m_angui_institute_global/Documents/Library/Revue%20PNDS/Outils%20RAMP%20CTC/240615%20Revue%20PNDS%20-%20Working%20Document.xlsx" TargetMode="External"/><Relationship Id="rId2" Type="http://schemas.microsoft.com/office/2011/relationships/chartColorStyle" Target="colors210.xml"/><Relationship Id="rId1" Type="http://schemas.microsoft.com/office/2011/relationships/chartStyle" Target="style210.xml"/></Relationships>
</file>

<file path=word/charts/_rels/chart211.xml.rels><?xml version="1.0" encoding="UTF-8" standalone="yes"?>
<Relationships xmlns="http://schemas.openxmlformats.org/package/2006/relationships"><Relationship Id="rId3" Type="http://schemas.openxmlformats.org/officeDocument/2006/relationships/oleObject" Target="https://orgtbi-my.sharepoint.com/personal/m_angui_institute_global/Documents/Library/Revue%20PNDS/Outils%20RAMP%20CTC/240615%20Revue%20PNDS%20-%20Working%20Document.xlsx" TargetMode="External"/><Relationship Id="rId2" Type="http://schemas.microsoft.com/office/2011/relationships/chartColorStyle" Target="colors211.xml"/><Relationship Id="rId1" Type="http://schemas.microsoft.com/office/2011/relationships/chartStyle" Target="style211.xml"/><Relationship Id="rId4" Type="http://schemas.openxmlformats.org/officeDocument/2006/relationships/chartUserShapes" Target="../drawings/drawing130.xml"/></Relationships>
</file>

<file path=word/charts/_rels/chart22.xml.rels><?xml version="1.0" encoding="UTF-8" standalone="yes"?>
<Relationships xmlns="http://schemas.openxmlformats.org/package/2006/relationships"><Relationship Id="rId3" Type="http://schemas.openxmlformats.org/officeDocument/2006/relationships/oleObject" Target="https://orgtbi.sharepoint.com/sites/GRP_TBI_CotedIvoire/Shared%20Documents/Delivery/02%20-%20Work%20outputs/Revue%20MoH/Rapport%20de%20revue/Outils%20Methodologiques/Rapport%20RAMP%20PNDS/Evolution%20des%20indicateurs%20ODD%20-%20RAMP.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https://orgtbi-my.sharepoint.com/personal/m_angui_institute_global/Documents/Library/Revue%20PNDS/Outils%20RAMP%20CTC/240615%20Revue%20PNDS%20-%20Working%20Document.xlsx" TargetMode="Externa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chartUserShapes" Target="../drawings/drawing14.xml"/></Relationships>
</file>

<file path=word/charts/_rels/chart230.xml.rels><?xml version="1.0" encoding="UTF-8" standalone="yes"?>
<Relationships xmlns="http://schemas.openxmlformats.org/package/2006/relationships"><Relationship Id="rId3" Type="http://schemas.openxmlformats.org/officeDocument/2006/relationships/oleObject" Target="https://orgtbi-my.sharepoint.com/personal/m_angui_institute_global/Documents/Library/Revue%20PNDS/Outils%20RAMP%20CTC/240615%20Revue%20PNDS%20-%20Working%20Document.xlsx" TargetMode="External"/><Relationship Id="rId2" Type="http://schemas.microsoft.com/office/2011/relationships/chartColorStyle" Target="colors230.xml"/><Relationship Id="rId1" Type="http://schemas.microsoft.com/office/2011/relationships/chartStyle" Target="style230.xml"/><Relationship Id="rId4" Type="http://schemas.openxmlformats.org/officeDocument/2006/relationships/chartUserShapes" Target="../drawings/drawing140.xml"/></Relationships>
</file>

<file path=word/charts/_rels/chart24.xml.rels><?xml version="1.0" encoding="UTF-8" standalone="yes"?>
<Relationships xmlns="http://schemas.openxmlformats.org/package/2006/relationships"><Relationship Id="rId3" Type="http://schemas.openxmlformats.org/officeDocument/2006/relationships/oleObject" Target="https://orgtbi-my.sharepoint.com/personal/m_angui_institute_global/Documents/Library/Revue%20PNDS/Outils%20RAMP%20CTC/240615%20Revue%20PNDS%20-%20Working%20Document.xlsx" TargetMode="Externa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chartUserShapes" Target="../drawings/drawing15.xml"/></Relationships>
</file>

<file path=word/charts/_rels/chart240.xml.rels><?xml version="1.0" encoding="UTF-8" standalone="yes"?>
<Relationships xmlns="http://schemas.openxmlformats.org/package/2006/relationships"><Relationship Id="rId3" Type="http://schemas.openxmlformats.org/officeDocument/2006/relationships/oleObject" Target="https://orgtbi-my.sharepoint.com/personal/m_angui_institute_global/Documents/Library/Revue%20PNDS/Outils%20RAMP%20CTC/240615%20Revue%20PNDS%20-%20Working%20Document.xlsx" TargetMode="External"/><Relationship Id="rId2" Type="http://schemas.microsoft.com/office/2011/relationships/chartColorStyle" Target="colors240.xml"/><Relationship Id="rId1" Type="http://schemas.microsoft.com/office/2011/relationships/chartStyle" Target="style240.xml"/><Relationship Id="rId4" Type="http://schemas.openxmlformats.org/officeDocument/2006/relationships/chartUserShapes" Target="../drawings/drawing150.xm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C:\Users\Dr%20DAGNOGO\Desktop\Evolution%20incidence%20TB.xlsx" TargetMode="External"/></Relationships>
</file>

<file path=word/charts/_rels/chart25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50.xml"/><Relationship Id="rId1" Type="http://schemas.microsoft.com/office/2011/relationships/chartStyle" Target="style250.xml"/><Relationship Id="rId4" Type="http://schemas.openxmlformats.org/officeDocument/2006/relationships/oleObject" Target="file:///C:\Users\Dr%20DAGNOGO\Desktop\Evolution%20incidence%20TB.xlsx" TargetMode="External"/></Relationships>
</file>

<file path=word/charts/_rels/chart26.xml.rels><?xml version="1.0" encoding="UTF-8" standalone="yes"?>
<Relationships xmlns="http://schemas.openxmlformats.org/package/2006/relationships"><Relationship Id="rId3" Type="http://schemas.openxmlformats.org/officeDocument/2006/relationships/oleObject" Target="https://orgtbi-my.sharepoint.com/personal/m_angui_institute_global/Documents/Library/Revue%20PNDS/Outils%20RAMP%20CTC/240615%20Revue%20PNDS%20-%20Working%20Document.xlsx" TargetMode="Externa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chartUserShapes" Target="../drawings/drawing16.xml"/></Relationships>
</file>

<file path=word/charts/_rels/chart260.xml.rels><?xml version="1.0" encoding="UTF-8" standalone="yes"?>
<Relationships xmlns="http://schemas.openxmlformats.org/package/2006/relationships"><Relationship Id="rId3" Type="http://schemas.openxmlformats.org/officeDocument/2006/relationships/oleObject" Target="https://orgtbi-my.sharepoint.com/personal/m_angui_institute_global/Documents/Library/Revue%20PNDS/Outils%20RAMP%20CTC/240615%20Revue%20PNDS%20-%20Working%20Document.xlsx" TargetMode="External"/><Relationship Id="rId2" Type="http://schemas.microsoft.com/office/2011/relationships/chartColorStyle" Target="colors260.xml"/><Relationship Id="rId1" Type="http://schemas.microsoft.com/office/2011/relationships/chartStyle" Target="style260.xml"/><Relationship Id="rId4" Type="http://schemas.openxmlformats.org/officeDocument/2006/relationships/chartUserShapes" Target="../drawings/drawing160.xml"/></Relationships>
</file>

<file path=word/charts/_rels/chart27.xml.rels><?xml version="1.0" encoding="UTF-8" standalone="yes"?>
<Relationships xmlns="http://schemas.openxmlformats.org/package/2006/relationships"><Relationship Id="rId3" Type="http://schemas.openxmlformats.org/officeDocument/2006/relationships/oleObject" Target="https://orgtbi.sharepoint.com/sites/GRP_TBI_CotedIvoire/Shared%20Documents/Delivery/02%20-%20Work%20outputs/Revue%20MoH/Rapport%20de%20revue/Outils%20Methodologiques/Rapport%20RAMP%20PNDS/Evolution%20des%20indicateurs%20ODD%20-%20RAMP.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https://orgtbi-my.sharepoint.com/personal/m_angui_institute_global/Documents/Library/Revue%20PNDS/Outils%20RAMP%20CTC/240615%20Revue%20PNDS%20-%20Working%20Document.xlsx" TargetMode="Externa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chartUserShapes" Target="../drawings/drawing17.xml"/></Relationships>
</file>

<file path=word/charts/_rels/chart280.xml.rels><?xml version="1.0" encoding="UTF-8" standalone="yes"?>
<Relationships xmlns="http://schemas.openxmlformats.org/package/2006/relationships"><Relationship Id="rId3" Type="http://schemas.openxmlformats.org/officeDocument/2006/relationships/oleObject" Target="https://orgtbi-my.sharepoint.com/personal/m_angui_institute_global/Documents/Library/Revue%20PNDS/Outils%20RAMP%20CTC/240615%20Revue%20PNDS%20-%20Working%20Document.xlsx" TargetMode="External"/><Relationship Id="rId2" Type="http://schemas.microsoft.com/office/2011/relationships/chartColorStyle" Target="colors280.xml"/><Relationship Id="rId1" Type="http://schemas.microsoft.com/office/2011/relationships/chartStyle" Target="style280.xml"/><Relationship Id="rId4" Type="http://schemas.openxmlformats.org/officeDocument/2006/relationships/chartUserShapes" Target="../drawings/drawing170.xml"/></Relationships>
</file>

<file path=word/charts/_rels/chart29.xml.rels><?xml version="1.0" encoding="UTF-8" standalone="yes"?>
<Relationships xmlns="http://schemas.openxmlformats.org/package/2006/relationships"><Relationship Id="rId3" Type="http://schemas.openxmlformats.org/officeDocument/2006/relationships/oleObject" Target="https://orgtbi-my.sharepoint.com/personal/m_angui_institute_global/Documents/Library/Revue%20PNDS/Outils%20RAMP%20CTC/240615%20Revue%20PNDS%20-%20Working%20Document.xlsx" TargetMode="Externa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chartUserShapes" Target="../drawings/drawing18.xml"/></Relationships>
</file>

<file path=word/charts/_rels/chart290.xml.rels><?xml version="1.0" encoding="UTF-8" standalone="yes"?>
<Relationships xmlns="http://schemas.openxmlformats.org/package/2006/relationships"><Relationship Id="rId3" Type="http://schemas.openxmlformats.org/officeDocument/2006/relationships/oleObject" Target="https://orgtbi-my.sharepoint.com/personal/m_angui_institute_global/Documents/Library/Revue%20PNDS/Outils%20RAMP%20CTC/240615%20Revue%20PNDS%20-%20Working%20Document.xlsx" TargetMode="External"/><Relationship Id="rId2" Type="http://schemas.microsoft.com/office/2011/relationships/chartColorStyle" Target="colors290.xml"/><Relationship Id="rId1" Type="http://schemas.microsoft.com/office/2011/relationships/chartStyle" Target="style290.xml"/><Relationship Id="rId4" Type="http://schemas.openxmlformats.org/officeDocument/2006/relationships/chartUserShapes" Target="../drawings/drawing180.xml"/></Relationships>
</file>

<file path=word/charts/_rels/chart3.xml.rels><?xml version="1.0" encoding="UTF-8" standalone="yes"?>
<Relationships xmlns="http://schemas.openxmlformats.org/package/2006/relationships"><Relationship Id="rId3" Type="http://schemas.openxmlformats.org/officeDocument/2006/relationships/oleObject" Target="https://orgtbi-my.sharepoint.com/personal/m_angui_institute_global/Documents/Library/Revue%20PNDS/Outils%20RAMP%20CTC/240615%20Revue%20PNDS%20-%20Working%20Document.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https://orgtbi-my.sharepoint.com/personal/m_angui_institute_global/Documents/Library/Revue%20PNDS/Outils%20RAMP%20CTC/240615%20Revue%20PNDS%20-%20Working%20Document.xlsx" TargetMode="Externa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chartUserShapes" Target="../drawings/drawing19.xml"/></Relationships>
</file>

<file path=word/charts/_rels/chart300.xml.rels><?xml version="1.0" encoding="UTF-8" standalone="yes"?>
<Relationships xmlns="http://schemas.openxmlformats.org/package/2006/relationships"><Relationship Id="rId3" Type="http://schemas.openxmlformats.org/officeDocument/2006/relationships/oleObject" Target="https://orgtbi-my.sharepoint.com/personal/m_angui_institute_global/Documents/Library/Revue%20PNDS/Outils%20RAMP%20CTC/240615%20Revue%20PNDS%20-%20Working%20Document.xlsx" TargetMode="External"/><Relationship Id="rId2" Type="http://schemas.microsoft.com/office/2011/relationships/chartColorStyle" Target="colors300.xml"/><Relationship Id="rId1" Type="http://schemas.microsoft.com/office/2011/relationships/chartStyle" Target="style300.xml"/><Relationship Id="rId4" Type="http://schemas.openxmlformats.org/officeDocument/2006/relationships/chartUserShapes" Target="../drawings/drawing190.xml"/></Relationships>
</file>

<file path=word/charts/_rels/chart31.xml.rels><?xml version="1.0" encoding="UTF-8" standalone="yes"?>
<Relationships xmlns="http://schemas.openxmlformats.org/package/2006/relationships"><Relationship Id="rId3" Type="http://schemas.openxmlformats.org/officeDocument/2006/relationships/oleObject" Target="https://orgtbi-my.sharepoint.com/personal/m_angui_institute_global/Documents/Library/Revue%20PNDS/Outils%20RAMP%20CTC/240615%20Revue%20PNDS%20-%20Working%20Document.xlsx" TargetMode="Externa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chartUserShapes" Target="../drawings/drawing20.xml"/></Relationships>
</file>

<file path=word/charts/_rels/chart310.xml.rels><?xml version="1.0" encoding="UTF-8" standalone="yes"?>
<Relationships xmlns="http://schemas.openxmlformats.org/package/2006/relationships"><Relationship Id="rId3" Type="http://schemas.openxmlformats.org/officeDocument/2006/relationships/oleObject" Target="https://orgtbi-my.sharepoint.com/personal/m_angui_institute_global/Documents/Library/Revue%20PNDS/Outils%20RAMP%20CTC/240615%20Revue%20PNDS%20-%20Working%20Document.xlsx" TargetMode="External"/><Relationship Id="rId2" Type="http://schemas.microsoft.com/office/2011/relationships/chartColorStyle" Target="colors310.xml"/><Relationship Id="rId1" Type="http://schemas.microsoft.com/office/2011/relationships/chartStyle" Target="style310.xml"/><Relationship Id="rId4" Type="http://schemas.openxmlformats.org/officeDocument/2006/relationships/chartUserShapes" Target="../drawings/drawing200.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https://orgtbi-my.sharepoint.com/personal/m_angui_institute_global/Documents/Library/Revue%20PNDS/Outils%20RAMP%20CTC/240615%20Revue%20PNDS%20-%20Working%20Document.xlsx" TargetMode="External"/><Relationship Id="rId2" Type="http://schemas.microsoft.com/office/2011/relationships/chartColorStyle" Target="colors34.xml"/><Relationship Id="rId1" Type="http://schemas.microsoft.com/office/2011/relationships/chartStyle" Target="style34.xml"/></Relationships>
</file>

<file path=word/charts/_rels/chart4.xml.rels><?xml version="1.0" encoding="UTF-8" standalone="yes"?>
<Relationships xmlns="http://schemas.openxmlformats.org/package/2006/relationships"><Relationship Id="rId3" Type="http://schemas.openxmlformats.org/officeDocument/2006/relationships/oleObject" Target="https://orgtbi-my.sharepoint.com/personal/m_angui_institute_global/Documents/Library/Revue%20PNDS/Outils%20RAMP%20CTC/240615%20Revue%20PNDS%20-%20Working%20Document.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40.xml.rels><?xml version="1.0" encoding="UTF-8" standalone="yes"?>
<Relationships xmlns="http://schemas.openxmlformats.org/package/2006/relationships"><Relationship Id="rId3" Type="http://schemas.openxmlformats.org/officeDocument/2006/relationships/oleObject" Target="https://orgtbi-my.sharepoint.com/personal/m_angui_institute_global/Documents/Library/Revue%20PNDS/Outils%20RAMP%20CTC/240615%20Revue%20PNDS%20-%20Working%20Document.xlsx" TargetMode="Externa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chartUserShapes" Target="../drawings/drawing110.xml"/></Relationships>
</file>

<file path=word/charts/_rels/chart5.xml.rels><?xml version="1.0" encoding="UTF-8" standalone="yes"?>
<Relationships xmlns="http://schemas.openxmlformats.org/package/2006/relationships"><Relationship Id="rId3" Type="http://schemas.openxmlformats.org/officeDocument/2006/relationships/oleObject" Target="https://orgtbi-my.sharepoint.com/personal/m_angui_institute_global/Documents/Library/Revue%20PNDS/Outils%20RAMP%20CTC/240615%20Revue%20PNDS%20-%20Working%20Document.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2.xml"/></Relationships>
</file>

<file path=word/charts/_rels/chart50.xml.rels><?xml version="1.0" encoding="UTF-8" standalone="yes"?>
<Relationships xmlns="http://schemas.openxmlformats.org/package/2006/relationships"><Relationship Id="rId3" Type="http://schemas.openxmlformats.org/officeDocument/2006/relationships/oleObject" Target="https://orgtbi-my.sharepoint.com/personal/m_angui_institute_global/Documents/Library/Revue%20PNDS/Outils%20RAMP%20CTC/240615%20Revue%20PNDS%20-%20Working%20Document.xlsx" TargetMode="Externa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chartUserShapes" Target="../drawings/drawing21.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HP\Downloads\DENSITE%20DES%20POPULATION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orgtbi-my.sharepoint.com/personal/m_angui_institute_global/Documents/Library/Revue%20PNDS/Outils%20RAMP%20CTC/240615%20Revue%20PNDS%20-%20Working%20Document.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orgtbi-my.sharepoint.com/personal/m_angui_institute_global/Documents/Library/Revue%20PNDS/Outils%20RAMP%20CTC/240615%20Revue%20PNDS%20-%20Working%20Document.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_rels/chart80.xml.rels><?xml version="1.0" encoding="UTF-8" standalone="yes"?>
<Relationships xmlns="http://schemas.openxmlformats.org/package/2006/relationships"><Relationship Id="rId3" Type="http://schemas.openxmlformats.org/officeDocument/2006/relationships/oleObject" Target="https://orgtbi-my.sharepoint.com/personal/m_angui_institute_global/Documents/Library/Revue%20PNDS/Outils%20RAMP%20CTC/240615%20Revue%20PNDS%20-%20Working%20Document.xlsx" TargetMode="External"/><Relationship Id="rId2" Type="http://schemas.microsoft.com/office/2011/relationships/chartColorStyle" Target="colors80.xml"/><Relationship Id="rId1" Type="http://schemas.microsoft.com/office/2011/relationships/chartStyle" Target="style80.xml"/><Relationship Id="rId4" Type="http://schemas.openxmlformats.org/officeDocument/2006/relationships/chartUserShapes" Target="../drawings/drawing30.xml"/></Relationships>
</file>

<file path=word/charts/_rels/chart9.xml.rels><?xml version="1.0" encoding="UTF-8" standalone="yes"?>
<Relationships xmlns="http://schemas.openxmlformats.org/package/2006/relationships"><Relationship Id="rId3" Type="http://schemas.openxmlformats.org/officeDocument/2006/relationships/oleObject" Target="https://orgtbi-my.sharepoint.com/personal/m_angui_institute_global/Documents/Library/Revue%20PNDS/Outils%20RAMP%20CTC/240615%20Revue%20PNDS%20-%20Working%20Document.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90.xml.rels><?xml version="1.0" encoding="UTF-8" standalone="yes"?>
<Relationships xmlns="http://schemas.openxmlformats.org/package/2006/relationships"><Relationship Id="rId3" Type="http://schemas.openxmlformats.org/officeDocument/2006/relationships/oleObject" Target="https://orgtbi-my.sharepoint.com/personal/m_angui_institute_global/Documents/Library/Revue%20PNDS/Outils%20RAMP%20CTC/240615%20Revue%20PNDS%20-%20Working%20Document.xlsx" TargetMode="External"/><Relationship Id="rId2" Type="http://schemas.microsoft.com/office/2011/relationships/chartColorStyle" Target="colors90.xml"/><Relationship Id="rId1" Type="http://schemas.microsoft.com/office/2011/relationships/chartStyle" Target="style90.xml"/><Relationship Id="rId4" Type="http://schemas.openxmlformats.org/officeDocument/2006/relationships/chartUserShapes" Target="../drawings/drawing40.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'[240615 Revue PNDS - Working Document.xlsx]8.1.1. Global Opinion Tracking'!$A$2:$A$8</c:f>
              <c:strCache>
                <c:ptCount val="7"/>
                <c:pt idx="0">
                  <c:v>Niveau de satisfaction des acteurs du niveau central de l'efficacité du mécanisme de suivi-évaluation du PNDS </c:v>
                </c:pt>
                <c:pt idx="1">
                  <c:v>Niveau de satisfaction des acteurs du niveau central de la diffusion large du PNDS par la DPPS pour validation</c:v>
                </c:pt>
                <c:pt idx="2">
                  <c:v>Niveau de satisfaction des acteurs du niveau central de la diffusion du PNDS aux acteurs de la Santé</c:v>
                </c:pt>
                <c:pt idx="3">
                  <c:v>Niveau de satisfaction des acteurs du niveau central de l'appropriation du PNDS par les acteurs de la Santé</c:v>
                </c:pt>
                <c:pt idx="4">
                  <c:v>Niveau de satisfaction des acteurs du niveau central de l'alignement du PNDS aux priorités de la Santé</c:v>
                </c:pt>
                <c:pt idx="5">
                  <c:v>Niveau de satisfaction des acteurs du niveau central de leur association dans l'élaboration du PNDS</c:v>
                </c:pt>
                <c:pt idx="6">
                  <c:v>Niveau de satisfaction des acteurs du niveau central de la dissémination en interne du PNDS, au personnel des structures</c:v>
                </c:pt>
              </c:strCache>
            </c:strRef>
          </c:cat>
          <c:val>
            <c:numRef>
              <c:f>'[240615 Revue PNDS - Working Document.xlsx]8.1.1. Global Opinion Tracking'!$B$2:$B$8</c:f>
              <c:numCache>
                <c:formatCode>0%</c:formatCode>
                <c:ptCount val="7"/>
                <c:pt idx="0">
                  <c:v>0.27586206896551724</c:v>
                </c:pt>
                <c:pt idx="1">
                  <c:v>0.5</c:v>
                </c:pt>
                <c:pt idx="2">
                  <c:v>0.5161290322580645</c:v>
                </c:pt>
                <c:pt idx="3">
                  <c:v>0.5714285714285714</c:v>
                </c:pt>
                <c:pt idx="4">
                  <c:v>0.65517241379310343</c:v>
                </c:pt>
                <c:pt idx="5">
                  <c:v>0.68965517241379315</c:v>
                </c:pt>
                <c:pt idx="6">
                  <c:v>0.69230769230769229</c:v>
                </c:pt>
              </c:numCache>
            </c:numRef>
          </c:val>
          <c:extLst>
            <c:ext xmlns:c16="http://schemas.microsoft.com/office/drawing/2014/chart" uri="{C3380CC4-5D6E-409C-BE32-E72D297353CC}">
              <c16:uniqueId val="{00000000-BDA2-4867-A3A0-78BF6710F277}"/>
            </c:ext>
          </c:extLst>
        </c:ser>
        <c:dLbls>
          <c:dLblPos val="inEnd"/>
          <c:showLegendKey val="0"/>
          <c:showVal val="1"/>
          <c:showCatName val="0"/>
          <c:showSerName val="0"/>
          <c:showPercent val="0"/>
          <c:showBubbleSize val="0"/>
        </c:dLbls>
        <c:gapWidth val="75"/>
        <c:axId val="112267375"/>
        <c:axId val="112267015"/>
      </c:barChart>
      <c:catAx>
        <c:axId val="1122673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0"/>
          <a:lstStyle/>
          <a:p>
            <a:pPr>
              <a:defRPr sz="800" b="0" i="1" u="none" strike="noStrike" kern="1200" baseline="0">
                <a:solidFill>
                  <a:schemeClr val="tx1">
                    <a:lumMod val="65000"/>
                    <a:lumOff val="35000"/>
                  </a:schemeClr>
                </a:solidFill>
                <a:latin typeface="+mn-lt"/>
                <a:ea typeface="+mn-ea"/>
                <a:cs typeface="+mn-cs"/>
              </a:defRPr>
            </a:pPr>
            <a:endParaRPr lang="fr-FR"/>
          </a:p>
        </c:txPr>
        <c:crossAx val="112267015"/>
        <c:crosses val="autoZero"/>
        <c:auto val="1"/>
        <c:lblAlgn val="l"/>
        <c:lblOffset val="100"/>
        <c:noMultiLvlLbl val="0"/>
      </c:catAx>
      <c:valAx>
        <c:axId val="112267015"/>
        <c:scaling>
          <c:orientation val="minMax"/>
        </c:scaling>
        <c:delete val="1"/>
        <c:axPos val="b"/>
        <c:numFmt formatCode="0%" sourceLinked="1"/>
        <c:majorTickMark val="none"/>
        <c:minorTickMark val="none"/>
        <c:tickLblPos val="nextTo"/>
        <c:crossAx val="1122673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Sheet1!$B$4</c:f>
              <c:strCache>
                <c:ptCount val="1"/>
                <c:pt idx="0">
                  <c:v>2020</c:v>
                </c:pt>
              </c:strCache>
            </c:strRef>
          </c:tx>
          <c:spPr>
            <a:solidFill>
              <a:schemeClr val="accent1"/>
            </a:solidFill>
            <a:ln>
              <a:noFill/>
            </a:ln>
            <a:effectLst/>
          </c:spPr>
          <c:invertIfNegative val="0"/>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Sheet1!$C$3:$F$3</c:f>
              <c:strCache>
                <c:ptCount val="4"/>
                <c:pt idx="0">
                  <c:v>Taux de disponibilité au niveau périphérique des médicaments CMU</c:v>
                </c:pt>
                <c:pt idx="1">
                  <c:v>Taux de disponibilité au niveau central des produits traceurs des cinq programmes nationaux</c:v>
                </c:pt>
                <c:pt idx="2">
                  <c:v>Taux de disponibilité au niveau périphérique des produits traceurs des cinq programmes nationaux</c:v>
                </c:pt>
                <c:pt idx="3">
                  <c:v>Taux de disponibilité des produits traceurs de la gratuité ciblée au niveau périphérique</c:v>
                </c:pt>
              </c:strCache>
            </c:strRef>
          </c:cat>
          <c:val>
            <c:numRef>
              <c:f>Sheet1!$C$4:$F$4</c:f>
              <c:numCache>
                <c:formatCode>0.00%</c:formatCode>
                <c:ptCount val="4"/>
                <c:pt idx="0">
                  <c:v>0.6411</c:v>
                </c:pt>
                <c:pt idx="1">
                  <c:v>0.74660000000000004</c:v>
                </c:pt>
                <c:pt idx="2">
                  <c:v>0.67859999999999998</c:v>
                </c:pt>
                <c:pt idx="3">
                  <c:v>0.40439999999999998</c:v>
                </c:pt>
              </c:numCache>
            </c:numRef>
          </c:val>
          <c:extLst>
            <c:ext xmlns:c16="http://schemas.microsoft.com/office/drawing/2014/chart" uri="{C3380CC4-5D6E-409C-BE32-E72D297353CC}">
              <c16:uniqueId val="{00000000-3F23-4CDA-9F1E-2EBB6B2C8B6C}"/>
            </c:ext>
          </c:extLst>
        </c:ser>
        <c:ser>
          <c:idx val="1"/>
          <c:order val="1"/>
          <c:tx>
            <c:strRef>
              <c:f>Sheet1!$B$5</c:f>
              <c:strCache>
                <c:ptCount val="1"/>
                <c:pt idx="0">
                  <c:v>2024</c:v>
                </c:pt>
              </c:strCache>
            </c:strRef>
          </c:tx>
          <c:spPr>
            <a:solidFill>
              <a:schemeClr val="accent2"/>
            </a:solidFill>
            <a:ln>
              <a:noFill/>
            </a:ln>
            <a:effectLst/>
          </c:spPr>
          <c:invertIfNegative val="0"/>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Sheet1!$C$3:$F$3</c:f>
              <c:strCache>
                <c:ptCount val="4"/>
                <c:pt idx="0">
                  <c:v>Taux de disponibilité au niveau périphérique des médicaments CMU</c:v>
                </c:pt>
                <c:pt idx="1">
                  <c:v>Taux de disponibilité au niveau central des produits traceurs des cinq programmes nationaux</c:v>
                </c:pt>
                <c:pt idx="2">
                  <c:v>Taux de disponibilité au niveau périphérique des produits traceurs des cinq programmes nationaux</c:v>
                </c:pt>
                <c:pt idx="3">
                  <c:v>Taux de disponibilité des produits traceurs de la gratuité ciblée au niveau périphérique</c:v>
                </c:pt>
              </c:strCache>
            </c:strRef>
          </c:cat>
          <c:val>
            <c:numRef>
              <c:f>Sheet1!$C$5:$F$5</c:f>
              <c:numCache>
                <c:formatCode>0.00%</c:formatCode>
                <c:ptCount val="4"/>
                <c:pt idx="0">
                  <c:v>0.45800000000000002</c:v>
                </c:pt>
                <c:pt idx="1">
                  <c:v>0.8821</c:v>
                </c:pt>
                <c:pt idx="2">
                  <c:v>0.86060000000000003</c:v>
                </c:pt>
                <c:pt idx="3">
                  <c:v>0.61639999999999995</c:v>
                </c:pt>
              </c:numCache>
            </c:numRef>
          </c:val>
          <c:extLst>
            <c:ext xmlns:c16="http://schemas.microsoft.com/office/drawing/2014/chart" uri="{C3380CC4-5D6E-409C-BE32-E72D297353CC}">
              <c16:uniqueId val="{00000001-3F23-4CDA-9F1E-2EBB6B2C8B6C}"/>
            </c:ext>
          </c:extLst>
        </c:ser>
        <c:dLbls>
          <c:dLblPos val="outEnd"/>
          <c:showLegendKey val="0"/>
          <c:showVal val="1"/>
          <c:showCatName val="0"/>
          <c:showSerName val="0"/>
          <c:showPercent val="0"/>
          <c:showBubbleSize val="0"/>
        </c:dLbls>
        <c:gapWidth val="219"/>
        <c:overlap val="-27"/>
        <c:axId val="544830344"/>
        <c:axId val="544831064"/>
      </c:barChart>
      <c:catAx>
        <c:axId val="544830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crossAx val="544831064"/>
        <c:crosses val="autoZero"/>
        <c:auto val="1"/>
        <c:lblAlgn val="ctr"/>
        <c:lblOffset val="100"/>
        <c:noMultiLvlLbl val="0"/>
      </c:catAx>
      <c:valAx>
        <c:axId val="544831064"/>
        <c:scaling>
          <c:orientation val="minMax"/>
        </c:scaling>
        <c:delete val="1"/>
        <c:axPos val="l"/>
        <c:numFmt formatCode="0.00%" sourceLinked="1"/>
        <c:majorTickMark val="none"/>
        <c:minorTickMark val="none"/>
        <c:tickLblPos val="nextTo"/>
        <c:crossAx val="544830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'[240615 Revue PNDS - Working Document.xlsx]Sheet1'!$B$2</c:f>
              <c:strCache>
                <c:ptCount val="1"/>
                <c:pt idx="0">
                  <c:v>Valeurs cibles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5.4172007568821304E-2"/>
                  <c:y val="8.51775004808336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EA-4E35-93E7-856F6E0D7180}"/>
                </c:ext>
              </c:extLst>
            </c:dLbl>
            <c:dLbl>
              <c:idx val="2"/>
              <c:layout>
                <c:manualLayout>
                  <c:x val="-5.0092040208560222E-2"/>
                  <c:y val="9.99813494815738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EA-4E35-93E7-856F6E0D7180}"/>
                </c:ext>
              </c:extLst>
            </c:dLbl>
            <c:dLbl>
              <c:idx val="3"/>
              <c:layout>
                <c:manualLayout>
                  <c:x val="-4.1932105488037982E-2"/>
                  <c:y val="0.1073832739819439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6EA-4E35-93E7-856F6E0D7180}"/>
                </c:ext>
              </c:extLst>
            </c:dLbl>
            <c:dLbl>
              <c:idx val="4"/>
              <c:layout>
                <c:manualLayout>
                  <c:x val="-4.1932105488037982E-2"/>
                  <c:y val="9.9981349481573875E-2"/>
                </c:manualLayout>
              </c:layout>
              <c:spPr>
                <a:solidFill>
                  <a:schemeClr val="bg1">
                    <a:lumMod val="6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5-D6EA-4E35-93E7-856F6E0D7180}"/>
                </c:ext>
              </c:extLst>
            </c:dLbl>
            <c:dLbl>
              <c:idx val="5"/>
              <c:layout>
                <c:manualLayout>
                  <c:x val="-5.0092040208560222E-2"/>
                  <c:y val="0.10738327398194397"/>
                </c:manualLayout>
              </c:layout>
              <c:spPr>
                <a:solidFill>
                  <a:schemeClr val="bg1">
                    <a:lumMod val="6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6-D6EA-4E35-93E7-856F6E0D7180}"/>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Document.xlsx]Sheet1'!$B$28:$G$28</c:f>
              <c:numCache>
                <c:formatCode>General</c:formatCode>
                <c:ptCount val="6"/>
                <c:pt idx="0">
                  <c:v>2020</c:v>
                </c:pt>
                <c:pt idx="1">
                  <c:v>2021</c:v>
                </c:pt>
                <c:pt idx="2">
                  <c:v>2022</c:v>
                </c:pt>
                <c:pt idx="3">
                  <c:v>2023</c:v>
                </c:pt>
                <c:pt idx="4">
                  <c:v>2024</c:v>
                </c:pt>
                <c:pt idx="5">
                  <c:v>2025</c:v>
                </c:pt>
              </c:numCache>
            </c:numRef>
          </c:cat>
          <c:val>
            <c:numRef>
              <c:f>'[240615 Revue PNDS - Working Document.xlsx]Sheet1'!$B$29:$G$29</c:f>
              <c:numCache>
                <c:formatCode>0%</c:formatCode>
                <c:ptCount val="6"/>
                <c:pt idx="0" formatCode="0.0%">
                  <c:v>0.39300000000000002</c:v>
                </c:pt>
                <c:pt idx="1">
                  <c:v>0.55000000000000004</c:v>
                </c:pt>
                <c:pt idx="2">
                  <c:v>0.65</c:v>
                </c:pt>
                <c:pt idx="3">
                  <c:v>0.75</c:v>
                </c:pt>
                <c:pt idx="4">
                  <c:v>0.85</c:v>
                </c:pt>
                <c:pt idx="5">
                  <c:v>0.9</c:v>
                </c:pt>
              </c:numCache>
            </c:numRef>
          </c:val>
          <c:smooth val="0"/>
          <c:extLst>
            <c:ext xmlns:c16="http://schemas.microsoft.com/office/drawing/2014/chart" uri="{C3380CC4-5D6E-409C-BE32-E72D297353CC}">
              <c16:uniqueId val="{00000000-D6EA-4E35-93E7-856F6E0D7180}"/>
            </c:ext>
          </c:extLst>
        </c:ser>
        <c:ser>
          <c:idx val="1"/>
          <c:order val="1"/>
          <c:tx>
            <c:strRef>
              <c:f>'[240615 Revue PNDS - Working Document.xlsx]Sheet1'!$H$2</c:f>
              <c:strCache>
                <c:ptCount val="1"/>
                <c:pt idx="0">
                  <c:v>Valeurs observées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3"/>
              <c:spPr>
                <a:solidFill>
                  <a:schemeClr val="accent6">
                    <a:lumMod val="7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7-D6EA-4E35-93E7-856F6E0D7180}"/>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Document.xlsx]Sheet1'!$B$28:$G$28</c:f>
              <c:numCache>
                <c:formatCode>General</c:formatCode>
                <c:ptCount val="6"/>
                <c:pt idx="0">
                  <c:v>2020</c:v>
                </c:pt>
                <c:pt idx="1">
                  <c:v>2021</c:v>
                </c:pt>
                <c:pt idx="2">
                  <c:v>2022</c:v>
                </c:pt>
                <c:pt idx="3">
                  <c:v>2023</c:v>
                </c:pt>
                <c:pt idx="4">
                  <c:v>2024</c:v>
                </c:pt>
                <c:pt idx="5">
                  <c:v>2025</c:v>
                </c:pt>
              </c:numCache>
            </c:numRef>
          </c:cat>
          <c:val>
            <c:numRef>
              <c:f>'[240615 Revue PNDS - Working Document.xlsx]Sheet1'!$H$29:$M$29</c:f>
              <c:numCache>
                <c:formatCode>0%</c:formatCode>
                <c:ptCount val="6"/>
                <c:pt idx="1">
                  <c:v>0.6</c:v>
                </c:pt>
                <c:pt idx="2">
                  <c:v>0.78</c:v>
                </c:pt>
                <c:pt idx="3">
                  <c:v>0.96</c:v>
                </c:pt>
              </c:numCache>
            </c:numRef>
          </c:val>
          <c:smooth val="0"/>
          <c:extLst>
            <c:ext xmlns:c16="http://schemas.microsoft.com/office/drawing/2014/chart" uri="{C3380CC4-5D6E-409C-BE32-E72D297353CC}">
              <c16:uniqueId val="{00000001-D6EA-4E35-93E7-856F6E0D7180}"/>
            </c:ext>
          </c:extLst>
        </c:ser>
        <c:dLbls>
          <c:dLblPos val="t"/>
          <c:showLegendKey val="0"/>
          <c:showVal val="1"/>
          <c:showCatName val="0"/>
          <c:showSerName val="0"/>
          <c:showPercent val="0"/>
          <c:showBubbleSize val="0"/>
        </c:dLbls>
        <c:marker val="1"/>
        <c:smooth val="0"/>
        <c:axId val="1298852784"/>
        <c:axId val="1298852424"/>
      </c:lineChart>
      <c:catAx>
        <c:axId val="12988527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424"/>
        <c:crosses val="autoZero"/>
        <c:auto val="1"/>
        <c:lblAlgn val="ctr"/>
        <c:lblOffset val="100"/>
        <c:noMultiLvlLbl val="0"/>
      </c:catAx>
      <c:valAx>
        <c:axId val="1298852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fr-FR"/>
    </a:p>
  </c:txPr>
  <c:externalData r:id="rId3">
    <c:autoUpdate val="0"/>
  </c:externalData>
  <c:userShapes r:id="rId4"/>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'[240615 Revue PNDS - Working Document.xlsx]8.1.1. Global Opinion Tracking'!$A$2:$A$8</c:f>
              <c:strCache>
                <c:ptCount val="7"/>
                <c:pt idx="0">
                  <c:v>Niveau de satisfaction des acteurs du niveau central de l'efficacité du mécanisme de suivi-évaluation du PNDS </c:v>
                </c:pt>
                <c:pt idx="1">
                  <c:v>Niveau de satisfaction des acteurs du niveau central de la diffusion large du PNDS par la DPPS pour validation</c:v>
                </c:pt>
                <c:pt idx="2">
                  <c:v>Niveau de satisfaction des acteurs du niveau central de la diffusion du PNDS aux acteurs de la Santé</c:v>
                </c:pt>
                <c:pt idx="3">
                  <c:v>Niveau de satisfaction des acteurs du niveau central de l'appropriation du PNDS par les acteurs de la Santé</c:v>
                </c:pt>
                <c:pt idx="4">
                  <c:v>Niveau de satisfaction des acteurs du niveau central de l'alignement du PNDS aux priorités de la Santé</c:v>
                </c:pt>
                <c:pt idx="5">
                  <c:v>Niveau de satisfaction des acteurs du niveau central de leur association dans l'élaboration du PNDS</c:v>
                </c:pt>
                <c:pt idx="6">
                  <c:v>Niveau de satisfaction des acteurs du niveau central de la dissémination en interne du PNDS, au personnel des structures</c:v>
                </c:pt>
              </c:strCache>
            </c:strRef>
          </c:cat>
          <c:val>
            <c:numRef>
              <c:f>'[240615 Revue PNDS - Working Document.xlsx]8.1.1. Global Opinion Tracking'!$B$2:$B$8</c:f>
              <c:numCache>
                <c:formatCode>0%</c:formatCode>
                <c:ptCount val="7"/>
                <c:pt idx="0">
                  <c:v>0.27586206896551724</c:v>
                </c:pt>
                <c:pt idx="1">
                  <c:v>0.5</c:v>
                </c:pt>
                <c:pt idx="2">
                  <c:v>0.5161290322580645</c:v>
                </c:pt>
                <c:pt idx="3">
                  <c:v>0.5714285714285714</c:v>
                </c:pt>
                <c:pt idx="4">
                  <c:v>0.65517241379310343</c:v>
                </c:pt>
                <c:pt idx="5">
                  <c:v>0.68965517241379315</c:v>
                </c:pt>
                <c:pt idx="6">
                  <c:v>0.69230769230769229</c:v>
                </c:pt>
              </c:numCache>
            </c:numRef>
          </c:val>
          <c:extLst>
            <c:ext xmlns:c16="http://schemas.microsoft.com/office/drawing/2014/chart" uri="{C3380CC4-5D6E-409C-BE32-E72D297353CC}">
              <c16:uniqueId val="{00000000-BDA2-4867-A3A0-78BF6710F277}"/>
            </c:ext>
          </c:extLst>
        </c:ser>
        <c:dLbls>
          <c:dLblPos val="inEnd"/>
          <c:showLegendKey val="0"/>
          <c:showVal val="1"/>
          <c:showCatName val="0"/>
          <c:showSerName val="0"/>
          <c:showPercent val="0"/>
          <c:showBubbleSize val="0"/>
        </c:dLbls>
        <c:gapWidth val="75"/>
        <c:axId val="112267375"/>
        <c:axId val="112267015"/>
      </c:barChart>
      <c:catAx>
        <c:axId val="1122673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0"/>
          <a:lstStyle/>
          <a:p>
            <a:pPr>
              <a:defRPr sz="800" b="0" i="1" u="none" strike="noStrike" kern="1200" baseline="0">
                <a:solidFill>
                  <a:schemeClr val="tx1">
                    <a:lumMod val="65000"/>
                    <a:lumOff val="35000"/>
                  </a:schemeClr>
                </a:solidFill>
                <a:latin typeface="+mn-lt"/>
                <a:ea typeface="+mn-ea"/>
                <a:cs typeface="+mn-cs"/>
              </a:defRPr>
            </a:pPr>
            <a:endParaRPr lang="fr-FR"/>
          </a:p>
        </c:txPr>
        <c:crossAx val="112267015"/>
        <c:crosses val="autoZero"/>
        <c:auto val="1"/>
        <c:lblAlgn val="l"/>
        <c:lblOffset val="100"/>
        <c:noMultiLvlLbl val="0"/>
      </c:catAx>
      <c:valAx>
        <c:axId val="112267015"/>
        <c:scaling>
          <c:orientation val="minMax"/>
        </c:scaling>
        <c:delete val="1"/>
        <c:axPos val="b"/>
        <c:numFmt formatCode="0%" sourceLinked="1"/>
        <c:majorTickMark val="none"/>
        <c:minorTickMark val="none"/>
        <c:tickLblPos val="nextTo"/>
        <c:crossAx val="1122673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'[240615 Revue PNDS - Working Document.xlsx]Sheet1'!$B$2</c:f>
              <c:strCache>
                <c:ptCount val="1"/>
                <c:pt idx="0">
                  <c:v>Valeurs cibles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5.4172007568821304E-2"/>
                  <c:y val="8.51775004808336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EA-4E35-93E7-856F6E0D7180}"/>
                </c:ext>
              </c:extLst>
            </c:dLbl>
            <c:dLbl>
              <c:idx val="2"/>
              <c:layout>
                <c:manualLayout>
                  <c:x val="-5.0092040208560222E-2"/>
                  <c:y val="9.99813494815738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EA-4E35-93E7-856F6E0D7180}"/>
                </c:ext>
              </c:extLst>
            </c:dLbl>
            <c:dLbl>
              <c:idx val="3"/>
              <c:layout>
                <c:manualLayout>
                  <c:x val="-4.1932105488037982E-2"/>
                  <c:y val="0.1073832739819439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6EA-4E35-93E7-856F6E0D7180}"/>
                </c:ext>
              </c:extLst>
            </c:dLbl>
            <c:dLbl>
              <c:idx val="4"/>
              <c:layout>
                <c:manualLayout>
                  <c:x val="-4.1932105488037982E-2"/>
                  <c:y val="9.9981349481573875E-2"/>
                </c:manualLayout>
              </c:layout>
              <c:spPr>
                <a:solidFill>
                  <a:schemeClr val="bg1">
                    <a:lumMod val="6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5-D6EA-4E35-93E7-856F6E0D7180}"/>
                </c:ext>
              </c:extLst>
            </c:dLbl>
            <c:dLbl>
              <c:idx val="5"/>
              <c:layout>
                <c:manualLayout>
                  <c:x val="-5.0092040208560222E-2"/>
                  <c:y val="0.10738327398194397"/>
                </c:manualLayout>
              </c:layout>
              <c:spPr>
                <a:solidFill>
                  <a:schemeClr val="bg1">
                    <a:lumMod val="6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6-D6EA-4E35-93E7-856F6E0D7180}"/>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Document.xlsx]Sheet1'!$B$28:$G$28</c:f>
              <c:numCache>
                <c:formatCode>General</c:formatCode>
                <c:ptCount val="6"/>
                <c:pt idx="0">
                  <c:v>2020</c:v>
                </c:pt>
                <c:pt idx="1">
                  <c:v>2021</c:v>
                </c:pt>
                <c:pt idx="2">
                  <c:v>2022</c:v>
                </c:pt>
                <c:pt idx="3">
                  <c:v>2023</c:v>
                </c:pt>
                <c:pt idx="4">
                  <c:v>2024</c:v>
                </c:pt>
                <c:pt idx="5">
                  <c:v>2025</c:v>
                </c:pt>
              </c:numCache>
            </c:numRef>
          </c:cat>
          <c:val>
            <c:numRef>
              <c:f>'[240615 Revue PNDS - Working Document.xlsx]Sheet1'!$B$29:$G$29</c:f>
              <c:numCache>
                <c:formatCode>0%</c:formatCode>
                <c:ptCount val="6"/>
                <c:pt idx="0" formatCode="0.0%">
                  <c:v>0.39300000000000002</c:v>
                </c:pt>
                <c:pt idx="1">
                  <c:v>0.55000000000000004</c:v>
                </c:pt>
                <c:pt idx="2">
                  <c:v>0.65</c:v>
                </c:pt>
                <c:pt idx="3">
                  <c:v>0.75</c:v>
                </c:pt>
                <c:pt idx="4">
                  <c:v>0.85</c:v>
                </c:pt>
                <c:pt idx="5">
                  <c:v>0.9</c:v>
                </c:pt>
              </c:numCache>
            </c:numRef>
          </c:val>
          <c:smooth val="0"/>
          <c:extLst>
            <c:ext xmlns:c16="http://schemas.microsoft.com/office/drawing/2014/chart" uri="{C3380CC4-5D6E-409C-BE32-E72D297353CC}">
              <c16:uniqueId val="{00000000-D6EA-4E35-93E7-856F6E0D7180}"/>
            </c:ext>
          </c:extLst>
        </c:ser>
        <c:ser>
          <c:idx val="1"/>
          <c:order val="1"/>
          <c:tx>
            <c:strRef>
              <c:f>'[240615 Revue PNDS - Working Document.xlsx]Sheet1'!$H$2</c:f>
              <c:strCache>
                <c:ptCount val="1"/>
                <c:pt idx="0">
                  <c:v>Valeurs observées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3"/>
              <c:spPr>
                <a:solidFill>
                  <a:schemeClr val="accent6">
                    <a:lumMod val="7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7-D6EA-4E35-93E7-856F6E0D7180}"/>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Document.xlsx]Sheet1'!$B$28:$G$28</c:f>
              <c:numCache>
                <c:formatCode>General</c:formatCode>
                <c:ptCount val="6"/>
                <c:pt idx="0">
                  <c:v>2020</c:v>
                </c:pt>
                <c:pt idx="1">
                  <c:v>2021</c:v>
                </c:pt>
                <c:pt idx="2">
                  <c:v>2022</c:v>
                </c:pt>
                <c:pt idx="3">
                  <c:v>2023</c:v>
                </c:pt>
                <c:pt idx="4">
                  <c:v>2024</c:v>
                </c:pt>
                <c:pt idx="5">
                  <c:v>2025</c:v>
                </c:pt>
              </c:numCache>
            </c:numRef>
          </c:cat>
          <c:val>
            <c:numRef>
              <c:f>'[240615 Revue PNDS - Working Document.xlsx]Sheet1'!$H$29:$M$29</c:f>
              <c:numCache>
                <c:formatCode>0%</c:formatCode>
                <c:ptCount val="6"/>
                <c:pt idx="1">
                  <c:v>0.6</c:v>
                </c:pt>
                <c:pt idx="2">
                  <c:v>0.78</c:v>
                </c:pt>
                <c:pt idx="3">
                  <c:v>0.96</c:v>
                </c:pt>
              </c:numCache>
            </c:numRef>
          </c:val>
          <c:smooth val="0"/>
          <c:extLst>
            <c:ext xmlns:c16="http://schemas.microsoft.com/office/drawing/2014/chart" uri="{C3380CC4-5D6E-409C-BE32-E72D297353CC}">
              <c16:uniqueId val="{00000001-D6EA-4E35-93E7-856F6E0D7180}"/>
            </c:ext>
          </c:extLst>
        </c:ser>
        <c:dLbls>
          <c:dLblPos val="t"/>
          <c:showLegendKey val="0"/>
          <c:showVal val="1"/>
          <c:showCatName val="0"/>
          <c:showSerName val="0"/>
          <c:showPercent val="0"/>
          <c:showBubbleSize val="0"/>
        </c:dLbls>
        <c:marker val="1"/>
        <c:smooth val="0"/>
        <c:axId val="1298852784"/>
        <c:axId val="1298852424"/>
      </c:lineChart>
      <c:catAx>
        <c:axId val="12988527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424"/>
        <c:crosses val="autoZero"/>
        <c:auto val="1"/>
        <c:lblAlgn val="ctr"/>
        <c:lblOffset val="100"/>
        <c:noMultiLvlLbl val="0"/>
      </c:catAx>
      <c:valAx>
        <c:axId val="1298852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fr-FR"/>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GB"/>
              <a:t>Taux d’accouchement assisté par un personnel qualifié</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strRef>
              <c:f>'[240615 Revue PNDS - Working Document.xlsx]Graphes revus'!$B$2</c:f>
              <c:strCache>
                <c:ptCount val="1"/>
                <c:pt idx="0">
                  <c:v>Valeurs cibles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4.9743375831988249E-2"/>
                  <c:y val="8.4880317653097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41-4996-AB06-C58BDCFE9F49}"/>
                </c:ext>
              </c:extLst>
            </c:dLbl>
            <c:dLbl>
              <c:idx val="2"/>
              <c:layout>
                <c:manualLayout>
                  <c:x val="-4.6864288434683252E-2"/>
                  <c:y val="7.9406809647337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41-4996-AB06-C58BDCFE9F49}"/>
                </c:ext>
              </c:extLst>
            </c:dLbl>
            <c:dLbl>
              <c:idx val="3"/>
              <c:layout>
                <c:manualLayout>
                  <c:x val="-4.6864288434683363E-2"/>
                  <c:y val="0.1013008416703767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241-4996-AB06-C58BDCFE9F49}"/>
                </c:ext>
              </c:extLst>
            </c:dLbl>
            <c:dLbl>
              <c:idx val="4"/>
              <c:layout>
                <c:manualLayout>
                  <c:x val="-4.6864288434683252E-2"/>
                  <c:y val="8.4880317653097656E-2"/>
                </c:manualLayout>
              </c:layout>
              <c:spPr>
                <a:solidFill>
                  <a:schemeClr val="bg2">
                    <a:lumMod val="90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3-4241-4996-AB06-C58BDCFE9F49}"/>
                </c:ext>
              </c:extLst>
            </c:dLbl>
            <c:dLbl>
              <c:idx val="5"/>
              <c:spPr>
                <a:solidFill>
                  <a:schemeClr val="bg2">
                    <a:lumMod val="90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4-4241-4996-AB06-C58BDCFE9F49}"/>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Document.xlsx]Graphes revus'!$B$89:$G$89</c:f>
              <c:numCache>
                <c:formatCode>General</c:formatCode>
                <c:ptCount val="6"/>
                <c:pt idx="0">
                  <c:v>2012</c:v>
                </c:pt>
                <c:pt idx="1">
                  <c:v>2021</c:v>
                </c:pt>
                <c:pt idx="2">
                  <c:v>2022</c:v>
                </c:pt>
                <c:pt idx="3">
                  <c:v>2023</c:v>
                </c:pt>
                <c:pt idx="4">
                  <c:v>2024</c:v>
                </c:pt>
                <c:pt idx="5">
                  <c:v>2025</c:v>
                </c:pt>
              </c:numCache>
            </c:numRef>
          </c:cat>
          <c:val>
            <c:numRef>
              <c:f>'[240615 Revue PNDS - Working Document.xlsx]Graphes revus'!$B$90:$G$90</c:f>
              <c:numCache>
                <c:formatCode>0%</c:formatCode>
                <c:ptCount val="6"/>
                <c:pt idx="0" formatCode="0.0%">
                  <c:v>0.61199999999999999</c:v>
                </c:pt>
                <c:pt idx="1">
                  <c:v>0.752</c:v>
                </c:pt>
                <c:pt idx="2">
                  <c:v>0.76900000000000002</c:v>
                </c:pt>
                <c:pt idx="3">
                  <c:v>0.78500000000000003</c:v>
                </c:pt>
                <c:pt idx="4">
                  <c:v>0.80200000000000005</c:v>
                </c:pt>
                <c:pt idx="5">
                  <c:v>0.81799999999999995</c:v>
                </c:pt>
              </c:numCache>
            </c:numRef>
          </c:val>
          <c:smooth val="0"/>
          <c:extLst>
            <c:ext xmlns:c16="http://schemas.microsoft.com/office/drawing/2014/chart" uri="{C3380CC4-5D6E-409C-BE32-E72D297353CC}">
              <c16:uniqueId val="{00000005-4241-4996-AB06-C58BDCFE9F49}"/>
            </c:ext>
          </c:extLst>
        </c:ser>
        <c:ser>
          <c:idx val="1"/>
          <c:order val="1"/>
          <c:tx>
            <c:strRef>
              <c:f>'[240615 Revue PNDS - Working Document.xlsx]Graphes revus'!$H$59</c:f>
              <c:strCache>
                <c:ptCount val="1"/>
                <c:pt idx="0">
                  <c:v>Valeurs observées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6-4241-4996-AB06-C58BDCFE9F49}"/>
                </c:ext>
              </c:extLst>
            </c:dLbl>
            <c:dLbl>
              <c:idx val="1"/>
              <c:layout>
                <c:manualLayout>
                  <c:x val="-9.4170403587443982E-2"/>
                  <c:y val="-5.65552699228792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241-4996-AB06-C58BDCFE9F49}"/>
                </c:ext>
              </c:extLst>
            </c:dLbl>
            <c:dLbl>
              <c:idx val="2"/>
              <c:layout>
                <c:manualLayout>
                  <c:x val="-5.829596412556054E-2"/>
                  <c:y val="-7.19794344473007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241-4996-AB06-C58BDCFE9F49}"/>
                </c:ext>
              </c:extLst>
            </c:dLbl>
            <c:dLbl>
              <c:idx val="3"/>
              <c:spPr>
                <a:solidFill>
                  <a:schemeClr val="accent6">
                    <a:lumMod val="7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9-4241-4996-AB06-C58BDCFE9F49}"/>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Document.xlsx]Graphes revus'!$B$89:$G$89</c:f>
              <c:numCache>
                <c:formatCode>General</c:formatCode>
                <c:ptCount val="6"/>
                <c:pt idx="0">
                  <c:v>2012</c:v>
                </c:pt>
                <c:pt idx="1">
                  <c:v>2021</c:v>
                </c:pt>
                <c:pt idx="2">
                  <c:v>2022</c:v>
                </c:pt>
                <c:pt idx="3">
                  <c:v>2023</c:v>
                </c:pt>
                <c:pt idx="4">
                  <c:v>2024</c:v>
                </c:pt>
                <c:pt idx="5">
                  <c:v>2025</c:v>
                </c:pt>
              </c:numCache>
            </c:numRef>
          </c:cat>
          <c:val>
            <c:numRef>
              <c:f>'[240615 Revue PNDS - Working Document.xlsx]Graphes revus'!$H$90:$M$90</c:f>
              <c:numCache>
                <c:formatCode>0%</c:formatCode>
                <c:ptCount val="6"/>
                <c:pt idx="0">
                  <c:v>0.61199999999999999</c:v>
                </c:pt>
                <c:pt idx="1">
                  <c:v>0.84099999999999997</c:v>
                </c:pt>
                <c:pt idx="2">
                  <c:v>0.84099999999999997</c:v>
                </c:pt>
                <c:pt idx="3">
                  <c:v>0.84099999999999997</c:v>
                </c:pt>
              </c:numCache>
            </c:numRef>
          </c:val>
          <c:smooth val="0"/>
          <c:extLst>
            <c:ext xmlns:c16="http://schemas.microsoft.com/office/drawing/2014/chart" uri="{C3380CC4-5D6E-409C-BE32-E72D297353CC}">
              <c16:uniqueId val="{0000000A-4241-4996-AB06-C58BDCFE9F49}"/>
            </c:ext>
          </c:extLst>
        </c:ser>
        <c:dLbls>
          <c:showLegendKey val="0"/>
          <c:showVal val="1"/>
          <c:showCatName val="0"/>
          <c:showSerName val="0"/>
          <c:showPercent val="0"/>
          <c:showBubbleSize val="0"/>
        </c:dLbls>
        <c:marker val="1"/>
        <c:smooth val="0"/>
        <c:axId val="1298852784"/>
        <c:axId val="1298852424"/>
      </c:lineChart>
      <c:catAx>
        <c:axId val="12988527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424"/>
        <c:crosses val="autoZero"/>
        <c:auto val="1"/>
        <c:lblAlgn val="ctr"/>
        <c:lblOffset val="100"/>
        <c:noMultiLvlLbl val="0"/>
      </c:catAx>
      <c:valAx>
        <c:axId val="1298852424"/>
        <c:scaling>
          <c:orientation val="minMax"/>
          <c:min val="0.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fr-FR"/>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GB" dirty="0" err="1"/>
              <a:t>Taux</a:t>
            </a:r>
            <a:r>
              <a:rPr lang="en-GB" dirty="0"/>
              <a:t> de couverture de la CPN4Taux de couverture de la CPN4</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'[240615 Revue PNDS - Working Document.xlsx]Graphes revus'!$B$2</c:f>
              <c:strCache>
                <c:ptCount val="1"/>
                <c:pt idx="0">
                  <c:v>Valeurs cibles</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02F9-4128-98DC-0A892EBBC56B}"/>
                </c:ext>
              </c:extLst>
            </c:dLbl>
            <c:dLbl>
              <c:idx val="4"/>
              <c:spPr>
                <a:solidFill>
                  <a:schemeClr val="bg2">
                    <a:lumMod val="90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1-02F9-4128-98DC-0A892EBBC56B}"/>
                </c:ext>
              </c:extLst>
            </c:dLbl>
            <c:dLbl>
              <c:idx val="5"/>
              <c:spPr>
                <a:solidFill>
                  <a:schemeClr val="bg2">
                    <a:lumMod val="90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2-02F9-4128-98DC-0A892EBBC56B}"/>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Document.xlsx]Graphes revus'!$B$74:$G$74</c:f>
              <c:numCache>
                <c:formatCode>General</c:formatCode>
                <c:ptCount val="6"/>
                <c:pt idx="0">
                  <c:v>2020</c:v>
                </c:pt>
                <c:pt idx="1">
                  <c:v>2021</c:v>
                </c:pt>
                <c:pt idx="2">
                  <c:v>2022</c:v>
                </c:pt>
                <c:pt idx="3">
                  <c:v>2023</c:v>
                </c:pt>
                <c:pt idx="4">
                  <c:v>2024</c:v>
                </c:pt>
                <c:pt idx="5">
                  <c:v>2025</c:v>
                </c:pt>
              </c:numCache>
            </c:numRef>
          </c:cat>
          <c:val>
            <c:numRef>
              <c:f>'[240615 Revue PNDS - Working Document.xlsx]Graphes revus'!$B$104:$G$104</c:f>
              <c:numCache>
                <c:formatCode>0%</c:formatCode>
                <c:ptCount val="6"/>
                <c:pt idx="0" formatCode="0.0%">
                  <c:v>0.51300000000000001</c:v>
                </c:pt>
                <c:pt idx="1">
                  <c:v>0.53700000000000003</c:v>
                </c:pt>
                <c:pt idx="2">
                  <c:v>0.56000000000000005</c:v>
                </c:pt>
                <c:pt idx="3">
                  <c:v>0.58399999999999996</c:v>
                </c:pt>
                <c:pt idx="4">
                  <c:v>0.60799999999999998</c:v>
                </c:pt>
                <c:pt idx="5">
                  <c:v>0.63200000000000001</c:v>
                </c:pt>
              </c:numCache>
            </c:numRef>
          </c:val>
          <c:extLst>
            <c:ext xmlns:c16="http://schemas.microsoft.com/office/drawing/2014/chart" uri="{C3380CC4-5D6E-409C-BE32-E72D297353CC}">
              <c16:uniqueId val="{00000003-02F9-4128-98DC-0A892EBBC56B}"/>
            </c:ext>
          </c:extLst>
        </c:ser>
        <c:ser>
          <c:idx val="1"/>
          <c:order val="1"/>
          <c:tx>
            <c:strRef>
              <c:f>'[240615 Revue PNDS - Working Document.xlsx]Graphes revus'!$H$59</c:f>
              <c:strCache>
                <c:ptCount val="1"/>
                <c:pt idx="0">
                  <c:v>Valeurs observées</c:v>
                </c:pt>
              </c:strCache>
            </c:strRef>
          </c:tx>
          <c:spPr>
            <a:solidFill>
              <a:schemeClr val="accent2"/>
            </a:solidFill>
            <a:ln>
              <a:noFill/>
            </a:ln>
            <a:effectLst/>
          </c:spPr>
          <c:invertIfNegative val="0"/>
          <c:dLbls>
            <c:dLbl>
              <c:idx val="1"/>
              <c:layout>
                <c:manualLayout>
                  <c:x val="-0.10001364529626233"/>
                  <c:y val="8.2893941135605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2F9-4128-98DC-0A892EBBC56B}"/>
                </c:ext>
              </c:extLst>
            </c:dLbl>
            <c:dLbl>
              <c:idx val="2"/>
              <c:layout>
                <c:manualLayout>
                  <c:x val="-7.6876761113128245E-2"/>
                  <c:y val="0.116745882207906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2F9-4128-98DC-0A892EBBC56B}"/>
                </c:ext>
              </c:extLst>
            </c:dLbl>
            <c:dLbl>
              <c:idx val="3"/>
              <c:layout>
                <c:manualLayout>
                  <c:x val="-6.2994630603247795E-2"/>
                  <c:y val="0.12944036011001872"/>
                </c:manualLayout>
              </c:layout>
              <c:spPr>
                <a:solidFill>
                  <a:schemeClr val="accent6">
                    <a:lumMod val="7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6-02F9-4128-98DC-0A892EBBC56B}"/>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Document.xlsx]Graphes revus'!$B$74:$G$74</c:f>
              <c:numCache>
                <c:formatCode>General</c:formatCode>
                <c:ptCount val="6"/>
                <c:pt idx="0">
                  <c:v>2020</c:v>
                </c:pt>
                <c:pt idx="1">
                  <c:v>2021</c:v>
                </c:pt>
                <c:pt idx="2">
                  <c:v>2022</c:v>
                </c:pt>
                <c:pt idx="3">
                  <c:v>2023</c:v>
                </c:pt>
                <c:pt idx="4">
                  <c:v>2024</c:v>
                </c:pt>
                <c:pt idx="5">
                  <c:v>2025</c:v>
                </c:pt>
              </c:numCache>
            </c:numRef>
          </c:cat>
          <c:val>
            <c:numRef>
              <c:f>'[240615 Revue PNDS - Working Document.xlsx]Graphes revus'!$H$104:$M$104</c:f>
              <c:numCache>
                <c:formatCode>0%</c:formatCode>
                <c:ptCount val="6"/>
                <c:pt idx="0">
                  <c:v>0.51300000000000001</c:v>
                </c:pt>
                <c:pt idx="1">
                  <c:v>0.4415</c:v>
                </c:pt>
                <c:pt idx="2">
                  <c:v>0.4052</c:v>
                </c:pt>
                <c:pt idx="3">
                  <c:v>0.41909999999999997</c:v>
                </c:pt>
              </c:numCache>
            </c:numRef>
          </c:val>
          <c:extLst>
            <c:ext xmlns:c16="http://schemas.microsoft.com/office/drawing/2014/chart" uri="{C3380CC4-5D6E-409C-BE32-E72D297353CC}">
              <c16:uniqueId val="{00000007-02F9-4128-98DC-0A892EBBC56B}"/>
            </c:ext>
          </c:extLst>
        </c:ser>
        <c:dLbls>
          <c:showLegendKey val="0"/>
          <c:showVal val="1"/>
          <c:showCatName val="0"/>
          <c:showSerName val="0"/>
          <c:showPercent val="0"/>
          <c:showBubbleSize val="0"/>
        </c:dLbls>
        <c:gapWidth val="150"/>
        <c:axId val="1298852784"/>
        <c:axId val="1298852424"/>
      </c:barChart>
      <c:catAx>
        <c:axId val="12988527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424"/>
        <c:crosses val="autoZero"/>
        <c:auto val="1"/>
        <c:lblAlgn val="ctr"/>
        <c:lblOffset val="100"/>
        <c:noMultiLvlLbl val="0"/>
      </c:catAx>
      <c:valAx>
        <c:axId val="1298852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fr-FR"/>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GB" dirty="0"/>
              <a:t>Proportion des </a:t>
            </a:r>
            <a:r>
              <a:rPr lang="en-GB" dirty="0" err="1"/>
              <a:t>Besoins</a:t>
            </a:r>
            <a:r>
              <a:rPr lang="en-GB" dirty="0"/>
              <a:t> </a:t>
            </a:r>
            <a:r>
              <a:rPr lang="en-GB" dirty="0" err="1"/>
              <a:t>satisfaits</a:t>
            </a:r>
            <a:r>
              <a:rPr lang="en-GB" dirty="0"/>
              <a:t> </a:t>
            </a:r>
            <a:r>
              <a:rPr lang="en-GB" dirty="0" err="1"/>
              <a:t>en</a:t>
            </a:r>
            <a:r>
              <a:rPr lang="en-GB" dirty="0"/>
              <a:t> SONU </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'[240615 Revue PNDS - Working Document.xlsx]Graphes revus'!$B$2</c:f>
              <c:strCache>
                <c:ptCount val="1"/>
                <c:pt idx="0">
                  <c:v>Valeurs cibles</c:v>
                </c:pt>
              </c:strCache>
            </c:strRef>
          </c:tx>
          <c:spPr>
            <a:solidFill>
              <a:schemeClr val="accent1"/>
            </a:solidFill>
            <a:ln>
              <a:noFill/>
            </a:ln>
            <a:effectLst/>
          </c:spPr>
          <c:invertIfNegative val="0"/>
          <c:dLbls>
            <c:dLbl>
              <c:idx val="4"/>
              <c:spPr>
                <a:solidFill>
                  <a:schemeClr val="bg2">
                    <a:lumMod val="90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0-4EFF-4062-81BC-21F51BC4E3ED}"/>
                </c:ext>
              </c:extLst>
            </c:dLbl>
            <c:dLbl>
              <c:idx val="5"/>
              <c:spPr>
                <a:solidFill>
                  <a:schemeClr val="bg2">
                    <a:lumMod val="90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1-4EFF-4062-81BC-21F51BC4E3ED}"/>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Document.xlsx]Graphes revus'!$B$74:$G$74</c:f>
              <c:numCache>
                <c:formatCode>General</c:formatCode>
                <c:ptCount val="6"/>
                <c:pt idx="0">
                  <c:v>2020</c:v>
                </c:pt>
                <c:pt idx="1">
                  <c:v>2021</c:v>
                </c:pt>
                <c:pt idx="2">
                  <c:v>2022</c:v>
                </c:pt>
                <c:pt idx="3">
                  <c:v>2023</c:v>
                </c:pt>
                <c:pt idx="4">
                  <c:v>2024</c:v>
                </c:pt>
                <c:pt idx="5">
                  <c:v>2025</c:v>
                </c:pt>
              </c:numCache>
            </c:numRef>
          </c:cat>
          <c:val>
            <c:numRef>
              <c:f>'[240615 Revue PNDS - Working Document.xlsx]Graphes revus'!$B$97:$G$97</c:f>
              <c:numCache>
                <c:formatCode>0%</c:formatCode>
                <c:ptCount val="6"/>
                <c:pt idx="0" formatCode="0.0%">
                  <c:v>0.111</c:v>
                </c:pt>
                <c:pt idx="1">
                  <c:v>0.22500000000000001</c:v>
                </c:pt>
                <c:pt idx="2">
                  <c:v>0.33900000000000002</c:v>
                </c:pt>
                <c:pt idx="3">
                  <c:v>0.45200000000000001</c:v>
                </c:pt>
                <c:pt idx="4">
                  <c:v>0.56599999999999995</c:v>
                </c:pt>
                <c:pt idx="5">
                  <c:v>0.68</c:v>
                </c:pt>
              </c:numCache>
            </c:numRef>
          </c:val>
          <c:extLst>
            <c:ext xmlns:c16="http://schemas.microsoft.com/office/drawing/2014/chart" uri="{C3380CC4-5D6E-409C-BE32-E72D297353CC}">
              <c16:uniqueId val="{00000002-4EFF-4062-81BC-21F51BC4E3ED}"/>
            </c:ext>
          </c:extLst>
        </c:ser>
        <c:ser>
          <c:idx val="1"/>
          <c:order val="1"/>
          <c:tx>
            <c:strRef>
              <c:f>'[240615 Revue PNDS - Working Document.xlsx]Graphes revus'!$H$59</c:f>
              <c:strCache>
                <c:ptCount val="1"/>
                <c:pt idx="0">
                  <c:v>Valeurs observées</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4EFF-4062-81BC-21F51BC4E3ED}"/>
                </c:ext>
              </c:extLst>
            </c:dLbl>
            <c:dLbl>
              <c:idx val="1"/>
              <c:layout>
                <c:manualLayout>
                  <c:x val="-4.6864277810561135E-2"/>
                  <c:y val="3.46542011623240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EFF-4062-81BC-21F51BC4E3ED}"/>
                </c:ext>
              </c:extLst>
            </c:dLbl>
            <c:dLbl>
              <c:idx val="2"/>
              <c:layout>
                <c:manualLayout>
                  <c:x val="-5.5501538044410985E-2"/>
                  <c:y val="5.98230255106843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EFF-4062-81BC-21F51BC4E3ED}"/>
                </c:ext>
              </c:extLst>
            </c:dLbl>
            <c:dLbl>
              <c:idx val="3"/>
              <c:layout>
                <c:manualLayout>
                  <c:x val="-1.2315236875161666E-2"/>
                  <c:y val="7.8699643771954597E-2"/>
                </c:manualLayout>
              </c:layout>
              <c:spPr>
                <a:solidFill>
                  <a:schemeClr val="accent6">
                    <a:lumMod val="7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6-4EFF-4062-81BC-21F51BC4E3ED}"/>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Document.xlsx]Graphes revus'!$B$74:$G$74</c:f>
              <c:numCache>
                <c:formatCode>General</c:formatCode>
                <c:ptCount val="6"/>
                <c:pt idx="0">
                  <c:v>2020</c:v>
                </c:pt>
                <c:pt idx="1">
                  <c:v>2021</c:v>
                </c:pt>
                <c:pt idx="2">
                  <c:v>2022</c:v>
                </c:pt>
                <c:pt idx="3">
                  <c:v>2023</c:v>
                </c:pt>
                <c:pt idx="4">
                  <c:v>2024</c:v>
                </c:pt>
                <c:pt idx="5">
                  <c:v>2025</c:v>
                </c:pt>
              </c:numCache>
            </c:numRef>
          </c:cat>
          <c:val>
            <c:numRef>
              <c:f>'[240615 Revue PNDS - Working Document.xlsx]Graphes revus'!$H$97:$M$97</c:f>
              <c:numCache>
                <c:formatCode>0%</c:formatCode>
                <c:ptCount val="6"/>
                <c:pt idx="0">
                  <c:v>0.111</c:v>
                </c:pt>
                <c:pt idx="1">
                  <c:v>0.111</c:v>
                </c:pt>
                <c:pt idx="2">
                  <c:v>0.15</c:v>
                </c:pt>
                <c:pt idx="3">
                  <c:v>0.35</c:v>
                </c:pt>
              </c:numCache>
            </c:numRef>
          </c:val>
          <c:extLst>
            <c:ext xmlns:c16="http://schemas.microsoft.com/office/drawing/2014/chart" uri="{C3380CC4-5D6E-409C-BE32-E72D297353CC}">
              <c16:uniqueId val="{00000007-4EFF-4062-81BC-21F51BC4E3ED}"/>
            </c:ext>
          </c:extLst>
        </c:ser>
        <c:dLbls>
          <c:showLegendKey val="0"/>
          <c:showVal val="1"/>
          <c:showCatName val="0"/>
          <c:showSerName val="0"/>
          <c:showPercent val="0"/>
          <c:showBubbleSize val="0"/>
        </c:dLbls>
        <c:gapWidth val="150"/>
        <c:axId val="1298852784"/>
        <c:axId val="1298852424"/>
      </c:barChart>
      <c:catAx>
        <c:axId val="12988527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424"/>
        <c:crosses val="autoZero"/>
        <c:auto val="1"/>
        <c:lblAlgn val="ctr"/>
        <c:lblOffset val="100"/>
        <c:noMultiLvlLbl val="0"/>
      </c:catAx>
      <c:valAx>
        <c:axId val="1298852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fr-FR"/>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080" b="0" i="0" u="none" strike="noStrike" kern="1200" spc="0" baseline="0">
                <a:solidFill>
                  <a:schemeClr val="tx1"/>
                </a:solidFill>
                <a:latin typeface="+mn-lt"/>
                <a:ea typeface="+mn-ea"/>
                <a:cs typeface="+mn-cs"/>
              </a:defRPr>
            </a:pPr>
            <a:r>
              <a:rPr lang="fr-FR"/>
              <a:t>Evolution des indicateurs de la santé de la mère, du nouveau-né et de l'enfant</a:t>
            </a:r>
            <a:endParaRPr lang="en-GB"/>
          </a:p>
        </c:rich>
      </c:tx>
      <c:overlay val="0"/>
      <c:spPr>
        <a:noFill/>
        <a:ln>
          <a:noFill/>
        </a:ln>
        <a:effectLst/>
      </c:spPr>
      <c:txPr>
        <a:bodyPr rot="0" spcFirstLastPara="1" vertOverflow="ellipsis" vert="horz" wrap="square" anchor="ctr" anchorCtr="1"/>
        <a:lstStyle/>
        <a:p>
          <a:pPr>
            <a:defRPr lang="en-US" sz="1080" b="0" i="0" u="none" strike="noStrike" kern="1200" spc="0" baseline="0">
              <a:solidFill>
                <a:schemeClr val="tx1"/>
              </a:solidFill>
              <a:latin typeface="+mn-lt"/>
              <a:ea typeface="+mn-ea"/>
              <a:cs typeface="+mn-cs"/>
            </a:defRPr>
          </a:pPr>
          <a:endParaRPr lang="fr-FR"/>
        </a:p>
      </c:txPr>
    </c:title>
    <c:autoTitleDeleted val="0"/>
    <c:plotArea>
      <c:layout/>
      <c:barChart>
        <c:barDir val="col"/>
        <c:grouping val="clustered"/>
        <c:varyColors val="0"/>
        <c:ser>
          <c:idx val="0"/>
          <c:order val="0"/>
          <c:tx>
            <c:strRef>
              <c:f>'[SIGPS%20INDICATEUR%20RHS%202024_05122024 (version 1).xlsx]Sheet1'!$G$222</c:f>
              <c:strCache>
                <c:ptCount val="1"/>
                <c:pt idx="0">
                  <c:v>Ratio de mortalité maternelle (pour 100 000 naissances vivantes)</c:v>
                </c:pt>
              </c:strCache>
            </c:strRef>
          </c:tx>
          <c:spPr>
            <a:solidFill>
              <a:schemeClr val="accent1"/>
            </a:solidFill>
            <a:ln>
              <a:noFill/>
            </a:ln>
            <a:effectLst/>
          </c:spPr>
          <c:invertIfNegative val="0"/>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lang="en-US" sz="900" b="1" i="0" u="none" strike="noStrike" kern="1200" baseline="0">
                    <a:solidFill>
                      <a:schemeClr val="tx1"/>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'[SIGPS%20INDICATEUR%20RHS%202024_05122024 (version 1).xlsx]Sheet1'!$H$221:$I$221</c:f>
              <c:numCache>
                <c:formatCode>General</c:formatCode>
                <c:ptCount val="2"/>
                <c:pt idx="0">
                  <c:v>2012</c:v>
                </c:pt>
                <c:pt idx="1">
                  <c:v>2021</c:v>
                </c:pt>
              </c:numCache>
            </c:numRef>
          </c:cat>
          <c:val>
            <c:numRef>
              <c:f>'[SIGPS%20INDICATEUR%20RHS%202024_05122024 (version 1).xlsx]Sheet1'!$H$222:$I$222</c:f>
              <c:numCache>
                <c:formatCode>General</c:formatCode>
                <c:ptCount val="2"/>
                <c:pt idx="0">
                  <c:v>614</c:v>
                </c:pt>
                <c:pt idx="1">
                  <c:v>385</c:v>
                </c:pt>
              </c:numCache>
            </c:numRef>
          </c:val>
          <c:extLst>
            <c:ext xmlns:c16="http://schemas.microsoft.com/office/drawing/2014/chart" uri="{C3380CC4-5D6E-409C-BE32-E72D297353CC}">
              <c16:uniqueId val="{00000000-EF7B-4613-9A25-568A66782154}"/>
            </c:ext>
          </c:extLst>
        </c:ser>
        <c:ser>
          <c:idx val="1"/>
          <c:order val="1"/>
          <c:tx>
            <c:strRef>
              <c:f>'[SIGPS%20INDICATEUR%20RHS%202024_05122024 (version 1).xlsx]Sheet1'!$G$223</c:f>
              <c:strCache>
                <c:ptCount val="1"/>
                <c:pt idx="0">
                  <c:v>Taux de mortalité des moins de 5 ans (pour 1 000 naissances vivantes)</c:v>
                </c:pt>
              </c:strCache>
            </c:strRef>
          </c:tx>
          <c:spPr>
            <a:solidFill>
              <a:schemeClr val="accent2"/>
            </a:solidFill>
            <a:ln>
              <a:noFill/>
            </a:ln>
            <a:effectLst/>
          </c:spPr>
          <c:invertIfNegative val="0"/>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lang="en-US" sz="900" b="1" i="0" u="none" strike="noStrike" kern="1200" baseline="0">
                    <a:solidFill>
                      <a:schemeClr val="tx1"/>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'[SIGPS%20INDICATEUR%20RHS%202024_05122024 (version 1).xlsx]Sheet1'!$H$221:$I$221</c:f>
              <c:numCache>
                <c:formatCode>General</c:formatCode>
                <c:ptCount val="2"/>
                <c:pt idx="0">
                  <c:v>2012</c:v>
                </c:pt>
                <c:pt idx="1">
                  <c:v>2021</c:v>
                </c:pt>
              </c:numCache>
            </c:numRef>
          </c:cat>
          <c:val>
            <c:numRef>
              <c:f>'[SIGPS%20INDICATEUR%20RHS%202024_05122024 (version 1).xlsx]Sheet1'!$H$223:$I$223</c:f>
              <c:numCache>
                <c:formatCode>General</c:formatCode>
                <c:ptCount val="2"/>
                <c:pt idx="0">
                  <c:v>108</c:v>
                </c:pt>
                <c:pt idx="1">
                  <c:v>74</c:v>
                </c:pt>
              </c:numCache>
            </c:numRef>
          </c:val>
          <c:extLst>
            <c:ext xmlns:c16="http://schemas.microsoft.com/office/drawing/2014/chart" uri="{C3380CC4-5D6E-409C-BE32-E72D297353CC}">
              <c16:uniqueId val="{00000001-EF7B-4613-9A25-568A66782154}"/>
            </c:ext>
          </c:extLst>
        </c:ser>
        <c:ser>
          <c:idx val="2"/>
          <c:order val="2"/>
          <c:tx>
            <c:strRef>
              <c:f>'[SIGPS%20INDICATEUR%20RHS%202024_05122024 (version 1).xlsx]Sheet1'!$G$224</c:f>
              <c:strCache>
                <c:ptCount val="1"/>
                <c:pt idx="0">
                  <c:v>Taux de mortalité néonatale (moins d'un mois, ‰)</c:v>
                </c:pt>
              </c:strCache>
            </c:strRef>
          </c:tx>
          <c:spPr>
            <a:solidFill>
              <a:schemeClr val="accent3"/>
            </a:solidFill>
            <a:ln>
              <a:noFill/>
            </a:ln>
            <a:effectLst/>
          </c:spPr>
          <c:invertIfNegative val="0"/>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lang="en-US" sz="900" b="1" i="0" u="none" strike="noStrike" kern="1200" baseline="0">
                    <a:solidFill>
                      <a:schemeClr val="tx1"/>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'[SIGPS%20INDICATEUR%20RHS%202024_05122024 (version 1).xlsx]Sheet1'!$H$221:$I$221</c:f>
              <c:numCache>
                <c:formatCode>General</c:formatCode>
                <c:ptCount val="2"/>
                <c:pt idx="0">
                  <c:v>2012</c:v>
                </c:pt>
                <c:pt idx="1">
                  <c:v>2021</c:v>
                </c:pt>
              </c:numCache>
            </c:numRef>
          </c:cat>
          <c:val>
            <c:numRef>
              <c:f>'[SIGPS%20INDICATEUR%20RHS%202024_05122024 (version 1).xlsx]Sheet1'!$H$224:$I$224</c:f>
              <c:numCache>
                <c:formatCode>General</c:formatCode>
                <c:ptCount val="2"/>
                <c:pt idx="0">
                  <c:v>38</c:v>
                </c:pt>
                <c:pt idx="1">
                  <c:v>30</c:v>
                </c:pt>
              </c:numCache>
            </c:numRef>
          </c:val>
          <c:extLst>
            <c:ext xmlns:c16="http://schemas.microsoft.com/office/drawing/2014/chart" uri="{C3380CC4-5D6E-409C-BE32-E72D297353CC}">
              <c16:uniqueId val="{00000002-EF7B-4613-9A25-568A66782154}"/>
            </c:ext>
          </c:extLst>
        </c:ser>
        <c:dLbls>
          <c:dLblPos val="outEnd"/>
          <c:showLegendKey val="0"/>
          <c:showVal val="1"/>
          <c:showCatName val="0"/>
          <c:showSerName val="0"/>
          <c:showPercent val="0"/>
          <c:showBubbleSize val="0"/>
        </c:dLbls>
        <c:gapWidth val="219"/>
        <c:overlap val="-27"/>
        <c:axId val="1562153048"/>
        <c:axId val="1562158448"/>
      </c:barChart>
      <c:catAx>
        <c:axId val="1562153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solidFill>
                <a:latin typeface="+mn-lt"/>
                <a:ea typeface="+mn-ea"/>
                <a:cs typeface="+mn-cs"/>
              </a:defRPr>
            </a:pPr>
            <a:endParaRPr lang="fr-FR"/>
          </a:p>
        </c:txPr>
        <c:crossAx val="1562158448"/>
        <c:crosses val="autoZero"/>
        <c:auto val="1"/>
        <c:lblAlgn val="ctr"/>
        <c:lblOffset val="100"/>
        <c:noMultiLvlLbl val="0"/>
      </c:catAx>
      <c:valAx>
        <c:axId val="1562158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solidFill>
                <a:latin typeface="+mn-lt"/>
                <a:ea typeface="+mn-ea"/>
                <a:cs typeface="+mn-cs"/>
              </a:defRPr>
            </a:pPr>
            <a:endParaRPr lang="fr-FR"/>
          </a:p>
        </c:txPr>
        <c:crossAx val="1562153048"/>
        <c:crosses val="autoZero"/>
        <c:crossBetween val="between"/>
      </c:valAx>
      <c:spPr>
        <a:noFill/>
        <a:ln>
          <a:noFill/>
        </a:ln>
        <a:effectLst/>
      </c:spPr>
    </c:plotArea>
    <c:legend>
      <c:legendPos val="b"/>
      <c:layout>
        <c:manualLayout>
          <c:xMode val="edge"/>
          <c:yMode val="edge"/>
          <c:x val="6.5026234113057871E-2"/>
          <c:y val="0.62913754046675174"/>
          <c:w val="0.89267938775534572"/>
          <c:h val="0.32166136971326015"/>
        </c:manualLayout>
      </c:layout>
      <c:overlay val="0"/>
      <c:spPr>
        <a:noFill/>
        <a:ln>
          <a:noFill/>
        </a:ln>
        <a:effectLst/>
      </c:spPr>
      <c:txPr>
        <a:bodyPr rot="0" spcFirstLastPara="1" vertOverflow="ellipsis" vert="horz" wrap="square" anchor="ctr" anchorCtr="1"/>
        <a:lstStyle/>
        <a:p>
          <a:pPr>
            <a:defRPr lang="en-US" sz="1000" b="1" i="0" u="none" strike="noStrike" kern="1200" baseline="0">
              <a:solidFill>
                <a:schemeClr val="tx1"/>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E7EFF2"/>
    </a:solidFill>
    <a:ln w="9525" cap="flat" cmpd="sng" algn="ctr">
      <a:noFill/>
      <a:round/>
    </a:ln>
    <a:effectLst/>
  </c:spPr>
  <c:txPr>
    <a:bodyPr/>
    <a:lstStyle/>
    <a:p>
      <a:pPr>
        <a:defRPr lang="en-US" sz="900" b="0" i="0" u="none" strike="noStrike" kern="1200" baseline="0">
          <a:solidFill>
            <a:schemeClr val="tx1"/>
          </a:solidFill>
          <a:latin typeface="+mn-lt"/>
          <a:ea typeface="+mn-ea"/>
          <a:cs typeface="+mn-cs"/>
        </a:defRPr>
      </a:pPr>
      <a:endParaRPr lang="fr-F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'[Evolution des indicateurs ODD - RAMP.xlsx]Graphiques'!$A$15</c:f>
              <c:strCache>
                <c:ptCount val="1"/>
                <c:pt idx="0">
                  <c:v>Nombre de grossesses diagnostiquées chez les adolescentes et jeunes</c:v>
                </c:pt>
              </c:strCache>
            </c:strRef>
          </c:tx>
          <c:spPr>
            <a:solidFill>
              <a:schemeClr val="accent1"/>
            </a:solidFill>
            <a:ln>
              <a:noFill/>
            </a:ln>
            <a:effectLst/>
          </c:spPr>
          <c:invertIfNegative val="0"/>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'[Evolution des indicateurs ODD - RAMP.xlsx]Graphiques'!$B$15,'[Evolution des indicateurs ODD - RAMP.xlsx]Graphiques'!$G$2:$I$2</c:f>
              <c:numCache>
                <c:formatCode>General</c:formatCode>
                <c:ptCount val="4"/>
                <c:pt idx="0">
                  <c:v>2020</c:v>
                </c:pt>
                <c:pt idx="1">
                  <c:v>2021</c:v>
                </c:pt>
                <c:pt idx="2">
                  <c:v>2022</c:v>
                </c:pt>
                <c:pt idx="3">
                  <c:v>2023</c:v>
                </c:pt>
              </c:numCache>
            </c:numRef>
          </c:cat>
          <c:val>
            <c:numRef>
              <c:f>'[Evolution des indicateurs ODD - RAMP.xlsx]Graphiques'!$C$15,'[Evolution des indicateurs ODD - RAMP.xlsx]Graphiques'!$G$15:$I$15</c:f>
              <c:numCache>
                <c:formatCode>General</c:formatCode>
                <c:ptCount val="4"/>
                <c:pt idx="0">
                  <c:v>5430</c:v>
                </c:pt>
                <c:pt idx="1">
                  <c:v>6034</c:v>
                </c:pt>
                <c:pt idx="2">
                  <c:v>4379</c:v>
                </c:pt>
                <c:pt idx="3">
                  <c:v>4520</c:v>
                </c:pt>
              </c:numCache>
            </c:numRef>
          </c:val>
          <c:extLst>
            <c:ext xmlns:c16="http://schemas.microsoft.com/office/drawing/2014/chart" uri="{C3380CC4-5D6E-409C-BE32-E72D297353CC}">
              <c16:uniqueId val="{00000000-E5BC-4E80-83E8-8F0EC1483916}"/>
            </c:ext>
          </c:extLst>
        </c:ser>
        <c:ser>
          <c:idx val="2"/>
          <c:order val="2"/>
          <c:tx>
            <c:strRef>
              <c:f>'[Evolution des indicateurs ODD - RAMP.xlsx]Graphiques'!$A$17</c:f>
              <c:strCache>
                <c:ptCount val="1"/>
                <c:pt idx="0">
                  <c:v>Nombre de nouvelles utilisatrices de méthodes contraceptives modernes</c:v>
                </c:pt>
              </c:strCache>
            </c:strRef>
          </c:tx>
          <c:spPr>
            <a:solidFill>
              <a:schemeClr val="accent3"/>
            </a:solidFill>
            <a:ln>
              <a:noFill/>
            </a:ln>
            <a:effectLst/>
          </c:spPr>
          <c:invertIfNegative val="0"/>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'[Evolution des indicateurs ODD - RAMP.xlsx]Graphiques'!$B$15,'[Evolution des indicateurs ODD - RAMP.xlsx]Graphiques'!$G$2:$I$2</c:f>
              <c:numCache>
                <c:formatCode>General</c:formatCode>
                <c:ptCount val="4"/>
                <c:pt idx="0">
                  <c:v>2020</c:v>
                </c:pt>
                <c:pt idx="1">
                  <c:v>2021</c:v>
                </c:pt>
                <c:pt idx="2">
                  <c:v>2022</c:v>
                </c:pt>
                <c:pt idx="3">
                  <c:v>2023</c:v>
                </c:pt>
              </c:numCache>
            </c:numRef>
          </c:cat>
          <c:val>
            <c:numRef>
              <c:f>'[Evolution des indicateurs ODD - RAMP.xlsx]Graphiques'!$C$17,'[Evolution des indicateurs ODD - RAMP.xlsx]Graphiques'!$G$17:$I$17</c:f>
              <c:numCache>
                <c:formatCode>General</c:formatCode>
                <c:ptCount val="4"/>
                <c:pt idx="1">
                  <c:v>26346</c:v>
                </c:pt>
                <c:pt idx="2">
                  <c:v>30184</c:v>
                </c:pt>
                <c:pt idx="3">
                  <c:v>42934</c:v>
                </c:pt>
              </c:numCache>
            </c:numRef>
          </c:val>
          <c:extLst>
            <c:ext xmlns:c16="http://schemas.microsoft.com/office/drawing/2014/chart" uri="{C3380CC4-5D6E-409C-BE32-E72D297353CC}">
              <c16:uniqueId val="{00000001-E5BC-4E80-83E8-8F0EC1483916}"/>
            </c:ext>
          </c:extLst>
        </c:ser>
        <c:dLbls>
          <c:dLblPos val="outEnd"/>
          <c:showLegendKey val="0"/>
          <c:showVal val="1"/>
          <c:showCatName val="0"/>
          <c:showSerName val="0"/>
          <c:showPercent val="0"/>
          <c:showBubbleSize val="0"/>
        </c:dLbls>
        <c:gapWidth val="219"/>
        <c:axId val="1085709160"/>
        <c:axId val="1085709880"/>
        <c:extLst>
          <c:ext xmlns:c15="http://schemas.microsoft.com/office/drawing/2012/chart" uri="{02D57815-91ED-43cb-92C2-25804820EDAC}">
            <c15:filteredBarSeries>
              <c15:ser>
                <c:idx val="1"/>
                <c:order val="1"/>
                <c:tx>
                  <c:strRef>
                    <c:extLst>
                      <c:ext uri="{02D57815-91ED-43cb-92C2-25804820EDAC}">
                        <c15:formulaRef>
                          <c15:sqref>'[Evolution des indicateurs ODD - RAMP.xlsx]Graphiques'!$A$16</c15:sqref>
                        </c15:formulaRef>
                      </c:ext>
                    </c:extLst>
                    <c:strCache>
                      <c:ptCount val="1"/>
                      <c:pt idx="0">
                        <c:v>Taux de couverture en VMS (Visite Médicale Systématique)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'[Evolution des indicateurs ODD - RAMP.xlsx]Graphiques'!$B$15,'[Evolution des indicateurs ODD - RAMP.xlsx]Graphiques'!$G$2:$I$2</c15:sqref>
                        </c15:formulaRef>
                      </c:ext>
                    </c:extLst>
                    <c:numCache>
                      <c:formatCode>General</c:formatCode>
                      <c:ptCount val="4"/>
                      <c:pt idx="0">
                        <c:v>2020</c:v>
                      </c:pt>
                      <c:pt idx="1">
                        <c:v>2021</c:v>
                      </c:pt>
                      <c:pt idx="2">
                        <c:v>2022</c:v>
                      </c:pt>
                      <c:pt idx="3">
                        <c:v>2023</c:v>
                      </c:pt>
                    </c:numCache>
                  </c:numRef>
                </c:cat>
                <c:val>
                  <c:numRef>
                    <c:extLst>
                      <c:ext uri="{02D57815-91ED-43cb-92C2-25804820EDAC}">
                        <c15:formulaRef>
                          <c15:sqref>'[Evolution des indicateurs ODD - RAMP.xlsx]Graphiques'!$C$16,'[Evolution des indicateurs ODD - RAMP.xlsx]Graphiques'!$G$16:$I$16</c15:sqref>
                        </c15:formulaRef>
                      </c:ext>
                    </c:extLst>
                    <c:numCache>
                      <c:formatCode>0.00%</c:formatCode>
                      <c:ptCount val="4"/>
                      <c:pt idx="1">
                        <c:v>0.26300000000000001</c:v>
                      </c:pt>
                      <c:pt idx="2" formatCode="0%">
                        <c:v>0.13</c:v>
                      </c:pt>
                      <c:pt idx="3" formatCode="0%">
                        <c:v>0.2165</c:v>
                      </c:pt>
                    </c:numCache>
                  </c:numRef>
                </c:val>
                <c:extLst>
                  <c:ext xmlns:c16="http://schemas.microsoft.com/office/drawing/2014/chart" uri="{C3380CC4-5D6E-409C-BE32-E72D297353CC}">
                    <c16:uniqueId val="{00000002-E5BC-4E80-83E8-8F0EC1483916}"/>
                  </c:ext>
                </c:extLst>
              </c15:ser>
            </c15:filteredBarSeries>
          </c:ext>
        </c:extLst>
      </c:barChart>
      <c:catAx>
        <c:axId val="1085709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085709880"/>
        <c:crosses val="autoZero"/>
        <c:auto val="1"/>
        <c:lblAlgn val="ctr"/>
        <c:lblOffset val="100"/>
        <c:noMultiLvlLbl val="0"/>
      </c:catAx>
      <c:valAx>
        <c:axId val="10857098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085709160"/>
        <c:crosses val="autoZero"/>
        <c:crossBetween val="between"/>
      </c:valAx>
      <c:spPr>
        <a:noFill/>
        <a:ln>
          <a:noFill/>
        </a:ln>
        <a:effectLst/>
      </c:spPr>
    </c:plotArea>
    <c:legend>
      <c:legendPos val="b"/>
      <c:layout>
        <c:manualLayout>
          <c:xMode val="edge"/>
          <c:yMode val="edge"/>
          <c:x val="6.1102741675362872E-2"/>
          <c:y val="0.73824880245060753"/>
          <c:w val="0.87779413717863586"/>
          <c:h val="0.225197672745214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GB"/>
              <a:t>Taux de couverture en Visite Médicale Systématique</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strRef>
              <c:f>'[240615 Revue PNDS - Working Document.xlsx]Graphes revus'!$B$2</c:f>
              <c:strCache>
                <c:ptCount val="1"/>
                <c:pt idx="0">
                  <c:v>Valeurs cibles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9.6551724137931033E-2"/>
                  <c:y val="-9.08847901630580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C30-4F86-9B6A-FAD0CEBD4FD4}"/>
                </c:ext>
              </c:extLst>
            </c:dLbl>
            <c:dLbl>
              <c:idx val="1"/>
              <c:layout>
                <c:manualLayout>
                  <c:x val="-6.8965517241379351E-2"/>
                  <c:y val="-0.101577118417535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C30-4F86-9B6A-FAD0CEBD4FD4}"/>
                </c:ext>
              </c:extLst>
            </c:dLbl>
            <c:dLbl>
              <c:idx val="2"/>
              <c:layout>
                <c:manualLayout>
                  <c:x val="-7.3563218390804597E-2"/>
                  <c:y val="-9.0884790163058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C30-4F86-9B6A-FAD0CEBD4FD4}"/>
                </c:ext>
              </c:extLst>
            </c:dLbl>
            <c:dLbl>
              <c:idx val="4"/>
              <c:spPr>
                <a:solidFill>
                  <a:schemeClr val="bg2">
                    <a:lumMod val="7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6-DC30-4F86-9B6A-FAD0CEBD4FD4}"/>
                </c:ext>
              </c:extLst>
            </c:dLbl>
            <c:dLbl>
              <c:idx val="5"/>
              <c:spPr>
                <a:solidFill>
                  <a:schemeClr val="bg2">
                    <a:lumMod val="7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7-DC30-4F86-9B6A-FAD0CEBD4FD4}"/>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Document.xlsx]Graphes revus'!$B$74:$G$74</c:f>
              <c:numCache>
                <c:formatCode>General</c:formatCode>
                <c:ptCount val="6"/>
                <c:pt idx="0">
                  <c:v>2020</c:v>
                </c:pt>
                <c:pt idx="1">
                  <c:v>2021</c:v>
                </c:pt>
                <c:pt idx="2">
                  <c:v>2022</c:v>
                </c:pt>
                <c:pt idx="3">
                  <c:v>2023</c:v>
                </c:pt>
                <c:pt idx="4">
                  <c:v>2024</c:v>
                </c:pt>
                <c:pt idx="5">
                  <c:v>2025</c:v>
                </c:pt>
              </c:numCache>
            </c:numRef>
          </c:cat>
          <c:val>
            <c:numRef>
              <c:f>'[240615 Revue PNDS - Working Document.xlsx]Graphes revus'!$B$111:$G$111</c:f>
              <c:numCache>
                <c:formatCode>0%</c:formatCode>
                <c:ptCount val="6"/>
                <c:pt idx="0" formatCode="0.0%">
                  <c:v>0.30230000000000001</c:v>
                </c:pt>
                <c:pt idx="1">
                  <c:v>0.4</c:v>
                </c:pt>
                <c:pt idx="2">
                  <c:v>0.5</c:v>
                </c:pt>
                <c:pt idx="3">
                  <c:v>0.5</c:v>
                </c:pt>
                <c:pt idx="4">
                  <c:v>0.6</c:v>
                </c:pt>
                <c:pt idx="5">
                  <c:v>0.7</c:v>
                </c:pt>
              </c:numCache>
            </c:numRef>
          </c:val>
          <c:smooth val="0"/>
          <c:extLst>
            <c:ext xmlns:c16="http://schemas.microsoft.com/office/drawing/2014/chart" uri="{C3380CC4-5D6E-409C-BE32-E72D297353CC}">
              <c16:uniqueId val="{00000000-DC30-4F86-9B6A-FAD0CEBD4FD4}"/>
            </c:ext>
          </c:extLst>
        </c:ser>
        <c:ser>
          <c:idx val="1"/>
          <c:order val="1"/>
          <c:tx>
            <c:strRef>
              <c:f>'[240615 Revue PNDS - Working Document.xlsx]Graphes revus'!$H$59</c:f>
              <c:strCache>
                <c:ptCount val="1"/>
                <c:pt idx="0">
                  <c:v>Valeurs observées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1-DC30-4F86-9B6A-FAD0CEBD4FD4}"/>
                </c:ext>
              </c:extLst>
            </c:dLbl>
            <c:dLbl>
              <c:idx val="1"/>
              <c:layout>
                <c:manualLayout>
                  <c:x val="-0.11657272151325916"/>
                  <c:y val="0.10185579248464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C30-4F86-9B6A-FAD0CEBD4FD4}"/>
                </c:ext>
              </c:extLst>
            </c:dLbl>
            <c:dLbl>
              <c:idx val="2"/>
              <c:layout>
                <c:manualLayout>
                  <c:x val="-8.5916188495037647E-3"/>
                  <c:y val="3.90922336577923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C30-4F86-9B6A-FAD0CEBD4FD4}"/>
                </c:ext>
              </c:extLst>
            </c:dLbl>
            <c:dLbl>
              <c:idx val="3"/>
              <c:layout>
                <c:manualLayout>
                  <c:x val="4.7287204520524602E-3"/>
                  <c:y val="5.007830095999774E-2"/>
                </c:manualLayout>
              </c:layout>
              <c:spPr>
                <a:solidFill>
                  <a:schemeClr val="accent6">
                    <a:lumMod val="7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4-DC30-4F86-9B6A-FAD0CEBD4FD4}"/>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Document.xlsx]Graphes revus'!$B$74:$G$74</c:f>
              <c:numCache>
                <c:formatCode>General</c:formatCode>
                <c:ptCount val="6"/>
                <c:pt idx="0">
                  <c:v>2020</c:v>
                </c:pt>
                <c:pt idx="1">
                  <c:v>2021</c:v>
                </c:pt>
                <c:pt idx="2">
                  <c:v>2022</c:v>
                </c:pt>
                <c:pt idx="3">
                  <c:v>2023</c:v>
                </c:pt>
                <c:pt idx="4">
                  <c:v>2024</c:v>
                </c:pt>
                <c:pt idx="5">
                  <c:v>2025</c:v>
                </c:pt>
              </c:numCache>
            </c:numRef>
          </c:cat>
          <c:val>
            <c:numRef>
              <c:f>'[240615 Revue PNDS - Working Document.xlsx]Graphes revus'!$H$111:$M$111</c:f>
              <c:numCache>
                <c:formatCode>0%</c:formatCode>
                <c:ptCount val="6"/>
                <c:pt idx="0">
                  <c:v>0.30230000000000001</c:v>
                </c:pt>
                <c:pt idx="1">
                  <c:v>0.26300000000000001</c:v>
                </c:pt>
                <c:pt idx="2">
                  <c:v>0.13</c:v>
                </c:pt>
                <c:pt idx="3">
                  <c:v>0.3745</c:v>
                </c:pt>
              </c:numCache>
            </c:numRef>
          </c:val>
          <c:smooth val="0"/>
          <c:extLst>
            <c:ext xmlns:c16="http://schemas.microsoft.com/office/drawing/2014/chart" uri="{C3380CC4-5D6E-409C-BE32-E72D297353CC}">
              <c16:uniqueId val="{00000005-DC30-4F86-9B6A-FAD0CEBD4FD4}"/>
            </c:ext>
          </c:extLst>
        </c:ser>
        <c:dLbls>
          <c:showLegendKey val="0"/>
          <c:showVal val="1"/>
          <c:showCatName val="0"/>
          <c:showSerName val="0"/>
          <c:showPercent val="0"/>
          <c:showBubbleSize val="0"/>
        </c:dLbls>
        <c:marker val="1"/>
        <c:smooth val="0"/>
        <c:axId val="1298852784"/>
        <c:axId val="1298852424"/>
      </c:lineChart>
      <c:catAx>
        <c:axId val="12988527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424"/>
        <c:crosses val="autoZero"/>
        <c:auto val="1"/>
        <c:lblAlgn val="ctr"/>
        <c:lblOffset val="100"/>
        <c:noMultiLvlLbl val="0"/>
      </c:catAx>
      <c:valAx>
        <c:axId val="1298852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fr-FR"/>
    </a:p>
  </c:txPr>
  <c:externalData r:id="rId3">
    <c:autoUpdate val="0"/>
  </c:externalData>
  <c:userShapes r:id="rId4"/>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GB"/>
              <a:t>Couverture vaccinale en DTC-HépB-Hib 3 </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strRef>
              <c:f>'[240615 Revue PNDS - Working Document.xlsx]Graphes revus'!$B$2</c:f>
              <c:strCache>
                <c:ptCount val="1"/>
                <c:pt idx="0">
                  <c:v>Valeurs cibles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delete val="1"/>
              <c:extLst>
                <c:ext xmlns:c15="http://schemas.microsoft.com/office/drawing/2012/chart" uri="{CE6537A1-D6FC-4f65-9D91-7224C49458BB}"/>
                <c:ext xmlns:c16="http://schemas.microsoft.com/office/drawing/2014/chart" uri="{C3380CC4-5D6E-409C-BE32-E72D297353CC}">
                  <c16:uniqueId val="{00000005-3EB7-4959-823E-3D872F9828B5}"/>
                </c:ext>
              </c:extLst>
            </c:dLbl>
            <c:dLbl>
              <c:idx val="4"/>
              <c:spPr>
                <a:solidFill>
                  <a:schemeClr val="bg1">
                    <a:lumMod val="7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6-3EB7-4959-823E-3D872F9828B5}"/>
                </c:ext>
              </c:extLst>
            </c:dLbl>
            <c:dLbl>
              <c:idx val="5"/>
              <c:spPr>
                <a:solidFill>
                  <a:schemeClr val="bg1">
                    <a:lumMod val="7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7-3EB7-4959-823E-3D872F9828B5}"/>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Document.xlsx]Graphes revus'!$B$74:$G$74</c:f>
              <c:numCache>
                <c:formatCode>General</c:formatCode>
                <c:ptCount val="6"/>
                <c:pt idx="0">
                  <c:v>2020</c:v>
                </c:pt>
                <c:pt idx="1">
                  <c:v>2021</c:v>
                </c:pt>
                <c:pt idx="2">
                  <c:v>2022</c:v>
                </c:pt>
                <c:pt idx="3">
                  <c:v>2023</c:v>
                </c:pt>
                <c:pt idx="4">
                  <c:v>2024</c:v>
                </c:pt>
                <c:pt idx="5">
                  <c:v>2025</c:v>
                </c:pt>
              </c:numCache>
            </c:numRef>
          </c:cat>
          <c:val>
            <c:numRef>
              <c:f>'[240615 Revue PNDS - Working Document.xlsx]Graphes revus'!$B$120:$G$120</c:f>
              <c:numCache>
                <c:formatCode>0%</c:formatCode>
                <c:ptCount val="6"/>
                <c:pt idx="0" formatCode="0.0%">
                  <c:v>0.9</c:v>
                </c:pt>
                <c:pt idx="1">
                  <c:v>0.93</c:v>
                </c:pt>
                <c:pt idx="2">
                  <c:v>0.94499999999999995</c:v>
                </c:pt>
                <c:pt idx="3">
                  <c:v>0.97</c:v>
                </c:pt>
                <c:pt idx="4">
                  <c:v>0.98499999999999999</c:v>
                </c:pt>
                <c:pt idx="5">
                  <c:v>1</c:v>
                </c:pt>
              </c:numCache>
            </c:numRef>
          </c:val>
          <c:smooth val="0"/>
          <c:extLst>
            <c:ext xmlns:c16="http://schemas.microsoft.com/office/drawing/2014/chart" uri="{C3380CC4-5D6E-409C-BE32-E72D297353CC}">
              <c16:uniqueId val="{00000000-3EB7-4959-823E-3D872F9828B5}"/>
            </c:ext>
          </c:extLst>
        </c:ser>
        <c:ser>
          <c:idx val="1"/>
          <c:order val="1"/>
          <c:tx>
            <c:strRef>
              <c:f>'[240615 Revue PNDS - Working Document.xlsx]Graphes revus'!$H$59</c:f>
              <c:strCache>
                <c:ptCount val="1"/>
                <c:pt idx="0">
                  <c:v>Valeurs observées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3EB7-4959-823E-3D872F9828B5}"/>
                </c:ext>
              </c:extLst>
            </c:dLbl>
            <c:dLbl>
              <c:idx val="1"/>
              <c:layout>
                <c:manualLayout>
                  <c:x val="-7.5226951922586396E-2"/>
                  <c:y val="7.69344976292132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B7-4959-823E-3D872F9828B5}"/>
                </c:ext>
              </c:extLst>
            </c:dLbl>
            <c:dLbl>
              <c:idx val="2"/>
              <c:layout>
                <c:manualLayout>
                  <c:x val="-5.3628679784357411E-2"/>
                  <c:y val="9.328327147117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EB7-4959-823E-3D872F9828B5}"/>
                </c:ext>
              </c:extLst>
            </c:dLbl>
            <c:dLbl>
              <c:idx val="3"/>
              <c:spPr>
                <a:solidFill>
                  <a:schemeClr val="accent6">
                    <a:lumMod val="7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8-3EB7-4959-823E-3D872F9828B5}"/>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Document.xlsx]Graphes revus'!$B$74:$G$74</c:f>
              <c:numCache>
                <c:formatCode>General</c:formatCode>
                <c:ptCount val="6"/>
                <c:pt idx="0">
                  <c:v>2020</c:v>
                </c:pt>
                <c:pt idx="1">
                  <c:v>2021</c:v>
                </c:pt>
                <c:pt idx="2">
                  <c:v>2022</c:v>
                </c:pt>
                <c:pt idx="3">
                  <c:v>2023</c:v>
                </c:pt>
                <c:pt idx="4">
                  <c:v>2024</c:v>
                </c:pt>
                <c:pt idx="5">
                  <c:v>2025</c:v>
                </c:pt>
              </c:numCache>
            </c:numRef>
          </c:cat>
          <c:val>
            <c:numRef>
              <c:f>'[240615 Revue PNDS - Working Document.xlsx]Graphes revus'!$H$120:$M$120</c:f>
              <c:numCache>
                <c:formatCode>0%</c:formatCode>
                <c:ptCount val="6"/>
                <c:pt idx="0">
                  <c:v>0.9</c:v>
                </c:pt>
                <c:pt idx="1">
                  <c:v>0.91</c:v>
                </c:pt>
                <c:pt idx="2">
                  <c:v>0.91</c:v>
                </c:pt>
                <c:pt idx="3">
                  <c:v>0.97</c:v>
                </c:pt>
              </c:numCache>
            </c:numRef>
          </c:val>
          <c:smooth val="0"/>
          <c:extLst>
            <c:ext xmlns:c16="http://schemas.microsoft.com/office/drawing/2014/chart" uri="{C3380CC4-5D6E-409C-BE32-E72D297353CC}">
              <c16:uniqueId val="{00000001-3EB7-4959-823E-3D872F9828B5}"/>
            </c:ext>
          </c:extLst>
        </c:ser>
        <c:dLbls>
          <c:dLblPos val="t"/>
          <c:showLegendKey val="0"/>
          <c:showVal val="1"/>
          <c:showCatName val="0"/>
          <c:showSerName val="0"/>
          <c:showPercent val="0"/>
          <c:showBubbleSize val="0"/>
        </c:dLbls>
        <c:marker val="1"/>
        <c:smooth val="0"/>
        <c:axId val="1298852784"/>
        <c:axId val="1298852424"/>
      </c:lineChart>
      <c:catAx>
        <c:axId val="12988527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424"/>
        <c:crosses val="autoZero"/>
        <c:auto val="1"/>
        <c:lblAlgn val="ctr"/>
        <c:lblOffset val="100"/>
        <c:noMultiLvlLbl val="0"/>
      </c:catAx>
      <c:valAx>
        <c:axId val="12988524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fr-FR"/>
    </a:p>
  </c:txPr>
  <c:externalData r:id="rId3">
    <c:autoUpdate val="0"/>
  </c:externalData>
  <c:userShapes r:id="rId4"/>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'[240615 Revue PNDS - Working Document.xlsx]Sheet1'!$B$2</c:f>
              <c:strCache>
                <c:ptCount val="1"/>
                <c:pt idx="0">
                  <c:v>Valeurs cibles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4"/>
              <c:spPr>
                <a:solidFill>
                  <a:schemeClr val="bg1">
                    <a:lumMod val="6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5-BBD7-4F86-B536-6CCE48DF6D89}"/>
                </c:ext>
              </c:extLst>
            </c:dLbl>
            <c:dLbl>
              <c:idx val="5"/>
              <c:spPr>
                <a:solidFill>
                  <a:schemeClr val="bg1">
                    <a:lumMod val="6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6-BBD7-4F86-B536-6CCE48DF6D89}"/>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Document.xlsx]Sheet1'!$B$28:$G$28</c:f>
              <c:numCache>
                <c:formatCode>General</c:formatCode>
                <c:ptCount val="6"/>
                <c:pt idx="0">
                  <c:v>2020</c:v>
                </c:pt>
                <c:pt idx="1">
                  <c:v>2021</c:v>
                </c:pt>
                <c:pt idx="2">
                  <c:v>2022</c:v>
                </c:pt>
                <c:pt idx="3">
                  <c:v>2023</c:v>
                </c:pt>
                <c:pt idx="4">
                  <c:v>2024</c:v>
                </c:pt>
                <c:pt idx="5">
                  <c:v>2025</c:v>
                </c:pt>
              </c:numCache>
            </c:numRef>
          </c:cat>
          <c:val>
            <c:numRef>
              <c:f>'[240615 Revue PNDS - Working Document.xlsx]Sheet1'!$B$36:$G$36</c:f>
              <c:numCache>
                <c:formatCode>0%</c:formatCode>
                <c:ptCount val="6"/>
                <c:pt idx="0" formatCode="0.0%">
                  <c:v>0.71</c:v>
                </c:pt>
                <c:pt idx="1">
                  <c:v>0.8</c:v>
                </c:pt>
                <c:pt idx="2">
                  <c:v>0.8</c:v>
                </c:pt>
                <c:pt idx="3">
                  <c:v>0.8</c:v>
                </c:pt>
                <c:pt idx="4">
                  <c:v>0.8</c:v>
                </c:pt>
                <c:pt idx="5">
                  <c:v>0.8</c:v>
                </c:pt>
              </c:numCache>
            </c:numRef>
          </c:val>
          <c:smooth val="0"/>
          <c:extLst>
            <c:ext xmlns:c16="http://schemas.microsoft.com/office/drawing/2014/chart" uri="{C3380CC4-5D6E-409C-BE32-E72D297353CC}">
              <c16:uniqueId val="{00000000-BBD7-4F86-B536-6CCE48DF6D89}"/>
            </c:ext>
          </c:extLst>
        </c:ser>
        <c:ser>
          <c:idx val="1"/>
          <c:order val="1"/>
          <c:tx>
            <c:strRef>
              <c:f>'[240615 Revue PNDS - Working Document.xlsx]Sheet1'!$H$2</c:f>
              <c:strCache>
                <c:ptCount val="1"/>
                <c:pt idx="0">
                  <c:v>Valeurs observées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0.13169138741378258"/>
                  <c:y val="8.52026070601965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D7-4F86-B536-6CCE48DF6D89}"/>
                </c:ext>
              </c:extLst>
            </c:dLbl>
            <c:dLbl>
              <c:idx val="2"/>
              <c:layout>
                <c:manualLayout>
                  <c:x val="-5.4172007568821415E-2"/>
                  <c:y val="0.1252626971953994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BD7-4F86-B536-6CCE48DF6D89}"/>
                </c:ext>
              </c:extLst>
            </c:dLbl>
            <c:dLbl>
              <c:idx val="3"/>
              <c:layout>
                <c:manualLayout>
                  <c:x val="-4.1932105488037982E-2"/>
                  <c:y val="0.12526269719539945"/>
                </c:manualLayout>
              </c:layout>
              <c:spPr>
                <a:solidFill>
                  <a:schemeClr val="accent6">
                    <a:lumMod val="7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4-BBD7-4F86-B536-6CCE48DF6D89}"/>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Document.xlsx]Sheet1'!$B$28:$G$28</c:f>
              <c:numCache>
                <c:formatCode>General</c:formatCode>
                <c:ptCount val="6"/>
                <c:pt idx="0">
                  <c:v>2020</c:v>
                </c:pt>
                <c:pt idx="1">
                  <c:v>2021</c:v>
                </c:pt>
                <c:pt idx="2">
                  <c:v>2022</c:v>
                </c:pt>
                <c:pt idx="3">
                  <c:v>2023</c:v>
                </c:pt>
                <c:pt idx="4">
                  <c:v>2024</c:v>
                </c:pt>
                <c:pt idx="5">
                  <c:v>2025</c:v>
                </c:pt>
              </c:numCache>
            </c:numRef>
          </c:cat>
          <c:val>
            <c:numRef>
              <c:f>'[240615 Revue PNDS - Working Document.xlsx]Sheet1'!$H$36:$M$36</c:f>
              <c:numCache>
                <c:formatCode>0%</c:formatCode>
                <c:ptCount val="6"/>
                <c:pt idx="1">
                  <c:v>0.44</c:v>
                </c:pt>
                <c:pt idx="2">
                  <c:v>0.56999999999999995</c:v>
                </c:pt>
                <c:pt idx="3">
                  <c:v>0.6</c:v>
                </c:pt>
              </c:numCache>
            </c:numRef>
          </c:val>
          <c:smooth val="0"/>
          <c:extLst>
            <c:ext xmlns:c16="http://schemas.microsoft.com/office/drawing/2014/chart" uri="{C3380CC4-5D6E-409C-BE32-E72D297353CC}">
              <c16:uniqueId val="{00000001-BBD7-4F86-B536-6CCE48DF6D89}"/>
            </c:ext>
          </c:extLst>
        </c:ser>
        <c:dLbls>
          <c:dLblPos val="t"/>
          <c:showLegendKey val="0"/>
          <c:showVal val="1"/>
          <c:showCatName val="0"/>
          <c:showSerName val="0"/>
          <c:showPercent val="0"/>
          <c:showBubbleSize val="0"/>
        </c:dLbls>
        <c:marker val="1"/>
        <c:smooth val="0"/>
        <c:axId val="1298852784"/>
        <c:axId val="1298852424"/>
      </c:lineChart>
      <c:catAx>
        <c:axId val="12988527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424"/>
        <c:crosses val="autoZero"/>
        <c:auto val="1"/>
        <c:lblAlgn val="ctr"/>
        <c:lblOffset val="100"/>
        <c:noMultiLvlLbl val="0"/>
      </c:catAx>
      <c:valAx>
        <c:axId val="1298852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fr-FR"/>
    </a:p>
  </c:txPr>
  <c:externalData r:id="rId3">
    <c:autoUpdate val="0"/>
  </c:externalData>
  <c:userShapes r:id="rId4"/>
</c:chartSpace>
</file>

<file path=word/charts/chart1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'[240615 Revue PNDS - Working Document.xlsx]Sheet1'!$B$2</c:f>
              <c:strCache>
                <c:ptCount val="1"/>
                <c:pt idx="0">
                  <c:v>Valeurs cibles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4"/>
              <c:spPr>
                <a:solidFill>
                  <a:schemeClr val="bg1">
                    <a:lumMod val="6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5-BBD7-4F86-B536-6CCE48DF6D89}"/>
                </c:ext>
              </c:extLst>
            </c:dLbl>
            <c:dLbl>
              <c:idx val="5"/>
              <c:spPr>
                <a:solidFill>
                  <a:schemeClr val="bg1">
                    <a:lumMod val="6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6-BBD7-4F86-B536-6CCE48DF6D89}"/>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Document.xlsx]Sheet1'!$B$28:$G$28</c:f>
              <c:numCache>
                <c:formatCode>General</c:formatCode>
                <c:ptCount val="6"/>
                <c:pt idx="0">
                  <c:v>2020</c:v>
                </c:pt>
                <c:pt idx="1">
                  <c:v>2021</c:v>
                </c:pt>
                <c:pt idx="2">
                  <c:v>2022</c:v>
                </c:pt>
                <c:pt idx="3">
                  <c:v>2023</c:v>
                </c:pt>
                <c:pt idx="4">
                  <c:v>2024</c:v>
                </c:pt>
                <c:pt idx="5">
                  <c:v>2025</c:v>
                </c:pt>
              </c:numCache>
            </c:numRef>
          </c:cat>
          <c:val>
            <c:numRef>
              <c:f>'[240615 Revue PNDS - Working Document.xlsx]Sheet1'!$B$36:$G$36</c:f>
              <c:numCache>
                <c:formatCode>0%</c:formatCode>
                <c:ptCount val="6"/>
                <c:pt idx="0" formatCode="0.0%">
                  <c:v>0.71</c:v>
                </c:pt>
                <c:pt idx="1">
                  <c:v>0.8</c:v>
                </c:pt>
                <c:pt idx="2">
                  <c:v>0.8</c:v>
                </c:pt>
                <c:pt idx="3">
                  <c:v>0.8</c:v>
                </c:pt>
                <c:pt idx="4">
                  <c:v>0.8</c:v>
                </c:pt>
                <c:pt idx="5">
                  <c:v>0.8</c:v>
                </c:pt>
              </c:numCache>
            </c:numRef>
          </c:val>
          <c:smooth val="0"/>
          <c:extLst>
            <c:ext xmlns:c16="http://schemas.microsoft.com/office/drawing/2014/chart" uri="{C3380CC4-5D6E-409C-BE32-E72D297353CC}">
              <c16:uniqueId val="{00000000-BBD7-4F86-B536-6CCE48DF6D89}"/>
            </c:ext>
          </c:extLst>
        </c:ser>
        <c:ser>
          <c:idx val="1"/>
          <c:order val="1"/>
          <c:tx>
            <c:strRef>
              <c:f>'[240615 Revue PNDS - Working Document.xlsx]Sheet1'!$H$2</c:f>
              <c:strCache>
                <c:ptCount val="1"/>
                <c:pt idx="0">
                  <c:v>Valeurs observées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0.13169138741378258"/>
                  <c:y val="8.52026070601965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D7-4F86-B536-6CCE48DF6D89}"/>
                </c:ext>
              </c:extLst>
            </c:dLbl>
            <c:dLbl>
              <c:idx val="2"/>
              <c:layout>
                <c:manualLayout>
                  <c:x val="-5.4172007568821415E-2"/>
                  <c:y val="0.1252626971953994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BD7-4F86-B536-6CCE48DF6D89}"/>
                </c:ext>
              </c:extLst>
            </c:dLbl>
            <c:dLbl>
              <c:idx val="3"/>
              <c:layout>
                <c:manualLayout>
                  <c:x val="-4.1932105488037982E-2"/>
                  <c:y val="0.12526269719539945"/>
                </c:manualLayout>
              </c:layout>
              <c:spPr>
                <a:solidFill>
                  <a:schemeClr val="accent6">
                    <a:lumMod val="7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4-BBD7-4F86-B536-6CCE48DF6D89}"/>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Document.xlsx]Sheet1'!$B$28:$G$28</c:f>
              <c:numCache>
                <c:formatCode>General</c:formatCode>
                <c:ptCount val="6"/>
                <c:pt idx="0">
                  <c:v>2020</c:v>
                </c:pt>
                <c:pt idx="1">
                  <c:v>2021</c:v>
                </c:pt>
                <c:pt idx="2">
                  <c:v>2022</c:v>
                </c:pt>
                <c:pt idx="3">
                  <c:v>2023</c:v>
                </c:pt>
                <c:pt idx="4">
                  <c:v>2024</c:v>
                </c:pt>
                <c:pt idx="5">
                  <c:v>2025</c:v>
                </c:pt>
              </c:numCache>
            </c:numRef>
          </c:cat>
          <c:val>
            <c:numRef>
              <c:f>'[240615 Revue PNDS - Working Document.xlsx]Sheet1'!$H$36:$M$36</c:f>
              <c:numCache>
                <c:formatCode>0%</c:formatCode>
                <c:ptCount val="6"/>
                <c:pt idx="1">
                  <c:v>0.44</c:v>
                </c:pt>
                <c:pt idx="2">
                  <c:v>0.56999999999999995</c:v>
                </c:pt>
                <c:pt idx="3">
                  <c:v>0.6</c:v>
                </c:pt>
              </c:numCache>
            </c:numRef>
          </c:val>
          <c:smooth val="0"/>
          <c:extLst>
            <c:ext xmlns:c16="http://schemas.microsoft.com/office/drawing/2014/chart" uri="{C3380CC4-5D6E-409C-BE32-E72D297353CC}">
              <c16:uniqueId val="{00000001-BBD7-4F86-B536-6CCE48DF6D89}"/>
            </c:ext>
          </c:extLst>
        </c:ser>
        <c:dLbls>
          <c:dLblPos val="t"/>
          <c:showLegendKey val="0"/>
          <c:showVal val="1"/>
          <c:showCatName val="0"/>
          <c:showSerName val="0"/>
          <c:showPercent val="0"/>
          <c:showBubbleSize val="0"/>
        </c:dLbls>
        <c:marker val="1"/>
        <c:smooth val="0"/>
        <c:axId val="1298852784"/>
        <c:axId val="1298852424"/>
      </c:lineChart>
      <c:catAx>
        <c:axId val="12988527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424"/>
        <c:crosses val="autoZero"/>
        <c:auto val="1"/>
        <c:lblAlgn val="ctr"/>
        <c:lblOffset val="100"/>
        <c:noMultiLvlLbl val="0"/>
      </c:catAx>
      <c:valAx>
        <c:axId val="1298852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fr-FR"/>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'[240615 Revue PNDS - Working Document.xlsx]12.1.1 Global PRES Tracking'!$A$2:$A$4</c:f>
              <c:strCache>
                <c:ptCount val="3"/>
                <c:pt idx="0">
                  <c:v>Niveau de satisfaction des acteurs du niveau déconcentré de la dissémination du PNDS dans les régions</c:v>
                </c:pt>
                <c:pt idx="1">
                  <c:v>Niveau de satisfaction des acteurs du niveau déconcentré de leur association dans l'élaboration du PNDS</c:v>
                </c:pt>
                <c:pt idx="2">
                  <c:v>Niveau de satisfaction des acteurs du niveau déconcentré de la diffusion du PNDS globalement</c:v>
                </c:pt>
              </c:strCache>
            </c:strRef>
          </c:cat>
          <c:val>
            <c:numRef>
              <c:f>'[240615 Revue PNDS - Working Document.xlsx]12.1.1 Global PRES Tracking'!$B$2:$B$4</c:f>
              <c:numCache>
                <c:formatCode>0.0%</c:formatCode>
                <c:ptCount val="3"/>
                <c:pt idx="0">
                  <c:v>7.1428571428571425E-2</c:v>
                </c:pt>
                <c:pt idx="1">
                  <c:v>0.35714285714285715</c:v>
                </c:pt>
                <c:pt idx="2">
                  <c:v>0.42857142857142855</c:v>
                </c:pt>
              </c:numCache>
            </c:numRef>
          </c:val>
          <c:extLst>
            <c:ext xmlns:c16="http://schemas.microsoft.com/office/drawing/2014/chart" uri="{C3380CC4-5D6E-409C-BE32-E72D297353CC}">
              <c16:uniqueId val="{00000000-7455-4AAF-B20B-1727F0949FDB}"/>
            </c:ext>
          </c:extLst>
        </c:ser>
        <c:dLbls>
          <c:dLblPos val="inEnd"/>
          <c:showLegendKey val="0"/>
          <c:showVal val="1"/>
          <c:showCatName val="0"/>
          <c:showSerName val="0"/>
          <c:showPercent val="0"/>
          <c:showBubbleSize val="0"/>
        </c:dLbls>
        <c:gapWidth val="182"/>
        <c:axId val="178356687"/>
        <c:axId val="178353807"/>
      </c:barChart>
      <c:catAx>
        <c:axId val="1783566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fr-FR"/>
          </a:p>
        </c:txPr>
        <c:crossAx val="178353807"/>
        <c:crosses val="autoZero"/>
        <c:auto val="1"/>
        <c:lblAlgn val="ctr"/>
        <c:lblOffset val="100"/>
        <c:noMultiLvlLbl val="0"/>
      </c:catAx>
      <c:valAx>
        <c:axId val="178353807"/>
        <c:scaling>
          <c:orientation val="minMax"/>
        </c:scaling>
        <c:delete val="1"/>
        <c:axPos val="b"/>
        <c:numFmt formatCode="0.0%" sourceLinked="1"/>
        <c:majorTickMark val="none"/>
        <c:minorTickMark val="none"/>
        <c:tickLblPos val="nextTo"/>
        <c:crossAx val="1783566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'[240615 Revue PNDS - Working Document.xlsx]Sheet1'!$B$2</c:f>
              <c:strCache>
                <c:ptCount val="1"/>
                <c:pt idx="0">
                  <c:v>Valeurs cibles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0.15906250242905223"/>
                  <c:y val="6.26094022891333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1F-48BE-9B79-D92799F3F777}"/>
                </c:ext>
              </c:extLst>
            </c:dLbl>
            <c:dLbl>
              <c:idx val="4"/>
              <c:numFmt formatCode="#,##0" sourceLinked="0"/>
              <c:spPr>
                <a:solidFill>
                  <a:schemeClr val="bg1">
                    <a:lumMod val="6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3-041F-48BE-9B79-D92799F3F777}"/>
                </c:ext>
              </c:extLst>
            </c:dLbl>
            <c:dLbl>
              <c:idx val="5"/>
              <c:numFmt formatCode="#,##0" sourceLinked="0"/>
              <c:spPr>
                <a:solidFill>
                  <a:schemeClr val="bg1">
                    <a:lumMod val="6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4-041F-48BE-9B79-D92799F3F777}"/>
                </c:ext>
              </c:extLst>
            </c:dLbl>
            <c:numFmt formatCode="#,##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Document.xlsx]Sheet1'!$B$28:$G$28</c:f>
              <c:numCache>
                <c:formatCode>General</c:formatCode>
                <c:ptCount val="6"/>
                <c:pt idx="0">
                  <c:v>2020</c:v>
                </c:pt>
                <c:pt idx="1">
                  <c:v>2021</c:v>
                </c:pt>
                <c:pt idx="2">
                  <c:v>2022</c:v>
                </c:pt>
                <c:pt idx="3">
                  <c:v>2023</c:v>
                </c:pt>
                <c:pt idx="4">
                  <c:v>2024</c:v>
                </c:pt>
                <c:pt idx="5">
                  <c:v>2025</c:v>
                </c:pt>
              </c:numCache>
            </c:numRef>
          </c:cat>
          <c:val>
            <c:numRef>
              <c:f>'[240615 Revue PNDS - Working Document.xlsx]Sheet1'!$B$49:$G$49</c:f>
              <c:numCache>
                <c:formatCode>0.00</c:formatCode>
                <c:ptCount val="6"/>
                <c:pt idx="0">
                  <c:v>441</c:v>
                </c:pt>
                <c:pt idx="1">
                  <c:v>272.8</c:v>
                </c:pt>
                <c:pt idx="2">
                  <c:v>258</c:v>
                </c:pt>
                <c:pt idx="3">
                  <c:v>244</c:v>
                </c:pt>
                <c:pt idx="4">
                  <c:v>230</c:v>
                </c:pt>
                <c:pt idx="5">
                  <c:v>215</c:v>
                </c:pt>
              </c:numCache>
            </c:numRef>
          </c:val>
          <c:smooth val="0"/>
          <c:extLst>
            <c:ext xmlns:c16="http://schemas.microsoft.com/office/drawing/2014/chart" uri="{C3380CC4-5D6E-409C-BE32-E72D297353CC}">
              <c16:uniqueId val="{00000000-041F-48BE-9B79-D92799F3F777}"/>
            </c:ext>
          </c:extLst>
        </c:ser>
        <c:ser>
          <c:idx val="1"/>
          <c:order val="1"/>
          <c:tx>
            <c:strRef>
              <c:f>'[240615 Revue PNDS - Working Document.xlsx]Sheet1'!$H$2</c:f>
              <c:strCache>
                <c:ptCount val="1"/>
                <c:pt idx="0">
                  <c:v>Valeurs observées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3"/>
              <c:numFmt formatCode="#,##0" sourceLinked="0"/>
              <c:spPr>
                <a:solidFill>
                  <a:schemeClr val="accent6">
                    <a:lumMod val="7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5-041F-48BE-9B79-D92799F3F777}"/>
                </c:ext>
              </c:extLst>
            </c:dLbl>
            <c:numFmt formatCode="#,##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Document.xlsx]Sheet1'!$B$28:$G$28</c:f>
              <c:numCache>
                <c:formatCode>General</c:formatCode>
                <c:ptCount val="6"/>
                <c:pt idx="0">
                  <c:v>2020</c:v>
                </c:pt>
                <c:pt idx="1">
                  <c:v>2021</c:v>
                </c:pt>
                <c:pt idx="2">
                  <c:v>2022</c:v>
                </c:pt>
                <c:pt idx="3">
                  <c:v>2023</c:v>
                </c:pt>
                <c:pt idx="4">
                  <c:v>2024</c:v>
                </c:pt>
                <c:pt idx="5">
                  <c:v>2025</c:v>
                </c:pt>
              </c:numCache>
            </c:numRef>
          </c:cat>
          <c:val>
            <c:numRef>
              <c:f>'[240615 Revue PNDS - Working Document.xlsx]Sheet1'!$H$49:$M$49</c:f>
              <c:numCache>
                <c:formatCode>0.00</c:formatCode>
                <c:ptCount val="6"/>
                <c:pt idx="1">
                  <c:v>767</c:v>
                </c:pt>
                <c:pt idx="2">
                  <c:v>868</c:v>
                </c:pt>
                <c:pt idx="3">
                  <c:v>992</c:v>
                </c:pt>
              </c:numCache>
            </c:numRef>
          </c:val>
          <c:smooth val="0"/>
          <c:extLst>
            <c:ext xmlns:c16="http://schemas.microsoft.com/office/drawing/2014/chart" uri="{C3380CC4-5D6E-409C-BE32-E72D297353CC}">
              <c16:uniqueId val="{00000001-041F-48BE-9B79-D92799F3F777}"/>
            </c:ext>
          </c:extLst>
        </c:ser>
        <c:dLbls>
          <c:dLblPos val="t"/>
          <c:showLegendKey val="0"/>
          <c:showVal val="1"/>
          <c:showCatName val="0"/>
          <c:showSerName val="0"/>
          <c:showPercent val="0"/>
          <c:showBubbleSize val="0"/>
        </c:dLbls>
        <c:marker val="1"/>
        <c:smooth val="0"/>
        <c:axId val="1298852784"/>
        <c:axId val="1298852424"/>
      </c:lineChart>
      <c:catAx>
        <c:axId val="12988527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424"/>
        <c:crosses val="autoZero"/>
        <c:auto val="1"/>
        <c:lblAlgn val="ctr"/>
        <c:lblOffset val="100"/>
        <c:noMultiLvlLbl val="0"/>
      </c:catAx>
      <c:valAx>
        <c:axId val="1298852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r>
                  <a:rPr lang="en-GB" i="1"/>
                  <a:t>Pour mille</a:t>
                </a:r>
              </a:p>
            </c:rich>
          </c:tx>
          <c:layout>
            <c:manualLayout>
              <c:xMode val="edge"/>
              <c:yMode val="edge"/>
              <c:x val="3.0389372812398865E-2"/>
              <c:y val="6.2851164583448055E-2"/>
            </c:manualLayout>
          </c:layout>
          <c:overlay val="0"/>
          <c:spPr>
            <a:noFill/>
            <a:ln>
              <a:noFill/>
            </a:ln>
            <a:effectLst/>
          </c:spPr>
          <c:txPr>
            <a:bodyPr rot="-540000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fr-F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fr-FR"/>
    </a:p>
  </c:txPr>
  <c:externalData r:id="rId3">
    <c:autoUpdate val="0"/>
  </c:externalData>
  <c:userShapes r:id="rId4"/>
</c:chartSpace>
</file>

<file path=word/charts/chart2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'[240615 Revue PNDS - Working Document.xlsx]Sheet1'!$B$2</c:f>
              <c:strCache>
                <c:ptCount val="1"/>
                <c:pt idx="0">
                  <c:v>Valeurs cibles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0.15906250242905223"/>
                  <c:y val="6.26094022891333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1F-48BE-9B79-D92799F3F777}"/>
                </c:ext>
              </c:extLst>
            </c:dLbl>
            <c:dLbl>
              <c:idx val="4"/>
              <c:numFmt formatCode="#,##0" sourceLinked="0"/>
              <c:spPr>
                <a:solidFill>
                  <a:schemeClr val="bg1">
                    <a:lumMod val="6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3-041F-48BE-9B79-D92799F3F777}"/>
                </c:ext>
              </c:extLst>
            </c:dLbl>
            <c:dLbl>
              <c:idx val="5"/>
              <c:numFmt formatCode="#,##0" sourceLinked="0"/>
              <c:spPr>
                <a:solidFill>
                  <a:schemeClr val="bg1">
                    <a:lumMod val="6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4-041F-48BE-9B79-D92799F3F777}"/>
                </c:ext>
              </c:extLst>
            </c:dLbl>
            <c:numFmt formatCode="#,##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Document.xlsx]Sheet1'!$B$28:$G$28</c:f>
              <c:numCache>
                <c:formatCode>General</c:formatCode>
                <c:ptCount val="6"/>
                <c:pt idx="0">
                  <c:v>2020</c:v>
                </c:pt>
                <c:pt idx="1">
                  <c:v>2021</c:v>
                </c:pt>
                <c:pt idx="2">
                  <c:v>2022</c:v>
                </c:pt>
                <c:pt idx="3">
                  <c:v>2023</c:v>
                </c:pt>
                <c:pt idx="4">
                  <c:v>2024</c:v>
                </c:pt>
                <c:pt idx="5">
                  <c:v>2025</c:v>
                </c:pt>
              </c:numCache>
            </c:numRef>
          </c:cat>
          <c:val>
            <c:numRef>
              <c:f>'[240615 Revue PNDS - Working Document.xlsx]Sheet1'!$B$49:$G$49</c:f>
              <c:numCache>
                <c:formatCode>0.00</c:formatCode>
                <c:ptCount val="6"/>
                <c:pt idx="0">
                  <c:v>441</c:v>
                </c:pt>
                <c:pt idx="1">
                  <c:v>272.8</c:v>
                </c:pt>
                <c:pt idx="2">
                  <c:v>258</c:v>
                </c:pt>
                <c:pt idx="3">
                  <c:v>244</c:v>
                </c:pt>
                <c:pt idx="4">
                  <c:v>230</c:v>
                </c:pt>
                <c:pt idx="5">
                  <c:v>215</c:v>
                </c:pt>
              </c:numCache>
            </c:numRef>
          </c:val>
          <c:smooth val="0"/>
          <c:extLst>
            <c:ext xmlns:c16="http://schemas.microsoft.com/office/drawing/2014/chart" uri="{C3380CC4-5D6E-409C-BE32-E72D297353CC}">
              <c16:uniqueId val="{00000000-041F-48BE-9B79-D92799F3F777}"/>
            </c:ext>
          </c:extLst>
        </c:ser>
        <c:ser>
          <c:idx val="1"/>
          <c:order val="1"/>
          <c:tx>
            <c:strRef>
              <c:f>'[240615 Revue PNDS - Working Document.xlsx]Sheet1'!$H$2</c:f>
              <c:strCache>
                <c:ptCount val="1"/>
                <c:pt idx="0">
                  <c:v>Valeurs observées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3"/>
              <c:numFmt formatCode="#,##0" sourceLinked="0"/>
              <c:spPr>
                <a:solidFill>
                  <a:schemeClr val="accent6">
                    <a:lumMod val="7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5-041F-48BE-9B79-D92799F3F777}"/>
                </c:ext>
              </c:extLst>
            </c:dLbl>
            <c:numFmt formatCode="#,##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Document.xlsx]Sheet1'!$B$28:$G$28</c:f>
              <c:numCache>
                <c:formatCode>General</c:formatCode>
                <c:ptCount val="6"/>
                <c:pt idx="0">
                  <c:v>2020</c:v>
                </c:pt>
                <c:pt idx="1">
                  <c:v>2021</c:v>
                </c:pt>
                <c:pt idx="2">
                  <c:v>2022</c:v>
                </c:pt>
                <c:pt idx="3">
                  <c:v>2023</c:v>
                </c:pt>
                <c:pt idx="4">
                  <c:v>2024</c:v>
                </c:pt>
                <c:pt idx="5">
                  <c:v>2025</c:v>
                </c:pt>
              </c:numCache>
            </c:numRef>
          </c:cat>
          <c:val>
            <c:numRef>
              <c:f>'[240615 Revue PNDS - Working Document.xlsx]Sheet1'!$H$49:$M$49</c:f>
              <c:numCache>
                <c:formatCode>0.00</c:formatCode>
                <c:ptCount val="6"/>
                <c:pt idx="1">
                  <c:v>767</c:v>
                </c:pt>
                <c:pt idx="2">
                  <c:v>868</c:v>
                </c:pt>
                <c:pt idx="3">
                  <c:v>992</c:v>
                </c:pt>
              </c:numCache>
            </c:numRef>
          </c:val>
          <c:smooth val="0"/>
          <c:extLst>
            <c:ext xmlns:c16="http://schemas.microsoft.com/office/drawing/2014/chart" uri="{C3380CC4-5D6E-409C-BE32-E72D297353CC}">
              <c16:uniqueId val="{00000001-041F-48BE-9B79-D92799F3F777}"/>
            </c:ext>
          </c:extLst>
        </c:ser>
        <c:dLbls>
          <c:dLblPos val="t"/>
          <c:showLegendKey val="0"/>
          <c:showVal val="1"/>
          <c:showCatName val="0"/>
          <c:showSerName val="0"/>
          <c:showPercent val="0"/>
          <c:showBubbleSize val="0"/>
        </c:dLbls>
        <c:marker val="1"/>
        <c:smooth val="0"/>
        <c:axId val="1298852784"/>
        <c:axId val="1298852424"/>
      </c:lineChart>
      <c:catAx>
        <c:axId val="12988527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424"/>
        <c:crosses val="autoZero"/>
        <c:auto val="1"/>
        <c:lblAlgn val="ctr"/>
        <c:lblOffset val="100"/>
        <c:noMultiLvlLbl val="0"/>
      </c:catAx>
      <c:valAx>
        <c:axId val="1298852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r>
                  <a:rPr lang="en-GB" i="1"/>
                  <a:t>Pour mille</a:t>
                </a:r>
              </a:p>
            </c:rich>
          </c:tx>
          <c:layout>
            <c:manualLayout>
              <c:xMode val="edge"/>
              <c:yMode val="edge"/>
              <c:x val="3.0389372812398865E-2"/>
              <c:y val="6.2851164583448055E-2"/>
            </c:manualLayout>
          </c:layout>
          <c:overlay val="0"/>
          <c:spPr>
            <a:noFill/>
            <a:ln>
              <a:noFill/>
            </a:ln>
            <a:effectLst/>
          </c:spPr>
          <c:txPr>
            <a:bodyPr rot="-540000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fr-F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fr-FR"/>
    </a:p>
  </c:txPr>
  <c:externalData r:id="rId3">
    <c:autoUpdate val="0"/>
  </c:externalData>
  <c:userShapes r:id="rId4"/>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'[240615 Revue PNDS - Working Document.xlsx]Sheet1'!$B$2</c:f>
              <c:strCache>
                <c:ptCount val="1"/>
                <c:pt idx="0">
                  <c:v>Valeurs cibles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1045880149812734"/>
                  <c:y val="0.154744818686961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D1-49DC-AEAD-ECF639D0AD3D}"/>
                </c:ext>
              </c:extLst>
            </c:dLbl>
            <c:dLbl>
              <c:idx val="1"/>
              <c:layout>
                <c:manualLayout>
                  <c:x val="-8.1179775280898883E-2"/>
                  <c:y val="0.2049120427672293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D1-49DC-AEAD-ECF639D0AD3D}"/>
                </c:ext>
              </c:extLst>
            </c:dLbl>
            <c:dLbl>
              <c:idx val="2"/>
              <c:layout>
                <c:manualLayout>
                  <c:x val="-6.7134831460674158E-2"/>
                  <c:y val="0.1714672267137176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D1-49DC-AEAD-ECF639D0AD3D}"/>
                </c:ext>
              </c:extLst>
            </c:dLbl>
            <c:dLbl>
              <c:idx val="3"/>
              <c:layout>
                <c:manualLayout>
                  <c:x val="-6.2453183520599254E-2"/>
                  <c:y val="0.1798284307270955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D1-49DC-AEAD-ECF639D0AD3D}"/>
                </c:ext>
              </c:extLst>
            </c:dLbl>
            <c:dLbl>
              <c:idx val="4"/>
              <c:layout>
                <c:manualLayout>
                  <c:x val="-4.3726591760299797E-2"/>
                  <c:y val="0.17982843072709556"/>
                </c:manualLayout>
              </c:layout>
              <c:numFmt formatCode="#,##0" sourceLinked="0"/>
              <c:spPr>
                <a:solidFill>
                  <a:schemeClr val="bg1">
                    <a:lumMod val="6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6-40D1-49DC-AEAD-ECF639D0AD3D}"/>
                </c:ext>
              </c:extLst>
            </c:dLbl>
            <c:dLbl>
              <c:idx val="5"/>
              <c:layout>
                <c:manualLayout>
                  <c:x val="-4.2079536406263822E-3"/>
                  <c:y val="7.9493982566560456E-2"/>
                </c:manualLayout>
              </c:layout>
              <c:numFmt formatCode="#,##0" sourceLinked="0"/>
              <c:spPr>
                <a:solidFill>
                  <a:schemeClr val="bg1">
                    <a:lumMod val="6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7-40D1-49DC-AEAD-ECF639D0AD3D}"/>
                </c:ext>
              </c:extLst>
            </c:dLbl>
            <c:numFmt formatCode="#,##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Document.xlsx]Sheet1'!$B$28:$G$28</c:f>
              <c:numCache>
                <c:formatCode>General</c:formatCode>
                <c:ptCount val="6"/>
                <c:pt idx="0">
                  <c:v>2020</c:v>
                </c:pt>
                <c:pt idx="1">
                  <c:v>2021</c:v>
                </c:pt>
                <c:pt idx="2">
                  <c:v>2022</c:v>
                </c:pt>
                <c:pt idx="3">
                  <c:v>2023</c:v>
                </c:pt>
                <c:pt idx="4">
                  <c:v>2024</c:v>
                </c:pt>
                <c:pt idx="5">
                  <c:v>2025</c:v>
                </c:pt>
              </c:numCache>
            </c:numRef>
          </c:cat>
          <c:val>
            <c:numRef>
              <c:f>'[240615 Revue PNDS - Working Document.xlsx]Sheet1'!$B$43:$G$43</c:f>
              <c:numCache>
                <c:formatCode>0.00</c:formatCode>
                <c:ptCount val="6"/>
                <c:pt idx="0">
                  <c:v>173</c:v>
                </c:pt>
                <c:pt idx="1">
                  <c:v>173</c:v>
                </c:pt>
                <c:pt idx="2">
                  <c:v>165</c:v>
                </c:pt>
                <c:pt idx="3">
                  <c:v>157</c:v>
                </c:pt>
                <c:pt idx="4">
                  <c:v>149</c:v>
                </c:pt>
                <c:pt idx="5">
                  <c:v>141</c:v>
                </c:pt>
              </c:numCache>
            </c:numRef>
          </c:val>
          <c:smooth val="0"/>
          <c:extLst>
            <c:ext xmlns:c16="http://schemas.microsoft.com/office/drawing/2014/chart" uri="{C3380CC4-5D6E-409C-BE32-E72D297353CC}">
              <c16:uniqueId val="{00000000-40D1-49DC-AEAD-ECF639D0AD3D}"/>
            </c:ext>
          </c:extLst>
        </c:ser>
        <c:ser>
          <c:idx val="1"/>
          <c:order val="1"/>
          <c:tx>
            <c:strRef>
              <c:f>'[240615 Revue PNDS - Working Document.xlsx]Sheet1'!$H$2</c:f>
              <c:strCache>
                <c:ptCount val="1"/>
                <c:pt idx="0">
                  <c:v>Valeurs observées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0.19804144917278599"/>
                  <c:y val="-4.87115845469149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0D1-49DC-AEAD-ECF639D0AD3D}"/>
                </c:ext>
              </c:extLst>
            </c:dLbl>
            <c:dLbl>
              <c:idx val="2"/>
              <c:layout>
                <c:manualLayout>
                  <c:x val="-2.4820475390014449E-2"/>
                  <c:y val="8.68103652595265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0D1-49DC-AEAD-ECF639D0AD3D}"/>
                </c:ext>
              </c:extLst>
            </c:dLbl>
            <c:dLbl>
              <c:idx val="3"/>
              <c:layout>
                <c:manualLayout>
                  <c:x val="6.4130835471408687E-2"/>
                  <c:y val="-4.6968898954520319E-2"/>
                </c:manualLayout>
              </c:layout>
              <c:numFmt formatCode="#,##0" sourceLinked="0"/>
              <c:spPr>
                <a:solidFill>
                  <a:schemeClr val="accent6">
                    <a:lumMod val="7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8-40D1-49DC-AEAD-ECF639D0AD3D}"/>
                </c:ext>
              </c:extLst>
            </c:dLbl>
            <c:numFmt formatCode="#,##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Document.xlsx]Sheet1'!$B$28:$G$28</c:f>
              <c:numCache>
                <c:formatCode>General</c:formatCode>
                <c:ptCount val="6"/>
                <c:pt idx="0">
                  <c:v>2020</c:v>
                </c:pt>
                <c:pt idx="1">
                  <c:v>2021</c:v>
                </c:pt>
                <c:pt idx="2">
                  <c:v>2022</c:v>
                </c:pt>
                <c:pt idx="3">
                  <c:v>2023</c:v>
                </c:pt>
                <c:pt idx="4">
                  <c:v>2024</c:v>
                </c:pt>
                <c:pt idx="5">
                  <c:v>2025</c:v>
                </c:pt>
              </c:numCache>
            </c:numRef>
          </c:cat>
          <c:val>
            <c:numRef>
              <c:f>'[240615 Revue PNDS - Working Document.xlsx]Sheet1'!$H$43:$M$43</c:f>
              <c:numCache>
                <c:formatCode>0.00</c:formatCode>
                <c:ptCount val="6"/>
                <c:pt idx="1">
                  <c:v>268</c:v>
                </c:pt>
                <c:pt idx="2">
                  <c:v>269</c:v>
                </c:pt>
                <c:pt idx="3">
                  <c:v>269</c:v>
                </c:pt>
              </c:numCache>
            </c:numRef>
          </c:val>
          <c:smooth val="0"/>
          <c:extLst>
            <c:ext xmlns:c16="http://schemas.microsoft.com/office/drawing/2014/chart" uri="{C3380CC4-5D6E-409C-BE32-E72D297353CC}">
              <c16:uniqueId val="{00000001-40D1-49DC-AEAD-ECF639D0AD3D}"/>
            </c:ext>
          </c:extLst>
        </c:ser>
        <c:dLbls>
          <c:dLblPos val="t"/>
          <c:showLegendKey val="0"/>
          <c:showVal val="1"/>
          <c:showCatName val="0"/>
          <c:showSerName val="0"/>
          <c:showPercent val="0"/>
          <c:showBubbleSize val="0"/>
        </c:dLbls>
        <c:marker val="1"/>
        <c:smooth val="0"/>
        <c:axId val="1298852784"/>
        <c:axId val="1298852424"/>
      </c:lineChart>
      <c:catAx>
        <c:axId val="12988527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424"/>
        <c:crosses val="autoZero"/>
        <c:auto val="1"/>
        <c:lblAlgn val="ctr"/>
        <c:lblOffset val="100"/>
        <c:noMultiLvlLbl val="0"/>
      </c:catAx>
      <c:valAx>
        <c:axId val="1298852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r>
                  <a:rPr lang="en-GB" i="1"/>
                  <a:t>Pour mille</a:t>
                </a:r>
              </a:p>
            </c:rich>
          </c:tx>
          <c:layout>
            <c:manualLayout>
              <c:xMode val="edge"/>
              <c:yMode val="edge"/>
              <c:x val="2.6590701210849006E-2"/>
              <c:y val="7.2175173907457368E-2"/>
            </c:manualLayout>
          </c:layout>
          <c:overlay val="0"/>
          <c:spPr>
            <a:noFill/>
            <a:ln>
              <a:noFill/>
            </a:ln>
            <a:effectLst/>
          </c:spPr>
          <c:txPr>
            <a:bodyPr rot="-540000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fr-FR"/>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fr-FR"/>
    </a:p>
  </c:txPr>
  <c:externalData r:id="rId3">
    <c:autoUpdate val="0"/>
  </c:externalData>
  <c:userShapes r:id="rId4"/>
</c:chartSpace>
</file>

<file path=word/charts/chart2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'[240615 Revue PNDS - Working Document.xlsx]12.1.1 Global PRES Tracking'!$A$2:$A$4</c:f>
              <c:strCache>
                <c:ptCount val="3"/>
                <c:pt idx="0">
                  <c:v>Niveau de satisfaction des acteurs du niveau déconcentré de la dissémination du PNDS dans les régions</c:v>
                </c:pt>
                <c:pt idx="1">
                  <c:v>Niveau de satisfaction des acteurs du niveau déconcentré de leur association dans l'élaboration du PNDS</c:v>
                </c:pt>
                <c:pt idx="2">
                  <c:v>Niveau de satisfaction des acteurs du niveau déconcentré de la diffusion du PNDS globalement</c:v>
                </c:pt>
              </c:strCache>
            </c:strRef>
          </c:cat>
          <c:val>
            <c:numRef>
              <c:f>'[240615 Revue PNDS - Working Document.xlsx]12.1.1 Global PRES Tracking'!$B$2:$B$4</c:f>
              <c:numCache>
                <c:formatCode>0.0%</c:formatCode>
                <c:ptCount val="3"/>
                <c:pt idx="0">
                  <c:v>7.1428571428571425E-2</c:v>
                </c:pt>
                <c:pt idx="1">
                  <c:v>0.35714285714285715</c:v>
                </c:pt>
                <c:pt idx="2">
                  <c:v>0.42857142857142855</c:v>
                </c:pt>
              </c:numCache>
            </c:numRef>
          </c:val>
          <c:extLst>
            <c:ext xmlns:c16="http://schemas.microsoft.com/office/drawing/2014/chart" uri="{C3380CC4-5D6E-409C-BE32-E72D297353CC}">
              <c16:uniqueId val="{00000000-7455-4AAF-B20B-1727F0949FDB}"/>
            </c:ext>
          </c:extLst>
        </c:ser>
        <c:dLbls>
          <c:dLblPos val="inEnd"/>
          <c:showLegendKey val="0"/>
          <c:showVal val="1"/>
          <c:showCatName val="0"/>
          <c:showSerName val="0"/>
          <c:showPercent val="0"/>
          <c:showBubbleSize val="0"/>
        </c:dLbls>
        <c:gapWidth val="182"/>
        <c:axId val="178356687"/>
        <c:axId val="178353807"/>
      </c:barChart>
      <c:catAx>
        <c:axId val="1783566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fr-FR"/>
          </a:p>
        </c:txPr>
        <c:crossAx val="178353807"/>
        <c:crosses val="autoZero"/>
        <c:auto val="1"/>
        <c:lblAlgn val="ctr"/>
        <c:lblOffset val="100"/>
        <c:noMultiLvlLbl val="0"/>
      </c:catAx>
      <c:valAx>
        <c:axId val="178353807"/>
        <c:scaling>
          <c:orientation val="minMax"/>
        </c:scaling>
        <c:delete val="1"/>
        <c:axPos val="b"/>
        <c:numFmt formatCode="0.0%" sourceLinked="1"/>
        <c:majorTickMark val="none"/>
        <c:minorTickMark val="none"/>
        <c:tickLblPos val="nextTo"/>
        <c:crossAx val="1783566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'[240615 Revue PNDS - Working Document.xlsx]Sheet1'!$B$2</c:f>
              <c:strCache>
                <c:ptCount val="1"/>
                <c:pt idx="0">
                  <c:v>Valeurs cibles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1045880149812734"/>
                  <c:y val="0.154744818686961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D1-49DC-AEAD-ECF639D0AD3D}"/>
                </c:ext>
              </c:extLst>
            </c:dLbl>
            <c:dLbl>
              <c:idx val="1"/>
              <c:layout>
                <c:manualLayout>
                  <c:x val="-8.1179775280898883E-2"/>
                  <c:y val="0.2049120427672293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D1-49DC-AEAD-ECF639D0AD3D}"/>
                </c:ext>
              </c:extLst>
            </c:dLbl>
            <c:dLbl>
              <c:idx val="2"/>
              <c:layout>
                <c:manualLayout>
                  <c:x val="-6.7134831460674158E-2"/>
                  <c:y val="0.1714672267137176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D1-49DC-AEAD-ECF639D0AD3D}"/>
                </c:ext>
              </c:extLst>
            </c:dLbl>
            <c:dLbl>
              <c:idx val="3"/>
              <c:layout>
                <c:manualLayout>
                  <c:x val="-6.2453183520599254E-2"/>
                  <c:y val="0.1798284307270955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D1-49DC-AEAD-ECF639D0AD3D}"/>
                </c:ext>
              </c:extLst>
            </c:dLbl>
            <c:dLbl>
              <c:idx val="4"/>
              <c:layout>
                <c:manualLayout>
                  <c:x val="-4.3726591760299797E-2"/>
                  <c:y val="0.17982843072709556"/>
                </c:manualLayout>
              </c:layout>
              <c:numFmt formatCode="#,##0" sourceLinked="0"/>
              <c:spPr>
                <a:solidFill>
                  <a:schemeClr val="bg1">
                    <a:lumMod val="6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6-40D1-49DC-AEAD-ECF639D0AD3D}"/>
                </c:ext>
              </c:extLst>
            </c:dLbl>
            <c:dLbl>
              <c:idx val="5"/>
              <c:layout>
                <c:manualLayout>
                  <c:x val="-4.2079536406263822E-3"/>
                  <c:y val="7.9493982566560456E-2"/>
                </c:manualLayout>
              </c:layout>
              <c:numFmt formatCode="#,##0" sourceLinked="0"/>
              <c:spPr>
                <a:solidFill>
                  <a:schemeClr val="bg1">
                    <a:lumMod val="6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7-40D1-49DC-AEAD-ECF639D0AD3D}"/>
                </c:ext>
              </c:extLst>
            </c:dLbl>
            <c:numFmt formatCode="#,##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Document.xlsx]Sheet1'!$B$28:$G$28</c:f>
              <c:numCache>
                <c:formatCode>General</c:formatCode>
                <c:ptCount val="6"/>
                <c:pt idx="0">
                  <c:v>2020</c:v>
                </c:pt>
                <c:pt idx="1">
                  <c:v>2021</c:v>
                </c:pt>
                <c:pt idx="2">
                  <c:v>2022</c:v>
                </c:pt>
                <c:pt idx="3">
                  <c:v>2023</c:v>
                </c:pt>
                <c:pt idx="4">
                  <c:v>2024</c:v>
                </c:pt>
                <c:pt idx="5">
                  <c:v>2025</c:v>
                </c:pt>
              </c:numCache>
            </c:numRef>
          </c:cat>
          <c:val>
            <c:numRef>
              <c:f>'[240615 Revue PNDS - Working Document.xlsx]Sheet1'!$B$43:$G$43</c:f>
              <c:numCache>
                <c:formatCode>0.00</c:formatCode>
                <c:ptCount val="6"/>
                <c:pt idx="0">
                  <c:v>173</c:v>
                </c:pt>
                <c:pt idx="1">
                  <c:v>173</c:v>
                </c:pt>
                <c:pt idx="2">
                  <c:v>165</c:v>
                </c:pt>
                <c:pt idx="3">
                  <c:v>157</c:v>
                </c:pt>
                <c:pt idx="4">
                  <c:v>149</c:v>
                </c:pt>
                <c:pt idx="5">
                  <c:v>141</c:v>
                </c:pt>
              </c:numCache>
            </c:numRef>
          </c:val>
          <c:smooth val="0"/>
          <c:extLst>
            <c:ext xmlns:c16="http://schemas.microsoft.com/office/drawing/2014/chart" uri="{C3380CC4-5D6E-409C-BE32-E72D297353CC}">
              <c16:uniqueId val="{00000000-40D1-49DC-AEAD-ECF639D0AD3D}"/>
            </c:ext>
          </c:extLst>
        </c:ser>
        <c:ser>
          <c:idx val="1"/>
          <c:order val="1"/>
          <c:tx>
            <c:strRef>
              <c:f>'[240615 Revue PNDS - Working Document.xlsx]Sheet1'!$H$2</c:f>
              <c:strCache>
                <c:ptCount val="1"/>
                <c:pt idx="0">
                  <c:v>Valeurs observées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0.19804144917278599"/>
                  <c:y val="-4.87115845469149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0D1-49DC-AEAD-ECF639D0AD3D}"/>
                </c:ext>
              </c:extLst>
            </c:dLbl>
            <c:dLbl>
              <c:idx val="2"/>
              <c:layout>
                <c:manualLayout>
                  <c:x val="-2.4820475390014449E-2"/>
                  <c:y val="8.68103652595265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0D1-49DC-AEAD-ECF639D0AD3D}"/>
                </c:ext>
              </c:extLst>
            </c:dLbl>
            <c:dLbl>
              <c:idx val="3"/>
              <c:layout>
                <c:manualLayout>
                  <c:x val="6.4130835471408687E-2"/>
                  <c:y val="-4.6968898954520319E-2"/>
                </c:manualLayout>
              </c:layout>
              <c:numFmt formatCode="#,##0" sourceLinked="0"/>
              <c:spPr>
                <a:solidFill>
                  <a:schemeClr val="accent6">
                    <a:lumMod val="7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8-40D1-49DC-AEAD-ECF639D0AD3D}"/>
                </c:ext>
              </c:extLst>
            </c:dLbl>
            <c:numFmt formatCode="#,##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Document.xlsx]Sheet1'!$B$28:$G$28</c:f>
              <c:numCache>
                <c:formatCode>General</c:formatCode>
                <c:ptCount val="6"/>
                <c:pt idx="0">
                  <c:v>2020</c:v>
                </c:pt>
                <c:pt idx="1">
                  <c:v>2021</c:v>
                </c:pt>
                <c:pt idx="2">
                  <c:v>2022</c:v>
                </c:pt>
                <c:pt idx="3">
                  <c:v>2023</c:v>
                </c:pt>
                <c:pt idx="4">
                  <c:v>2024</c:v>
                </c:pt>
                <c:pt idx="5">
                  <c:v>2025</c:v>
                </c:pt>
              </c:numCache>
            </c:numRef>
          </c:cat>
          <c:val>
            <c:numRef>
              <c:f>'[240615 Revue PNDS - Working Document.xlsx]Sheet1'!$H$43:$M$43</c:f>
              <c:numCache>
                <c:formatCode>0.00</c:formatCode>
                <c:ptCount val="6"/>
                <c:pt idx="1">
                  <c:v>268</c:v>
                </c:pt>
                <c:pt idx="2">
                  <c:v>269</c:v>
                </c:pt>
                <c:pt idx="3">
                  <c:v>269</c:v>
                </c:pt>
              </c:numCache>
            </c:numRef>
          </c:val>
          <c:smooth val="0"/>
          <c:extLst>
            <c:ext xmlns:c16="http://schemas.microsoft.com/office/drawing/2014/chart" uri="{C3380CC4-5D6E-409C-BE32-E72D297353CC}">
              <c16:uniqueId val="{00000001-40D1-49DC-AEAD-ECF639D0AD3D}"/>
            </c:ext>
          </c:extLst>
        </c:ser>
        <c:dLbls>
          <c:dLblPos val="t"/>
          <c:showLegendKey val="0"/>
          <c:showVal val="1"/>
          <c:showCatName val="0"/>
          <c:showSerName val="0"/>
          <c:showPercent val="0"/>
          <c:showBubbleSize val="0"/>
        </c:dLbls>
        <c:marker val="1"/>
        <c:smooth val="0"/>
        <c:axId val="1298852784"/>
        <c:axId val="1298852424"/>
      </c:lineChart>
      <c:catAx>
        <c:axId val="12988527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424"/>
        <c:crosses val="autoZero"/>
        <c:auto val="1"/>
        <c:lblAlgn val="ctr"/>
        <c:lblOffset val="100"/>
        <c:noMultiLvlLbl val="0"/>
      </c:catAx>
      <c:valAx>
        <c:axId val="1298852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r>
                  <a:rPr lang="en-GB" i="1"/>
                  <a:t>Pour mille</a:t>
                </a:r>
              </a:p>
            </c:rich>
          </c:tx>
          <c:layout>
            <c:manualLayout>
              <c:xMode val="edge"/>
              <c:yMode val="edge"/>
              <c:x val="2.6590701210849006E-2"/>
              <c:y val="7.2175173907457368E-2"/>
            </c:manualLayout>
          </c:layout>
          <c:overlay val="0"/>
          <c:spPr>
            <a:noFill/>
            <a:ln>
              <a:noFill/>
            </a:ln>
            <a:effectLst/>
          </c:spPr>
          <c:txPr>
            <a:bodyPr rot="-540000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fr-FR"/>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fr-FR"/>
    </a:p>
  </c:txPr>
  <c:externalData r:id="rId3">
    <c:autoUpdate val="0"/>
  </c:externalData>
  <c:userShapes r:id="rId4"/>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'[Evolution des indicateurs ODD - RAMP.xlsx]Graphiques'!$A$18</c:f>
              <c:strCache>
                <c:ptCount val="1"/>
                <c:pt idx="0">
                  <c:v>Niveau d'atteinte du 1er 95</c:v>
                </c:pt>
              </c:strCache>
            </c:strRef>
          </c:tx>
          <c:spPr>
            <a:solidFill>
              <a:schemeClr val="accent1"/>
            </a:solidFill>
            <a:ln>
              <a:noFill/>
            </a:ln>
            <a:effectLst/>
          </c:spPr>
          <c:invertIfNegative val="0"/>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'[Evolution des indicateurs ODD - RAMP.xlsx]Graphiques'!$B$18,'[Evolution des indicateurs ODD - RAMP.xlsx]Graphiques'!$G$2:$I$2</c:f>
              <c:numCache>
                <c:formatCode>General</c:formatCode>
                <c:ptCount val="4"/>
                <c:pt idx="0">
                  <c:v>2020</c:v>
                </c:pt>
                <c:pt idx="1">
                  <c:v>2021</c:v>
                </c:pt>
                <c:pt idx="2">
                  <c:v>2022</c:v>
                </c:pt>
                <c:pt idx="3">
                  <c:v>2023</c:v>
                </c:pt>
              </c:numCache>
            </c:numRef>
          </c:cat>
          <c:val>
            <c:numRef>
              <c:f>'[Evolution des indicateurs ODD - RAMP.xlsx]Graphiques'!$C$18,'[Evolution des indicateurs ODD - RAMP.xlsx]Graphiques'!$G$18:$I$18</c:f>
              <c:numCache>
                <c:formatCode>0%</c:formatCode>
                <c:ptCount val="4"/>
                <c:pt idx="0">
                  <c:v>0.84</c:v>
                </c:pt>
                <c:pt idx="1">
                  <c:v>0.8</c:v>
                </c:pt>
                <c:pt idx="2">
                  <c:v>0.82</c:v>
                </c:pt>
                <c:pt idx="3">
                  <c:v>0.82</c:v>
                </c:pt>
              </c:numCache>
            </c:numRef>
          </c:val>
          <c:extLst>
            <c:ext xmlns:c16="http://schemas.microsoft.com/office/drawing/2014/chart" uri="{C3380CC4-5D6E-409C-BE32-E72D297353CC}">
              <c16:uniqueId val="{00000000-745F-4482-82D9-2E74EBF64110}"/>
            </c:ext>
          </c:extLst>
        </c:ser>
        <c:ser>
          <c:idx val="1"/>
          <c:order val="1"/>
          <c:tx>
            <c:strRef>
              <c:f>'[Evolution des indicateurs ODD - RAMP.xlsx]Graphiques'!$A$19</c:f>
              <c:strCache>
                <c:ptCount val="1"/>
                <c:pt idx="0">
                  <c:v>Niveau d'atteinte du 2e 95</c:v>
                </c:pt>
              </c:strCache>
            </c:strRef>
          </c:tx>
          <c:spPr>
            <a:solidFill>
              <a:schemeClr val="accent2"/>
            </a:solidFill>
            <a:ln>
              <a:noFill/>
            </a:ln>
            <a:effectLst/>
          </c:spPr>
          <c:invertIfNegative val="0"/>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'[Evolution des indicateurs ODD - RAMP.xlsx]Graphiques'!$B$18,'[Evolution des indicateurs ODD - RAMP.xlsx]Graphiques'!$G$2:$I$2</c:f>
              <c:numCache>
                <c:formatCode>General</c:formatCode>
                <c:ptCount val="4"/>
                <c:pt idx="0">
                  <c:v>2020</c:v>
                </c:pt>
                <c:pt idx="1">
                  <c:v>2021</c:v>
                </c:pt>
                <c:pt idx="2">
                  <c:v>2022</c:v>
                </c:pt>
                <c:pt idx="3">
                  <c:v>2023</c:v>
                </c:pt>
              </c:numCache>
            </c:numRef>
          </c:cat>
          <c:val>
            <c:numRef>
              <c:f>'[Evolution des indicateurs ODD - RAMP.xlsx]Graphiques'!$C$19,'[Evolution des indicateurs ODD - RAMP.xlsx]Graphiques'!$G$19:$I$19</c:f>
              <c:numCache>
                <c:formatCode>0%</c:formatCode>
                <c:ptCount val="4"/>
                <c:pt idx="0">
                  <c:v>0.78</c:v>
                </c:pt>
                <c:pt idx="1">
                  <c:v>0.95</c:v>
                </c:pt>
                <c:pt idx="2">
                  <c:v>0.87</c:v>
                </c:pt>
                <c:pt idx="3">
                  <c:v>0.88</c:v>
                </c:pt>
              </c:numCache>
            </c:numRef>
          </c:val>
          <c:extLst>
            <c:ext xmlns:c16="http://schemas.microsoft.com/office/drawing/2014/chart" uri="{C3380CC4-5D6E-409C-BE32-E72D297353CC}">
              <c16:uniqueId val="{00000001-745F-4482-82D9-2E74EBF64110}"/>
            </c:ext>
          </c:extLst>
        </c:ser>
        <c:ser>
          <c:idx val="2"/>
          <c:order val="2"/>
          <c:tx>
            <c:strRef>
              <c:f>'[Evolution des indicateurs ODD - RAMP.xlsx]Graphiques'!$A$20</c:f>
              <c:strCache>
                <c:ptCount val="1"/>
                <c:pt idx="0">
                  <c:v>Niveau d'atteinte du 3e 95</c:v>
                </c:pt>
              </c:strCache>
            </c:strRef>
          </c:tx>
          <c:spPr>
            <a:solidFill>
              <a:schemeClr val="accent3"/>
            </a:solidFill>
            <a:ln>
              <a:noFill/>
            </a:ln>
            <a:effectLst/>
          </c:spPr>
          <c:invertIfNegative val="0"/>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'[Evolution des indicateurs ODD - RAMP.xlsx]Graphiques'!$B$18,'[Evolution des indicateurs ODD - RAMP.xlsx]Graphiques'!$G$2:$I$2</c:f>
              <c:numCache>
                <c:formatCode>General</c:formatCode>
                <c:ptCount val="4"/>
                <c:pt idx="0">
                  <c:v>2020</c:v>
                </c:pt>
                <c:pt idx="1">
                  <c:v>2021</c:v>
                </c:pt>
                <c:pt idx="2">
                  <c:v>2022</c:v>
                </c:pt>
                <c:pt idx="3">
                  <c:v>2023</c:v>
                </c:pt>
              </c:numCache>
            </c:numRef>
          </c:cat>
          <c:val>
            <c:numRef>
              <c:f>'[Evolution des indicateurs ODD - RAMP.xlsx]Graphiques'!$C$20,'[Evolution des indicateurs ODD - RAMP.xlsx]Graphiques'!$G$20:$I$20</c:f>
              <c:numCache>
                <c:formatCode>0%</c:formatCode>
                <c:ptCount val="4"/>
                <c:pt idx="0">
                  <c:v>0.82</c:v>
                </c:pt>
                <c:pt idx="1">
                  <c:v>0.84</c:v>
                </c:pt>
                <c:pt idx="2">
                  <c:v>0.87</c:v>
                </c:pt>
                <c:pt idx="3">
                  <c:v>0.88</c:v>
                </c:pt>
              </c:numCache>
            </c:numRef>
          </c:val>
          <c:extLst>
            <c:ext xmlns:c16="http://schemas.microsoft.com/office/drawing/2014/chart" uri="{C3380CC4-5D6E-409C-BE32-E72D297353CC}">
              <c16:uniqueId val="{00000002-745F-4482-82D9-2E74EBF64110}"/>
            </c:ext>
          </c:extLst>
        </c:ser>
        <c:dLbls>
          <c:showLegendKey val="0"/>
          <c:showVal val="1"/>
          <c:showCatName val="0"/>
          <c:showSerName val="0"/>
          <c:showPercent val="0"/>
          <c:showBubbleSize val="0"/>
        </c:dLbls>
        <c:gapWidth val="150"/>
        <c:axId val="772907960"/>
        <c:axId val="772908320"/>
      </c:barChart>
      <c:lineChart>
        <c:grouping val="standard"/>
        <c:varyColors val="0"/>
        <c:ser>
          <c:idx val="3"/>
          <c:order val="3"/>
          <c:tx>
            <c:v>Cible</c:v>
          </c:tx>
          <c:spPr>
            <a:ln w="28575" cap="rnd">
              <a:solidFill>
                <a:srgbClr val="C00000">
                  <a:alpha val="50196"/>
                </a:srgbClr>
              </a:solidFill>
              <a:prstDash val="sysDash"/>
              <a:round/>
            </a:ln>
            <a:effectLst/>
          </c:spPr>
          <c:marker>
            <c:symbol val="none"/>
          </c:marker>
          <c:dLbls>
            <c:delete val="1"/>
          </c:dLbls>
          <c:cat>
            <c:numRef>
              <c:f>'[Evolution des indicateurs ODD - RAMP.xlsx]Graphiques'!$B$18,'[Evolution des indicateurs ODD - RAMP.xlsx]Graphiques'!$G$2:$I$2</c:f>
              <c:numCache>
                <c:formatCode>General</c:formatCode>
                <c:ptCount val="4"/>
                <c:pt idx="0">
                  <c:v>2020</c:v>
                </c:pt>
                <c:pt idx="1">
                  <c:v>2021</c:v>
                </c:pt>
                <c:pt idx="2">
                  <c:v>2022</c:v>
                </c:pt>
                <c:pt idx="3">
                  <c:v>2023</c:v>
                </c:pt>
              </c:numCache>
            </c:numRef>
          </c:cat>
          <c:val>
            <c:numRef>
              <c:f>'[Evolution des indicateurs ODD - RAMP.xlsx]Graphiques'!$K$18:$N$18</c:f>
              <c:numCache>
                <c:formatCode>0%</c:formatCode>
                <c:ptCount val="4"/>
                <c:pt idx="0">
                  <c:v>0.95</c:v>
                </c:pt>
                <c:pt idx="1">
                  <c:v>0.95</c:v>
                </c:pt>
                <c:pt idx="2">
                  <c:v>0.95</c:v>
                </c:pt>
                <c:pt idx="3">
                  <c:v>0.95</c:v>
                </c:pt>
              </c:numCache>
            </c:numRef>
          </c:val>
          <c:smooth val="0"/>
          <c:extLst>
            <c:ext xmlns:c16="http://schemas.microsoft.com/office/drawing/2014/chart" uri="{C3380CC4-5D6E-409C-BE32-E72D297353CC}">
              <c16:uniqueId val="{00000003-745F-4482-82D9-2E74EBF64110}"/>
            </c:ext>
          </c:extLst>
        </c:ser>
        <c:dLbls>
          <c:showLegendKey val="0"/>
          <c:showVal val="1"/>
          <c:showCatName val="0"/>
          <c:showSerName val="0"/>
          <c:showPercent val="0"/>
          <c:showBubbleSize val="0"/>
        </c:dLbls>
        <c:marker val="1"/>
        <c:smooth val="0"/>
        <c:axId val="772907960"/>
        <c:axId val="772908320"/>
      </c:lineChart>
      <c:catAx>
        <c:axId val="772907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72908320"/>
        <c:crosses val="autoZero"/>
        <c:auto val="1"/>
        <c:lblAlgn val="ctr"/>
        <c:lblOffset val="100"/>
        <c:noMultiLvlLbl val="0"/>
      </c:catAx>
      <c:valAx>
        <c:axId val="772908320"/>
        <c:scaling>
          <c:orientation val="minMax"/>
          <c:min val="0.70000000000000007"/>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72907960"/>
        <c:crosses val="autoZero"/>
        <c:crossBetween val="between"/>
      </c:val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'[240615 Revue PNDS - Working Document.xlsx]Sheet1'!$B$2</c:f>
              <c:strCache>
                <c:ptCount val="1"/>
                <c:pt idx="0">
                  <c:v>Valeurs cibles</c:v>
                </c:pt>
              </c:strCache>
            </c:strRef>
          </c:tx>
          <c:spPr>
            <a:solidFill>
              <a:schemeClr val="accent1"/>
            </a:solidFill>
            <a:ln>
              <a:noFill/>
            </a:ln>
            <a:effectLst/>
          </c:spPr>
          <c:invertIfNegative val="0"/>
          <c:dLbls>
            <c:dLbl>
              <c:idx val="4"/>
              <c:spPr>
                <a:solidFill>
                  <a:schemeClr val="bg1">
                    <a:lumMod val="6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5-EB31-457B-919A-E83FA744F7EF}"/>
                </c:ext>
              </c:extLst>
            </c:dLbl>
            <c:dLbl>
              <c:idx val="5"/>
              <c:spPr>
                <a:solidFill>
                  <a:schemeClr val="bg1">
                    <a:lumMod val="6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6-EB31-457B-919A-E83FA744F7EF}"/>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Document.xlsx]Sheet1'!$B$55:$G$55</c:f>
              <c:numCache>
                <c:formatCode>General</c:formatCode>
                <c:ptCount val="6"/>
                <c:pt idx="0">
                  <c:v>2019</c:v>
                </c:pt>
                <c:pt idx="1">
                  <c:v>2021</c:v>
                </c:pt>
                <c:pt idx="2">
                  <c:v>2022</c:v>
                </c:pt>
                <c:pt idx="3">
                  <c:v>2023</c:v>
                </c:pt>
                <c:pt idx="4">
                  <c:v>2024</c:v>
                </c:pt>
                <c:pt idx="5">
                  <c:v>2025</c:v>
                </c:pt>
              </c:numCache>
            </c:numRef>
          </c:cat>
          <c:val>
            <c:numRef>
              <c:f>'[240615 Revue PNDS - Working Document.xlsx]Sheet1'!$B$56:$G$56</c:f>
              <c:numCache>
                <c:formatCode>0%</c:formatCode>
                <c:ptCount val="6"/>
                <c:pt idx="0" formatCode="0.0%">
                  <c:v>0.84</c:v>
                </c:pt>
                <c:pt idx="1">
                  <c:v>0.88</c:v>
                </c:pt>
                <c:pt idx="2">
                  <c:v>0.89</c:v>
                </c:pt>
                <c:pt idx="3">
                  <c:v>0.9</c:v>
                </c:pt>
                <c:pt idx="4">
                  <c:v>0.9</c:v>
                </c:pt>
                <c:pt idx="5">
                  <c:v>0.9</c:v>
                </c:pt>
              </c:numCache>
            </c:numRef>
          </c:val>
          <c:extLst>
            <c:ext xmlns:c16="http://schemas.microsoft.com/office/drawing/2014/chart" uri="{C3380CC4-5D6E-409C-BE32-E72D297353CC}">
              <c16:uniqueId val="{00000000-EB31-457B-919A-E83FA744F7EF}"/>
            </c:ext>
          </c:extLst>
        </c:ser>
        <c:ser>
          <c:idx val="1"/>
          <c:order val="1"/>
          <c:tx>
            <c:strRef>
              <c:f>'[240615 Revue PNDS - Working Document.xlsx]Sheet1'!$H$2</c:f>
              <c:strCache>
                <c:ptCount val="1"/>
                <c:pt idx="0">
                  <c:v>Valeurs observées</c:v>
                </c:pt>
              </c:strCache>
            </c:strRef>
          </c:tx>
          <c:spPr>
            <a:solidFill>
              <a:schemeClr val="accent2"/>
            </a:solidFill>
            <a:ln>
              <a:noFill/>
            </a:ln>
            <a:effectLst/>
          </c:spPr>
          <c:invertIfNegative val="0"/>
          <c:dLbls>
            <c:dLbl>
              <c:idx val="1"/>
              <c:layout>
                <c:manualLayout>
                  <c:x val="-7.3911751597088099E-2"/>
                  <c:y val="9.3027714165211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B31-457B-919A-E83FA744F7EF}"/>
                </c:ext>
              </c:extLst>
            </c:dLbl>
            <c:dLbl>
              <c:idx val="2"/>
              <c:layout>
                <c:manualLayout>
                  <c:x val="-4.9722104765931835E-2"/>
                  <c:y val="8.41742391762782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B31-457B-919A-E83FA744F7EF}"/>
                </c:ext>
              </c:extLst>
            </c:dLbl>
            <c:dLbl>
              <c:idx val="3"/>
              <c:layout>
                <c:manualLayout>
                  <c:x val="-1.3428111036193932E-3"/>
                  <c:y val="0.10188118915414458"/>
                </c:manualLayout>
              </c:layout>
              <c:spPr>
                <a:solidFill>
                  <a:schemeClr val="accent6">
                    <a:lumMod val="7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4-EB31-457B-919A-E83FA744F7EF}"/>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Document.xlsx]Sheet1'!$B$55:$G$55</c:f>
              <c:numCache>
                <c:formatCode>General</c:formatCode>
                <c:ptCount val="6"/>
                <c:pt idx="0">
                  <c:v>2019</c:v>
                </c:pt>
                <c:pt idx="1">
                  <c:v>2021</c:v>
                </c:pt>
                <c:pt idx="2">
                  <c:v>2022</c:v>
                </c:pt>
                <c:pt idx="3">
                  <c:v>2023</c:v>
                </c:pt>
                <c:pt idx="4">
                  <c:v>2024</c:v>
                </c:pt>
                <c:pt idx="5">
                  <c:v>2025</c:v>
                </c:pt>
              </c:numCache>
            </c:numRef>
          </c:cat>
          <c:val>
            <c:numRef>
              <c:f>'[240615 Revue PNDS - Working Document.xlsx]Sheet1'!$H$56:$M$56</c:f>
              <c:numCache>
                <c:formatCode>0%</c:formatCode>
                <c:ptCount val="6"/>
                <c:pt idx="1">
                  <c:v>0.84</c:v>
                </c:pt>
                <c:pt idx="2">
                  <c:v>0.85</c:v>
                </c:pt>
                <c:pt idx="3">
                  <c:v>0.87</c:v>
                </c:pt>
              </c:numCache>
            </c:numRef>
          </c:val>
          <c:extLst>
            <c:ext xmlns:c16="http://schemas.microsoft.com/office/drawing/2014/chart" uri="{C3380CC4-5D6E-409C-BE32-E72D297353CC}">
              <c16:uniqueId val="{00000001-EB31-457B-919A-E83FA744F7EF}"/>
            </c:ext>
          </c:extLst>
        </c:ser>
        <c:dLbls>
          <c:showLegendKey val="0"/>
          <c:showVal val="1"/>
          <c:showCatName val="0"/>
          <c:showSerName val="0"/>
          <c:showPercent val="0"/>
          <c:showBubbleSize val="0"/>
        </c:dLbls>
        <c:gapWidth val="150"/>
        <c:axId val="1298852784"/>
        <c:axId val="1298852424"/>
      </c:barChart>
      <c:catAx>
        <c:axId val="12988527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424"/>
        <c:crosses val="autoZero"/>
        <c:auto val="1"/>
        <c:lblAlgn val="ctr"/>
        <c:lblOffset val="100"/>
        <c:noMultiLvlLbl val="0"/>
      </c:catAx>
      <c:valAx>
        <c:axId val="1298852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fr-FR"/>
    </a:p>
  </c:txPr>
  <c:externalData r:id="rId3">
    <c:autoUpdate val="0"/>
  </c:externalData>
  <c:userShapes r:id="rId4"/>
</c:chartSpace>
</file>

<file path=word/charts/chart2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'[240615 Revue PNDS - Working Document.xlsx]Sheet1'!$B$2</c:f>
              <c:strCache>
                <c:ptCount val="1"/>
                <c:pt idx="0">
                  <c:v>Valeurs cibles</c:v>
                </c:pt>
              </c:strCache>
            </c:strRef>
          </c:tx>
          <c:spPr>
            <a:solidFill>
              <a:schemeClr val="accent1"/>
            </a:solidFill>
            <a:ln>
              <a:noFill/>
            </a:ln>
            <a:effectLst/>
          </c:spPr>
          <c:invertIfNegative val="0"/>
          <c:dLbls>
            <c:dLbl>
              <c:idx val="4"/>
              <c:spPr>
                <a:solidFill>
                  <a:schemeClr val="bg1">
                    <a:lumMod val="6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5-EB31-457B-919A-E83FA744F7EF}"/>
                </c:ext>
              </c:extLst>
            </c:dLbl>
            <c:dLbl>
              <c:idx val="5"/>
              <c:spPr>
                <a:solidFill>
                  <a:schemeClr val="bg1">
                    <a:lumMod val="6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6-EB31-457B-919A-E83FA744F7EF}"/>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Document.xlsx]Sheet1'!$B$55:$G$55</c:f>
              <c:numCache>
                <c:formatCode>General</c:formatCode>
                <c:ptCount val="6"/>
                <c:pt idx="0">
                  <c:v>2019</c:v>
                </c:pt>
                <c:pt idx="1">
                  <c:v>2021</c:v>
                </c:pt>
                <c:pt idx="2">
                  <c:v>2022</c:v>
                </c:pt>
                <c:pt idx="3">
                  <c:v>2023</c:v>
                </c:pt>
                <c:pt idx="4">
                  <c:v>2024</c:v>
                </c:pt>
                <c:pt idx="5">
                  <c:v>2025</c:v>
                </c:pt>
              </c:numCache>
            </c:numRef>
          </c:cat>
          <c:val>
            <c:numRef>
              <c:f>'[240615 Revue PNDS - Working Document.xlsx]Sheet1'!$B$56:$G$56</c:f>
              <c:numCache>
                <c:formatCode>0%</c:formatCode>
                <c:ptCount val="6"/>
                <c:pt idx="0" formatCode="0.0%">
                  <c:v>0.84</c:v>
                </c:pt>
                <c:pt idx="1">
                  <c:v>0.88</c:v>
                </c:pt>
                <c:pt idx="2">
                  <c:v>0.89</c:v>
                </c:pt>
                <c:pt idx="3">
                  <c:v>0.9</c:v>
                </c:pt>
                <c:pt idx="4">
                  <c:v>0.9</c:v>
                </c:pt>
                <c:pt idx="5">
                  <c:v>0.9</c:v>
                </c:pt>
              </c:numCache>
            </c:numRef>
          </c:val>
          <c:extLst>
            <c:ext xmlns:c16="http://schemas.microsoft.com/office/drawing/2014/chart" uri="{C3380CC4-5D6E-409C-BE32-E72D297353CC}">
              <c16:uniqueId val="{00000000-EB31-457B-919A-E83FA744F7EF}"/>
            </c:ext>
          </c:extLst>
        </c:ser>
        <c:ser>
          <c:idx val="1"/>
          <c:order val="1"/>
          <c:tx>
            <c:strRef>
              <c:f>'[240615 Revue PNDS - Working Document.xlsx]Sheet1'!$H$2</c:f>
              <c:strCache>
                <c:ptCount val="1"/>
                <c:pt idx="0">
                  <c:v>Valeurs observées</c:v>
                </c:pt>
              </c:strCache>
            </c:strRef>
          </c:tx>
          <c:spPr>
            <a:solidFill>
              <a:schemeClr val="accent2"/>
            </a:solidFill>
            <a:ln>
              <a:noFill/>
            </a:ln>
            <a:effectLst/>
          </c:spPr>
          <c:invertIfNegative val="0"/>
          <c:dLbls>
            <c:dLbl>
              <c:idx val="1"/>
              <c:layout>
                <c:manualLayout>
                  <c:x val="-7.3911751597088099E-2"/>
                  <c:y val="9.3027714165211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B31-457B-919A-E83FA744F7EF}"/>
                </c:ext>
              </c:extLst>
            </c:dLbl>
            <c:dLbl>
              <c:idx val="2"/>
              <c:layout>
                <c:manualLayout>
                  <c:x val="-4.9722104765931835E-2"/>
                  <c:y val="8.41742391762782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B31-457B-919A-E83FA744F7EF}"/>
                </c:ext>
              </c:extLst>
            </c:dLbl>
            <c:dLbl>
              <c:idx val="3"/>
              <c:layout>
                <c:manualLayout>
                  <c:x val="-1.3428111036193932E-3"/>
                  <c:y val="0.10188118915414458"/>
                </c:manualLayout>
              </c:layout>
              <c:spPr>
                <a:solidFill>
                  <a:schemeClr val="accent6">
                    <a:lumMod val="7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4-EB31-457B-919A-E83FA744F7EF}"/>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Document.xlsx]Sheet1'!$B$55:$G$55</c:f>
              <c:numCache>
                <c:formatCode>General</c:formatCode>
                <c:ptCount val="6"/>
                <c:pt idx="0">
                  <c:v>2019</c:v>
                </c:pt>
                <c:pt idx="1">
                  <c:v>2021</c:v>
                </c:pt>
                <c:pt idx="2">
                  <c:v>2022</c:v>
                </c:pt>
                <c:pt idx="3">
                  <c:v>2023</c:v>
                </c:pt>
                <c:pt idx="4">
                  <c:v>2024</c:v>
                </c:pt>
                <c:pt idx="5">
                  <c:v>2025</c:v>
                </c:pt>
              </c:numCache>
            </c:numRef>
          </c:cat>
          <c:val>
            <c:numRef>
              <c:f>'[240615 Revue PNDS - Working Document.xlsx]Sheet1'!$H$56:$M$56</c:f>
              <c:numCache>
                <c:formatCode>0%</c:formatCode>
                <c:ptCount val="6"/>
                <c:pt idx="1">
                  <c:v>0.84</c:v>
                </c:pt>
                <c:pt idx="2">
                  <c:v>0.85</c:v>
                </c:pt>
                <c:pt idx="3">
                  <c:v>0.87</c:v>
                </c:pt>
              </c:numCache>
            </c:numRef>
          </c:val>
          <c:extLst>
            <c:ext xmlns:c16="http://schemas.microsoft.com/office/drawing/2014/chart" uri="{C3380CC4-5D6E-409C-BE32-E72D297353CC}">
              <c16:uniqueId val="{00000001-EB31-457B-919A-E83FA744F7EF}"/>
            </c:ext>
          </c:extLst>
        </c:ser>
        <c:dLbls>
          <c:showLegendKey val="0"/>
          <c:showVal val="1"/>
          <c:showCatName val="0"/>
          <c:showSerName val="0"/>
          <c:showPercent val="0"/>
          <c:showBubbleSize val="0"/>
        </c:dLbls>
        <c:gapWidth val="150"/>
        <c:axId val="1298852784"/>
        <c:axId val="1298852424"/>
      </c:barChart>
      <c:catAx>
        <c:axId val="12988527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424"/>
        <c:crosses val="autoZero"/>
        <c:auto val="1"/>
        <c:lblAlgn val="ctr"/>
        <c:lblOffset val="100"/>
        <c:noMultiLvlLbl val="0"/>
      </c:catAx>
      <c:valAx>
        <c:axId val="1298852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fr-FR"/>
    </a:p>
  </c:txPr>
  <c:externalData r:id="rId3">
    <c:autoUpdate val="0"/>
  </c:externalData>
  <c:userShapes r:id="rId4"/>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'[240615 Revue PNDS - Working Document.xlsx]Sheet1'!$B$2</c:f>
              <c:strCache>
                <c:ptCount val="1"/>
                <c:pt idx="0">
                  <c:v>Valeurs cibles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4"/>
              <c:spPr>
                <a:solidFill>
                  <a:schemeClr val="bg1">
                    <a:lumMod val="6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5-C7FF-404A-8387-DB2BEFB12C59}"/>
                </c:ext>
              </c:extLst>
            </c:dLbl>
            <c:dLbl>
              <c:idx val="5"/>
              <c:spPr>
                <a:solidFill>
                  <a:schemeClr val="bg1">
                    <a:lumMod val="6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6-C7FF-404A-8387-DB2BEFB12C59}"/>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Document.xlsx]Sheet1'!$B$55:$G$55</c:f>
              <c:numCache>
                <c:formatCode>General</c:formatCode>
                <c:ptCount val="6"/>
                <c:pt idx="0">
                  <c:v>2019</c:v>
                </c:pt>
                <c:pt idx="1">
                  <c:v>2021</c:v>
                </c:pt>
                <c:pt idx="2">
                  <c:v>2022</c:v>
                </c:pt>
                <c:pt idx="3">
                  <c:v>2023</c:v>
                </c:pt>
                <c:pt idx="4">
                  <c:v>2024</c:v>
                </c:pt>
                <c:pt idx="5">
                  <c:v>2025</c:v>
                </c:pt>
              </c:numCache>
            </c:numRef>
          </c:cat>
          <c:val>
            <c:numRef>
              <c:f>'[240615 Revue PNDS - Working Document.xlsx]Sheet1'!$B$61:$G$61</c:f>
              <c:numCache>
                <c:formatCode>0%</c:formatCode>
                <c:ptCount val="6"/>
                <c:pt idx="0" formatCode="0.0%">
                  <c:v>0.74</c:v>
                </c:pt>
                <c:pt idx="1">
                  <c:v>0.8</c:v>
                </c:pt>
                <c:pt idx="2">
                  <c:v>0.82</c:v>
                </c:pt>
                <c:pt idx="3">
                  <c:v>0.84</c:v>
                </c:pt>
                <c:pt idx="4">
                  <c:v>0.85</c:v>
                </c:pt>
                <c:pt idx="5">
                  <c:v>0.85</c:v>
                </c:pt>
              </c:numCache>
            </c:numRef>
          </c:val>
          <c:smooth val="0"/>
          <c:extLst>
            <c:ext xmlns:c16="http://schemas.microsoft.com/office/drawing/2014/chart" uri="{C3380CC4-5D6E-409C-BE32-E72D297353CC}">
              <c16:uniqueId val="{00000000-C7FF-404A-8387-DB2BEFB12C59}"/>
            </c:ext>
          </c:extLst>
        </c:ser>
        <c:ser>
          <c:idx val="1"/>
          <c:order val="1"/>
          <c:tx>
            <c:strRef>
              <c:f>'[240615 Revue PNDS - Working Document.xlsx]Sheet1'!$H$59</c:f>
              <c:strCache>
                <c:ptCount val="1"/>
                <c:pt idx="0">
                  <c:v>Valeurs observées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0.10631104898573437"/>
                  <c:y val="0.1558727951654864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7FF-404A-8387-DB2BEFB12C59}"/>
                </c:ext>
              </c:extLst>
            </c:dLbl>
            <c:dLbl>
              <c:idx val="2"/>
              <c:layout>
                <c:manualLayout>
                  <c:x val="-7.767826444743807E-2"/>
                  <c:y val="0.1319015606469087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7FF-404A-8387-DB2BEFB12C59}"/>
                </c:ext>
              </c:extLst>
            </c:dLbl>
            <c:dLbl>
              <c:idx val="3"/>
              <c:layout>
                <c:manualLayout>
                  <c:x val="-1.3241723453144751E-3"/>
                  <c:y val="0.14788238365929388"/>
                </c:manualLayout>
              </c:layout>
              <c:spPr>
                <a:solidFill>
                  <a:schemeClr val="accent6">
                    <a:lumMod val="7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4-C7FF-404A-8387-DB2BEFB12C59}"/>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Document.xlsx]Sheet1'!$B$55:$G$55</c:f>
              <c:numCache>
                <c:formatCode>General</c:formatCode>
                <c:ptCount val="6"/>
                <c:pt idx="0">
                  <c:v>2019</c:v>
                </c:pt>
                <c:pt idx="1">
                  <c:v>2021</c:v>
                </c:pt>
                <c:pt idx="2">
                  <c:v>2022</c:v>
                </c:pt>
                <c:pt idx="3">
                  <c:v>2023</c:v>
                </c:pt>
                <c:pt idx="4">
                  <c:v>2024</c:v>
                </c:pt>
                <c:pt idx="5">
                  <c:v>2025</c:v>
                </c:pt>
              </c:numCache>
            </c:numRef>
          </c:cat>
          <c:val>
            <c:numRef>
              <c:f>'[240615 Revue PNDS - Working Document.xlsx]Sheet1'!$H$61:$M$61</c:f>
              <c:numCache>
                <c:formatCode>0%</c:formatCode>
                <c:ptCount val="6"/>
                <c:pt idx="1">
                  <c:v>0.78</c:v>
                </c:pt>
                <c:pt idx="2">
                  <c:v>0.75</c:v>
                </c:pt>
                <c:pt idx="3">
                  <c:v>0.75</c:v>
                </c:pt>
              </c:numCache>
            </c:numRef>
          </c:val>
          <c:smooth val="0"/>
          <c:extLst>
            <c:ext xmlns:c16="http://schemas.microsoft.com/office/drawing/2014/chart" uri="{C3380CC4-5D6E-409C-BE32-E72D297353CC}">
              <c16:uniqueId val="{00000001-C7FF-404A-8387-DB2BEFB12C59}"/>
            </c:ext>
          </c:extLst>
        </c:ser>
        <c:dLbls>
          <c:dLblPos val="t"/>
          <c:showLegendKey val="0"/>
          <c:showVal val="1"/>
          <c:showCatName val="0"/>
          <c:showSerName val="0"/>
          <c:showPercent val="0"/>
          <c:showBubbleSize val="0"/>
        </c:dLbls>
        <c:marker val="1"/>
        <c:smooth val="0"/>
        <c:axId val="1298852784"/>
        <c:axId val="1298852424"/>
      </c:lineChart>
      <c:catAx>
        <c:axId val="12988527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424"/>
        <c:crosses val="autoZero"/>
        <c:auto val="1"/>
        <c:lblAlgn val="ctr"/>
        <c:lblOffset val="100"/>
        <c:noMultiLvlLbl val="0"/>
      </c:catAx>
      <c:valAx>
        <c:axId val="1298852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fr-FR"/>
    </a:p>
  </c:txPr>
  <c:externalData r:id="rId3">
    <c:autoUpdate val="0"/>
  </c:externalData>
  <c:userShapes r:id="rId4"/>
</c:chartSpace>
</file>

<file path=word/charts/chart2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'[240615 Revue PNDS - Working Document.xlsx]Sheet1'!$B$2</c:f>
              <c:strCache>
                <c:ptCount val="1"/>
                <c:pt idx="0">
                  <c:v>Valeurs cibles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4"/>
              <c:spPr>
                <a:solidFill>
                  <a:schemeClr val="bg1">
                    <a:lumMod val="6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5-C7FF-404A-8387-DB2BEFB12C59}"/>
                </c:ext>
              </c:extLst>
            </c:dLbl>
            <c:dLbl>
              <c:idx val="5"/>
              <c:spPr>
                <a:solidFill>
                  <a:schemeClr val="bg1">
                    <a:lumMod val="6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6-C7FF-404A-8387-DB2BEFB12C59}"/>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Document.xlsx]Sheet1'!$B$55:$G$55</c:f>
              <c:numCache>
                <c:formatCode>General</c:formatCode>
                <c:ptCount val="6"/>
                <c:pt idx="0">
                  <c:v>2019</c:v>
                </c:pt>
                <c:pt idx="1">
                  <c:v>2021</c:v>
                </c:pt>
                <c:pt idx="2">
                  <c:v>2022</c:v>
                </c:pt>
                <c:pt idx="3">
                  <c:v>2023</c:v>
                </c:pt>
                <c:pt idx="4">
                  <c:v>2024</c:v>
                </c:pt>
                <c:pt idx="5">
                  <c:v>2025</c:v>
                </c:pt>
              </c:numCache>
            </c:numRef>
          </c:cat>
          <c:val>
            <c:numRef>
              <c:f>'[240615 Revue PNDS - Working Document.xlsx]Sheet1'!$B$61:$G$61</c:f>
              <c:numCache>
                <c:formatCode>0%</c:formatCode>
                <c:ptCount val="6"/>
                <c:pt idx="0" formatCode="0.0%">
                  <c:v>0.74</c:v>
                </c:pt>
                <c:pt idx="1">
                  <c:v>0.8</c:v>
                </c:pt>
                <c:pt idx="2">
                  <c:v>0.82</c:v>
                </c:pt>
                <c:pt idx="3">
                  <c:v>0.84</c:v>
                </c:pt>
                <c:pt idx="4">
                  <c:v>0.85</c:v>
                </c:pt>
                <c:pt idx="5">
                  <c:v>0.85</c:v>
                </c:pt>
              </c:numCache>
            </c:numRef>
          </c:val>
          <c:smooth val="0"/>
          <c:extLst>
            <c:ext xmlns:c16="http://schemas.microsoft.com/office/drawing/2014/chart" uri="{C3380CC4-5D6E-409C-BE32-E72D297353CC}">
              <c16:uniqueId val="{00000000-C7FF-404A-8387-DB2BEFB12C59}"/>
            </c:ext>
          </c:extLst>
        </c:ser>
        <c:ser>
          <c:idx val="1"/>
          <c:order val="1"/>
          <c:tx>
            <c:strRef>
              <c:f>'[240615 Revue PNDS - Working Document.xlsx]Sheet1'!$H$59</c:f>
              <c:strCache>
                <c:ptCount val="1"/>
                <c:pt idx="0">
                  <c:v>Valeurs observées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0.10631104898573437"/>
                  <c:y val="0.1558727951654864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7FF-404A-8387-DB2BEFB12C59}"/>
                </c:ext>
              </c:extLst>
            </c:dLbl>
            <c:dLbl>
              <c:idx val="2"/>
              <c:layout>
                <c:manualLayout>
                  <c:x val="-7.767826444743807E-2"/>
                  <c:y val="0.1319015606469087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7FF-404A-8387-DB2BEFB12C59}"/>
                </c:ext>
              </c:extLst>
            </c:dLbl>
            <c:dLbl>
              <c:idx val="3"/>
              <c:layout>
                <c:manualLayout>
                  <c:x val="-1.3241723453144751E-3"/>
                  <c:y val="0.14788238365929388"/>
                </c:manualLayout>
              </c:layout>
              <c:spPr>
                <a:solidFill>
                  <a:schemeClr val="accent6">
                    <a:lumMod val="7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4-C7FF-404A-8387-DB2BEFB12C59}"/>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Document.xlsx]Sheet1'!$B$55:$G$55</c:f>
              <c:numCache>
                <c:formatCode>General</c:formatCode>
                <c:ptCount val="6"/>
                <c:pt idx="0">
                  <c:v>2019</c:v>
                </c:pt>
                <c:pt idx="1">
                  <c:v>2021</c:v>
                </c:pt>
                <c:pt idx="2">
                  <c:v>2022</c:v>
                </c:pt>
                <c:pt idx="3">
                  <c:v>2023</c:v>
                </c:pt>
                <c:pt idx="4">
                  <c:v>2024</c:v>
                </c:pt>
                <c:pt idx="5">
                  <c:v>2025</c:v>
                </c:pt>
              </c:numCache>
            </c:numRef>
          </c:cat>
          <c:val>
            <c:numRef>
              <c:f>'[240615 Revue PNDS - Working Document.xlsx]Sheet1'!$H$61:$M$61</c:f>
              <c:numCache>
                <c:formatCode>0%</c:formatCode>
                <c:ptCount val="6"/>
                <c:pt idx="1">
                  <c:v>0.78</c:v>
                </c:pt>
                <c:pt idx="2">
                  <c:v>0.75</c:v>
                </c:pt>
                <c:pt idx="3">
                  <c:v>0.75</c:v>
                </c:pt>
              </c:numCache>
            </c:numRef>
          </c:val>
          <c:smooth val="0"/>
          <c:extLst>
            <c:ext xmlns:c16="http://schemas.microsoft.com/office/drawing/2014/chart" uri="{C3380CC4-5D6E-409C-BE32-E72D297353CC}">
              <c16:uniqueId val="{00000001-C7FF-404A-8387-DB2BEFB12C59}"/>
            </c:ext>
          </c:extLst>
        </c:ser>
        <c:dLbls>
          <c:dLblPos val="t"/>
          <c:showLegendKey val="0"/>
          <c:showVal val="1"/>
          <c:showCatName val="0"/>
          <c:showSerName val="0"/>
          <c:showPercent val="0"/>
          <c:showBubbleSize val="0"/>
        </c:dLbls>
        <c:marker val="1"/>
        <c:smooth val="0"/>
        <c:axId val="1298852784"/>
        <c:axId val="1298852424"/>
      </c:lineChart>
      <c:catAx>
        <c:axId val="12988527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424"/>
        <c:crosses val="autoZero"/>
        <c:auto val="1"/>
        <c:lblAlgn val="ctr"/>
        <c:lblOffset val="100"/>
        <c:noMultiLvlLbl val="0"/>
      </c:catAx>
      <c:valAx>
        <c:axId val="1298852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fr-FR"/>
    </a:p>
  </c:txPr>
  <c:externalData r:id="rId3">
    <c:autoUpdate val="0"/>
  </c:externalData>
  <c:userShapes r:id="rId4"/>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302800821025477E-2"/>
          <c:y val="0.16708333333333336"/>
          <c:w val="0.87060366646175091"/>
          <c:h val="0.61498432487605714"/>
        </c:manualLayout>
      </c:layout>
      <c:barChart>
        <c:barDir val="col"/>
        <c:grouping val="clustered"/>
        <c:varyColors val="0"/>
        <c:ser>
          <c:idx val="2"/>
          <c:order val="2"/>
          <c:tx>
            <c:strRef>
              <c:f>'\C_ORDI 2_28_11_2023\2021 02 15_ANCIEN ORD\Documents\SCE  SE\INDICATEURS\[DONNEES 2001_2021++++.xls]EVOLUTION INCIDENCE TB'!$E$66</c:f>
              <c:strCache>
                <c:ptCount val="1"/>
                <c:pt idx="0">
                  <c:v>cas manquants</c:v>
                </c:pt>
              </c:strCache>
            </c:strRef>
          </c:tx>
          <c:spPr>
            <a:solidFill>
              <a:srgbClr val="ED7D31">
                <a:lumMod val="40000"/>
                <a:lumOff val="60000"/>
              </a:srgbClr>
            </a:solidFill>
            <a:ln>
              <a:solidFill>
                <a:srgbClr val="ED7D31">
                  <a:lumMod val="40000"/>
                  <a:lumOff val="60000"/>
                </a:srgb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'\C_ORDI 2_28_11_2023\2021 02 15_ANCIEN ORD\Documents\SCE  SE\INDICATEURS\[DONNEES 2001_2021++++.xls]EVOLUTION INCIDENCE TB'!$F$63:$I$63</c:f>
              <c:numCache>
                <c:formatCode>General</c:formatCode>
                <c:ptCount val="4"/>
                <c:pt idx="0">
                  <c:v>2019</c:v>
                </c:pt>
                <c:pt idx="1">
                  <c:v>2020</c:v>
                </c:pt>
                <c:pt idx="2">
                  <c:v>2021</c:v>
                </c:pt>
                <c:pt idx="3">
                  <c:v>2022</c:v>
                </c:pt>
              </c:numCache>
            </c:numRef>
          </c:cat>
          <c:val>
            <c:numRef>
              <c:f>'\C_ORDI 2_28_11_2023\2021 02 15_ANCIEN ORD\Documents\SCE  SE\INDICATEURS\[DONNEES 2001_2021++++.xls]EVOLUTION INCIDENCE TB'!$F$66:$I$66</c:f>
              <c:numCache>
                <c:formatCode>General</c:formatCode>
                <c:ptCount val="4"/>
                <c:pt idx="0">
                  <c:v>14792</c:v>
                </c:pt>
                <c:pt idx="1">
                  <c:v>16283</c:v>
                </c:pt>
                <c:pt idx="2">
                  <c:v>14271</c:v>
                </c:pt>
                <c:pt idx="3">
                  <c:v>13171</c:v>
                </c:pt>
              </c:numCache>
            </c:numRef>
          </c:val>
          <c:extLst>
            <c:ext xmlns:c16="http://schemas.microsoft.com/office/drawing/2014/chart" uri="{C3380CC4-5D6E-409C-BE32-E72D297353CC}">
              <c16:uniqueId val="{00000004-369F-4644-B831-F367AD881A7B}"/>
            </c:ext>
          </c:extLst>
        </c:ser>
        <c:dLbls>
          <c:showLegendKey val="0"/>
          <c:showVal val="1"/>
          <c:showCatName val="0"/>
          <c:showSerName val="0"/>
          <c:showPercent val="0"/>
          <c:showBubbleSize val="0"/>
        </c:dLbls>
        <c:gapWidth val="219"/>
        <c:axId val="563483952"/>
        <c:axId val="527019936"/>
      </c:barChart>
      <c:lineChart>
        <c:grouping val="standard"/>
        <c:varyColors val="0"/>
        <c:ser>
          <c:idx val="0"/>
          <c:order val="0"/>
          <c:tx>
            <c:strRef>
              <c:f>'\C_ORDI 2_28_11_2023\2021 02 15_ANCIEN ORD\Documents\SCE  SE\INDICATEURS\[DONNEES 2001_2021++++.xls]EVOLUTION INCIDENCE TB'!$E$64</c:f>
              <c:strCache>
                <c:ptCount val="1"/>
                <c:pt idx="0">
                  <c:v>Nombre de cas estimés</c:v>
                </c:pt>
              </c:strCache>
            </c:strRef>
          </c:tx>
          <c:spPr>
            <a:ln w="28575" cap="rnd">
              <a:solidFill>
                <a:srgbClr val="70AD47">
                  <a:lumMod val="40000"/>
                  <a:lumOff val="60000"/>
                </a:srgbClr>
              </a:solidFill>
              <a:round/>
            </a:ln>
            <a:effectLst/>
          </c:spPr>
          <c:marker>
            <c:symbol val="none"/>
          </c:marker>
          <c:dLbls>
            <c:dLbl>
              <c:idx val="0"/>
              <c:layout>
                <c:manualLayout>
                  <c:x val="-5.2777777777777778E-2"/>
                  <c:y val="-5.09259259259259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69F-4644-B831-F367AD881A7B}"/>
                </c:ext>
              </c:extLst>
            </c:dLbl>
            <c:dLbl>
              <c:idx val="1"/>
              <c:layout>
                <c:manualLayout>
                  <c:x val="-4.1666666666666768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69F-4644-B831-F367AD881A7B}"/>
                </c:ext>
              </c:extLst>
            </c:dLbl>
            <c:dLbl>
              <c:idx val="2"/>
              <c:layout>
                <c:manualLayout>
                  <c:x val="-5.2777777777777778E-2"/>
                  <c:y val="-3.24074074074074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69F-4644-B831-F367AD881A7B}"/>
                </c:ext>
              </c:extLst>
            </c:dLbl>
            <c:dLbl>
              <c:idx val="3"/>
              <c:layout>
                <c:manualLayout>
                  <c:x val="-4.1666666666666664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69F-4644-B831-F367AD881A7B}"/>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'\C_ORDI 2_28_11_2023\2021 02 15_ANCIEN ORD\Documents\SCE  SE\INDICATEURS\[DONNEES 2001_2021++++.xls]EVOLUTION INCIDENCE TB'!$F$63:$I$63</c:f>
              <c:numCache>
                <c:formatCode>General</c:formatCode>
                <c:ptCount val="4"/>
                <c:pt idx="0">
                  <c:v>2019</c:v>
                </c:pt>
                <c:pt idx="1">
                  <c:v>2020</c:v>
                </c:pt>
                <c:pt idx="2">
                  <c:v>2021</c:v>
                </c:pt>
                <c:pt idx="3">
                  <c:v>2022</c:v>
                </c:pt>
              </c:numCache>
            </c:numRef>
          </c:cat>
          <c:val>
            <c:numRef>
              <c:f>'\C_ORDI 2_28_11_2023\2021 02 15_ANCIEN ORD\Documents\SCE  SE\INDICATEURS\[DONNEES 2001_2021++++.xls]EVOLUTION INCIDENCE TB'!$F$64:$I$64</c:f>
              <c:numCache>
                <c:formatCode>General</c:formatCode>
                <c:ptCount val="4"/>
                <c:pt idx="0">
                  <c:v>36000</c:v>
                </c:pt>
                <c:pt idx="1">
                  <c:v>36000</c:v>
                </c:pt>
                <c:pt idx="2">
                  <c:v>35000</c:v>
                </c:pt>
                <c:pt idx="3">
                  <c:v>35000</c:v>
                </c:pt>
              </c:numCache>
            </c:numRef>
          </c:val>
          <c:smooth val="0"/>
          <c:extLst>
            <c:ext xmlns:c16="http://schemas.microsoft.com/office/drawing/2014/chart" uri="{C3380CC4-5D6E-409C-BE32-E72D297353CC}">
              <c16:uniqueId val="{00000009-369F-4644-B831-F367AD881A7B}"/>
            </c:ext>
          </c:extLst>
        </c:ser>
        <c:ser>
          <c:idx val="1"/>
          <c:order val="1"/>
          <c:tx>
            <c:strRef>
              <c:f>'\C_ORDI 2_28_11_2023\2021 02 15_ANCIEN ORD\Documents\SCE  SE\INDICATEURS\[DONNEES 2001_2021++++.xls]EVOLUTION INCIDENCE TB'!$E$65</c:f>
              <c:strCache>
                <c:ptCount val="1"/>
                <c:pt idx="0">
                  <c:v>Nombre de cas notifiés</c:v>
                </c:pt>
              </c:strCache>
            </c:strRef>
          </c:tx>
          <c:spPr>
            <a:ln w="28575" cap="rnd">
              <a:solidFill>
                <a:srgbClr val="70AD47">
                  <a:lumMod val="75000"/>
                </a:srgbClr>
              </a:solidFill>
              <a:round/>
            </a:ln>
            <a:effectLst/>
          </c:spPr>
          <c:marker>
            <c:symbol val="none"/>
          </c:marker>
          <c:dLbls>
            <c:dLbl>
              <c:idx val="0"/>
              <c:layout>
                <c:manualLayout>
                  <c:x val="-5.2434114796306018E-2"/>
                  <c:y val="-5.07451017206942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69F-4644-B831-F367AD881A7B}"/>
                </c:ext>
              </c:extLst>
            </c:dLbl>
            <c:dLbl>
              <c:idx val="1"/>
              <c:layout>
                <c:manualLayout>
                  <c:x val="-4.9713548239619348E-2"/>
                  <c:y val="-4.62964195464586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69F-4644-B831-F367AD881A7B}"/>
                </c:ext>
              </c:extLst>
            </c:dLbl>
            <c:dLbl>
              <c:idx val="2"/>
              <c:layout>
                <c:manualLayout>
                  <c:x val="-5.5555522098934669E-2"/>
                  <c:y val="-3.43566100290095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69F-4644-B831-F367AD881A7B}"/>
                </c:ext>
              </c:extLst>
            </c:dLbl>
            <c:dLbl>
              <c:idx val="3"/>
              <c:layout>
                <c:manualLayout>
                  <c:x val="-3.6111111111111108E-2"/>
                  <c:y val="-4.1666666666666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69F-4644-B831-F367AD881A7B}"/>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'\C_ORDI 2_28_11_2023\2021 02 15_ANCIEN ORD\Documents\SCE  SE\INDICATEURS\[DONNEES 2001_2021++++.xls]EVOLUTION INCIDENCE TB'!$F$63:$I$63</c:f>
              <c:numCache>
                <c:formatCode>General</c:formatCode>
                <c:ptCount val="4"/>
                <c:pt idx="0">
                  <c:v>2019</c:v>
                </c:pt>
                <c:pt idx="1">
                  <c:v>2020</c:v>
                </c:pt>
                <c:pt idx="2">
                  <c:v>2021</c:v>
                </c:pt>
                <c:pt idx="3">
                  <c:v>2022</c:v>
                </c:pt>
              </c:numCache>
            </c:numRef>
          </c:cat>
          <c:val>
            <c:numRef>
              <c:f>'\C_ORDI 2_28_11_2023\2021 02 15_ANCIEN ORD\Documents\SCE  SE\INDICATEURS\[DONNEES 2001_2021++++.xls]EVOLUTION INCIDENCE TB'!$F$65:$I$65</c:f>
              <c:numCache>
                <c:formatCode>General</c:formatCode>
                <c:ptCount val="4"/>
                <c:pt idx="0">
                  <c:v>21208</c:v>
                </c:pt>
                <c:pt idx="1">
                  <c:v>19717</c:v>
                </c:pt>
                <c:pt idx="2">
                  <c:v>20729</c:v>
                </c:pt>
                <c:pt idx="3">
                  <c:v>21829</c:v>
                </c:pt>
              </c:numCache>
            </c:numRef>
          </c:val>
          <c:smooth val="0"/>
          <c:extLst>
            <c:ext xmlns:c16="http://schemas.microsoft.com/office/drawing/2014/chart" uri="{C3380CC4-5D6E-409C-BE32-E72D297353CC}">
              <c16:uniqueId val="{0000000E-369F-4644-B831-F367AD881A7B}"/>
            </c:ext>
          </c:extLst>
        </c:ser>
        <c:dLbls>
          <c:showLegendKey val="0"/>
          <c:showVal val="1"/>
          <c:showCatName val="0"/>
          <c:showSerName val="0"/>
          <c:showPercent val="0"/>
          <c:showBubbleSize val="0"/>
        </c:dLbls>
        <c:marker val="1"/>
        <c:smooth val="0"/>
        <c:axId val="563483952"/>
        <c:axId val="527019936"/>
      </c:lineChart>
      <c:catAx>
        <c:axId val="56348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crossAx val="527019936"/>
        <c:crosses val="autoZero"/>
        <c:auto val="1"/>
        <c:lblAlgn val="ctr"/>
        <c:lblOffset val="100"/>
        <c:noMultiLvlLbl val="0"/>
      </c:catAx>
      <c:valAx>
        <c:axId val="527019936"/>
        <c:scaling>
          <c:orientation val="minMax"/>
        </c:scaling>
        <c:delete val="1"/>
        <c:axPos val="l"/>
        <c:numFmt formatCode="General" sourceLinked="1"/>
        <c:majorTickMark val="none"/>
        <c:minorTickMark val="none"/>
        <c:tickLblPos val="nextTo"/>
        <c:crossAx val="563483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fr-FR"/>
    </a:p>
  </c:txPr>
  <c:externalData r:id="rId4">
    <c:autoUpdate val="0"/>
  </c:externalData>
</c:chartSpace>
</file>

<file path=word/charts/chart2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302800821025477E-2"/>
          <c:y val="0.16708333333333336"/>
          <c:w val="0.87060366646175091"/>
          <c:h val="0.61498432487605714"/>
        </c:manualLayout>
      </c:layout>
      <c:barChart>
        <c:barDir val="col"/>
        <c:grouping val="clustered"/>
        <c:varyColors val="0"/>
        <c:ser>
          <c:idx val="2"/>
          <c:order val="2"/>
          <c:tx>
            <c:strRef>
              <c:f>'\C_ORDI 2_28_11_2023\2021 02 15_ANCIEN ORD\Documents\SCE  SE\INDICATEURS\[DONNEES 2001_2021++++.xls]EVOLUTION INCIDENCE TB'!$E$66</c:f>
              <c:strCache>
                <c:ptCount val="1"/>
                <c:pt idx="0">
                  <c:v>cas manquants</c:v>
                </c:pt>
              </c:strCache>
            </c:strRef>
          </c:tx>
          <c:spPr>
            <a:solidFill>
              <a:srgbClr val="ED7D31">
                <a:lumMod val="40000"/>
                <a:lumOff val="60000"/>
              </a:srgbClr>
            </a:solidFill>
            <a:ln>
              <a:solidFill>
                <a:srgbClr val="ED7D31">
                  <a:lumMod val="40000"/>
                  <a:lumOff val="60000"/>
                </a:srgb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'\C_ORDI 2_28_11_2023\2021 02 15_ANCIEN ORD\Documents\SCE  SE\INDICATEURS\[DONNEES 2001_2021++++.xls]EVOLUTION INCIDENCE TB'!$F$63:$I$63</c:f>
              <c:numCache>
                <c:formatCode>General</c:formatCode>
                <c:ptCount val="4"/>
                <c:pt idx="0">
                  <c:v>2019</c:v>
                </c:pt>
                <c:pt idx="1">
                  <c:v>2020</c:v>
                </c:pt>
                <c:pt idx="2">
                  <c:v>2021</c:v>
                </c:pt>
                <c:pt idx="3">
                  <c:v>2022</c:v>
                </c:pt>
              </c:numCache>
            </c:numRef>
          </c:cat>
          <c:val>
            <c:numRef>
              <c:f>'\C_ORDI 2_28_11_2023\2021 02 15_ANCIEN ORD\Documents\SCE  SE\INDICATEURS\[DONNEES 2001_2021++++.xls]EVOLUTION INCIDENCE TB'!$F$66:$I$66</c:f>
              <c:numCache>
                <c:formatCode>General</c:formatCode>
                <c:ptCount val="4"/>
                <c:pt idx="0">
                  <c:v>14792</c:v>
                </c:pt>
                <c:pt idx="1">
                  <c:v>16283</c:v>
                </c:pt>
                <c:pt idx="2">
                  <c:v>14271</c:v>
                </c:pt>
                <c:pt idx="3">
                  <c:v>13171</c:v>
                </c:pt>
              </c:numCache>
            </c:numRef>
          </c:val>
          <c:extLst>
            <c:ext xmlns:c16="http://schemas.microsoft.com/office/drawing/2014/chart" uri="{C3380CC4-5D6E-409C-BE32-E72D297353CC}">
              <c16:uniqueId val="{00000004-369F-4644-B831-F367AD881A7B}"/>
            </c:ext>
          </c:extLst>
        </c:ser>
        <c:dLbls>
          <c:showLegendKey val="0"/>
          <c:showVal val="1"/>
          <c:showCatName val="0"/>
          <c:showSerName val="0"/>
          <c:showPercent val="0"/>
          <c:showBubbleSize val="0"/>
        </c:dLbls>
        <c:gapWidth val="219"/>
        <c:axId val="563483952"/>
        <c:axId val="527019936"/>
      </c:barChart>
      <c:lineChart>
        <c:grouping val="standard"/>
        <c:varyColors val="0"/>
        <c:ser>
          <c:idx val="0"/>
          <c:order val="0"/>
          <c:tx>
            <c:strRef>
              <c:f>'\C_ORDI 2_28_11_2023\2021 02 15_ANCIEN ORD\Documents\SCE  SE\INDICATEURS\[DONNEES 2001_2021++++.xls]EVOLUTION INCIDENCE TB'!$E$64</c:f>
              <c:strCache>
                <c:ptCount val="1"/>
                <c:pt idx="0">
                  <c:v>Nombre de cas estimés</c:v>
                </c:pt>
              </c:strCache>
            </c:strRef>
          </c:tx>
          <c:spPr>
            <a:ln w="28575" cap="rnd">
              <a:solidFill>
                <a:srgbClr val="70AD47">
                  <a:lumMod val="40000"/>
                  <a:lumOff val="60000"/>
                </a:srgbClr>
              </a:solidFill>
              <a:round/>
            </a:ln>
            <a:effectLst/>
          </c:spPr>
          <c:marker>
            <c:symbol val="none"/>
          </c:marker>
          <c:dLbls>
            <c:dLbl>
              <c:idx val="0"/>
              <c:layout>
                <c:manualLayout>
                  <c:x val="-5.2777777777777778E-2"/>
                  <c:y val="-5.09259259259259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69F-4644-B831-F367AD881A7B}"/>
                </c:ext>
              </c:extLst>
            </c:dLbl>
            <c:dLbl>
              <c:idx val="1"/>
              <c:layout>
                <c:manualLayout>
                  <c:x val="-4.1666666666666768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69F-4644-B831-F367AD881A7B}"/>
                </c:ext>
              </c:extLst>
            </c:dLbl>
            <c:dLbl>
              <c:idx val="2"/>
              <c:layout>
                <c:manualLayout>
                  <c:x val="-5.2777777777777778E-2"/>
                  <c:y val="-3.24074074074074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69F-4644-B831-F367AD881A7B}"/>
                </c:ext>
              </c:extLst>
            </c:dLbl>
            <c:dLbl>
              <c:idx val="3"/>
              <c:layout>
                <c:manualLayout>
                  <c:x val="-4.1666666666666664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69F-4644-B831-F367AD881A7B}"/>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'\C_ORDI 2_28_11_2023\2021 02 15_ANCIEN ORD\Documents\SCE  SE\INDICATEURS\[DONNEES 2001_2021++++.xls]EVOLUTION INCIDENCE TB'!$F$63:$I$63</c:f>
              <c:numCache>
                <c:formatCode>General</c:formatCode>
                <c:ptCount val="4"/>
                <c:pt idx="0">
                  <c:v>2019</c:v>
                </c:pt>
                <c:pt idx="1">
                  <c:v>2020</c:v>
                </c:pt>
                <c:pt idx="2">
                  <c:v>2021</c:v>
                </c:pt>
                <c:pt idx="3">
                  <c:v>2022</c:v>
                </c:pt>
              </c:numCache>
            </c:numRef>
          </c:cat>
          <c:val>
            <c:numRef>
              <c:f>'\C_ORDI 2_28_11_2023\2021 02 15_ANCIEN ORD\Documents\SCE  SE\INDICATEURS\[DONNEES 2001_2021++++.xls]EVOLUTION INCIDENCE TB'!$F$64:$I$64</c:f>
              <c:numCache>
                <c:formatCode>General</c:formatCode>
                <c:ptCount val="4"/>
                <c:pt idx="0">
                  <c:v>36000</c:v>
                </c:pt>
                <c:pt idx="1">
                  <c:v>36000</c:v>
                </c:pt>
                <c:pt idx="2">
                  <c:v>35000</c:v>
                </c:pt>
                <c:pt idx="3">
                  <c:v>35000</c:v>
                </c:pt>
              </c:numCache>
            </c:numRef>
          </c:val>
          <c:smooth val="0"/>
          <c:extLst>
            <c:ext xmlns:c16="http://schemas.microsoft.com/office/drawing/2014/chart" uri="{C3380CC4-5D6E-409C-BE32-E72D297353CC}">
              <c16:uniqueId val="{00000009-369F-4644-B831-F367AD881A7B}"/>
            </c:ext>
          </c:extLst>
        </c:ser>
        <c:ser>
          <c:idx val="1"/>
          <c:order val="1"/>
          <c:tx>
            <c:strRef>
              <c:f>'\C_ORDI 2_28_11_2023\2021 02 15_ANCIEN ORD\Documents\SCE  SE\INDICATEURS\[DONNEES 2001_2021++++.xls]EVOLUTION INCIDENCE TB'!$E$65</c:f>
              <c:strCache>
                <c:ptCount val="1"/>
                <c:pt idx="0">
                  <c:v>Nombre de cas notifiés</c:v>
                </c:pt>
              </c:strCache>
            </c:strRef>
          </c:tx>
          <c:spPr>
            <a:ln w="28575" cap="rnd">
              <a:solidFill>
                <a:srgbClr val="70AD47">
                  <a:lumMod val="75000"/>
                </a:srgbClr>
              </a:solidFill>
              <a:round/>
            </a:ln>
            <a:effectLst/>
          </c:spPr>
          <c:marker>
            <c:symbol val="none"/>
          </c:marker>
          <c:dLbls>
            <c:dLbl>
              <c:idx val="0"/>
              <c:layout>
                <c:manualLayout>
                  <c:x val="-5.2434114796306018E-2"/>
                  <c:y val="-5.07451017206942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69F-4644-B831-F367AD881A7B}"/>
                </c:ext>
              </c:extLst>
            </c:dLbl>
            <c:dLbl>
              <c:idx val="1"/>
              <c:layout>
                <c:manualLayout>
                  <c:x val="-4.9713548239619348E-2"/>
                  <c:y val="-4.62964195464586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69F-4644-B831-F367AD881A7B}"/>
                </c:ext>
              </c:extLst>
            </c:dLbl>
            <c:dLbl>
              <c:idx val="2"/>
              <c:layout>
                <c:manualLayout>
                  <c:x val="-5.5555522098934669E-2"/>
                  <c:y val="-3.43566100290095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69F-4644-B831-F367AD881A7B}"/>
                </c:ext>
              </c:extLst>
            </c:dLbl>
            <c:dLbl>
              <c:idx val="3"/>
              <c:layout>
                <c:manualLayout>
                  <c:x val="-3.6111111111111108E-2"/>
                  <c:y val="-4.1666666666666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69F-4644-B831-F367AD881A7B}"/>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'\C_ORDI 2_28_11_2023\2021 02 15_ANCIEN ORD\Documents\SCE  SE\INDICATEURS\[DONNEES 2001_2021++++.xls]EVOLUTION INCIDENCE TB'!$F$63:$I$63</c:f>
              <c:numCache>
                <c:formatCode>General</c:formatCode>
                <c:ptCount val="4"/>
                <c:pt idx="0">
                  <c:v>2019</c:v>
                </c:pt>
                <c:pt idx="1">
                  <c:v>2020</c:v>
                </c:pt>
                <c:pt idx="2">
                  <c:v>2021</c:v>
                </c:pt>
                <c:pt idx="3">
                  <c:v>2022</c:v>
                </c:pt>
              </c:numCache>
            </c:numRef>
          </c:cat>
          <c:val>
            <c:numRef>
              <c:f>'\C_ORDI 2_28_11_2023\2021 02 15_ANCIEN ORD\Documents\SCE  SE\INDICATEURS\[DONNEES 2001_2021++++.xls]EVOLUTION INCIDENCE TB'!$F$65:$I$65</c:f>
              <c:numCache>
                <c:formatCode>General</c:formatCode>
                <c:ptCount val="4"/>
                <c:pt idx="0">
                  <c:v>21208</c:v>
                </c:pt>
                <c:pt idx="1">
                  <c:v>19717</c:v>
                </c:pt>
                <c:pt idx="2">
                  <c:v>20729</c:v>
                </c:pt>
                <c:pt idx="3">
                  <c:v>21829</c:v>
                </c:pt>
              </c:numCache>
            </c:numRef>
          </c:val>
          <c:smooth val="0"/>
          <c:extLst>
            <c:ext xmlns:c16="http://schemas.microsoft.com/office/drawing/2014/chart" uri="{C3380CC4-5D6E-409C-BE32-E72D297353CC}">
              <c16:uniqueId val="{0000000E-369F-4644-B831-F367AD881A7B}"/>
            </c:ext>
          </c:extLst>
        </c:ser>
        <c:dLbls>
          <c:showLegendKey val="0"/>
          <c:showVal val="1"/>
          <c:showCatName val="0"/>
          <c:showSerName val="0"/>
          <c:showPercent val="0"/>
          <c:showBubbleSize val="0"/>
        </c:dLbls>
        <c:marker val="1"/>
        <c:smooth val="0"/>
        <c:axId val="563483952"/>
        <c:axId val="527019936"/>
      </c:lineChart>
      <c:catAx>
        <c:axId val="56348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crossAx val="527019936"/>
        <c:crosses val="autoZero"/>
        <c:auto val="1"/>
        <c:lblAlgn val="ctr"/>
        <c:lblOffset val="100"/>
        <c:noMultiLvlLbl val="0"/>
      </c:catAx>
      <c:valAx>
        <c:axId val="527019936"/>
        <c:scaling>
          <c:orientation val="minMax"/>
        </c:scaling>
        <c:delete val="1"/>
        <c:axPos val="l"/>
        <c:numFmt formatCode="General" sourceLinked="1"/>
        <c:majorTickMark val="none"/>
        <c:minorTickMark val="none"/>
        <c:tickLblPos val="nextTo"/>
        <c:crossAx val="563483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fr-FR"/>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'[240615 Revue PNDS - Working Document.xlsx]Sheet1'!$B$2</c:f>
              <c:strCache>
                <c:ptCount val="1"/>
                <c:pt idx="0">
                  <c:v>Valeurs cibles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8.7372661648628114E-2"/>
                  <c:y val="8.92253636834720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AB5-4D99-A12D-D20E13AC292E}"/>
                </c:ext>
              </c:extLst>
            </c:dLbl>
            <c:dLbl>
              <c:idx val="2"/>
              <c:layout>
                <c:manualLayout>
                  <c:x val="-7.1052792207583593E-2"/>
                  <c:y val="0.1373794567813854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AB5-4D99-A12D-D20E13AC292E}"/>
                </c:ext>
              </c:extLst>
            </c:dLbl>
            <c:dLbl>
              <c:idx val="4"/>
              <c:spPr>
                <a:solidFill>
                  <a:schemeClr val="bg1">
                    <a:lumMod val="6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6-CAB5-4D99-A12D-D20E13AC292E}"/>
                </c:ext>
              </c:extLst>
            </c:dLbl>
            <c:dLbl>
              <c:idx val="5"/>
              <c:spPr>
                <a:solidFill>
                  <a:schemeClr val="bg1">
                    <a:lumMod val="6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7-CAB5-4D99-A12D-D20E13AC292E}"/>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Document.xlsx]Sheet1'!$B$66:$G$66</c:f>
              <c:numCache>
                <c:formatCode>General</c:formatCode>
                <c:ptCount val="6"/>
                <c:pt idx="0">
                  <c:v>2010</c:v>
                </c:pt>
                <c:pt idx="1">
                  <c:v>2021</c:v>
                </c:pt>
                <c:pt idx="2">
                  <c:v>2022</c:v>
                </c:pt>
                <c:pt idx="3">
                  <c:v>2023</c:v>
                </c:pt>
                <c:pt idx="4">
                  <c:v>2024</c:v>
                </c:pt>
                <c:pt idx="5">
                  <c:v>2025</c:v>
                </c:pt>
              </c:numCache>
            </c:numRef>
          </c:cat>
          <c:val>
            <c:numRef>
              <c:f>'[240615 Revue PNDS - Working Document.xlsx]Sheet1'!$B$67:$G$67</c:f>
              <c:numCache>
                <c:formatCode>0%</c:formatCode>
                <c:ptCount val="6"/>
                <c:pt idx="0" formatCode="0.0%">
                  <c:v>0.191</c:v>
                </c:pt>
                <c:pt idx="1">
                  <c:v>0.12</c:v>
                </c:pt>
                <c:pt idx="2">
                  <c:v>0.12</c:v>
                </c:pt>
                <c:pt idx="3">
                  <c:v>0.1</c:v>
                </c:pt>
                <c:pt idx="4">
                  <c:v>0.1</c:v>
                </c:pt>
                <c:pt idx="5">
                  <c:v>0.08</c:v>
                </c:pt>
              </c:numCache>
            </c:numRef>
          </c:val>
          <c:smooth val="0"/>
          <c:extLst>
            <c:ext xmlns:c16="http://schemas.microsoft.com/office/drawing/2014/chart" uri="{C3380CC4-5D6E-409C-BE32-E72D297353CC}">
              <c16:uniqueId val="{00000000-CAB5-4D99-A12D-D20E13AC292E}"/>
            </c:ext>
          </c:extLst>
        </c:ser>
        <c:ser>
          <c:idx val="1"/>
          <c:order val="1"/>
          <c:tx>
            <c:strRef>
              <c:f>'[240615 Revue PNDS - Working Document.xlsx]Sheet1'!$H$59</c:f>
              <c:strCache>
                <c:ptCount val="1"/>
                <c:pt idx="0">
                  <c:v>Valeurs observées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5.8812890126800285E-2"/>
                  <c:y val="-0.1515451018060944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AB5-4D99-A12D-D20E13AC292E}"/>
                </c:ext>
              </c:extLst>
            </c:dLbl>
            <c:dLbl>
              <c:idx val="3"/>
              <c:layout>
                <c:manualLayout>
                  <c:x val="6.0498093846866425E-3"/>
                  <c:y val="2.8270623475436359E-2"/>
                </c:manualLayout>
              </c:layout>
              <c:spPr>
                <a:solidFill>
                  <a:schemeClr val="accent6">
                    <a:lumMod val="7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5-CAB5-4D99-A12D-D20E13AC292E}"/>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Document.xlsx]Sheet1'!$B$66:$G$66</c:f>
              <c:numCache>
                <c:formatCode>General</c:formatCode>
                <c:ptCount val="6"/>
                <c:pt idx="0">
                  <c:v>2010</c:v>
                </c:pt>
                <c:pt idx="1">
                  <c:v>2021</c:v>
                </c:pt>
                <c:pt idx="2">
                  <c:v>2022</c:v>
                </c:pt>
                <c:pt idx="3">
                  <c:v>2023</c:v>
                </c:pt>
                <c:pt idx="4">
                  <c:v>2024</c:v>
                </c:pt>
                <c:pt idx="5">
                  <c:v>2025</c:v>
                </c:pt>
              </c:numCache>
            </c:numRef>
          </c:cat>
          <c:val>
            <c:numRef>
              <c:f>'[240615 Revue PNDS - Working Document.xlsx]Sheet1'!$H$67:$M$67</c:f>
              <c:numCache>
                <c:formatCode>0%</c:formatCode>
                <c:ptCount val="6"/>
                <c:pt idx="1">
                  <c:v>0.13</c:v>
                </c:pt>
                <c:pt idx="2">
                  <c:v>0.13</c:v>
                </c:pt>
                <c:pt idx="3">
                  <c:v>4.7E-2</c:v>
                </c:pt>
              </c:numCache>
            </c:numRef>
          </c:val>
          <c:smooth val="0"/>
          <c:extLst>
            <c:ext xmlns:c16="http://schemas.microsoft.com/office/drawing/2014/chart" uri="{C3380CC4-5D6E-409C-BE32-E72D297353CC}">
              <c16:uniqueId val="{00000001-CAB5-4D99-A12D-D20E13AC292E}"/>
            </c:ext>
          </c:extLst>
        </c:ser>
        <c:dLbls>
          <c:dLblPos val="t"/>
          <c:showLegendKey val="0"/>
          <c:showVal val="1"/>
          <c:showCatName val="0"/>
          <c:showSerName val="0"/>
          <c:showPercent val="0"/>
          <c:showBubbleSize val="0"/>
        </c:dLbls>
        <c:marker val="1"/>
        <c:smooth val="0"/>
        <c:axId val="1298852784"/>
        <c:axId val="1298852424"/>
      </c:lineChart>
      <c:catAx>
        <c:axId val="12988527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424"/>
        <c:crosses val="autoZero"/>
        <c:auto val="1"/>
        <c:lblAlgn val="ctr"/>
        <c:lblOffset val="100"/>
        <c:noMultiLvlLbl val="0"/>
      </c:catAx>
      <c:valAx>
        <c:axId val="1298852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fr-FR"/>
    </a:p>
  </c:txPr>
  <c:externalData r:id="rId3">
    <c:autoUpdate val="0"/>
  </c:externalData>
  <c:userShapes r:id="rId4"/>
</c:chartSpace>
</file>

<file path=word/charts/chart2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'[240615 Revue PNDS - Working Document.xlsx]Sheet1'!$B$2</c:f>
              <c:strCache>
                <c:ptCount val="1"/>
                <c:pt idx="0">
                  <c:v>Valeurs cibles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8.7372661648628114E-2"/>
                  <c:y val="8.92253636834720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AB5-4D99-A12D-D20E13AC292E}"/>
                </c:ext>
              </c:extLst>
            </c:dLbl>
            <c:dLbl>
              <c:idx val="2"/>
              <c:layout>
                <c:manualLayout>
                  <c:x val="-7.1052792207583593E-2"/>
                  <c:y val="0.1373794567813854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AB5-4D99-A12D-D20E13AC292E}"/>
                </c:ext>
              </c:extLst>
            </c:dLbl>
            <c:dLbl>
              <c:idx val="4"/>
              <c:spPr>
                <a:solidFill>
                  <a:schemeClr val="bg1">
                    <a:lumMod val="6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6-CAB5-4D99-A12D-D20E13AC292E}"/>
                </c:ext>
              </c:extLst>
            </c:dLbl>
            <c:dLbl>
              <c:idx val="5"/>
              <c:spPr>
                <a:solidFill>
                  <a:schemeClr val="bg1">
                    <a:lumMod val="6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7-CAB5-4D99-A12D-D20E13AC292E}"/>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Document.xlsx]Sheet1'!$B$66:$G$66</c:f>
              <c:numCache>
                <c:formatCode>General</c:formatCode>
                <c:ptCount val="6"/>
                <c:pt idx="0">
                  <c:v>2010</c:v>
                </c:pt>
                <c:pt idx="1">
                  <c:v>2021</c:v>
                </c:pt>
                <c:pt idx="2">
                  <c:v>2022</c:v>
                </c:pt>
                <c:pt idx="3">
                  <c:v>2023</c:v>
                </c:pt>
                <c:pt idx="4">
                  <c:v>2024</c:v>
                </c:pt>
                <c:pt idx="5">
                  <c:v>2025</c:v>
                </c:pt>
              </c:numCache>
            </c:numRef>
          </c:cat>
          <c:val>
            <c:numRef>
              <c:f>'[240615 Revue PNDS - Working Document.xlsx]Sheet1'!$B$67:$G$67</c:f>
              <c:numCache>
                <c:formatCode>0%</c:formatCode>
                <c:ptCount val="6"/>
                <c:pt idx="0" formatCode="0.0%">
                  <c:v>0.191</c:v>
                </c:pt>
                <c:pt idx="1">
                  <c:v>0.12</c:v>
                </c:pt>
                <c:pt idx="2">
                  <c:v>0.12</c:v>
                </c:pt>
                <c:pt idx="3">
                  <c:v>0.1</c:v>
                </c:pt>
                <c:pt idx="4">
                  <c:v>0.1</c:v>
                </c:pt>
                <c:pt idx="5">
                  <c:v>0.08</c:v>
                </c:pt>
              </c:numCache>
            </c:numRef>
          </c:val>
          <c:smooth val="0"/>
          <c:extLst>
            <c:ext xmlns:c16="http://schemas.microsoft.com/office/drawing/2014/chart" uri="{C3380CC4-5D6E-409C-BE32-E72D297353CC}">
              <c16:uniqueId val="{00000000-CAB5-4D99-A12D-D20E13AC292E}"/>
            </c:ext>
          </c:extLst>
        </c:ser>
        <c:ser>
          <c:idx val="1"/>
          <c:order val="1"/>
          <c:tx>
            <c:strRef>
              <c:f>'[240615 Revue PNDS - Working Document.xlsx]Sheet1'!$H$59</c:f>
              <c:strCache>
                <c:ptCount val="1"/>
                <c:pt idx="0">
                  <c:v>Valeurs observées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5.8812890126800285E-2"/>
                  <c:y val="-0.1515451018060944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AB5-4D99-A12D-D20E13AC292E}"/>
                </c:ext>
              </c:extLst>
            </c:dLbl>
            <c:dLbl>
              <c:idx val="3"/>
              <c:layout>
                <c:manualLayout>
                  <c:x val="6.0498093846866425E-3"/>
                  <c:y val="2.8270623475436359E-2"/>
                </c:manualLayout>
              </c:layout>
              <c:spPr>
                <a:solidFill>
                  <a:schemeClr val="accent6">
                    <a:lumMod val="7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5-CAB5-4D99-A12D-D20E13AC292E}"/>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Document.xlsx]Sheet1'!$B$66:$G$66</c:f>
              <c:numCache>
                <c:formatCode>General</c:formatCode>
                <c:ptCount val="6"/>
                <c:pt idx="0">
                  <c:v>2010</c:v>
                </c:pt>
                <c:pt idx="1">
                  <c:v>2021</c:v>
                </c:pt>
                <c:pt idx="2">
                  <c:v>2022</c:v>
                </c:pt>
                <c:pt idx="3">
                  <c:v>2023</c:v>
                </c:pt>
                <c:pt idx="4">
                  <c:v>2024</c:v>
                </c:pt>
                <c:pt idx="5">
                  <c:v>2025</c:v>
                </c:pt>
              </c:numCache>
            </c:numRef>
          </c:cat>
          <c:val>
            <c:numRef>
              <c:f>'[240615 Revue PNDS - Working Document.xlsx]Sheet1'!$H$67:$M$67</c:f>
              <c:numCache>
                <c:formatCode>0%</c:formatCode>
                <c:ptCount val="6"/>
                <c:pt idx="1">
                  <c:v>0.13</c:v>
                </c:pt>
                <c:pt idx="2">
                  <c:v>0.13</c:v>
                </c:pt>
                <c:pt idx="3">
                  <c:v>4.7E-2</c:v>
                </c:pt>
              </c:numCache>
            </c:numRef>
          </c:val>
          <c:smooth val="0"/>
          <c:extLst>
            <c:ext xmlns:c16="http://schemas.microsoft.com/office/drawing/2014/chart" uri="{C3380CC4-5D6E-409C-BE32-E72D297353CC}">
              <c16:uniqueId val="{00000001-CAB5-4D99-A12D-D20E13AC292E}"/>
            </c:ext>
          </c:extLst>
        </c:ser>
        <c:dLbls>
          <c:dLblPos val="t"/>
          <c:showLegendKey val="0"/>
          <c:showVal val="1"/>
          <c:showCatName val="0"/>
          <c:showSerName val="0"/>
          <c:showPercent val="0"/>
          <c:showBubbleSize val="0"/>
        </c:dLbls>
        <c:marker val="1"/>
        <c:smooth val="0"/>
        <c:axId val="1298852784"/>
        <c:axId val="1298852424"/>
      </c:lineChart>
      <c:catAx>
        <c:axId val="12988527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424"/>
        <c:crosses val="autoZero"/>
        <c:auto val="1"/>
        <c:lblAlgn val="ctr"/>
        <c:lblOffset val="100"/>
        <c:noMultiLvlLbl val="0"/>
      </c:catAx>
      <c:valAx>
        <c:axId val="1298852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fr-FR"/>
    </a:p>
  </c:txPr>
  <c:externalData r:id="rId3">
    <c:autoUpdate val="0"/>
  </c:externalData>
  <c:userShapes r:id="rId4"/>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'[Evolution des indicateurs ODD - RAMP.xlsx]Graphiques'!$A$21</c:f>
              <c:strCache>
                <c:ptCount val="1"/>
                <c:pt idx="0">
                  <c:v>Taux de défécation à l'air libre</c:v>
                </c:pt>
              </c:strCache>
            </c:strRef>
          </c:tx>
          <c:spPr>
            <a:solidFill>
              <a:schemeClr val="accent1"/>
            </a:solidFill>
            <a:ln>
              <a:noFill/>
            </a:ln>
            <a:effectLst/>
          </c:spPr>
          <c:invertIfNegative val="0"/>
          <c:dPt>
            <c:idx val="0"/>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2-A92A-4CE2-95ED-9292897E2EBF}"/>
              </c:ext>
            </c:extLst>
          </c:dPt>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val>
            <c:numRef>
              <c:f>'[Evolution des indicateurs ODD - RAMP.xlsx]Graphiques'!$C$21,'[Evolution des indicateurs ODD - RAMP.xlsx]Graphiques'!$G$21:$I$21</c:f>
              <c:numCache>
                <c:formatCode>0%</c:formatCode>
                <c:ptCount val="4"/>
                <c:pt idx="0" formatCode="0.0%">
                  <c:v>0.21099999999999999</c:v>
                </c:pt>
                <c:pt idx="1">
                  <c:v>0.37</c:v>
                </c:pt>
                <c:pt idx="2">
                  <c:v>0.37</c:v>
                </c:pt>
                <c:pt idx="3">
                  <c:v>0.37</c:v>
                </c:pt>
              </c:numCache>
            </c:numRef>
          </c:val>
          <c:extLst>
            <c:ext xmlns:c16="http://schemas.microsoft.com/office/drawing/2014/chart" uri="{C3380CC4-5D6E-409C-BE32-E72D297353CC}">
              <c16:uniqueId val="{00000000-0131-4113-8F56-0733ED8CF354}"/>
            </c:ext>
          </c:extLst>
        </c:ser>
        <c:ser>
          <c:idx val="1"/>
          <c:order val="1"/>
          <c:tx>
            <c:strRef>
              <c:f>'[Evolution des indicateurs ODD - RAMP.xlsx]Graphiques'!$A$22</c:f>
              <c:strCache>
                <c:ptCount val="1"/>
                <c:pt idx="0">
                  <c:v>Proportion de ménages utilisant des toilettes améliorées</c:v>
                </c:pt>
              </c:strCache>
            </c:strRef>
          </c:tx>
          <c:spPr>
            <a:solidFill>
              <a:schemeClr val="bg2">
                <a:lumMod val="75000"/>
              </a:schemeClr>
            </a:solidFill>
            <a:ln>
              <a:noFill/>
            </a:ln>
            <a:effectLst/>
          </c:spPr>
          <c:invertIfNegative val="0"/>
          <c:dPt>
            <c:idx val="0"/>
            <c:invertIfNegative val="0"/>
            <c:bubble3D val="0"/>
            <c:spPr>
              <a:solidFill>
                <a:schemeClr val="bg2">
                  <a:lumMod val="90000"/>
                </a:schemeClr>
              </a:solidFill>
              <a:ln>
                <a:noFill/>
              </a:ln>
              <a:effectLst/>
            </c:spPr>
            <c:extLst>
              <c:ext xmlns:c16="http://schemas.microsoft.com/office/drawing/2014/chart" uri="{C3380CC4-5D6E-409C-BE32-E72D297353CC}">
                <c16:uniqueId val="{00000003-A92A-4CE2-95ED-9292897E2EBF}"/>
              </c:ext>
            </c:extLst>
          </c:dPt>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'[Evolution des indicateurs ODD - RAMP.xlsx]Graphiques'!$B$21,'[Evolution des indicateurs ODD - RAMP.xlsx]Graphiques'!$G$2:$I$2</c:f>
              <c:numCache>
                <c:formatCode>General</c:formatCode>
                <c:ptCount val="4"/>
                <c:pt idx="0">
                  <c:v>2016</c:v>
                </c:pt>
                <c:pt idx="1">
                  <c:v>2021</c:v>
                </c:pt>
                <c:pt idx="2">
                  <c:v>2022</c:v>
                </c:pt>
                <c:pt idx="3">
                  <c:v>2023</c:v>
                </c:pt>
              </c:numCache>
            </c:numRef>
          </c:cat>
          <c:val>
            <c:numRef>
              <c:f>'[Evolution des indicateurs ODD - RAMP.xlsx]Graphiques'!$C$22,'[Evolution des indicateurs ODD - RAMP.xlsx]Graphiques'!$G$22:$I$22</c:f>
              <c:numCache>
                <c:formatCode>0%</c:formatCode>
                <c:ptCount val="4"/>
                <c:pt idx="0">
                  <c:v>0.315</c:v>
                </c:pt>
                <c:pt idx="1">
                  <c:v>0.59</c:v>
                </c:pt>
                <c:pt idx="2">
                  <c:v>0.59</c:v>
                </c:pt>
                <c:pt idx="3">
                  <c:v>0.59</c:v>
                </c:pt>
              </c:numCache>
            </c:numRef>
          </c:val>
          <c:extLst>
            <c:ext xmlns:c16="http://schemas.microsoft.com/office/drawing/2014/chart" uri="{C3380CC4-5D6E-409C-BE32-E72D297353CC}">
              <c16:uniqueId val="{00000001-0131-4113-8F56-0733ED8CF354}"/>
            </c:ext>
          </c:extLst>
        </c:ser>
        <c:dLbls>
          <c:dLblPos val="outEnd"/>
          <c:showLegendKey val="0"/>
          <c:showVal val="1"/>
          <c:showCatName val="0"/>
          <c:showSerName val="0"/>
          <c:showPercent val="0"/>
          <c:showBubbleSize val="0"/>
        </c:dLbls>
        <c:gapWidth val="219"/>
        <c:axId val="1109130352"/>
        <c:axId val="1109130712"/>
      </c:barChart>
      <c:catAx>
        <c:axId val="110913035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09130712"/>
        <c:crosses val="autoZero"/>
        <c:auto val="1"/>
        <c:lblAlgn val="ctr"/>
        <c:lblOffset val="100"/>
        <c:noMultiLvlLbl val="0"/>
      </c:catAx>
      <c:valAx>
        <c:axId val="1109130712"/>
        <c:scaling>
          <c:orientation val="minMax"/>
        </c:scaling>
        <c:delete val="1"/>
        <c:axPos val="l"/>
        <c:numFmt formatCode="0.0%" sourceLinked="1"/>
        <c:majorTickMark val="none"/>
        <c:minorTickMark val="none"/>
        <c:tickLblPos val="nextTo"/>
        <c:crossAx val="1109130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'[240615 Revue PNDS - Working Document.xlsx]Graphes revus'!$B$2</c:f>
              <c:strCache>
                <c:ptCount val="1"/>
                <c:pt idx="0">
                  <c:v>Valeurs cibles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4"/>
              <c:spPr>
                <a:solidFill>
                  <a:schemeClr val="bg2">
                    <a:lumMod val="7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bg1"/>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6-B944-4622-B7F8-BF4E17EFABB5}"/>
                </c:ext>
              </c:extLst>
            </c:dLbl>
            <c:dLbl>
              <c:idx val="5"/>
              <c:spPr>
                <a:solidFill>
                  <a:schemeClr val="bg2">
                    <a:lumMod val="7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7-B944-4622-B7F8-BF4E17EFABB5}"/>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Document.xlsx]Graphes revus'!$B$74:$G$74</c:f>
              <c:numCache>
                <c:formatCode>General</c:formatCode>
                <c:ptCount val="6"/>
                <c:pt idx="0">
                  <c:v>2020</c:v>
                </c:pt>
                <c:pt idx="1">
                  <c:v>2021</c:v>
                </c:pt>
                <c:pt idx="2">
                  <c:v>2022</c:v>
                </c:pt>
                <c:pt idx="3">
                  <c:v>2023</c:v>
                </c:pt>
                <c:pt idx="4">
                  <c:v>2024</c:v>
                </c:pt>
                <c:pt idx="5">
                  <c:v>2025</c:v>
                </c:pt>
              </c:numCache>
            </c:numRef>
          </c:cat>
          <c:val>
            <c:numRef>
              <c:f>'[240615 Revue PNDS - Working Document.xlsx]Graphes revus'!$B$136:$G$136</c:f>
              <c:numCache>
                <c:formatCode>0%</c:formatCode>
                <c:ptCount val="6"/>
                <c:pt idx="0" formatCode="0.0%">
                  <c:v>0.86</c:v>
                </c:pt>
                <c:pt idx="1">
                  <c:v>0.87729999999999997</c:v>
                </c:pt>
                <c:pt idx="2">
                  <c:v>0.89490000000000003</c:v>
                </c:pt>
                <c:pt idx="3">
                  <c:v>0.91290000000000004</c:v>
                </c:pt>
                <c:pt idx="4">
                  <c:v>0.93130000000000002</c:v>
                </c:pt>
                <c:pt idx="5">
                  <c:v>0.95</c:v>
                </c:pt>
              </c:numCache>
            </c:numRef>
          </c:val>
          <c:smooth val="0"/>
          <c:extLst>
            <c:ext xmlns:c16="http://schemas.microsoft.com/office/drawing/2014/chart" uri="{C3380CC4-5D6E-409C-BE32-E72D297353CC}">
              <c16:uniqueId val="{00000000-B944-4622-B7F8-BF4E17EFABB5}"/>
            </c:ext>
          </c:extLst>
        </c:ser>
        <c:ser>
          <c:idx val="1"/>
          <c:order val="1"/>
          <c:tx>
            <c:strRef>
              <c:f>'[240615 Revue PNDS - Working Document.xlsx]Graphes revus'!$H$59</c:f>
              <c:strCache>
                <c:ptCount val="1"/>
                <c:pt idx="0">
                  <c:v>Valeurs observées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B944-4622-B7F8-BF4E17EFABB5}"/>
                </c:ext>
              </c:extLst>
            </c:dLbl>
            <c:dLbl>
              <c:idx val="1"/>
              <c:layout>
                <c:manualLayout>
                  <c:x val="-9.6066498614936865E-2"/>
                  <c:y val="0.1181053149606299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44-4622-B7F8-BF4E17EFABB5}"/>
                </c:ext>
              </c:extLst>
            </c:dLbl>
            <c:dLbl>
              <c:idx val="2"/>
              <c:layout>
                <c:manualLayout>
                  <c:x val="-6.1430179960805339E-2"/>
                  <c:y val="0.1102928149606299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944-4622-B7F8-BF4E17EFABB5}"/>
                </c:ext>
              </c:extLst>
            </c:dLbl>
            <c:dLbl>
              <c:idx val="3"/>
              <c:layout>
                <c:manualLayout>
                  <c:x val="-5.6482134438786531E-2"/>
                  <c:y val="8.6855314960629926E-2"/>
                </c:manualLayout>
              </c:layout>
              <c:spPr>
                <a:solidFill>
                  <a:schemeClr val="accent6">
                    <a:lumMod val="7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5-B944-4622-B7F8-BF4E17EFABB5}"/>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Document.xlsx]Graphes revus'!$B$74:$G$74</c:f>
              <c:numCache>
                <c:formatCode>General</c:formatCode>
                <c:ptCount val="6"/>
                <c:pt idx="0">
                  <c:v>2020</c:v>
                </c:pt>
                <c:pt idx="1">
                  <c:v>2021</c:v>
                </c:pt>
                <c:pt idx="2">
                  <c:v>2022</c:v>
                </c:pt>
                <c:pt idx="3">
                  <c:v>2023</c:v>
                </c:pt>
                <c:pt idx="4">
                  <c:v>2024</c:v>
                </c:pt>
                <c:pt idx="5">
                  <c:v>2025</c:v>
                </c:pt>
              </c:numCache>
            </c:numRef>
          </c:cat>
          <c:val>
            <c:numRef>
              <c:f>'[240615 Revue PNDS - Working Document.xlsx]Graphes revus'!$H$136:$M$136</c:f>
              <c:numCache>
                <c:formatCode>0%</c:formatCode>
                <c:ptCount val="6"/>
                <c:pt idx="0">
                  <c:v>0.86</c:v>
                </c:pt>
                <c:pt idx="1">
                  <c:v>0.76800000000000002</c:v>
                </c:pt>
                <c:pt idx="2">
                  <c:v>0.84</c:v>
                </c:pt>
                <c:pt idx="3">
                  <c:v>0.89</c:v>
                </c:pt>
              </c:numCache>
            </c:numRef>
          </c:val>
          <c:smooth val="0"/>
          <c:extLst>
            <c:ext xmlns:c16="http://schemas.microsoft.com/office/drawing/2014/chart" uri="{C3380CC4-5D6E-409C-BE32-E72D297353CC}">
              <c16:uniqueId val="{00000001-B944-4622-B7F8-BF4E17EFABB5}"/>
            </c:ext>
          </c:extLst>
        </c:ser>
        <c:dLbls>
          <c:dLblPos val="t"/>
          <c:showLegendKey val="0"/>
          <c:showVal val="1"/>
          <c:showCatName val="0"/>
          <c:showSerName val="0"/>
          <c:showPercent val="0"/>
          <c:showBubbleSize val="0"/>
        </c:dLbls>
        <c:marker val="1"/>
        <c:smooth val="0"/>
        <c:axId val="1298852784"/>
        <c:axId val="1298852424"/>
      </c:lineChart>
      <c:catAx>
        <c:axId val="12988527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424"/>
        <c:crosses val="autoZero"/>
        <c:auto val="1"/>
        <c:lblAlgn val="ctr"/>
        <c:lblOffset val="100"/>
        <c:noMultiLvlLbl val="0"/>
      </c:catAx>
      <c:valAx>
        <c:axId val="1298852424"/>
        <c:scaling>
          <c:orientation val="minMax"/>
          <c:min val="0.4"/>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fr-FR"/>
    </a:p>
  </c:txPr>
  <c:externalData r:id="rId3">
    <c:autoUpdate val="0"/>
  </c:externalData>
  <c:userShapes r:id="rId4"/>
</c:chartSpace>
</file>

<file path=word/charts/chart2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'[240615 Revue PNDS - Working Document.xlsx]Graphes revus'!$B$2</c:f>
              <c:strCache>
                <c:ptCount val="1"/>
                <c:pt idx="0">
                  <c:v>Valeurs cibles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4"/>
              <c:spPr>
                <a:solidFill>
                  <a:schemeClr val="bg2">
                    <a:lumMod val="7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bg1"/>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6-B944-4622-B7F8-BF4E17EFABB5}"/>
                </c:ext>
              </c:extLst>
            </c:dLbl>
            <c:dLbl>
              <c:idx val="5"/>
              <c:spPr>
                <a:solidFill>
                  <a:schemeClr val="bg2">
                    <a:lumMod val="7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7-B944-4622-B7F8-BF4E17EFABB5}"/>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Document.xlsx]Graphes revus'!$B$74:$G$74</c:f>
              <c:numCache>
                <c:formatCode>General</c:formatCode>
                <c:ptCount val="6"/>
                <c:pt idx="0">
                  <c:v>2020</c:v>
                </c:pt>
                <c:pt idx="1">
                  <c:v>2021</c:v>
                </c:pt>
                <c:pt idx="2">
                  <c:v>2022</c:v>
                </c:pt>
                <c:pt idx="3">
                  <c:v>2023</c:v>
                </c:pt>
                <c:pt idx="4">
                  <c:v>2024</c:v>
                </c:pt>
                <c:pt idx="5">
                  <c:v>2025</c:v>
                </c:pt>
              </c:numCache>
            </c:numRef>
          </c:cat>
          <c:val>
            <c:numRef>
              <c:f>'[240615 Revue PNDS - Working Document.xlsx]Graphes revus'!$B$136:$G$136</c:f>
              <c:numCache>
                <c:formatCode>0%</c:formatCode>
                <c:ptCount val="6"/>
                <c:pt idx="0" formatCode="0.0%">
                  <c:v>0.86</c:v>
                </c:pt>
                <c:pt idx="1">
                  <c:v>0.87729999999999997</c:v>
                </c:pt>
                <c:pt idx="2">
                  <c:v>0.89490000000000003</c:v>
                </c:pt>
                <c:pt idx="3">
                  <c:v>0.91290000000000004</c:v>
                </c:pt>
                <c:pt idx="4">
                  <c:v>0.93130000000000002</c:v>
                </c:pt>
                <c:pt idx="5">
                  <c:v>0.95</c:v>
                </c:pt>
              </c:numCache>
            </c:numRef>
          </c:val>
          <c:smooth val="0"/>
          <c:extLst>
            <c:ext xmlns:c16="http://schemas.microsoft.com/office/drawing/2014/chart" uri="{C3380CC4-5D6E-409C-BE32-E72D297353CC}">
              <c16:uniqueId val="{00000000-B944-4622-B7F8-BF4E17EFABB5}"/>
            </c:ext>
          </c:extLst>
        </c:ser>
        <c:ser>
          <c:idx val="1"/>
          <c:order val="1"/>
          <c:tx>
            <c:strRef>
              <c:f>'[240615 Revue PNDS - Working Document.xlsx]Graphes revus'!$H$59</c:f>
              <c:strCache>
                <c:ptCount val="1"/>
                <c:pt idx="0">
                  <c:v>Valeurs observées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B944-4622-B7F8-BF4E17EFABB5}"/>
                </c:ext>
              </c:extLst>
            </c:dLbl>
            <c:dLbl>
              <c:idx val="1"/>
              <c:layout>
                <c:manualLayout>
                  <c:x val="-9.6066498614936865E-2"/>
                  <c:y val="0.1181053149606299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44-4622-B7F8-BF4E17EFABB5}"/>
                </c:ext>
              </c:extLst>
            </c:dLbl>
            <c:dLbl>
              <c:idx val="2"/>
              <c:layout>
                <c:manualLayout>
                  <c:x val="-6.1430179960805339E-2"/>
                  <c:y val="0.1102928149606299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944-4622-B7F8-BF4E17EFABB5}"/>
                </c:ext>
              </c:extLst>
            </c:dLbl>
            <c:dLbl>
              <c:idx val="3"/>
              <c:layout>
                <c:manualLayout>
                  <c:x val="-5.6482134438786531E-2"/>
                  <c:y val="8.6855314960629926E-2"/>
                </c:manualLayout>
              </c:layout>
              <c:spPr>
                <a:solidFill>
                  <a:schemeClr val="accent6">
                    <a:lumMod val="7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5-B944-4622-B7F8-BF4E17EFABB5}"/>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Document.xlsx]Graphes revus'!$B$74:$G$74</c:f>
              <c:numCache>
                <c:formatCode>General</c:formatCode>
                <c:ptCount val="6"/>
                <c:pt idx="0">
                  <c:v>2020</c:v>
                </c:pt>
                <c:pt idx="1">
                  <c:v>2021</c:v>
                </c:pt>
                <c:pt idx="2">
                  <c:v>2022</c:v>
                </c:pt>
                <c:pt idx="3">
                  <c:v>2023</c:v>
                </c:pt>
                <c:pt idx="4">
                  <c:v>2024</c:v>
                </c:pt>
                <c:pt idx="5">
                  <c:v>2025</c:v>
                </c:pt>
              </c:numCache>
            </c:numRef>
          </c:cat>
          <c:val>
            <c:numRef>
              <c:f>'[240615 Revue PNDS - Working Document.xlsx]Graphes revus'!$H$136:$M$136</c:f>
              <c:numCache>
                <c:formatCode>0%</c:formatCode>
                <c:ptCount val="6"/>
                <c:pt idx="0">
                  <c:v>0.86</c:v>
                </c:pt>
                <c:pt idx="1">
                  <c:v>0.76800000000000002</c:v>
                </c:pt>
                <c:pt idx="2">
                  <c:v>0.84</c:v>
                </c:pt>
                <c:pt idx="3">
                  <c:v>0.89</c:v>
                </c:pt>
              </c:numCache>
            </c:numRef>
          </c:val>
          <c:smooth val="0"/>
          <c:extLst>
            <c:ext xmlns:c16="http://schemas.microsoft.com/office/drawing/2014/chart" uri="{C3380CC4-5D6E-409C-BE32-E72D297353CC}">
              <c16:uniqueId val="{00000001-B944-4622-B7F8-BF4E17EFABB5}"/>
            </c:ext>
          </c:extLst>
        </c:ser>
        <c:dLbls>
          <c:dLblPos val="t"/>
          <c:showLegendKey val="0"/>
          <c:showVal val="1"/>
          <c:showCatName val="0"/>
          <c:showSerName val="0"/>
          <c:showPercent val="0"/>
          <c:showBubbleSize val="0"/>
        </c:dLbls>
        <c:marker val="1"/>
        <c:smooth val="0"/>
        <c:axId val="1298852784"/>
        <c:axId val="1298852424"/>
      </c:lineChart>
      <c:catAx>
        <c:axId val="12988527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424"/>
        <c:crosses val="autoZero"/>
        <c:auto val="1"/>
        <c:lblAlgn val="ctr"/>
        <c:lblOffset val="100"/>
        <c:noMultiLvlLbl val="0"/>
      </c:catAx>
      <c:valAx>
        <c:axId val="1298852424"/>
        <c:scaling>
          <c:orientation val="minMax"/>
          <c:min val="0.4"/>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fr-FR"/>
    </a:p>
  </c:txPr>
  <c:externalData r:id="rId3">
    <c:autoUpdate val="0"/>
  </c:externalData>
  <c:userShapes r:id="rId4"/>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'[240615 Revue PNDS - Working Document.xlsx]Sheet1'!$B$2</c:f>
              <c:strCache>
                <c:ptCount val="1"/>
                <c:pt idx="0">
                  <c:v>Valeurs cibles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7.6021357183473276E-2"/>
                  <c:y val="9.76572372897832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193-45BF-AECE-86FFA1C0154A}"/>
                </c:ext>
              </c:extLst>
            </c:dLbl>
            <c:dLbl>
              <c:idx val="2"/>
              <c:layout>
                <c:manualLayout>
                  <c:x val="-5.5621520382167652E-2"/>
                  <c:y val="0.1285214348206474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193-45BF-AECE-86FFA1C0154A}"/>
                </c:ext>
              </c:extLst>
            </c:dLbl>
            <c:dLbl>
              <c:idx val="3"/>
              <c:layout>
                <c:manualLayout>
                  <c:x val="-4.7461585661645413E-2"/>
                  <c:y val="0.1053732866724992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193-45BF-AECE-86FFA1C0154A}"/>
                </c:ext>
              </c:extLst>
            </c:dLbl>
            <c:dLbl>
              <c:idx val="4"/>
              <c:spPr>
                <a:solidFill>
                  <a:schemeClr val="bg1">
                    <a:lumMod val="6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5-A193-45BF-AECE-86FFA1C0154A}"/>
                </c:ext>
              </c:extLst>
            </c:dLbl>
            <c:dLbl>
              <c:idx val="5"/>
              <c:spPr>
                <a:solidFill>
                  <a:schemeClr val="bg1">
                    <a:lumMod val="6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6-A193-45BF-AECE-86FFA1C0154A}"/>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Document.xlsx]Sheet1'!$B$74:$G$74</c:f>
              <c:numCache>
                <c:formatCode>General</c:formatCode>
                <c:ptCount val="6"/>
                <c:pt idx="0">
                  <c:v>2020</c:v>
                </c:pt>
                <c:pt idx="1">
                  <c:v>2021</c:v>
                </c:pt>
                <c:pt idx="2">
                  <c:v>2022</c:v>
                </c:pt>
                <c:pt idx="3">
                  <c:v>2023</c:v>
                </c:pt>
                <c:pt idx="4">
                  <c:v>2024</c:v>
                </c:pt>
                <c:pt idx="5">
                  <c:v>2025</c:v>
                </c:pt>
              </c:numCache>
            </c:numRef>
          </c:cat>
          <c:val>
            <c:numRef>
              <c:f>'[240615 Revue PNDS - Working Document.xlsx]Sheet1'!$B$75:$G$75</c:f>
              <c:numCache>
                <c:formatCode>0%</c:formatCode>
                <c:ptCount val="6"/>
                <c:pt idx="0" formatCode="0.0%">
                  <c:v>0.26</c:v>
                </c:pt>
                <c:pt idx="1">
                  <c:v>0.317</c:v>
                </c:pt>
                <c:pt idx="2">
                  <c:v>0.38640000000000002</c:v>
                </c:pt>
                <c:pt idx="3">
                  <c:v>0.47099999999999997</c:v>
                </c:pt>
                <c:pt idx="4">
                  <c:v>0.57420000000000004</c:v>
                </c:pt>
                <c:pt idx="5">
                  <c:v>0.7</c:v>
                </c:pt>
              </c:numCache>
            </c:numRef>
          </c:val>
          <c:smooth val="0"/>
          <c:extLst>
            <c:ext xmlns:c16="http://schemas.microsoft.com/office/drawing/2014/chart" uri="{C3380CC4-5D6E-409C-BE32-E72D297353CC}">
              <c16:uniqueId val="{00000000-A193-45BF-AECE-86FFA1C0154A}"/>
            </c:ext>
          </c:extLst>
        </c:ser>
        <c:ser>
          <c:idx val="1"/>
          <c:order val="1"/>
          <c:tx>
            <c:strRef>
              <c:f>'[240615 Revue PNDS - Working Document.xlsx]Sheet1'!$H$59</c:f>
              <c:strCache>
                <c:ptCount val="1"/>
                <c:pt idx="0">
                  <c:v>Valeurs observées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3"/>
              <c:spPr>
                <a:solidFill>
                  <a:schemeClr val="accent6">
                    <a:lumMod val="7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7-A193-45BF-AECE-86FFA1C0154A}"/>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Document.xlsx]Sheet1'!$B$74:$G$74</c:f>
              <c:numCache>
                <c:formatCode>General</c:formatCode>
                <c:ptCount val="6"/>
                <c:pt idx="0">
                  <c:v>2020</c:v>
                </c:pt>
                <c:pt idx="1">
                  <c:v>2021</c:v>
                </c:pt>
                <c:pt idx="2">
                  <c:v>2022</c:v>
                </c:pt>
                <c:pt idx="3">
                  <c:v>2023</c:v>
                </c:pt>
                <c:pt idx="4">
                  <c:v>2024</c:v>
                </c:pt>
                <c:pt idx="5">
                  <c:v>2025</c:v>
                </c:pt>
              </c:numCache>
            </c:numRef>
          </c:cat>
          <c:val>
            <c:numRef>
              <c:f>'[240615 Revue PNDS - Working Document.xlsx]Sheet1'!$H$75:$M$75</c:f>
              <c:numCache>
                <c:formatCode>0%</c:formatCode>
                <c:ptCount val="6"/>
                <c:pt idx="1">
                  <c:v>0.68700000000000006</c:v>
                </c:pt>
                <c:pt idx="2">
                  <c:v>0.68700000000000006</c:v>
                </c:pt>
                <c:pt idx="3">
                  <c:v>0.83</c:v>
                </c:pt>
              </c:numCache>
            </c:numRef>
          </c:val>
          <c:smooth val="0"/>
          <c:extLst>
            <c:ext xmlns:c16="http://schemas.microsoft.com/office/drawing/2014/chart" uri="{C3380CC4-5D6E-409C-BE32-E72D297353CC}">
              <c16:uniqueId val="{00000001-A193-45BF-AECE-86FFA1C0154A}"/>
            </c:ext>
          </c:extLst>
        </c:ser>
        <c:dLbls>
          <c:dLblPos val="t"/>
          <c:showLegendKey val="0"/>
          <c:showVal val="1"/>
          <c:showCatName val="0"/>
          <c:showSerName val="0"/>
          <c:showPercent val="0"/>
          <c:showBubbleSize val="0"/>
        </c:dLbls>
        <c:marker val="1"/>
        <c:smooth val="0"/>
        <c:axId val="1298852784"/>
        <c:axId val="1298852424"/>
      </c:lineChart>
      <c:catAx>
        <c:axId val="12988527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424"/>
        <c:crosses val="autoZero"/>
        <c:auto val="1"/>
        <c:lblAlgn val="ctr"/>
        <c:lblOffset val="100"/>
        <c:noMultiLvlLbl val="0"/>
      </c:catAx>
      <c:valAx>
        <c:axId val="1298852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fr-FR"/>
    </a:p>
  </c:txPr>
  <c:externalData r:id="rId3">
    <c:autoUpdate val="0"/>
  </c:externalData>
  <c:userShapes r:id="rId4"/>
</c:chartSpace>
</file>

<file path=word/charts/chart2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'[240615 Revue PNDS - Working Document.xlsx]Sheet1'!$B$2</c:f>
              <c:strCache>
                <c:ptCount val="1"/>
                <c:pt idx="0">
                  <c:v>Valeurs cibles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7.6021357183473276E-2"/>
                  <c:y val="9.76572372897832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193-45BF-AECE-86FFA1C0154A}"/>
                </c:ext>
              </c:extLst>
            </c:dLbl>
            <c:dLbl>
              <c:idx val="2"/>
              <c:layout>
                <c:manualLayout>
                  <c:x val="-5.5621520382167652E-2"/>
                  <c:y val="0.1285214348206474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193-45BF-AECE-86FFA1C0154A}"/>
                </c:ext>
              </c:extLst>
            </c:dLbl>
            <c:dLbl>
              <c:idx val="3"/>
              <c:layout>
                <c:manualLayout>
                  <c:x val="-4.7461585661645413E-2"/>
                  <c:y val="0.1053732866724992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193-45BF-AECE-86FFA1C0154A}"/>
                </c:ext>
              </c:extLst>
            </c:dLbl>
            <c:dLbl>
              <c:idx val="4"/>
              <c:spPr>
                <a:solidFill>
                  <a:schemeClr val="bg1">
                    <a:lumMod val="6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5-A193-45BF-AECE-86FFA1C0154A}"/>
                </c:ext>
              </c:extLst>
            </c:dLbl>
            <c:dLbl>
              <c:idx val="5"/>
              <c:spPr>
                <a:solidFill>
                  <a:schemeClr val="bg1">
                    <a:lumMod val="6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6-A193-45BF-AECE-86FFA1C0154A}"/>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Document.xlsx]Sheet1'!$B$74:$G$74</c:f>
              <c:numCache>
                <c:formatCode>General</c:formatCode>
                <c:ptCount val="6"/>
                <c:pt idx="0">
                  <c:v>2020</c:v>
                </c:pt>
                <c:pt idx="1">
                  <c:v>2021</c:v>
                </c:pt>
                <c:pt idx="2">
                  <c:v>2022</c:v>
                </c:pt>
                <c:pt idx="3">
                  <c:v>2023</c:v>
                </c:pt>
                <c:pt idx="4">
                  <c:v>2024</c:v>
                </c:pt>
                <c:pt idx="5">
                  <c:v>2025</c:v>
                </c:pt>
              </c:numCache>
            </c:numRef>
          </c:cat>
          <c:val>
            <c:numRef>
              <c:f>'[240615 Revue PNDS - Working Document.xlsx]Sheet1'!$B$75:$G$75</c:f>
              <c:numCache>
                <c:formatCode>0%</c:formatCode>
                <c:ptCount val="6"/>
                <c:pt idx="0" formatCode="0.0%">
                  <c:v>0.26</c:v>
                </c:pt>
                <c:pt idx="1">
                  <c:v>0.317</c:v>
                </c:pt>
                <c:pt idx="2">
                  <c:v>0.38640000000000002</c:v>
                </c:pt>
                <c:pt idx="3">
                  <c:v>0.47099999999999997</c:v>
                </c:pt>
                <c:pt idx="4">
                  <c:v>0.57420000000000004</c:v>
                </c:pt>
                <c:pt idx="5">
                  <c:v>0.7</c:v>
                </c:pt>
              </c:numCache>
            </c:numRef>
          </c:val>
          <c:smooth val="0"/>
          <c:extLst>
            <c:ext xmlns:c16="http://schemas.microsoft.com/office/drawing/2014/chart" uri="{C3380CC4-5D6E-409C-BE32-E72D297353CC}">
              <c16:uniqueId val="{00000000-A193-45BF-AECE-86FFA1C0154A}"/>
            </c:ext>
          </c:extLst>
        </c:ser>
        <c:ser>
          <c:idx val="1"/>
          <c:order val="1"/>
          <c:tx>
            <c:strRef>
              <c:f>'[240615 Revue PNDS - Working Document.xlsx]Sheet1'!$H$59</c:f>
              <c:strCache>
                <c:ptCount val="1"/>
                <c:pt idx="0">
                  <c:v>Valeurs observées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3"/>
              <c:spPr>
                <a:solidFill>
                  <a:schemeClr val="accent6">
                    <a:lumMod val="7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7-A193-45BF-AECE-86FFA1C0154A}"/>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Document.xlsx]Sheet1'!$B$74:$G$74</c:f>
              <c:numCache>
                <c:formatCode>General</c:formatCode>
                <c:ptCount val="6"/>
                <c:pt idx="0">
                  <c:v>2020</c:v>
                </c:pt>
                <c:pt idx="1">
                  <c:v>2021</c:v>
                </c:pt>
                <c:pt idx="2">
                  <c:v>2022</c:v>
                </c:pt>
                <c:pt idx="3">
                  <c:v>2023</c:v>
                </c:pt>
                <c:pt idx="4">
                  <c:v>2024</c:v>
                </c:pt>
                <c:pt idx="5">
                  <c:v>2025</c:v>
                </c:pt>
              </c:numCache>
            </c:numRef>
          </c:cat>
          <c:val>
            <c:numRef>
              <c:f>'[240615 Revue PNDS - Working Document.xlsx]Sheet1'!$H$75:$M$75</c:f>
              <c:numCache>
                <c:formatCode>0%</c:formatCode>
                <c:ptCount val="6"/>
                <c:pt idx="1">
                  <c:v>0.68700000000000006</c:v>
                </c:pt>
                <c:pt idx="2">
                  <c:v>0.68700000000000006</c:v>
                </c:pt>
                <c:pt idx="3">
                  <c:v>0.83</c:v>
                </c:pt>
              </c:numCache>
            </c:numRef>
          </c:val>
          <c:smooth val="0"/>
          <c:extLst>
            <c:ext xmlns:c16="http://schemas.microsoft.com/office/drawing/2014/chart" uri="{C3380CC4-5D6E-409C-BE32-E72D297353CC}">
              <c16:uniqueId val="{00000001-A193-45BF-AECE-86FFA1C0154A}"/>
            </c:ext>
          </c:extLst>
        </c:ser>
        <c:dLbls>
          <c:dLblPos val="t"/>
          <c:showLegendKey val="0"/>
          <c:showVal val="1"/>
          <c:showCatName val="0"/>
          <c:showSerName val="0"/>
          <c:showPercent val="0"/>
          <c:showBubbleSize val="0"/>
        </c:dLbls>
        <c:marker val="1"/>
        <c:smooth val="0"/>
        <c:axId val="1298852784"/>
        <c:axId val="1298852424"/>
      </c:lineChart>
      <c:catAx>
        <c:axId val="12988527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424"/>
        <c:crosses val="autoZero"/>
        <c:auto val="1"/>
        <c:lblAlgn val="ctr"/>
        <c:lblOffset val="100"/>
        <c:noMultiLvlLbl val="0"/>
      </c:catAx>
      <c:valAx>
        <c:axId val="1298852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fr-FR"/>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'[240615 Revue PNDS - Working Document.xlsx]11.1. Opn Tracking Draft'!$A$2:$A$6</c:f>
              <c:strCache>
                <c:ptCount val="5"/>
                <c:pt idx="0">
                  <c:v>Appréciation des PTF de l'efficacité du mécanisme de suivi-évaluation du PNDS</c:v>
                </c:pt>
                <c:pt idx="1">
                  <c:v>Niveau de satisfaction des PTF de la diffusion du PNDS aux acteurs de la Santé</c:v>
                </c:pt>
                <c:pt idx="2">
                  <c:v>Niveau de satisfaction des PTF de l'alignement du PNDS aux priorités de la Santé</c:v>
                </c:pt>
                <c:pt idx="3">
                  <c:v>Niveau de satisfaction des PTF de leur association dans l'élaboration du PNDS</c:v>
                </c:pt>
                <c:pt idx="4">
                  <c:v>Avis des PTF sur l'existence d'un mécanisme de coordination des bailleurs</c:v>
                </c:pt>
              </c:strCache>
            </c:strRef>
          </c:cat>
          <c:val>
            <c:numRef>
              <c:f>'[240615 Revue PNDS - Working Document.xlsx]11.1. Opn Tracking Draft'!$B$2:$B$6</c:f>
              <c:numCache>
                <c:formatCode>0%</c:formatCode>
                <c:ptCount val="5"/>
                <c:pt idx="0">
                  <c:v>0.5</c:v>
                </c:pt>
                <c:pt idx="1">
                  <c:v>0.66666666666666663</c:v>
                </c:pt>
                <c:pt idx="2">
                  <c:v>0.77777777777777779</c:v>
                </c:pt>
                <c:pt idx="3">
                  <c:v>1</c:v>
                </c:pt>
                <c:pt idx="4">
                  <c:v>1</c:v>
                </c:pt>
              </c:numCache>
            </c:numRef>
          </c:val>
          <c:extLst>
            <c:ext xmlns:c16="http://schemas.microsoft.com/office/drawing/2014/chart" uri="{C3380CC4-5D6E-409C-BE32-E72D297353CC}">
              <c16:uniqueId val="{00000000-B207-4376-81FF-6A9AC69A0D96}"/>
            </c:ext>
          </c:extLst>
        </c:ser>
        <c:dLbls>
          <c:dLblPos val="inEnd"/>
          <c:showLegendKey val="0"/>
          <c:showVal val="1"/>
          <c:showCatName val="0"/>
          <c:showSerName val="0"/>
          <c:showPercent val="0"/>
          <c:showBubbleSize val="0"/>
        </c:dLbls>
        <c:gapWidth val="182"/>
        <c:axId val="589808960"/>
        <c:axId val="589817600"/>
      </c:barChart>
      <c:catAx>
        <c:axId val="589808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fr-FR"/>
          </a:p>
        </c:txPr>
        <c:crossAx val="589817600"/>
        <c:crosses val="autoZero"/>
        <c:auto val="1"/>
        <c:lblAlgn val="ctr"/>
        <c:lblOffset val="100"/>
        <c:noMultiLvlLbl val="0"/>
      </c:catAx>
      <c:valAx>
        <c:axId val="589817600"/>
        <c:scaling>
          <c:orientation val="minMax"/>
        </c:scaling>
        <c:delete val="1"/>
        <c:axPos val="b"/>
        <c:numFmt formatCode="0%" sourceLinked="1"/>
        <c:majorTickMark val="none"/>
        <c:minorTickMark val="none"/>
        <c:tickLblPos val="nextTo"/>
        <c:crossAx val="5898089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'[240615 Revue PNDS - Working Document.xlsx]Graphes revus'!$B$2</c:f>
              <c:strCache>
                <c:ptCount val="1"/>
                <c:pt idx="0">
                  <c:v>Valeurs cibles</c:v>
                </c:pt>
              </c:strCache>
            </c:strRef>
          </c:tx>
          <c:spPr>
            <a:solidFill>
              <a:schemeClr val="accent1"/>
            </a:solidFill>
            <a:ln>
              <a:noFill/>
            </a:ln>
            <a:effectLst/>
          </c:spPr>
          <c:invertIfNegative val="0"/>
          <c:dLbls>
            <c:dLbl>
              <c:idx val="0"/>
              <c:layout>
                <c:manualLayout>
                  <c:x val="1.4698677119059285E-2"/>
                  <c:y val="-8.8823263311767384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9F3-4766-8912-A937C32FEE22}"/>
                </c:ext>
              </c:extLst>
            </c:dLbl>
            <c:dLbl>
              <c:idx val="1"/>
              <c:layout>
                <c:manualLayout>
                  <c:x val="-8.1381675649191576E-2"/>
                  <c:y val="0.117189769883415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F3-4766-8912-A937C32FEE22}"/>
                </c:ext>
              </c:extLst>
            </c:dLbl>
            <c:dLbl>
              <c:idx val="4"/>
              <c:spPr>
                <a:solidFill>
                  <a:schemeClr val="bg1">
                    <a:lumMod val="6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5-D9F3-4766-8912-A937C32FEE22}"/>
                </c:ext>
              </c:extLst>
            </c:dLbl>
            <c:dLbl>
              <c:idx val="5"/>
              <c:spPr>
                <a:solidFill>
                  <a:schemeClr val="bg1">
                    <a:lumMod val="6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6-D9F3-4766-8912-A937C32FEE22}"/>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Document.xlsx]Graphes revus'!$B$74:$G$74</c:f>
              <c:numCache>
                <c:formatCode>General</c:formatCode>
                <c:ptCount val="6"/>
                <c:pt idx="0">
                  <c:v>2020</c:v>
                </c:pt>
                <c:pt idx="1">
                  <c:v>2021</c:v>
                </c:pt>
                <c:pt idx="2">
                  <c:v>2022</c:v>
                </c:pt>
                <c:pt idx="3">
                  <c:v>2023</c:v>
                </c:pt>
                <c:pt idx="4">
                  <c:v>2024</c:v>
                </c:pt>
                <c:pt idx="5">
                  <c:v>2025</c:v>
                </c:pt>
              </c:numCache>
            </c:numRef>
          </c:cat>
          <c:val>
            <c:numRef>
              <c:f>'[240615 Revue PNDS - Working Document.xlsx]Graphes revus'!$B$151:$G$151</c:f>
              <c:numCache>
                <c:formatCode>General</c:formatCode>
                <c:ptCount val="6"/>
                <c:pt idx="0">
                  <c:v>2034</c:v>
                </c:pt>
                <c:pt idx="1">
                  <c:v>1521</c:v>
                </c:pt>
                <c:pt idx="2">
                  <c:v>1490</c:v>
                </c:pt>
                <c:pt idx="3">
                  <c:v>1470</c:v>
                </c:pt>
                <c:pt idx="4">
                  <c:v>1450</c:v>
                </c:pt>
                <c:pt idx="5">
                  <c:v>1400</c:v>
                </c:pt>
              </c:numCache>
            </c:numRef>
          </c:val>
          <c:extLst>
            <c:ext xmlns:c16="http://schemas.microsoft.com/office/drawing/2014/chart" uri="{C3380CC4-5D6E-409C-BE32-E72D297353CC}">
              <c16:uniqueId val="{00000000-D9F3-4766-8912-A937C32FEE22}"/>
            </c:ext>
          </c:extLst>
        </c:ser>
        <c:ser>
          <c:idx val="1"/>
          <c:order val="1"/>
          <c:tx>
            <c:strRef>
              <c:f>'[240615 Revue PNDS - Working Document.xlsx]Graphes revus'!$H$59</c:f>
              <c:strCache>
                <c:ptCount val="1"/>
                <c:pt idx="0">
                  <c:v>Valeurs observées</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D9F3-4766-8912-A937C32FEE22}"/>
                </c:ext>
              </c:extLst>
            </c:dLbl>
            <c:dLbl>
              <c:idx val="3"/>
              <c:spPr>
                <a:solidFill>
                  <a:schemeClr val="accent6">
                    <a:lumMod val="7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7-D9F3-4766-8912-A937C32FEE22}"/>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Document.xlsx]Graphes revus'!$B$74:$G$74</c:f>
              <c:numCache>
                <c:formatCode>General</c:formatCode>
                <c:ptCount val="6"/>
                <c:pt idx="0">
                  <c:v>2020</c:v>
                </c:pt>
                <c:pt idx="1">
                  <c:v>2021</c:v>
                </c:pt>
                <c:pt idx="2">
                  <c:v>2022</c:v>
                </c:pt>
                <c:pt idx="3">
                  <c:v>2023</c:v>
                </c:pt>
                <c:pt idx="4">
                  <c:v>2024</c:v>
                </c:pt>
                <c:pt idx="5">
                  <c:v>2025</c:v>
                </c:pt>
              </c:numCache>
            </c:numRef>
          </c:cat>
          <c:val>
            <c:numRef>
              <c:f>'[240615 Revue PNDS - Working Document.xlsx]Graphes revus'!$H$151:$M$151</c:f>
              <c:numCache>
                <c:formatCode>General</c:formatCode>
                <c:ptCount val="6"/>
                <c:pt idx="0">
                  <c:v>2034</c:v>
                </c:pt>
                <c:pt idx="1">
                  <c:v>2266</c:v>
                </c:pt>
                <c:pt idx="2">
                  <c:v>1797</c:v>
                </c:pt>
                <c:pt idx="3">
                  <c:v>1798</c:v>
                </c:pt>
              </c:numCache>
            </c:numRef>
          </c:val>
          <c:extLst>
            <c:ext xmlns:c16="http://schemas.microsoft.com/office/drawing/2014/chart" uri="{C3380CC4-5D6E-409C-BE32-E72D297353CC}">
              <c16:uniqueId val="{00000001-D9F3-4766-8912-A937C32FEE22}"/>
            </c:ext>
          </c:extLst>
        </c:ser>
        <c:dLbls>
          <c:showLegendKey val="0"/>
          <c:showVal val="1"/>
          <c:showCatName val="0"/>
          <c:showSerName val="0"/>
          <c:showPercent val="0"/>
          <c:showBubbleSize val="0"/>
        </c:dLbls>
        <c:gapWidth val="150"/>
        <c:axId val="1298852784"/>
        <c:axId val="1298852424"/>
      </c:barChart>
      <c:catAx>
        <c:axId val="12988527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424"/>
        <c:crosses val="autoZero"/>
        <c:auto val="1"/>
        <c:lblAlgn val="ctr"/>
        <c:lblOffset val="100"/>
        <c:noMultiLvlLbl val="0"/>
      </c:catAx>
      <c:valAx>
        <c:axId val="1298852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1" u="none" strike="noStrike" kern="1200" baseline="0">
                    <a:solidFill>
                      <a:schemeClr val="tx1">
                        <a:lumMod val="65000"/>
                        <a:lumOff val="35000"/>
                      </a:schemeClr>
                    </a:solidFill>
                    <a:latin typeface="+mn-lt"/>
                    <a:ea typeface="+mn-ea"/>
                    <a:cs typeface="+mn-cs"/>
                  </a:defRPr>
                </a:pPr>
                <a:r>
                  <a:rPr lang="en-GB" sz="600" i="1"/>
                  <a:t>Population pour 1 ASC</a:t>
                </a:r>
              </a:p>
            </c:rich>
          </c:tx>
          <c:layout>
            <c:manualLayout>
              <c:xMode val="edge"/>
              <c:yMode val="edge"/>
              <c:x val="2.9397354238118571E-2"/>
              <c:y val="3.875968992248062E-2"/>
            </c:manualLayout>
          </c:layout>
          <c:overlay val="0"/>
          <c:spPr>
            <a:noFill/>
            <a:ln>
              <a:noFill/>
            </a:ln>
            <a:effectLst/>
          </c:spPr>
          <c:txPr>
            <a:bodyPr rot="-5400000" spcFirstLastPara="1" vertOverflow="ellipsis" vert="horz" wrap="square" anchor="ctr" anchorCtr="1"/>
            <a:lstStyle/>
            <a:p>
              <a:pPr>
                <a:defRPr sz="600" b="0" i="1"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fr-FR"/>
    </a:p>
  </c:txPr>
  <c:externalData r:id="rId3">
    <c:autoUpdate val="0"/>
  </c:externalData>
  <c:userShapes r:id="rId4"/>
</c:chartSpace>
</file>

<file path=word/charts/chart3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'[240615 Revue PNDS - Working Document.xlsx]Graphes revus'!$B$2</c:f>
              <c:strCache>
                <c:ptCount val="1"/>
                <c:pt idx="0">
                  <c:v>Valeurs cibles</c:v>
                </c:pt>
              </c:strCache>
            </c:strRef>
          </c:tx>
          <c:spPr>
            <a:solidFill>
              <a:schemeClr val="accent1"/>
            </a:solidFill>
            <a:ln>
              <a:noFill/>
            </a:ln>
            <a:effectLst/>
          </c:spPr>
          <c:invertIfNegative val="0"/>
          <c:dLbls>
            <c:dLbl>
              <c:idx val="0"/>
              <c:layout>
                <c:manualLayout>
                  <c:x val="1.4698677119059285E-2"/>
                  <c:y val="-8.8823263311767384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9F3-4766-8912-A937C32FEE22}"/>
                </c:ext>
              </c:extLst>
            </c:dLbl>
            <c:dLbl>
              <c:idx val="1"/>
              <c:layout>
                <c:manualLayout>
                  <c:x val="-8.1381675649191576E-2"/>
                  <c:y val="0.117189769883415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F3-4766-8912-A937C32FEE22}"/>
                </c:ext>
              </c:extLst>
            </c:dLbl>
            <c:dLbl>
              <c:idx val="4"/>
              <c:spPr>
                <a:solidFill>
                  <a:schemeClr val="bg1">
                    <a:lumMod val="6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5-D9F3-4766-8912-A937C32FEE22}"/>
                </c:ext>
              </c:extLst>
            </c:dLbl>
            <c:dLbl>
              <c:idx val="5"/>
              <c:spPr>
                <a:solidFill>
                  <a:schemeClr val="bg1">
                    <a:lumMod val="6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6-D9F3-4766-8912-A937C32FEE22}"/>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Document.xlsx]Graphes revus'!$B$74:$G$74</c:f>
              <c:numCache>
                <c:formatCode>General</c:formatCode>
                <c:ptCount val="6"/>
                <c:pt idx="0">
                  <c:v>2020</c:v>
                </c:pt>
                <c:pt idx="1">
                  <c:v>2021</c:v>
                </c:pt>
                <c:pt idx="2">
                  <c:v>2022</c:v>
                </c:pt>
                <c:pt idx="3">
                  <c:v>2023</c:v>
                </c:pt>
                <c:pt idx="4">
                  <c:v>2024</c:v>
                </c:pt>
                <c:pt idx="5">
                  <c:v>2025</c:v>
                </c:pt>
              </c:numCache>
            </c:numRef>
          </c:cat>
          <c:val>
            <c:numRef>
              <c:f>'[240615 Revue PNDS - Working Document.xlsx]Graphes revus'!$B$151:$G$151</c:f>
              <c:numCache>
                <c:formatCode>General</c:formatCode>
                <c:ptCount val="6"/>
                <c:pt idx="0">
                  <c:v>2034</c:v>
                </c:pt>
                <c:pt idx="1">
                  <c:v>1521</c:v>
                </c:pt>
                <c:pt idx="2">
                  <c:v>1490</c:v>
                </c:pt>
                <c:pt idx="3">
                  <c:v>1470</c:v>
                </c:pt>
                <c:pt idx="4">
                  <c:v>1450</c:v>
                </c:pt>
                <c:pt idx="5">
                  <c:v>1400</c:v>
                </c:pt>
              </c:numCache>
            </c:numRef>
          </c:val>
          <c:extLst>
            <c:ext xmlns:c16="http://schemas.microsoft.com/office/drawing/2014/chart" uri="{C3380CC4-5D6E-409C-BE32-E72D297353CC}">
              <c16:uniqueId val="{00000000-D9F3-4766-8912-A937C32FEE22}"/>
            </c:ext>
          </c:extLst>
        </c:ser>
        <c:ser>
          <c:idx val="1"/>
          <c:order val="1"/>
          <c:tx>
            <c:strRef>
              <c:f>'[240615 Revue PNDS - Working Document.xlsx]Graphes revus'!$H$59</c:f>
              <c:strCache>
                <c:ptCount val="1"/>
                <c:pt idx="0">
                  <c:v>Valeurs observées</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D9F3-4766-8912-A937C32FEE22}"/>
                </c:ext>
              </c:extLst>
            </c:dLbl>
            <c:dLbl>
              <c:idx val="3"/>
              <c:spPr>
                <a:solidFill>
                  <a:schemeClr val="accent6">
                    <a:lumMod val="7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7-D9F3-4766-8912-A937C32FEE22}"/>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Document.xlsx]Graphes revus'!$B$74:$G$74</c:f>
              <c:numCache>
                <c:formatCode>General</c:formatCode>
                <c:ptCount val="6"/>
                <c:pt idx="0">
                  <c:v>2020</c:v>
                </c:pt>
                <c:pt idx="1">
                  <c:v>2021</c:v>
                </c:pt>
                <c:pt idx="2">
                  <c:v>2022</c:v>
                </c:pt>
                <c:pt idx="3">
                  <c:v>2023</c:v>
                </c:pt>
                <c:pt idx="4">
                  <c:v>2024</c:v>
                </c:pt>
                <c:pt idx="5">
                  <c:v>2025</c:v>
                </c:pt>
              </c:numCache>
            </c:numRef>
          </c:cat>
          <c:val>
            <c:numRef>
              <c:f>'[240615 Revue PNDS - Working Document.xlsx]Graphes revus'!$H$151:$M$151</c:f>
              <c:numCache>
                <c:formatCode>General</c:formatCode>
                <c:ptCount val="6"/>
                <c:pt idx="0">
                  <c:v>2034</c:v>
                </c:pt>
                <c:pt idx="1">
                  <c:v>2266</c:v>
                </c:pt>
                <c:pt idx="2">
                  <c:v>1797</c:v>
                </c:pt>
                <c:pt idx="3">
                  <c:v>1798</c:v>
                </c:pt>
              </c:numCache>
            </c:numRef>
          </c:val>
          <c:extLst>
            <c:ext xmlns:c16="http://schemas.microsoft.com/office/drawing/2014/chart" uri="{C3380CC4-5D6E-409C-BE32-E72D297353CC}">
              <c16:uniqueId val="{00000001-D9F3-4766-8912-A937C32FEE22}"/>
            </c:ext>
          </c:extLst>
        </c:ser>
        <c:dLbls>
          <c:showLegendKey val="0"/>
          <c:showVal val="1"/>
          <c:showCatName val="0"/>
          <c:showSerName val="0"/>
          <c:showPercent val="0"/>
          <c:showBubbleSize val="0"/>
        </c:dLbls>
        <c:gapWidth val="150"/>
        <c:axId val="1298852784"/>
        <c:axId val="1298852424"/>
      </c:barChart>
      <c:catAx>
        <c:axId val="12988527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424"/>
        <c:crosses val="autoZero"/>
        <c:auto val="1"/>
        <c:lblAlgn val="ctr"/>
        <c:lblOffset val="100"/>
        <c:noMultiLvlLbl val="0"/>
      </c:catAx>
      <c:valAx>
        <c:axId val="1298852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1" u="none" strike="noStrike" kern="1200" baseline="0">
                    <a:solidFill>
                      <a:schemeClr val="tx1">
                        <a:lumMod val="65000"/>
                        <a:lumOff val="35000"/>
                      </a:schemeClr>
                    </a:solidFill>
                    <a:latin typeface="+mn-lt"/>
                    <a:ea typeface="+mn-ea"/>
                    <a:cs typeface="+mn-cs"/>
                  </a:defRPr>
                </a:pPr>
                <a:r>
                  <a:rPr lang="en-GB" sz="600" i="1"/>
                  <a:t>Population pour 1 ASC</a:t>
                </a:r>
              </a:p>
            </c:rich>
          </c:tx>
          <c:layout>
            <c:manualLayout>
              <c:xMode val="edge"/>
              <c:yMode val="edge"/>
              <c:x val="2.9397354238118571E-2"/>
              <c:y val="3.875968992248062E-2"/>
            </c:manualLayout>
          </c:layout>
          <c:overlay val="0"/>
          <c:spPr>
            <a:noFill/>
            <a:ln>
              <a:noFill/>
            </a:ln>
            <a:effectLst/>
          </c:spPr>
          <c:txPr>
            <a:bodyPr rot="-5400000" spcFirstLastPara="1" vertOverflow="ellipsis" vert="horz" wrap="square" anchor="ctr" anchorCtr="1"/>
            <a:lstStyle/>
            <a:p>
              <a:pPr>
                <a:defRPr sz="600" b="0" i="1"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fr-FR"/>
    </a:p>
  </c:txPr>
  <c:externalData r:id="rId3">
    <c:autoUpdate val="0"/>
  </c:externalData>
  <c:userShapes r:id="rId4"/>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'[240615 Revue PNDS - Working Document.xlsx]Graphes revus'!$B$2</c:f>
              <c:strCache>
                <c:ptCount val="1"/>
                <c:pt idx="0">
                  <c:v>Valeurs cibles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7.5234598123214994E-2"/>
                  <c:y val="-0.1540910416500967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7E-41CB-BA02-AD30018FEA81}"/>
                </c:ext>
              </c:extLst>
            </c:dLbl>
            <c:dLbl>
              <c:idx val="4"/>
              <c:spPr>
                <a:solidFill>
                  <a:schemeClr val="bg1">
                    <a:lumMod val="6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7-047E-41CB-BA02-AD30018FEA81}"/>
                </c:ext>
              </c:extLst>
            </c:dLbl>
            <c:dLbl>
              <c:idx val="5"/>
              <c:spPr>
                <a:solidFill>
                  <a:schemeClr val="bg1">
                    <a:lumMod val="6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8-047E-41CB-BA02-AD30018FEA81}"/>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Document.xlsx]Graphes revus'!$B$74:$G$74</c:f>
              <c:numCache>
                <c:formatCode>General</c:formatCode>
                <c:ptCount val="6"/>
                <c:pt idx="0">
                  <c:v>2020</c:v>
                </c:pt>
                <c:pt idx="1">
                  <c:v>2021</c:v>
                </c:pt>
                <c:pt idx="2">
                  <c:v>2022</c:v>
                </c:pt>
                <c:pt idx="3">
                  <c:v>2023</c:v>
                </c:pt>
                <c:pt idx="4">
                  <c:v>2024</c:v>
                </c:pt>
                <c:pt idx="5">
                  <c:v>2025</c:v>
                </c:pt>
              </c:numCache>
            </c:numRef>
          </c:cat>
          <c:val>
            <c:numRef>
              <c:f>'[240615 Revue PNDS - Working Document.xlsx]Graphes revus'!$B$80:$G$80</c:f>
              <c:numCache>
                <c:formatCode>0%</c:formatCode>
                <c:ptCount val="6"/>
                <c:pt idx="0" formatCode="0.0%">
                  <c:v>0.3</c:v>
                </c:pt>
                <c:pt idx="1">
                  <c:v>0.4</c:v>
                </c:pt>
                <c:pt idx="2">
                  <c:v>0.5</c:v>
                </c:pt>
                <c:pt idx="3">
                  <c:v>0.6</c:v>
                </c:pt>
                <c:pt idx="4">
                  <c:v>0.7</c:v>
                </c:pt>
                <c:pt idx="5">
                  <c:v>0.8</c:v>
                </c:pt>
              </c:numCache>
            </c:numRef>
          </c:val>
          <c:smooth val="0"/>
          <c:extLst>
            <c:ext xmlns:c16="http://schemas.microsoft.com/office/drawing/2014/chart" uri="{C3380CC4-5D6E-409C-BE32-E72D297353CC}">
              <c16:uniqueId val="{00000000-047E-41CB-BA02-AD30018FEA81}"/>
            </c:ext>
          </c:extLst>
        </c:ser>
        <c:ser>
          <c:idx val="1"/>
          <c:order val="1"/>
          <c:tx>
            <c:strRef>
              <c:f>'[240615 Revue PNDS - Working Document.xlsx]Graphes revus'!$H$59</c:f>
              <c:strCache>
                <c:ptCount val="1"/>
                <c:pt idx="0">
                  <c:v>Valeurs observées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7.5132759567844723E-2"/>
                  <c:y val="0.1018012142421591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7E-41CB-BA02-AD30018FEA81}"/>
                </c:ext>
              </c:extLst>
            </c:dLbl>
            <c:dLbl>
              <c:idx val="1"/>
              <c:layout>
                <c:manualLayout>
                  <c:x val="-5.0652955406278045E-2"/>
                  <c:y val="9.50672075081523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47E-41CB-BA02-AD30018FEA81}"/>
                </c:ext>
              </c:extLst>
            </c:dLbl>
            <c:dLbl>
              <c:idx val="2"/>
              <c:layout>
                <c:manualLayout>
                  <c:x val="-5.4732922766539203E-2"/>
                  <c:y val="8.1599194040138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47E-41CB-BA02-AD30018FEA81}"/>
                </c:ext>
              </c:extLst>
            </c:dLbl>
            <c:dLbl>
              <c:idx val="3"/>
              <c:spPr>
                <a:solidFill>
                  <a:schemeClr val="accent6">
                    <a:lumMod val="7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6-047E-41CB-BA02-AD30018FEA81}"/>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Document.xlsx]Graphes revus'!$B$74:$G$74</c:f>
              <c:numCache>
                <c:formatCode>General</c:formatCode>
                <c:ptCount val="6"/>
                <c:pt idx="0">
                  <c:v>2020</c:v>
                </c:pt>
                <c:pt idx="1">
                  <c:v>2021</c:v>
                </c:pt>
                <c:pt idx="2">
                  <c:v>2022</c:v>
                </c:pt>
                <c:pt idx="3">
                  <c:v>2023</c:v>
                </c:pt>
                <c:pt idx="4">
                  <c:v>2024</c:v>
                </c:pt>
                <c:pt idx="5">
                  <c:v>2025</c:v>
                </c:pt>
              </c:numCache>
            </c:numRef>
          </c:cat>
          <c:val>
            <c:numRef>
              <c:f>'[240615 Revue PNDS - Working Document.xlsx]Graphes revus'!$H$80:$M$80</c:f>
              <c:numCache>
                <c:formatCode>0%</c:formatCode>
                <c:ptCount val="6"/>
                <c:pt idx="0">
                  <c:v>0.3</c:v>
                </c:pt>
                <c:pt idx="1">
                  <c:v>0.32687500000000003</c:v>
                </c:pt>
                <c:pt idx="2">
                  <c:v>0.45</c:v>
                </c:pt>
                <c:pt idx="3">
                  <c:v>0.6</c:v>
                </c:pt>
              </c:numCache>
            </c:numRef>
          </c:val>
          <c:smooth val="0"/>
          <c:extLst>
            <c:ext xmlns:c16="http://schemas.microsoft.com/office/drawing/2014/chart" uri="{C3380CC4-5D6E-409C-BE32-E72D297353CC}">
              <c16:uniqueId val="{00000001-047E-41CB-BA02-AD30018FEA81}"/>
            </c:ext>
          </c:extLst>
        </c:ser>
        <c:dLbls>
          <c:dLblPos val="t"/>
          <c:showLegendKey val="0"/>
          <c:showVal val="1"/>
          <c:showCatName val="0"/>
          <c:showSerName val="0"/>
          <c:showPercent val="0"/>
          <c:showBubbleSize val="0"/>
        </c:dLbls>
        <c:marker val="1"/>
        <c:smooth val="0"/>
        <c:axId val="1298852784"/>
        <c:axId val="1298852424"/>
      </c:lineChart>
      <c:catAx>
        <c:axId val="12988527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424"/>
        <c:crosses val="autoZero"/>
        <c:auto val="1"/>
        <c:lblAlgn val="ctr"/>
        <c:lblOffset val="100"/>
        <c:noMultiLvlLbl val="0"/>
      </c:catAx>
      <c:valAx>
        <c:axId val="12988524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fr-FR"/>
    </a:p>
  </c:txPr>
  <c:externalData r:id="rId3">
    <c:autoUpdate val="0"/>
  </c:externalData>
  <c:userShapes r:id="rId4"/>
</c:chartSpace>
</file>

<file path=word/charts/chart3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'[240615 Revue PNDS - Working Document.xlsx]Graphes revus'!$B$2</c:f>
              <c:strCache>
                <c:ptCount val="1"/>
                <c:pt idx="0">
                  <c:v>Valeurs cibles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7.5234598123214994E-2"/>
                  <c:y val="-0.1540910416500967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7E-41CB-BA02-AD30018FEA81}"/>
                </c:ext>
              </c:extLst>
            </c:dLbl>
            <c:dLbl>
              <c:idx val="4"/>
              <c:spPr>
                <a:solidFill>
                  <a:schemeClr val="bg1">
                    <a:lumMod val="6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7-047E-41CB-BA02-AD30018FEA81}"/>
                </c:ext>
              </c:extLst>
            </c:dLbl>
            <c:dLbl>
              <c:idx val="5"/>
              <c:spPr>
                <a:solidFill>
                  <a:schemeClr val="bg1">
                    <a:lumMod val="6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8-047E-41CB-BA02-AD30018FEA81}"/>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Document.xlsx]Graphes revus'!$B$74:$G$74</c:f>
              <c:numCache>
                <c:formatCode>General</c:formatCode>
                <c:ptCount val="6"/>
                <c:pt idx="0">
                  <c:v>2020</c:v>
                </c:pt>
                <c:pt idx="1">
                  <c:v>2021</c:v>
                </c:pt>
                <c:pt idx="2">
                  <c:v>2022</c:v>
                </c:pt>
                <c:pt idx="3">
                  <c:v>2023</c:v>
                </c:pt>
                <c:pt idx="4">
                  <c:v>2024</c:v>
                </c:pt>
                <c:pt idx="5">
                  <c:v>2025</c:v>
                </c:pt>
              </c:numCache>
            </c:numRef>
          </c:cat>
          <c:val>
            <c:numRef>
              <c:f>'[240615 Revue PNDS - Working Document.xlsx]Graphes revus'!$B$80:$G$80</c:f>
              <c:numCache>
                <c:formatCode>0%</c:formatCode>
                <c:ptCount val="6"/>
                <c:pt idx="0" formatCode="0.0%">
                  <c:v>0.3</c:v>
                </c:pt>
                <c:pt idx="1">
                  <c:v>0.4</c:v>
                </c:pt>
                <c:pt idx="2">
                  <c:v>0.5</c:v>
                </c:pt>
                <c:pt idx="3">
                  <c:v>0.6</c:v>
                </c:pt>
                <c:pt idx="4">
                  <c:v>0.7</c:v>
                </c:pt>
                <c:pt idx="5">
                  <c:v>0.8</c:v>
                </c:pt>
              </c:numCache>
            </c:numRef>
          </c:val>
          <c:smooth val="0"/>
          <c:extLst>
            <c:ext xmlns:c16="http://schemas.microsoft.com/office/drawing/2014/chart" uri="{C3380CC4-5D6E-409C-BE32-E72D297353CC}">
              <c16:uniqueId val="{00000000-047E-41CB-BA02-AD30018FEA81}"/>
            </c:ext>
          </c:extLst>
        </c:ser>
        <c:ser>
          <c:idx val="1"/>
          <c:order val="1"/>
          <c:tx>
            <c:strRef>
              <c:f>'[240615 Revue PNDS - Working Document.xlsx]Graphes revus'!$H$59</c:f>
              <c:strCache>
                <c:ptCount val="1"/>
                <c:pt idx="0">
                  <c:v>Valeurs observées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7.5132759567844723E-2"/>
                  <c:y val="0.1018012142421591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7E-41CB-BA02-AD30018FEA81}"/>
                </c:ext>
              </c:extLst>
            </c:dLbl>
            <c:dLbl>
              <c:idx val="1"/>
              <c:layout>
                <c:manualLayout>
                  <c:x val="-5.0652955406278045E-2"/>
                  <c:y val="9.50672075081523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47E-41CB-BA02-AD30018FEA81}"/>
                </c:ext>
              </c:extLst>
            </c:dLbl>
            <c:dLbl>
              <c:idx val="2"/>
              <c:layout>
                <c:manualLayout>
                  <c:x val="-5.4732922766539203E-2"/>
                  <c:y val="8.1599194040138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47E-41CB-BA02-AD30018FEA81}"/>
                </c:ext>
              </c:extLst>
            </c:dLbl>
            <c:dLbl>
              <c:idx val="3"/>
              <c:spPr>
                <a:solidFill>
                  <a:schemeClr val="accent6">
                    <a:lumMod val="7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6-047E-41CB-BA02-AD30018FEA81}"/>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Document.xlsx]Graphes revus'!$B$74:$G$74</c:f>
              <c:numCache>
                <c:formatCode>General</c:formatCode>
                <c:ptCount val="6"/>
                <c:pt idx="0">
                  <c:v>2020</c:v>
                </c:pt>
                <c:pt idx="1">
                  <c:v>2021</c:v>
                </c:pt>
                <c:pt idx="2">
                  <c:v>2022</c:v>
                </c:pt>
                <c:pt idx="3">
                  <c:v>2023</c:v>
                </c:pt>
                <c:pt idx="4">
                  <c:v>2024</c:v>
                </c:pt>
                <c:pt idx="5">
                  <c:v>2025</c:v>
                </c:pt>
              </c:numCache>
            </c:numRef>
          </c:cat>
          <c:val>
            <c:numRef>
              <c:f>'[240615 Revue PNDS - Working Document.xlsx]Graphes revus'!$H$80:$M$80</c:f>
              <c:numCache>
                <c:formatCode>0%</c:formatCode>
                <c:ptCount val="6"/>
                <c:pt idx="0">
                  <c:v>0.3</c:v>
                </c:pt>
                <c:pt idx="1">
                  <c:v>0.32687500000000003</c:v>
                </c:pt>
                <c:pt idx="2">
                  <c:v>0.45</c:v>
                </c:pt>
                <c:pt idx="3">
                  <c:v>0.6</c:v>
                </c:pt>
              </c:numCache>
            </c:numRef>
          </c:val>
          <c:smooth val="0"/>
          <c:extLst>
            <c:ext xmlns:c16="http://schemas.microsoft.com/office/drawing/2014/chart" uri="{C3380CC4-5D6E-409C-BE32-E72D297353CC}">
              <c16:uniqueId val="{00000001-047E-41CB-BA02-AD30018FEA81}"/>
            </c:ext>
          </c:extLst>
        </c:ser>
        <c:dLbls>
          <c:dLblPos val="t"/>
          <c:showLegendKey val="0"/>
          <c:showVal val="1"/>
          <c:showCatName val="0"/>
          <c:showSerName val="0"/>
          <c:showPercent val="0"/>
          <c:showBubbleSize val="0"/>
        </c:dLbls>
        <c:marker val="1"/>
        <c:smooth val="0"/>
        <c:axId val="1298852784"/>
        <c:axId val="1298852424"/>
      </c:lineChart>
      <c:catAx>
        <c:axId val="12988527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424"/>
        <c:crosses val="autoZero"/>
        <c:auto val="1"/>
        <c:lblAlgn val="ctr"/>
        <c:lblOffset val="100"/>
        <c:noMultiLvlLbl val="0"/>
      </c:catAx>
      <c:valAx>
        <c:axId val="12988524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fr-FR"/>
    </a:p>
  </c:txPr>
  <c:externalData r:id="rId3">
    <c:autoUpdate val="0"/>
  </c:externalData>
  <c:userShapes r:id="rId4"/>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Principales difficultés de mise en oeuvre du PNDS au niveau central</c:v>
                </c:pt>
              </c:strCache>
            </c:strRef>
          </c:tx>
          <c:spPr>
            <a:solidFill>
              <a:schemeClr val="accent6">
                <a:lumMod val="60000"/>
                <a:lumOff val="40000"/>
              </a:schemeClr>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Ressources Humaines</c:v>
                </c:pt>
                <c:pt idx="1">
                  <c:v>Infrastructures, Matériels, Équipements</c:v>
                </c:pt>
                <c:pt idx="2">
                  <c:v>Financement</c:v>
                </c:pt>
                <c:pt idx="3">
                  <c:v>Coordination &amp; Communication</c:v>
                </c:pt>
              </c:strCache>
            </c:strRef>
          </c:cat>
          <c:val>
            <c:numRef>
              <c:f>Sheet1!$B$2:$B$5</c:f>
              <c:numCache>
                <c:formatCode>0%</c:formatCode>
                <c:ptCount val="4"/>
                <c:pt idx="0">
                  <c:v>0.7</c:v>
                </c:pt>
                <c:pt idx="1">
                  <c:v>0.49</c:v>
                </c:pt>
                <c:pt idx="2">
                  <c:v>0.46</c:v>
                </c:pt>
                <c:pt idx="3">
                  <c:v>0.3</c:v>
                </c:pt>
              </c:numCache>
            </c:numRef>
          </c:val>
          <c:extLst>
            <c:ext xmlns:c16="http://schemas.microsoft.com/office/drawing/2014/chart" uri="{C3380CC4-5D6E-409C-BE32-E72D297353CC}">
              <c16:uniqueId val="{00000000-28EA-444D-89B8-75DA2FFB96FE}"/>
            </c:ext>
          </c:extLst>
        </c:ser>
        <c:dLbls>
          <c:showLegendKey val="0"/>
          <c:showVal val="1"/>
          <c:showCatName val="0"/>
          <c:showSerName val="0"/>
          <c:showPercent val="0"/>
          <c:showBubbleSize val="0"/>
        </c:dLbls>
        <c:gapWidth val="70"/>
        <c:overlap val="-25"/>
        <c:axId val="767120320"/>
        <c:axId val="767121496"/>
      </c:barChart>
      <c:valAx>
        <c:axId val="767121496"/>
        <c:scaling>
          <c:orientation val="minMax"/>
        </c:scaling>
        <c:delete val="1"/>
        <c:axPos val="b"/>
        <c:numFmt formatCode="0%" sourceLinked="1"/>
        <c:majorTickMark val="out"/>
        <c:minorTickMark val="none"/>
        <c:tickLblPos val="nextTo"/>
        <c:crossAx val="767120320"/>
        <c:crosses val="autoZero"/>
        <c:crossBetween val="between"/>
      </c:valAx>
      <c:catAx>
        <c:axId val="767120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fr-FR"/>
          </a:p>
        </c:txPr>
        <c:crossAx val="767121496"/>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Arial Narrow" panose="020B0606020202030204" pitchFamily="34" charset="0"/>
        </a:defRPr>
      </a:pPr>
      <a:endParaRPr lang="fr-FR"/>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Difficultés à la mise en œuvre du PNDS au niveau déconcentré</c:v>
                </c:pt>
              </c:strCache>
            </c:strRef>
          </c:tx>
          <c:spPr>
            <a:solidFill>
              <a:schemeClr val="accent6">
                <a:lumMod val="60000"/>
                <a:lumOff val="4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Narrow" panose="020B0606020202030204" pitchFamily="34" charset="0"/>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Financement insuffisant</c:v>
                </c:pt>
                <c:pt idx="1">
                  <c:v>Coordination </c:v>
                </c:pt>
                <c:pt idx="2">
                  <c:v>Infratructures</c:v>
                </c:pt>
                <c:pt idx="3">
                  <c:v>Ressources Humaines</c:v>
                </c:pt>
                <c:pt idx="4">
                  <c:v>Facteurs socio-culturels</c:v>
                </c:pt>
              </c:strCache>
            </c:strRef>
          </c:cat>
          <c:val>
            <c:numRef>
              <c:f>Sheet1!$B$2:$B$6</c:f>
              <c:numCache>
                <c:formatCode>0%</c:formatCode>
                <c:ptCount val="5"/>
                <c:pt idx="0">
                  <c:v>0.83</c:v>
                </c:pt>
                <c:pt idx="1">
                  <c:v>0.56000000000000005</c:v>
                </c:pt>
                <c:pt idx="2">
                  <c:v>0.44</c:v>
                </c:pt>
                <c:pt idx="3">
                  <c:v>0.39</c:v>
                </c:pt>
                <c:pt idx="4">
                  <c:v>0.28000000000000003</c:v>
                </c:pt>
              </c:numCache>
            </c:numRef>
          </c:val>
          <c:extLst>
            <c:ext xmlns:c16="http://schemas.microsoft.com/office/drawing/2014/chart" uri="{C3380CC4-5D6E-409C-BE32-E72D297353CC}">
              <c16:uniqueId val="{00000000-79EB-4D6B-BA73-CDD577B354EF}"/>
            </c:ext>
          </c:extLst>
        </c:ser>
        <c:dLbls>
          <c:showLegendKey val="0"/>
          <c:showVal val="1"/>
          <c:showCatName val="0"/>
          <c:showSerName val="0"/>
          <c:showPercent val="0"/>
          <c:showBubbleSize val="0"/>
        </c:dLbls>
        <c:gapWidth val="70"/>
        <c:overlap val="-25"/>
        <c:axId val="767116400"/>
        <c:axId val="767114048"/>
      </c:barChart>
      <c:valAx>
        <c:axId val="767114048"/>
        <c:scaling>
          <c:orientation val="minMax"/>
        </c:scaling>
        <c:delete val="1"/>
        <c:axPos val="b"/>
        <c:numFmt formatCode="0%" sourceLinked="1"/>
        <c:majorTickMark val="out"/>
        <c:minorTickMark val="none"/>
        <c:tickLblPos val="nextTo"/>
        <c:crossAx val="767116400"/>
        <c:crosses val="autoZero"/>
        <c:crossBetween val="between"/>
      </c:valAx>
      <c:catAx>
        <c:axId val="767116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fr-FR"/>
          </a:p>
        </c:txPr>
        <c:crossAx val="767114048"/>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Arial Narrow" panose="020B0606020202030204" pitchFamily="34" charset="0"/>
        </a:defRPr>
      </a:pPr>
      <a:endParaRPr lang="fr-FR"/>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'[240615 Revue PNDS - Working Document.xlsx]11.1. Opn Tracking Draft'!$A$2:$A$6</c:f>
              <c:strCache>
                <c:ptCount val="5"/>
                <c:pt idx="0">
                  <c:v>Appréciation des PTF de l'efficacité du mécanisme de suivi-évaluation du PNDS</c:v>
                </c:pt>
                <c:pt idx="1">
                  <c:v>Niveau de satisfaction des PTF de la diffusion du PNDS aux acteurs de la Santé</c:v>
                </c:pt>
                <c:pt idx="2">
                  <c:v>Niveau de satisfaction des PTF de l'alignement du PNDS aux priorités de la Santé</c:v>
                </c:pt>
                <c:pt idx="3">
                  <c:v>Niveau de satisfaction des PTF de leur association dans l'élaboration du PNDS</c:v>
                </c:pt>
                <c:pt idx="4">
                  <c:v>Avis des PTF sur l'existence d'un mécanisme de coordination des bailleurs</c:v>
                </c:pt>
              </c:strCache>
            </c:strRef>
          </c:cat>
          <c:val>
            <c:numRef>
              <c:f>'[240615 Revue PNDS - Working Document.xlsx]11.1. Opn Tracking Draft'!$B$2:$B$6</c:f>
              <c:numCache>
                <c:formatCode>0%</c:formatCode>
                <c:ptCount val="5"/>
                <c:pt idx="0">
                  <c:v>0.5</c:v>
                </c:pt>
                <c:pt idx="1">
                  <c:v>0.66666666666666663</c:v>
                </c:pt>
                <c:pt idx="2">
                  <c:v>0.77777777777777779</c:v>
                </c:pt>
                <c:pt idx="3">
                  <c:v>1</c:v>
                </c:pt>
                <c:pt idx="4">
                  <c:v>1</c:v>
                </c:pt>
              </c:numCache>
            </c:numRef>
          </c:val>
          <c:extLst>
            <c:ext xmlns:c16="http://schemas.microsoft.com/office/drawing/2014/chart" uri="{C3380CC4-5D6E-409C-BE32-E72D297353CC}">
              <c16:uniqueId val="{00000000-B207-4376-81FF-6A9AC69A0D96}"/>
            </c:ext>
          </c:extLst>
        </c:ser>
        <c:dLbls>
          <c:dLblPos val="inEnd"/>
          <c:showLegendKey val="0"/>
          <c:showVal val="1"/>
          <c:showCatName val="0"/>
          <c:showSerName val="0"/>
          <c:showPercent val="0"/>
          <c:showBubbleSize val="0"/>
        </c:dLbls>
        <c:gapWidth val="182"/>
        <c:axId val="589808960"/>
        <c:axId val="589817600"/>
      </c:barChart>
      <c:catAx>
        <c:axId val="589808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fr-FR"/>
          </a:p>
        </c:txPr>
        <c:crossAx val="589817600"/>
        <c:crosses val="autoZero"/>
        <c:auto val="1"/>
        <c:lblAlgn val="ctr"/>
        <c:lblOffset val="100"/>
        <c:noMultiLvlLbl val="0"/>
      </c:catAx>
      <c:valAx>
        <c:axId val="589817600"/>
        <c:scaling>
          <c:orientation val="minMax"/>
        </c:scaling>
        <c:delete val="1"/>
        <c:axPos val="b"/>
        <c:numFmt formatCode="0%" sourceLinked="1"/>
        <c:majorTickMark val="none"/>
        <c:minorTickMark val="none"/>
        <c:tickLblPos val="nextTo"/>
        <c:crossAx val="5898089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'[240615 Revue PNDS - Working Document.xlsx]Sheet1'!$B$2</c:f>
              <c:strCache>
                <c:ptCount val="1"/>
                <c:pt idx="0">
                  <c:v>Valeurs cibles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4"/>
              <c:spPr>
                <a:solidFill>
                  <a:schemeClr val="bg1">
                    <a:lumMod val="6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4-A10A-4D0C-A889-824E4AE0E7AF}"/>
                </c:ext>
              </c:extLst>
            </c:dLbl>
            <c:dLbl>
              <c:idx val="5"/>
              <c:spPr>
                <a:solidFill>
                  <a:schemeClr val="bg1">
                    <a:lumMod val="6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5-A10A-4D0C-A889-824E4AE0E7AF}"/>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[1]Sheet1!$B$3:$G$3</c:f>
              <c:numCache>
                <c:formatCode>General</c:formatCode>
                <c:ptCount val="6"/>
                <c:pt idx="0">
                  <c:v>2018</c:v>
                </c:pt>
                <c:pt idx="1">
                  <c:v>2021</c:v>
                </c:pt>
                <c:pt idx="2">
                  <c:v>2022</c:v>
                </c:pt>
                <c:pt idx="3">
                  <c:v>2023</c:v>
                </c:pt>
                <c:pt idx="4">
                  <c:v>2024</c:v>
                </c:pt>
                <c:pt idx="5">
                  <c:v>2025</c:v>
                </c:pt>
              </c:numCache>
            </c:numRef>
          </c:cat>
          <c:val>
            <c:numRef>
              <c:f>[1]Sheet1!$B$4:$G$4</c:f>
              <c:numCache>
                <c:formatCode>0%</c:formatCode>
                <c:ptCount val="6"/>
                <c:pt idx="0">
                  <c:v>-0.16</c:v>
                </c:pt>
                <c:pt idx="1">
                  <c:v>0.15</c:v>
                </c:pt>
                <c:pt idx="2">
                  <c:v>0.15</c:v>
                </c:pt>
                <c:pt idx="3">
                  <c:v>0.15</c:v>
                </c:pt>
                <c:pt idx="4">
                  <c:v>0.15</c:v>
                </c:pt>
                <c:pt idx="5">
                  <c:v>0.15</c:v>
                </c:pt>
              </c:numCache>
            </c:numRef>
          </c:val>
          <c:smooth val="0"/>
          <c:extLst>
            <c:ext xmlns:c16="http://schemas.microsoft.com/office/drawing/2014/chart" uri="{C3380CC4-5D6E-409C-BE32-E72D297353CC}">
              <c16:uniqueId val="{00000000-A10A-4D0C-A889-824E4AE0E7AF}"/>
            </c:ext>
          </c:extLst>
        </c:ser>
        <c:ser>
          <c:idx val="1"/>
          <c:order val="1"/>
          <c:tx>
            <c:strRef>
              <c:f>'[240615 Revue PNDS - Working Document.xlsx]Sheet1'!$H$2</c:f>
              <c:strCache>
                <c:ptCount val="1"/>
                <c:pt idx="0">
                  <c:v>Valeurs observées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0.10250945308221315"/>
                  <c:y val="4.2467756438463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10A-4D0C-A889-824E4AE0E7AF}"/>
                </c:ext>
              </c:extLst>
            </c:dLbl>
            <c:dLbl>
              <c:idx val="2"/>
              <c:layout>
                <c:manualLayout>
                  <c:x val="1.088063700492249E-2"/>
                  <c:y val="7.0235892502329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10A-4D0C-A889-824E4AE0E7AF}"/>
                </c:ext>
              </c:extLst>
            </c:dLbl>
            <c:dLbl>
              <c:idx val="3"/>
              <c:spPr>
                <a:solidFill>
                  <a:schemeClr val="accent6">
                    <a:lumMod val="7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6-A10A-4D0C-A889-824E4AE0E7AF}"/>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[1]Sheet1!$B$3:$G$3</c:f>
              <c:numCache>
                <c:formatCode>General</c:formatCode>
                <c:ptCount val="6"/>
                <c:pt idx="0">
                  <c:v>2018</c:v>
                </c:pt>
                <c:pt idx="1">
                  <c:v>2021</c:v>
                </c:pt>
                <c:pt idx="2">
                  <c:v>2022</c:v>
                </c:pt>
                <c:pt idx="3">
                  <c:v>2023</c:v>
                </c:pt>
                <c:pt idx="4">
                  <c:v>2024</c:v>
                </c:pt>
                <c:pt idx="5">
                  <c:v>2025</c:v>
                </c:pt>
              </c:numCache>
            </c:numRef>
          </c:cat>
          <c:val>
            <c:numRef>
              <c:f>[1]Sheet1!$H$4:$M$4</c:f>
              <c:numCache>
                <c:formatCode>0%</c:formatCode>
                <c:ptCount val="6"/>
                <c:pt idx="1">
                  <c:v>-7.1300000000000002E-2</c:v>
                </c:pt>
                <c:pt idx="2">
                  <c:v>6.83E-2</c:v>
                </c:pt>
                <c:pt idx="3">
                  <c:v>0.56299999999999994</c:v>
                </c:pt>
              </c:numCache>
            </c:numRef>
          </c:val>
          <c:smooth val="0"/>
          <c:extLst>
            <c:ext xmlns:c16="http://schemas.microsoft.com/office/drawing/2014/chart" uri="{C3380CC4-5D6E-409C-BE32-E72D297353CC}">
              <c16:uniqueId val="{00000001-A10A-4D0C-A889-824E4AE0E7AF}"/>
            </c:ext>
          </c:extLst>
        </c:ser>
        <c:dLbls>
          <c:dLblPos val="t"/>
          <c:showLegendKey val="0"/>
          <c:showVal val="1"/>
          <c:showCatName val="0"/>
          <c:showSerName val="0"/>
          <c:showPercent val="0"/>
          <c:showBubbleSize val="0"/>
        </c:dLbls>
        <c:marker val="1"/>
        <c:smooth val="0"/>
        <c:axId val="1298852784"/>
        <c:axId val="1298852424"/>
      </c:lineChart>
      <c:catAx>
        <c:axId val="12988527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424"/>
        <c:crosses val="autoZero"/>
        <c:auto val="1"/>
        <c:lblAlgn val="ctr"/>
        <c:lblOffset val="100"/>
        <c:noMultiLvlLbl val="0"/>
      </c:catAx>
      <c:valAx>
        <c:axId val="1298852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fr-FR"/>
    </a:p>
  </c:txPr>
  <c:externalData r:id="rId3">
    <c:autoUpdate val="0"/>
  </c:externalData>
  <c:userShapes r:id="rId4"/>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'[240615 Revue PNDS - Working Document.xlsx]Sheet1'!$B$2</c:f>
              <c:strCache>
                <c:ptCount val="1"/>
                <c:pt idx="0">
                  <c:v>Valeurs cibles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4"/>
              <c:spPr>
                <a:solidFill>
                  <a:schemeClr val="bg1">
                    <a:lumMod val="6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4-A10A-4D0C-A889-824E4AE0E7AF}"/>
                </c:ext>
              </c:extLst>
            </c:dLbl>
            <c:dLbl>
              <c:idx val="5"/>
              <c:spPr>
                <a:solidFill>
                  <a:schemeClr val="bg1">
                    <a:lumMod val="6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5-A10A-4D0C-A889-824E4AE0E7AF}"/>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[1]Sheet1!$B$3:$G$3</c:f>
              <c:numCache>
                <c:formatCode>General</c:formatCode>
                <c:ptCount val="6"/>
                <c:pt idx="0">
                  <c:v>2018</c:v>
                </c:pt>
                <c:pt idx="1">
                  <c:v>2021</c:v>
                </c:pt>
                <c:pt idx="2">
                  <c:v>2022</c:v>
                </c:pt>
                <c:pt idx="3">
                  <c:v>2023</c:v>
                </c:pt>
                <c:pt idx="4">
                  <c:v>2024</c:v>
                </c:pt>
                <c:pt idx="5">
                  <c:v>2025</c:v>
                </c:pt>
              </c:numCache>
            </c:numRef>
          </c:cat>
          <c:val>
            <c:numRef>
              <c:f>[1]Sheet1!$B$4:$G$4</c:f>
              <c:numCache>
                <c:formatCode>0%</c:formatCode>
                <c:ptCount val="6"/>
                <c:pt idx="0">
                  <c:v>-0.16</c:v>
                </c:pt>
                <c:pt idx="1">
                  <c:v>0.15</c:v>
                </c:pt>
                <c:pt idx="2">
                  <c:v>0.15</c:v>
                </c:pt>
                <c:pt idx="3">
                  <c:v>0.15</c:v>
                </c:pt>
                <c:pt idx="4">
                  <c:v>0.15</c:v>
                </c:pt>
                <c:pt idx="5">
                  <c:v>0.15</c:v>
                </c:pt>
              </c:numCache>
            </c:numRef>
          </c:val>
          <c:smooth val="0"/>
          <c:extLst>
            <c:ext xmlns:c16="http://schemas.microsoft.com/office/drawing/2014/chart" uri="{C3380CC4-5D6E-409C-BE32-E72D297353CC}">
              <c16:uniqueId val="{00000000-A10A-4D0C-A889-824E4AE0E7AF}"/>
            </c:ext>
          </c:extLst>
        </c:ser>
        <c:ser>
          <c:idx val="1"/>
          <c:order val="1"/>
          <c:tx>
            <c:strRef>
              <c:f>'[240615 Revue PNDS - Working Document.xlsx]Sheet1'!$H$2</c:f>
              <c:strCache>
                <c:ptCount val="1"/>
                <c:pt idx="0">
                  <c:v>Valeurs observées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0.10250945308221315"/>
                  <c:y val="4.2467756438463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10A-4D0C-A889-824E4AE0E7AF}"/>
                </c:ext>
              </c:extLst>
            </c:dLbl>
            <c:dLbl>
              <c:idx val="2"/>
              <c:layout>
                <c:manualLayout>
                  <c:x val="1.088063700492249E-2"/>
                  <c:y val="7.0235892502329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10A-4D0C-A889-824E4AE0E7AF}"/>
                </c:ext>
              </c:extLst>
            </c:dLbl>
            <c:dLbl>
              <c:idx val="3"/>
              <c:spPr>
                <a:solidFill>
                  <a:schemeClr val="accent6">
                    <a:lumMod val="7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6-A10A-4D0C-A889-824E4AE0E7AF}"/>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[1]Sheet1!$B$3:$G$3</c:f>
              <c:numCache>
                <c:formatCode>General</c:formatCode>
                <c:ptCount val="6"/>
                <c:pt idx="0">
                  <c:v>2018</c:v>
                </c:pt>
                <c:pt idx="1">
                  <c:v>2021</c:v>
                </c:pt>
                <c:pt idx="2">
                  <c:v>2022</c:v>
                </c:pt>
                <c:pt idx="3">
                  <c:v>2023</c:v>
                </c:pt>
                <c:pt idx="4">
                  <c:v>2024</c:v>
                </c:pt>
                <c:pt idx="5">
                  <c:v>2025</c:v>
                </c:pt>
              </c:numCache>
            </c:numRef>
          </c:cat>
          <c:val>
            <c:numRef>
              <c:f>[1]Sheet1!$H$4:$M$4</c:f>
              <c:numCache>
                <c:formatCode>0%</c:formatCode>
                <c:ptCount val="6"/>
                <c:pt idx="1">
                  <c:v>-7.1300000000000002E-2</c:v>
                </c:pt>
                <c:pt idx="2">
                  <c:v>6.83E-2</c:v>
                </c:pt>
                <c:pt idx="3">
                  <c:v>0.56299999999999994</c:v>
                </c:pt>
              </c:numCache>
            </c:numRef>
          </c:val>
          <c:smooth val="0"/>
          <c:extLst>
            <c:ext xmlns:c16="http://schemas.microsoft.com/office/drawing/2014/chart" uri="{C3380CC4-5D6E-409C-BE32-E72D297353CC}">
              <c16:uniqueId val="{00000001-A10A-4D0C-A889-824E4AE0E7AF}"/>
            </c:ext>
          </c:extLst>
        </c:ser>
        <c:dLbls>
          <c:dLblPos val="t"/>
          <c:showLegendKey val="0"/>
          <c:showVal val="1"/>
          <c:showCatName val="0"/>
          <c:showSerName val="0"/>
          <c:showPercent val="0"/>
          <c:showBubbleSize val="0"/>
        </c:dLbls>
        <c:marker val="1"/>
        <c:smooth val="0"/>
        <c:axId val="1298852784"/>
        <c:axId val="1298852424"/>
      </c:lineChart>
      <c:catAx>
        <c:axId val="12988527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424"/>
        <c:crosses val="autoZero"/>
        <c:auto val="1"/>
        <c:lblAlgn val="ctr"/>
        <c:lblOffset val="100"/>
        <c:noMultiLvlLbl val="0"/>
      </c:catAx>
      <c:valAx>
        <c:axId val="1298852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fr-FR"/>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'[240615 Revue PNDS - Working Document.xlsx]Sheet1'!$B$2</c:f>
              <c:strCache>
                <c:ptCount val="1"/>
                <c:pt idx="0">
                  <c:v>Valeurs cibles</c:v>
                </c:pt>
              </c:strCache>
            </c:strRef>
          </c:tx>
          <c:spPr>
            <a:solidFill>
              <a:schemeClr val="accent1"/>
            </a:solidFill>
            <a:ln>
              <a:noFill/>
            </a:ln>
            <a:effectLst/>
          </c:spPr>
          <c:invertIfNegative val="0"/>
          <c:dLbls>
            <c:dLbl>
              <c:idx val="4"/>
              <c:spPr>
                <a:solidFill>
                  <a:schemeClr val="bg1">
                    <a:lumMod val="6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5-8DD0-404F-9A77-69BCC512BD79}"/>
                </c:ext>
              </c:extLst>
            </c:dLbl>
            <c:dLbl>
              <c:idx val="5"/>
              <c:spPr>
                <a:solidFill>
                  <a:schemeClr val="bg1">
                    <a:lumMod val="6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6-8DD0-404F-9A77-69BCC512BD79}"/>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Document.xlsx]Sheet1'!$B$9:$G$9</c:f>
              <c:numCache>
                <c:formatCode>General</c:formatCode>
                <c:ptCount val="6"/>
                <c:pt idx="0">
                  <c:v>2020</c:v>
                </c:pt>
                <c:pt idx="1">
                  <c:v>2021</c:v>
                </c:pt>
                <c:pt idx="2">
                  <c:v>2022</c:v>
                </c:pt>
                <c:pt idx="3">
                  <c:v>2023</c:v>
                </c:pt>
                <c:pt idx="4">
                  <c:v>2024</c:v>
                </c:pt>
                <c:pt idx="5">
                  <c:v>2025</c:v>
                </c:pt>
              </c:numCache>
            </c:numRef>
          </c:cat>
          <c:val>
            <c:numRef>
              <c:f>'[240615 Revue PNDS - Working Document.xlsx]Sheet1'!$B$10:$G$10</c:f>
              <c:numCache>
                <c:formatCode>0.00%</c:formatCode>
                <c:ptCount val="6"/>
                <c:pt idx="0" formatCode="0.0%">
                  <c:v>7.4300000000000005E-2</c:v>
                </c:pt>
                <c:pt idx="1">
                  <c:v>7.5399999999999995E-2</c:v>
                </c:pt>
                <c:pt idx="2">
                  <c:v>7.6499999999999999E-2</c:v>
                </c:pt>
                <c:pt idx="3">
                  <c:v>7.7700000000000005E-2</c:v>
                </c:pt>
                <c:pt idx="4" formatCode="0%">
                  <c:v>7.8799999999999995E-2</c:v>
                </c:pt>
                <c:pt idx="5" formatCode="0%">
                  <c:v>0.08</c:v>
                </c:pt>
              </c:numCache>
            </c:numRef>
          </c:val>
          <c:extLst>
            <c:ext xmlns:c16="http://schemas.microsoft.com/office/drawing/2014/chart" uri="{C3380CC4-5D6E-409C-BE32-E72D297353CC}">
              <c16:uniqueId val="{00000000-8DD0-404F-9A77-69BCC512BD79}"/>
            </c:ext>
          </c:extLst>
        </c:ser>
        <c:ser>
          <c:idx val="1"/>
          <c:order val="1"/>
          <c:tx>
            <c:strRef>
              <c:f>'[240615 Revue PNDS - Working Document.xlsx]Sheet1'!$H$2</c:f>
              <c:strCache>
                <c:ptCount val="1"/>
                <c:pt idx="0">
                  <c:v>Valeurs observées</c:v>
                </c:pt>
              </c:strCache>
            </c:strRef>
          </c:tx>
          <c:spPr>
            <a:solidFill>
              <a:schemeClr val="accent2"/>
            </a:solidFill>
            <a:ln>
              <a:noFill/>
            </a:ln>
            <a:effectLst/>
          </c:spPr>
          <c:invertIfNegative val="0"/>
          <c:dLbls>
            <c:dLbl>
              <c:idx val="1"/>
              <c:layout>
                <c:manualLayout>
                  <c:x val="-0.11005216180107451"/>
                  <c:y val="7.44892182594822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DD0-404F-9A77-69BCC512BD79}"/>
                </c:ext>
              </c:extLst>
            </c:dLbl>
            <c:dLbl>
              <c:idx val="2"/>
              <c:layout>
                <c:manualLayout>
                  <c:x val="-6.0413172631399413E-2"/>
                  <c:y val="0.107168956821573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D0-404F-9A77-69BCC512BD79}"/>
                </c:ext>
              </c:extLst>
            </c:dLbl>
            <c:dLbl>
              <c:idx val="3"/>
              <c:layout>
                <c:manualLayout>
                  <c:x val="-4.2362631115153926E-2"/>
                  <c:y val="0.10716895682157378"/>
                </c:manualLayout>
              </c:layout>
              <c:spPr>
                <a:solidFill>
                  <a:schemeClr val="accent6">
                    <a:lumMod val="7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4-8DD0-404F-9A77-69BCC512BD79}"/>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Document.xlsx]Sheet1'!$B$9:$G$9</c:f>
              <c:numCache>
                <c:formatCode>General</c:formatCode>
                <c:ptCount val="6"/>
                <c:pt idx="0">
                  <c:v>2020</c:v>
                </c:pt>
                <c:pt idx="1">
                  <c:v>2021</c:v>
                </c:pt>
                <c:pt idx="2">
                  <c:v>2022</c:v>
                </c:pt>
                <c:pt idx="3">
                  <c:v>2023</c:v>
                </c:pt>
                <c:pt idx="4">
                  <c:v>2024</c:v>
                </c:pt>
                <c:pt idx="5">
                  <c:v>2025</c:v>
                </c:pt>
              </c:numCache>
            </c:numRef>
          </c:cat>
          <c:val>
            <c:numRef>
              <c:f>'[240615 Revue PNDS - Working Document.xlsx]Sheet1'!$H$10:$M$10</c:f>
              <c:numCache>
                <c:formatCode>0%</c:formatCode>
                <c:ptCount val="6"/>
                <c:pt idx="1">
                  <c:v>6.2799999999999995E-2</c:v>
                </c:pt>
                <c:pt idx="2">
                  <c:v>5.3600000000000002E-2</c:v>
                </c:pt>
                <c:pt idx="3">
                  <c:v>6.3200000000000006E-2</c:v>
                </c:pt>
              </c:numCache>
            </c:numRef>
          </c:val>
          <c:extLst>
            <c:ext xmlns:c16="http://schemas.microsoft.com/office/drawing/2014/chart" uri="{C3380CC4-5D6E-409C-BE32-E72D297353CC}">
              <c16:uniqueId val="{00000001-8DD0-404F-9A77-69BCC512BD79}"/>
            </c:ext>
          </c:extLst>
        </c:ser>
        <c:dLbls>
          <c:showLegendKey val="0"/>
          <c:showVal val="1"/>
          <c:showCatName val="0"/>
          <c:showSerName val="0"/>
          <c:showPercent val="0"/>
          <c:showBubbleSize val="0"/>
        </c:dLbls>
        <c:gapWidth val="150"/>
        <c:axId val="1298852784"/>
        <c:axId val="1298852424"/>
      </c:barChart>
      <c:catAx>
        <c:axId val="12988527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424"/>
        <c:crosses val="autoZero"/>
        <c:auto val="1"/>
        <c:lblAlgn val="ctr"/>
        <c:lblOffset val="100"/>
        <c:noMultiLvlLbl val="0"/>
      </c:catAx>
      <c:valAx>
        <c:axId val="12988524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fr-FR"/>
    </a:p>
  </c:txPr>
  <c:externalData r:id="rId3">
    <c:autoUpdate val="0"/>
  </c:externalData>
  <c:userShapes r:id="rId4"/>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'[240615 Revue PNDS - Working Document.xlsx]Sheet1'!$B$2</c:f>
              <c:strCache>
                <c:ptCount val="1"/>
                <c:pt idx="0">
                  <c:v>Valeurs cibles</c:v>
                </c:pt>
              </c:strCache>
            </c:strRef>
          </c:tx>
          <c:spPr>
            <a:solidFill>
              <a:schemeClr val="accent1"/>
            </a:solidFill>
            <a:ln>
              <a:noFill/>
            </a:ln>
            <a:effectLst/>
          </c:spPr>
          <c:invertIfNegative val="0"/>
          <c:dLbls>
            <c:dLbl>
              <c:idx val="4"/>
              <c:spPr>
                <a:solidFill>
                  <a:schemeClr val="bg1">
                    <a:lumMod val="6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5-8DD0-404F-9A77-69BCC512BD79}"/>
                </c:ext>
              </c:extLst>
            </c:dLbl>
            <c:dLbl>
              <c:idx val="5"/>
              <c:spPr>
                <a:solidFill>
                  <a:schemeClr val="bg1">
                    <a:lumMod val="6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6-8DD0-404F-9A77-69BCC512BD79}"/>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Document.xlsx]Sheet1'!$B$9:$G$9</c:f>
              <c:numCache>
                <c:formatCode>General</c:formatCode>
                <c:ptCount val="6"/>
                <c:pt idx="0">
                  <c:v>2020</c:v>
                </c:pt>
                <c:pt idx="1">
                  <c:v>2021</c:v>
                </c:pt>
                <c:pt idx="2">
                  <c:v>2022</c:v>
                </c:pt>
                <c:pt idx="3">
                  <c:v>2023</c:v>
                </c:pt>
                <c:pt idx="4">
                  <c:v>2024</c:v>
                </c:pt>
                <c:pt idx="5">
                  <c:v>2025</c:v>
                </c:pt>
              </c:numCache>
            </c:numRef>
          </c:cat>
          <c:val>
            <c:numRef>
              <c:f>'[240615 Revue PNDS - Working Document.xlsx]Sheet1'!$B$10:$G$10</c:f>
              <c:numCache>
                <c:formatCode>0.00%</c:formatCode>
                <c:ptCount val="6"/>
                <c:pt idx="0" formatCode="0.0%">
                  <c:v>7.4300000000000005E-2</c:v>
                </c:pt>
                <c:pt idx="1">
                  <c:v>7.5399999999999995E-2</c:v>
                </c:pt>
                <c:pt idx="2">
                  <c:v>7.6499999999999999E-2</c:v>
                </c:pt>
                <c:pt idx="3">
                  <c:v>7.7700000000000005E-2</c:v>
                </c:pt>
                <c:pt idx="4" formatCode="0%">
                  <c:v>7.8799999999999995E-2</c:v>
                </c:pt>
                <c:pt idx="5" formatCode="0%">
                  <c:v>0.08</c:v>
                </c:pt>
              </c:numCache>
            </c:numRef>
          </c:val>
          <c:extLst>
            <c:ext xmlns:c16="http://schemas.microsoft.com/office/drawing/2014/chart" uri="{C3380CC4-5D6E-409C-BE32-E72D297353CC}">
              <c16:uniqueId val="{00000000-8DD0-404F-9A77-69BCC512BD79}"/>
            </c:ext>
          </c:extLst>
        </c:ser>
        <c:ser>
          <c:idx val="1"/>
          <c:order val="1"/>
          <c:tx>
            <c:strRef>
              <c:f>'[240615 Revue PNDS - Working Document.xlsx]Sheet1'!$H$2</c:f>
              <c:strCache>
                <c:ptCount val="1"/>
                <c:pt idx="0">
                  <c:v>Valeurs observées</c:v>
                </c:pt>
              </c:strCache>
            </c:strRef>
          </c:tx>
          <c:spPr>
            <a:solidFill>
              <a:schemeClr val="accent2"/>
            </a:solidFill>
            <a:ln>
              <a:noFill/>
            </a:ln>
            <a:effectLst/>
          </c:spPr>
          <c:invertIfNegative val="0"/>
          <c:dLbls>
            <c:dLbl>
              <c:idx val="1"/>
              <c:layout>
                <c:manualLayout>
                  <c:x val="-0.11005216180107451"/>
                  <c:y val="7.44892182594822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DD0-404F-9A77-69BCC512BD79}"/>
                </c:ext>
              </c:extLst>
            </c:dLbl>
            <c:dLbl>
              <c:idx val="2"/>
              <c:layout>
                <c:manualLayout>
                  <c:x val="-6.0413172631399413E-2"/>
                  <c:y val="0.107168956821573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D0-404F-9A77-69BCC512BD79}"/>
                </c:ext>
              </c:extLst>
            </c:dLbl>
            <c:dLbl>
              <c:idx val="3"/>
              <c:layout>
                <c:manualLayout>
                  <c:x val="-4.2362631115153926E-2"/>
                  <c:y val="0.10716895682157378"/>
                </c:manualLayout>
              </c:layout>
              <c:spPr>
                <a:solidFill>
                  <a:schemeClr val="accent6">
                    <a:lumMod val="7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4-8DD0-404F-9A77-69BCC512BD79}"/>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Document.xlsx]Sheet1'!$B$9:$G$9</c:f>
              <c:numCache>
                <c:formatCode>General</c:formatCode>
                <c:ptCount val="6"/>
                <c:pt idx="0">
                  <c:v>2020</c:v>
                </c:pt>
                <c:pt idx="1">
                  <c:v>2021</c:v>
                </c:pt>
                <c:pt idx="2">
                  <c:v>2022</c:v>
                </c:pt>
                <c:pt idx="3">
                  <c:v>2023</c:v>
                </c:pt>
                <c:pt idx="4">
                  <c:v>2024</c:v>
                </c:pt>
                <c:pt idx="5">
                  <c:v>2025</c:v>
                </c:pt>
              </c:numCache>
            </c:numRef>
          </c:cat>
          <c:val>
            <c:numRef>
              <c:f>'[240615 Revue PNDS - Working Document.xlsx]Sheet1'!$H$10:$M$10</c:f>
              <c:numCache>
                <c:formatCode>0%</c:formatCode>
                <c:ptCount val="6"/>
                <c:pt idx="1">
                  <c:v>6.2799999999999995E-2</c:v>
                </c:pt>
                <c:pt idx="2">
                  <c:v>5.3600000000000002E-2</c:v>
                </c:pt>
                <c:pt idx="3">
                  <c:v>6.3200000000000006E-2</c:v>
                </c:pt>
              </c:numCache>
            </c:numRef>
          </c:val>
          <c:extLst>
            <c:ext xmlns:c16="http://schemas.microsoft.com/office/drawing/2014/chart" uri="{C3380CC4-5D6E-409C-BE32-E72D297353CC}">
              <c16:uniqueId val="{00000001-8DD0-404F-9A77-69BCC512BD79}"/>
            </c:ext>
          </c:extLst>
        </c:ser>
        <c:dLbls>
          <c:showLegendKey val="0"/>
          <c:showVal val="1"/>
          <c:showCatName val="0"/>
          <c:showSerName val="0"/>
          <c:showPercent val="0"/>
          <c:showBubbleSize val="0"/>
        </c:dLbls>
        <c:gapWidth val="150"/>
        <c:axId val="1298852784"/>
        <c:axId val="1298852424"/>
      </c:barChart>
      <c:catAx>
        <c:axId val="12988527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424"/>
        <c:crosses val="autoZero"/>
        <c:auto val="1"/>
        <c:lblAlgn val="ctr"/>
        <c:lblOffset val="100"/>
        <c:noMultiLvlLbl val="0"/>
      </c:catAx>
      <c:valAx>
        <c:axId val="12988524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fr-FR"/>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0"/>
          <a:lstStyle/>
          <a:p>
            <a:pPr>
              <a:defRPr sz="600" b="0" i="0" u="none" strike="noStrike" kern="1200" spc="0" baseline="0">
                <a:solidFill>
                  <a:schemeClr val="tx1"/>
                </a:solidFill>
                <a:latin typeface="+mn-lt"/>
                <a:ea typeface="+mn-ea"/>
                <a:cs typeface="+mn-cs"/>
              </a:defRPr>
            </a:pPr>
            <a:r>
              <a:rPr lang="en-US" sz="600" dirty="0" err="1">
                <a:solidFill>
                  <a:schemeClr val="tx1"/>
                </a:solidFill>
              </a:rPr>
              <a:t>Densité</a:t>
            </a:r>
            <a:r>
              <a:rPr lang="en-US" sz="600" dirty="0">
                <a:solidFill>
                  <a:schemeClr val="tx1"/>
                </a:solidFill>
              </a:rPr>
              <a:t> </a:t>
            </a:r>
            <a:r>
              <a:rPr lang="en-US" sz="600" dirty="0" err="1">
                <a:solidFill>
                  <a:schemeClr val="tx1"/>
                </a:solidFill>
              </a:rPr>
              <a:t>prestataires</a:t>
            </a:r>
            <a:r>
              <a:rPr lang="en-US" sz="600" dirty="0">
                <a:solidFill>
                  <a:schemeClr val="tx1"/>
                </a:solidFill>
              </a:rPr>
              <a:t> de </a:t>
            </a:r>
            <a:r>
              <a:rPr lang="en-US" sz="600" dirty="0" err="1">
                <a:solidFill>
                  <a:schemeClr val="tx1"/>
                </a:solidFill>
              </a:rPr>
              <a:t>soins</a:t>
            </a:r>
            <a:r>
              <a:rPr lang="en-US" sz="600" dirty="0">
                <a:solidFill>
                  <a:schemeClr val="tx1"/>
                </a:solidFill>
              </a:rPr>
              <a:t>/habitants pour </a:t>
            </a:r>
          </a:p>
          <a:p>
            <a:pPr>
              <a:defRPr sz="600">
                <a:solidFill>
                  <a:schemeClr val="tx1"/>
                </a:solidFill>
              </a:defRPr>
            </a:pPr>
            <a:r>
              <a:rPr lang="en-US" sz="600" dirty="0">
                <a:solidFill>
                  <a:schemeClr val="tx1"/>
                </a:solidFill>
              </a:rPr>
              <a:t>100 000 habitants  </a:t>
            </a:r>
          </a:p>
        </c:rich>
      </c:tx>
      <c:layout>
        <c:manualLayout>
          <c:xMode val="edge"/>
          <c:yMode val="edge"/>
          <c:x val="0.15744144621444406"/>
          <c:y val="0"/>
        </c:manualLayout>
      </c:layout>
      <c:overlay val="0"/>
      <c:spPr>
        <a:noFill/>
        <a:ln>
          <a:noFill/>
        </a:ln>
        <a:effectLst/>
      </c:spPr>
      <c:txPr>
        <a:bodyPr rot="0" spcFirstLastPara="1" vertOverflow="ellipsis" vert="horz" wrap="square" anchor="ctr" anchorCtr="0"/>
        <a:lstStyle/>
        <a:p>
          <a:pPr>
            <a:defRPr sz="600" b="0" i="0" u="none" strike="noStrike" kern="1200" spc="0" baseline="0">
              <a:solidFill>
                <a:schemeClr val="tx1"/>
              </a:solidFill>
              <a:latin typeface="+mn-lt"/>
              <a:ea typeface="+mn-ea"/>
              <a:cs typeface="+mn-cs"/>
            </a:defRPr>
          </a:pPr>
          <a:endParaRPr lang="fr-FR"/>
        </a:p>
      </c:txPr>
    </c:title>
    <c:autoTitleDeleted val="0"/>
    <c:plotArea>
      <c:layout/>
      <c:barChart>
        <c:barDir val="col"/>
        <c:grouping val="clustered"/>
        <c:varyColors val="0"/>
        <c:ser>
          <c:idx val="0"/>
          <c:order val="0"/>
          <c:tx>
            <c:strRef>
              <c:f>Feuil1!$B$2</c:f>
              <c:strCache>
                <c:ptCount val="1"/>
                <c:pt idx="0">
                  <c:v>Valeurs previsionnelles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Feuil1!$A$4:$A$8</c:f>
              <c:numCache>
                <c:formatCode>General</c:formatCode>
                <c:ptCount val="5"/>
                <c:pt idx="0">
                  <c:v>2020</c:v>
                </c:pt>
                <c:pt idx="1">
                  <c:v>2021</c:v>
                </c:pt>
                <c:pt idx="2">
                  <c:v>2022</c:v>
                </c:pt>
                <c:pt idx="3">
                  <c:v>2023</c:v>
                </c:pt>
                <c:pt idx="4">
                  <c:v>2024</c:v>
                </c:pt>
              </c:numCache>
            </c:numRef>
          </c:cat>
          <c:val>
            <c:numRef>
              <c:f>Feuil1!$B$4:$B$8</c:f>
              <c:numCache>
                <c:formatCode>General</c:formatCode>
                <c:ptCount val="5"/>
                <c:pt idx="1">
                  <c:v>9.76</c:v>
                </c:pt>
                <c:pt idx="2">
                  <c:v>10.35</c:v>
                </c:pt>
                <c:pt idx="3">
                  <c:v>10.9</c:v>
                </c:pt>
                <c:pt idx="4">
                  <c:v>11.42</c:v>
                </c:pt>
              </c:numCache>
            </c:numRef>
          </c:val>
          <c:extLst>
            <c:ext xmlns:c16="http://schemas.microsoft.com/office/drawing/2014/chart" uri="{C3380CC4-5D6E-409C-BE32-E72D297353CC}">
              <c16:uniqueId val="{00000000-DF2A-4B3D-903B-0AC667DFF964}"/>
            </c:ext>
          </c:extLst>
        </c:ser>
        <c:ser>
          <c:idx val="1"/>
          <c:order val="1"/>
          <c:tx>
            <c:strRef>
              <c:f>Feuil1!$C$2</c:f>
              <c:strCache>
                <c:ptCount val="1"/>
                <c:pt idx="0">
                  <c:v>valeurs observées </c:v>
                </c:pt>
              </c:strCache>
            </c:strRef>
          </c:tx>
          <c:spPr>
            <a:solidFill>
              <a:schemeClr val="accent2"/>
            </a:solidFill>
            <a:ln>
              <a:noFill/>
            </a:ln>
            <a:effectLst/>
          </c:spPr>
          <c:invertIfNegative val="0"/>
          <c:dLbls>
            <c:dLbl>
              <c:idx val="1"/>
              <c:layout>
                <c:manualLayout>
                  <c:x val="1.7665440209092047E-2"/>
                  <c:y val="1.138655006361226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F2A-4B3D-903B-0AC667DFF964}"/>
                </c:ext>
              </c:extLst>
            </c:dLbl>
            <c:dLbl>
              <c:idx val="2"/>
              <c:layout>
                <c:manualLayout>
                  <c:x val="3.2386640383335309E-2"/>
                  <c:y val="1.51820667514830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F2A-4B3D-903B-0AC667DFF964}"/>
                </c:ext>
              </c:extLst>
            </c:dLbl>
            <c:dLbl>
              <c:idx val="3"/>
              <c:layout>
                <c:manualLayout>
                  <c:x val="2.9442400348486743E-2"/>
                  <c:y val="7.59103337574150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F2A-4B3D-903B-0AC667DFF964}"/>
                </c:ext>
              </c:extLst>
            </c:dLbl>
            <c:dLbl>
              <c:idx val="4"/>
              <c:layout>
                <c:manualLayout>
                  <c:x val="3.2386640383335309E-2"/>
                  <c:y val="-3.0364133502966031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1"/>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F2A-4B3D-903B-0AC667DFF964}"/>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numRef>
              <c:f>Feuil1!$A$4:$A$8</c:f>
              <c:numCache>
                <c:formatCode>General</c:formatCode>
                <c:ptCount val="5"/>
                <c:pt idx="0">
                  <c:v>2020</c:v>
                </c:pt>
                <c:pt idx="1">
                  <c:v>2021</c:v>
                </c:pt>
                <c:pt idx="2">
                  <c:v>2022</c:v>
                </c:pt>
                <c:pt idx="3">
                  <c:v>2023</c:v>
                </c:pt>
                <c:pt idx="4">
                  <c:v>2024</c:v>
                </c:pt>
              </c:numCache>
            </c:numRef>
          </c:cat>
          <c:val>
            <c:numRef>
              <c:f>Feuil1!$C$4:$C$8</c:f>
              <c:numCache>
                <c:formatCode>General</c:formatCode>
                <c:ptCount val="5"/>
                <c:pt idx="0">
                  <c:v>8.57</c:v>
                </c:pt>
                <c:pt idx="1">
                  <c:v>8.9700000000000006</c:v>
                </c:pt>
                <c:pt idx="2">
                  <c:v>9.9499999999999993</c:v>
                </c:pt>
                <c:pt idx="3">
                  <c:v>10.63</c:v>
                </c:pt>
                <c:pt idx="4">
                  <c:v>11.55</c:v>
                </c:pt>
              </c:numCache>
            </c:numRef>
          </c:val>
          <c:extLst>
            <c:ext xmlns:c16="http://schemas.microsoft.com/office/drawing/2014/chart" uri="{C3380CC4-5D6E-409C-BE32-E72D297353CC}">
              <c16:uniqueId val="{00000006-DF2A-4B3D-903B-0AC667DFF964}"/>
            </c:ext>
          </c:extLst>
        </c:ser>
        <c:dLbls>
          <c:dLblPos val="outEnd"/>
          <c:showLegendKey val="0"/>
          <c:showVal val="1"/>
          <c:showCatName val="0"/>
          <c:showSerName val="0"/>
          <c:showPercent val="0"/>
          <c:showBubbleSize val="0"/>
        </c:dLbls>
        <c:gapWidth val="219"/>
        <c:overlap val="-27"/>
        <c:axId val="791371087"/>
        <c:axId val="791369839"/>
      </c:barChart>
      <c:catAx>
        <c:axId val="791371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fr-FR"/>
          </a:p>
        </c:txPr>
        <c:crossAx val="791369839"/>
        <c:crosses val="autoZero"/>
        <c:auto val="1"/>
        <c:lblAlgn val="ctr"/>
        <c:lblOffset val="100"/>
        <c:noMultiLvlLbl val="0"/>
      </c:catAx>
      <c:valAx>
        <c:axId val="7913698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r-FR"/>
          </a:p>
        </c:txPr>
        <c:crossAx val="791371087"/>
        <c:crosses val="autoZero"/>
        <c:crossBetween val="between"/>
      </c:valAx>
      <c:spPr>
        <a:noFill/>
        <a:ln w="25400">
          <a:noFill/>
        </a:ln>
        <a:effectLst/>
      </c:spPr>
    </c:plotArea>
    <c:legend>
      <c:legendPos val="b"/>
      <c:layout>
        <c:manualLayout>
          <c:xMode val="edge"/>
          <c:yMode val="edge"/>
          <c:x val="0"/>
          <c:y val="0.75345443666778089"/>
          <c:w val="1"/>
          <c:h val="0.1282942576336015"/>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000" b="1" i="0" u="none" strike="noStrike" kern="1200" spc="0" baseline="0">
                <a:solidFill>
                  <a:schemeClr val="tx1"/>
                </a:solidFill>
                <a:latin typeface="+mn-lt"/>
                <a:ea typeface="+mn-ea"/>
                <a:cs typeface="+mn-cs"/>
              </a:defRPr>
            </a:pPr>
            <a:r>
              <a:rPr lang="fr-FR" sz="1000" b="0" i="1" u="none" strike="noStrike" baseline="0">
                <a:solidFill>
                  <a:srgbClr val="002060"/>
                </a:solidFill>
                <a:effectLst/>
              </a:rPr>
              <a:t>Graphique 8: </a:t>
            </a:r>
            <a:r>
              <a:rPr lang="en-GB" sz="1000" b="0" i="1">
                <a:solidFill>
                  <a:srgbClr val="002060"/>
                </a:solidFill>
              </a:rPr>
              <a:t>Proportion de personnes vivant à moins de 5 km d’un établissement de santé </a:t>
            </a:r>
          </a:p>
        </c:rich>
      </c:tx>
      <c:overlay val="0"/>
      <c:spPr>
        <a:noFill/>
        <a:ln>
          <a:noFill/>
        </a:ln>
        <a:effectLst/>
      </c:spPr>
      <c:txPr>
        <a:bodyPr rot="0" spcFirstLastPara="1" vertOverflow="ellipsis" vert="horz" wrap="square" anchor="ctr" anchorCtr="1"/>
        <a:lstStyle/>
        <a:p>
          <a:pPr>
            <a:defRPr lang="en-US" sz="1000" b="1" i="0" u="none" strike="noStrike" kern="1200" spc="0" baseline="0">
              <a:solidFill>
                <a:schemeClr val="tx1"/>
              </a:solidFill>
              <a:latin typeface="+mn-lt"/>
              <a:ea typeface="+mn-ea"/>
              <a:cs typeface="+mn-cs"/>
            </a:defRPr>
          </a:pPr>
          <a:endParaRPr lang="fr-FR"/>
        </a:p>
      </c:txPr>
    </c:title>
    <c:autoTitleDeleted val="0"/>
    <c:plotArea>
      <c:layout/>
      <c:lineChart>
        <c:grouping val="standard"/>
        <c:varyColors val="0"/>
        <c:ser>
          <c:idx val="3"/>
          <c:order val="0"/>
          <c:tx>
            <c:strRef>
              <c:f>'4. Evolution des indicateurs'!$E$1</c:f>
              <c:strCache>
                <c:ptCount val="1"/>
                <c:pt idx="0">
                  <c:v>Actions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chemeClr val="tx1"/>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'Traitement - Indic Effets'!$O$3:$Q$3</c:f>
              <c:numCache>
                <c:formatCode>General</c:formatCode>
                <c:ptCount val="3"/>
                <c:pt idx="0">
                  <c:v>2021</c:v>
                </c:pt>
                <c:pt idx="1">
                  <c:v>2022</c:v>
                </c:pt>
                <c:pt idx="2">
                  <c:v>2023</c:v>
                </c:pt>
              </c:numCache>
            </c:numRef>
          </c:cat>
          <c:val>
            <c:numRef>
              <c:f>'4. Evolution des indicateurs'!$E$2:$E$71</c:f>
            </c:numRef>
          </c:val>
          <c:smooth val="0"/>
          <c:extLst>
            <c:ext xmlns:c16="http://schemas.microsoft.com/office/drawing/2014/chart" uri="{C3380CC4-5D6E-409C-BE32-E72D297353CC}">
              <c16:uniqueId val="{00000000-30F8-4D0D-A648-1CF0A7E28963}"/>
            </c:ext>
          </c:extLst>
        </c:ser>
        <c:ser>
          <c:idx val="0"/>
          <c:order val="1"/>
          <c:tx>
            <c:strRef>
              <c:f>'Traitement - Indic Effets'!$L$2:$N$2</c:f>
              <c:strCache>
                <c:ptCount val="1"/>
                <c:pt idx="0">
                  <c:v> Valeurs prévisionnelles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manualLayout>
                  <c:x val="-6.2829748574993752E-2"/>
                  <c:y val="6.54364958902903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F8-4D0D-A648-1CF0A7E28963}"/>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lang="en-US" sz="1000" b="1" i="0" u="none" strike="noStrike" kern="1200" baseline="0">
                    <a:solidFill>
                      <a:schemeClr val="tx1"/>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'Traitement - Indic Effets'!$O$3:$Q$3</c:f>
              <c:numCache>
                <c:formatCode>General</c:formatCode>
                <c:ptCount val="3"/>
                <c:pt idx="0">
                  <c:v>2021</c:v>
                </c:pt>
                <c:pt idx="1">
                  <c:v>2022</c:v>
                </c:pt>
                <c:pt idx="2">
                  <c:v>2023</c:v>
                </c:pt>
              </c:numCache>
            </c:numRef>
          </c:cat>
          <c:val>
            <c:numRef>
              <c:f>'Traitement - Indic Effets'!$L$17:$N$17</c:f>
              <c:numCache>
                <c:formatCode>0%</c:formatCode>
                <c:ptCount val="3"/>
                <c:pt idx="0">
                  <c:v>0.72</c:v>
                </c:pt>
                <c:pt idx="1">
                  <c:v>0.74</c:v>
                </c:pt>
                <c:pt idx="2">
                  <c:v>0.76</c:v>
                </c:pt>
              </c:numCache>
            </c:numRef>
          </c:val>
          <c:smooth val="0"/>
          <c:extLst>
            <c:ext xmlns:c16="http://schemas.microsoft.com/office/drawing/2014/chart" uri="{C3380CC4-5D6E-409C-BE32-E72D297353CC}">
              <c16:uniqueId val="{00000002-30F8-4D0D-A648-1CF0A7E28963}"/>
            </c:ext>
          </c:extLst>
        </c:ser>
        <c:ser>
          <c:idx val="1"/>
          <c:order val="2"/>
          <c:tx>
            <c:strRef>
              <c:f>'Traitement - Indic Effets'!$O$2:$Q$2</c:f>
              <c:strCache>
                <c:ptCount val="1"/>
                <c:pt idx="0">
                  <c:v> Valeurs observées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6.6508305283131564E-2"/>
                  <c:y val="4.7778763912415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F8-4D0D-A648-1CF0A7E28963}"/>
                </c:ext>
              </c:extLst>
            </c:dLbl>
            <c:dLbl>
              <c:idx val="1"/>
              <c:layout>
                <c:manualLayout>
                  <c:x val="-7.0186861991269431E-2"/>
                  <c:y val="5.95505852309988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0F8-4D0D-A648-1CF0A7E28963}"/>
                </c:ext>
              </c:extLst>
            </c:dLbl>
            <c:dLbl>
              <c:idx val="2"/>
              <c:spPr>
                <a:solidFill>
                  <a:srgbClr val="3B7D23"/>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lang="en-US" sz="1000" b="1" i="0" u="none" strike="noStrike" kern="1200" baseline="0">
                      <a:solidFill>
                        <a:schemeClr val="tx1"/>
                      </a:solidFill>
                      <a:latin typeface="+mn-lt"/>
                      <a:ea typeface="+mn-ea"/>
                      <a:cs typeface="+mn-cs"/>
                    </a:defRPr>
                  </a:pPr>
                  <a:endParaRPr lang="fr-FR"/>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5-30F8-4D0D-A648-1CF0A7E28963}"/>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lang="en-US" sz="1000" b="1" i="0" u="none" strike="noStrike" kern="1200" baseline="0">
                    <a:solidFill>
                      <a:schemeClr val="tx1"/>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'Traitement - Indic Effets'!$O$3:$Q$3</c:f>
              <c:numCache>
                <c:formatCode>General</c:formatCode>
                <c:ptCount val="3"/>
                <c:pt idx="0">
                  <c:v>2021</c:v>
                </c:pt>
                <c:pt idx="1">
                  <c:v>2022</c:v>
                </c:pt>
                <c:pt idx="2">
                  <c:v>2023</c:v>
                </c:pt>
              </c:numCache>
            </c:numRef>
          </c:cat>
          <c:val>
            <c:numRef>
              <c:f>'Traitement - Indic Effets'!$O$17:$Q$17</c:f>
              <c:numCache>
                <c:formatCode>0%</c:formatCode>
                <c:ptCount val="3"/>
                <c:pt idx="0">
                  <c:v>0.70169999999999999</c:v>
                </c:pt>
                <c:pt idx="1">
                  <c:v>0.71009999999999995</c:v>
                </c:pt>
                <c:pt idx="2">
                  <c:v>0.8</c:v>
                </c:pt>
              </c:numCache>
            </c:numRef>
          </c:val>
          <c:smooth val="0"/>
          <c:extLst>
            <c:ext xmlns:c16="http://schemas.microsoft.com/office/drawing/2014/chart" uri="{C3380CC4-5D6E-409C-BE32-E72D297353CC}">
              <c16:uniqueId val="{00000006-30F8-4D0D-A648-1CF0A7E28963}"/>
            </c:ext>
          </c:extLst>
        </c:ser>
        <c:dLbls>
          <c:dLblPos val="t"/>
          <c:showLegendKey val="0"/>
          <c:showVal val="1"/>
          <c:showCatName val="0"/>
          <c:showSerName val="0"/>
          <c:showPercent val="0"/>
          <c:showBubbleSize val="0"/>
        </c:dLbls>
        <c:marker val="1"/>
        <c:smooth val="0"/>
        <c:axId val="868475176"/>
        <c:axId val="868476256"/>
      </c:lineChart>
      <c:catAx>
        <c:axId val="868475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solidFill>
                <a:latin typeface="+mn-lt"/>
                <a:ea typeface="+mn-ea"/>
                <a:cs typeface="+mn-cs"/>
              </a:defRPr>
            </a:pPr>
            <a:endParaRPr lang="fr-FR"/>
          </a:p>
        </c:txPr>
        <c:crossAx val="868476256"/>
        <c:crosses val="autoZero"/>
        <c:auto val="1"/>
        <c:lblAlgn val="ctr"/>
        <c:lblOffset val="100"/>
        <c:noMultiLvlLbl val="0"/>
      </c:catAx>
      <c:valAx>
        <c:axId val="868476256"/>
        <c:scaling>
          <c:orientation val="minMax"/>
          <c:min val="0.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800" b="0" i="0" u="none" strike="noStrike" kern="1200" baseline="0">
                <a:solidFill>
                  <a:schemeClr val="tx1"/>
                </a:solidFill>
                <a:latin typeface="+mn-lt"/>
                <a:ea typeface="+mn-ea"/>
                <a:cs typeface="+mn-cs"/>
              </a:defRPr>
            </a:pPr>
            <a:endParaRPr lang="fr-FR"/>
          </a:p>
        </c:txPr>
        <c:crossAx val="868475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800" b="0" i="0" u="none" strike="noStrike" kern="1200" baseline="0">
              <a:solidFill>
                <a:schemeClr val="tx1"/>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alpha val="78000"/>
      </a:schemeClr>
    </a:solidFill>
    <a:ln w="9525" cap="flat" cmpd="sng" algn="ctr">
      <a:solidFill>
        <a:schemeClr val="bg2">
          <a:lumMod val="90000"/>
        </a:schemeClr>
      </a:solidFill>
      <a:round/>
    </a:ln>
    <a:effectLst/>
  </c:spPr>
  <c:txPr>
    <a:bodyPr/>
    <a:lstStyle/>
    <a:p>
      <a:pPr>
        <a:defRPr lang="en-US" sz="800" b="0" i="0" u="none" strike="noStrike" kern="1200" baseline="0">
          <a:solidFill>
            <a:schemeClr val="tx1"/>
          </a:solidFill>
          <a:latin typeface="+mn-lt"/>
          <a:ea typeface="+mn-ea"/>
          <a:cs typeface="+mn-cs"/>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'https://orgtbi-my.sharepoint.com/personal/m_angui_institute_global/Documents/Library/Revue PNDS/Outils RAMP CTC/[240615 Revue PNDS - Working Document.xlsx]Sheet1'!$B$2</c:f>
              <c:strCache>
                <c:ptCount val="1"/>
                <c:pt idx="0">
                  <c:v>Valeurs cibles</c:v>
                </c:pt>
              </c:strCache>
            </c:strRef>
          </c:tx>
          <c:spPr>
            <a:solidFill>
              <a:schemeClr val="accent1"/>
            </a:solidFill>
            <a:ln>
              <a:noFill/>
            </a:ln>
            <a:effectLst/>
          </c:spPr>
          <c:invertIfNegative val="0"/>
          <c:dLbls>
            <c:dLbl>
              <c:idx val="2"/>
              <c:layout>
                <c:manualLayout>
                  <c:x val="-5.8751529987760096E-3"/>
                  <c:y val="5.12516806706122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A74-43A7-8164-9B3802AAE0DF}"/>
                </c:ext>
              </c:extLst>
            </c:dLbl>
            <c:dLbl>
              <c:idx val="3"/>
              <c:layout>
                <c:manualLayout>
                  <c:x val="-1.0067560404398655E-2"/>
                  <c:y val="6.12667032044129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A74-43A7-8164-9B3802AAE0DF}"/>
                </c:ext>
              </c:extLst>
            </c:dLbl>
            <c:dLbl>
              <c:idx val="4"/>
              <c:numFmt formatCode="0%" sourceLinked="0"/>
              <c:spPr>
                <a:solidFill>
                  <a:schemeClr val="bg1">
                    <a:lumMod val="6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6-7A74-43A7-8164-9B3802AAE0DF}"/>
                </c:ext>
              </c:extLst>
            </c:dLbl>
            <c:dLbl>
              <c:idx val="5"/>
              <c:numFmt formatCode="0%" sourceLinked="0"/>
              <c:spPr>
                <a:solidFill>
                  <a:schemeClr val="bg1">
                    <a:lumMod val="6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7-7A74-43A7-8164-9B3802AAE0DF}"/>
                </c:ext>
              </c:extLst>
            </c:dLbl>
            <c:numFmt formatCode="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'https://orgtbi-my.sharepoint.com/personal/m_angui_institute_global/Documents/Library/Revue PNDS/Outils RAMP CTC/[240615 Revue PNDS - Working Document.xlsx]Sheet1'!$B$16:$G$16</c:f>
              <c:numCache>
                <c:formatCode>General</c:formatCode>
                <c:ptCount val="6"/>
                <c:pt idx="0">
                  <c:v>2020</c:v>
                </c:pt>
                <c:pt idx="1">
                  <c:v>2021</c:v>
                </c:pt>
                <c:pt idx="2">
                  <c:v>2022</c:v>
                </c:pt>
                <c:pt idx="3">
                  <c:v>2023</c:v>
                </c:pt>
                <c:pt idx="4">
                  <c:v>2024</c:v>
                </c:pt>
                <c:pt idx="5">
                  <c:v>2025</c:v>
                </c:pt>
              </c:numCache>
            </c:numRef>
          </c:cat>
          <c:val>
            <c:numRef>
              <c:f>'https://orgtbi-my.sharepoint.com/personal/m_angui_institute_global/Documents/Library/Revue PNDS/Outils RAMP CTC/[240615 Revue PNDS - Working Document.xlsx]Sheet1'!$B$17:$G$17</c:f>
              <c:numCache>
                <c:formatCode>0%</c:formatCode>
                <c:ptCount val="6"/>
                <c:pt idx="0" formatCode="0.0%">
                  <c:v>0</c:v>
                </c:pt>
                <c:pt idx="1">
                  <c:v>0</c:v>
                </c:pt>
                <c:pt idx="2" formatCode="0.0%">
                  <c:v>0.1</c:v>
                </c:pt>
                <c:pt idx="3" formatCode="0.00%">
                  <c:v>0.2</c:v>
                </c:pt>
                <c:pt idx="4">
                  <c:v>0.3</c:v>
                </c:pt>
                <c:pt idx="5">
                  <c:v>0.4</c:v>
                </c:pt>
              </c:numCache>
            </c:numRef>
          </c:val>
          <c:extLst>
            <c:ext xmlns:c16="http://schemas.microsoft.com/office/drawing/2014/chart" uri="{C3380CC4-5D6E-409C-BE32-E72D297353CC}">
              <c16:uniqueId val="{00000000-7A74-43A7-8164-9B3802AAE0DF}"/>
            </c:ext>
          </c:extLst>
        </c:ser>
        <c:ser>
          <c:idx val="1"/>
          <c:order val="1"/>
          <c:tx>
            <c:strRef>
              <c:f>'https://orgtbi-my.sharepoint.com/personal/m_angui_institute_global/Documents/Library/Revue PNDS/Outils RAMP CTC/[240615 Revue PNDS - Working Document.xlsx]Sheet1'!$H$2</c:f>
              <c:strCache>
                <c:ptCount val="1"/>
                <c:pt idx="0">
                  <c:v>Valeurs observées</c:v>
                </c:pt>
              </c:strCache>
            </c:strRef>
          </c:tx>
          <c:spPr>
            <a:solidFill>
              <a:schemeClr val="accent2"/>
            </a:solidFill>
            <a:ln>
              <a:noFill/>
            </a:ln>
            <a:effectLst/>
          </c:spPr>
          <c:invertIfNegative val="0"/>
          <c:dLbls>
            <c:dLbl>
              <c:idx val="2"/>
              <c:layout>
                <c:manualLayout>
                  <c:x val="-6.289285748706136E-2"/>
                  <c:y val="-0.229168950275807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74-43A7-8164-9B3802AAE0DF}"/>
                </c:ext>
              </c:extLst>
            </c:dLbl>
            <c:dLbl>
              <c:idx val="3"/>
              <c:layout>
                <c:manualLayout>
                  <c:x val="-5.881289012680032E-2"/>
                  <c:y val="-0.20913890520820602"/>
                </c:manualLayout>
              </c:layout>
              <c:numFmt formatCode="0%" sourceLinked="0"/>
              <c:spPr>
                <a:solidFill>
                  <a:schemeClr val="accent6">
                    <a:lumMod val="7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3-7A74-43A7-8164-9B3802AAE0DF}"/>
                </c:ext>
              </c:extLst>
            </c:dLbl>
            <c:numFmt formatCode="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'https://orgtbi-my.sharepoint.com/personal/m_angui_institute_global/Documents/Library/Revue PNDS/Outils RAMP CTC/[240615 Revue PNDS - Working Document.xlsx]Sheet1'!$B$16:$G$16</c:f>
              <c:numCache>
                <c:formatCode>General</c:formatCode>
                <c:ptCount val="6"/>
                <c:pt idx="0">
                  <c:v>2020</c:v>
                </c:pt>
                <c:pt idx="1">
                  <c:v>2021</c:v>
                </c:pt>
                <c:pt idx="2">
                  <c:v>2022</c:v>
                </c:pt>
                <c:pt idx="3">
                  <c:v>2023</c:v>
                </c:pt>
                <c:pt idx="4">
                  <c:v>2024</c:v>
                </c:pt>
                <c:pt idx="5">
                  <c:v>2025</c:v>
                </c:pt>
              </c:numCache>
            </c:numRef>
          </c:cat>
          <c:val>
            <c:numRef>
              <c:f>'https://orgtbi-my.sharepoint.com/personal/m_angui_institute_global/Documents/Library/Revue PNDS/Outils RAMP CTC/[240615 Revue PNDS - Working Document.xlsx]Sheet1'!$H$17:$M$17</c:f>
              <c:numCache>
                <c:formatCode>0.0%</c:formatCode>
                <c:ptCount val="6"/>
                <c:pt idx="1">
                  <c:v>0.6</c:v>
                </c:pt>
                <c:pt idx="2" formatCode="0%">
                  <c:v>0.23529411764705882</c:v>
                </c:pt>
                <c:pt idx="3" formatCode="0%">
                  <c:v>0.25</c:v>
                </c:pt>
              </c:numCache>
            </c:numRef>
          </c:val>
          <c:extLst>
            <c:ext xmlns:c16="http://schemas.microsoft.com/office/drawing/2014/chart" uri="{C3380CC4-5D6E-409C-BE32-E72D297353CC}">
              <c16:uniqueId val="{00000001-7A74-43A7-8164-9B3802AAE0DF}"/>
            </c:ext>
          </c:extLst>
        </c:ser>
        <c:dLbls>
          <c:showLegendKey val="0"/>
          <c:showVal val="1"/>
          <c:showCatName val="0"/>
          <c:showSerName val="0"/>
          <c:showPercent val="0"/>
          <c:showBubbleSize val="0"/>
        </c:dLbls>
        <c:gapWidth val="150"/>
        <c:axId val="1298852784"/>
        <c:axId val="1298852424"/>
      </c:barChart>
      <c:catAx>
        <c:axId val="12988527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424"/>
        <c:crosses val="autoZero"/>
        <c:auto val="1"/>
        <c:lblAlgn val="ctr"/>
        <c:lblOffset val="100"/>
        <c:noMultiLvlLbl val="0"/>
      </c:catAx>
      <c:valAx>
        <c:axId val="1298852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fr-FR"/>
    </a:p>
  </c:txPr>
  <c:externalData r:id="rId3">
    <c:autoUpdate val="0"/>
  </c:externalData>
  <c:userShapes r:id="rId4"/>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'https://orgtbi-my.sharepoint.com/personal/m_angui_institute_global/Documents/Library/Revue PNDS/Outils RAMP CTC/[240615 Revue PNDS - Working Document.xlsx]Sheet1'!$B$2</c:f>
              <c:strCache>
                <c:ptCount val="1"/>
                <c:pt idx="0">
                  <c:v>Valeurs cibles</c:v>
                </c:pt>
              </c:strCache>
            </c:strRef>
          </c:tx>
          <c:spPr>
            <a:solidFill>
              <a:schemeClr val="accent1"/>
            </a:solidFill>
            <a:ln>
              <a:noFill/>
            </a:ln>
            <a:effectLst/>
          </c:spPr>
          <c:invertIfNegative val="0"/>
          <c:dLbls>
            <c:dLbl>
              <c:idx val="2"/>
              <c:layout>
                <c:manualLayout>
                  <c:x val="-5.8751529987760096E-3"/>
                  <c:y val="5.12516806706122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A74-43A7-8164-9B3802AAE0DF}"/>
                </c:ext>
              </c:extLst>
            </c:dLbl>
            <c:dLbl>
              <c:idx val="3"/>
              <c:layout>
                <c:manualLayout>
                  <c:x val="-1.0067560404398655E-2"/>
                  <c:y val="6.12667032044129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A74-43A7-8164-9B3802AAE0DF}"/>
                </c:ext>
              </c:extLst>
            </c:dLbl>
            <c:dLbl>
              <c:idx val="4"/>
              <c:numFmt formatCode="0%" sourceLinked="0"/>
              <c:spPr>
                <a:solidFill>
                  <a:schemeClr val="bg1">
                    <a:lumMod val="6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6-7A74-43A7-8164-9B3802AAE0DF}"/>
                </c:ext>
              </c:extLst>
            </c:dLbl>
            <c:dLbl>
              <c:idx val="5"/>
              <c:numFmt formatCode="0%" sourceLinked="0"/>
              <c:spPr>
                <a:solidFill>
                  <a:schemeClr val="bg1">
                    <a:lumMod val="6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7-7A74-43A7-8164-9B3802AAE0DF}"/>
                </c:ext>
              </c:extLst>
            </c:dLbl>
            <c:numFmt formatCode="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'https://orgtbi-my.sharepoint.com/personal/m_angui_institute_global/Documents/Library/Revue PNDS/Outils RAMP CTC/[240615 Revue PNDS - Working Document.xlsx]Sheet1'!$B$16:$G$16</c:f>
              <c:numCache>
                <c:formatCode>General</c:formatCode>
                <c:ptCount val="6"/>
                <c:pt idx="0">
                  <c:v>2020</c:v>
                </c:pt>
                <c:pt idx="1">
                  <c:v>2021</c:v>
                </c:pt>
                <c:pt idx="2">
                  <c:v>2022</c:v>
                </c:pt>
                <c:pt idx="3">
                  <c:v>2023</c:v>
                </c:pt>
                <c:pt idx="4">
                  <c:v>2024</c:v>
                </c:pt>
                <c:pt idx="5">
                  <c:v>2025</c:v>
                </c:pt>
              </c:numCache>
            </c:numRef>
          </c:cat>
          <c:val>
            <c:numRef>
              <c:f>'https://orgtbi-my.sharepoint.com/personal/m_angui_institute_global/Documents/Library/Revue PNDS/Outils RAMP CTC/[240615 Revue PNDS - Working Document.xlsx]Sheet1'!$B$17:$G$17</c:f>
              <c:numCache>
                <c:formatCode>0%</c:formatCode>
                <c:ptCount val="6"/>
                <c:pt idx="0" formatCode="0.0%">
                  <c:v>0</c:v>
                </c:pt>
                <c:pt idx="1">
                  <c:v>0</c:v>
                </c:pt>
                <c:pt idx="2" formatCode="0.0%">
                  <c:v>0.1</c:v>
                </c:pt>
                <c:pt idx="3" formatCode="0.00%">
                  <c:v>0.2</c:v>
                </c:pt>
                <c:pt idx="4">
                  <c:v>0.3</c:v>
                </c:pt>
                <c:pt idx="5">
                  <c:v>0.4</c:v>
                </c:pt>
              </c:numCache>
            </c:numRef>
          </c:val>
          <c:extLst>
            <c:ext xmlns:c16="http://schemas.microsoft.com/office/drawing/2014/chart" uri="{C3380CC4-5D6E-409C-BE32-E72D297353CC}">
              <c16:uniqueId val="{00000000-7A74-43A7-8164-9B3802AAE0DF}"/>
            </c:ext>
          </c:extLst>
        </c:ser>
        <c:ser>
          <c:idx val="1"/>
          <c:order val="1"/>
          <c:tx>
            <c:strRef>
              <c:f>'https://orgtbi-my.sharepoint.com/personal/m_angui_institute_global/Documents/Library/Revue PNDS/Outils RAMP CTC/[240615 Revue PNDS - Working Document.xlsx]Sheet1'!$H$2</c:f>
              <c:strCache>
                <c:ptCount val="1"/>
                <c:pt idx="0">
                  <c:v>Valeurs observées</c:v>
                </c:pt>
              </c:strCache>
            </c:strRef>
          </c:tx>
          <c:spPr>
            <a:solidFill>
              <a:schemeClr val="accent2"/>
            </a:solidFill>
            <a:ln>
              <a:noFill/>
            </a:ln>
            <a:effectLst/>
          </c:spPr>
          <c:invertIfNegative val="0"/>
          <c:dLbls>
            <c:dLbl>
              <c:idx val="2"/>
              <c:layout>
                <c:manualLayout>
                  <c:x val="-6.289285748706136E-2"/>
                  <c:y val="-0.229168950275807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74-43A7-8164-9B3802AAE0DF}"/>
                </c:ext>
              </c:extLst>
            </c:dLbl>
            <c:dLbl>
              <c:idx val="3"/>
              <c:layout>
                <c:manualLayout>
                  <c:x val="-5.881289012680032E-2"/>
                  <c:y val="-0.20913890520820602"/>
                </c:manualLayout>
              </c:layout>
              <c:numFmt formatCode="0%" sourceLinked="0"/>
              <c:spPr>
                <a:solidFill>
                  <a:schemeClr val="accent6">
                    <a:lumMod val="7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3-7A74-43A7-8164-9B3802AAE0DF}"/>
                </c:ext>
              </c:extLst>
            </c:dLbl>
            <c:numFmt formatCode="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'https://orgtbi-my.sharepoint.com/personal/m_angui_institute_global/Documents/Library/Revue PNDS/Outils RAMP CTC/[240615 Revue PNDS - Working Document.xlsx]Sheet1'!$B$16:$G$16</c:f>
              <c:numCache>
                <c:formatCode>General</c:formatCode>
                <c:ptCount val="6"/>
                <c:pt idx="0">
                  <c:v>2020</c:v>
                </c:pt>
                <c:pt idx="1">
                  <c:v>2021</c:v>
                </c:pt>
                <c:pt idx="2">
                  <c:v>2022</c:v>
                </c:pt>
                <c:pt idx="3">
                  <c:v>2023</c:v>
                </c:pt>
                <c:pt idx="4">
                  <c:v>2024</c:v>
                </c:pt>
                <c:pt idx="5">
                  <c:v>2025</c:v>
                </c:pt>
              </c:numCache>
            </c:numRef>
          </c:cat>
          <c:val>
            <c:numRef>
              <c:f>'https://orgtbi-my.sharepoint.com/personal/m_angui_institute_global/Documents/Library/Revue PNDS/Outils RAMP CTC/[240615 Revue PNDS - Working Document.xlsx]Sheet1'!$H$17:$M$17</c:f>
              <c:numCache>
                <c:formatCode>0.0%</c:formatCode>
                <c:ptCount val="6"/>
                <c:pt idx="1">
                  <c:v>0.6</c:v>
                </c:pt>
                <c:pt idx="2" formatCode="0%">
                  <c:v>0.23529411764705882</c:v>
                </c:pt>
                <c:pt idx="3" formatCode="0%">
                  <c:v>0.25</c:v>
                </c:pt>
              </c:numCache>
            </c:numRef>
          </c:val>
          <c:extLst>
            <c:ext xmlns:c16="http://schemas.microsoft.com/office/drawing/2014/chart" uri="{C3380CC4-5D6E-409C-BE32-E72D297353CC}">
              <c16:uniqueId val="{00000001-7A74-43A7-8164-9B3802AAE0DF}"/>
            </c:ext>
          </c:extLst>
        </c:ser>
        <c:dLbls>
          <c:showLegendKey val="0"/>
          <c:showVal val="1"/>
          <c:showCatName val="0"/>
          <c:showSerName val="0"/>
          <c:showPercent val="0"/>
          <c:showBubbleSize val="0"/>
        </c:dLbls>
        <c:gapWidth val="150"/>
        <c:axId val="1298852784"/>
        <c:axId val="1298852424"/>
      </c:barChart>
      <c:catAx>
        <c:axId val="12988527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424"/>
        <c:crosses val="autoZero"/>
        <c:auto val="1"/>
        <c:lblAlgn val="ctr"/>
        <c:lblOffset val="100"/>
        <c:noMultiLvlLbl val="0"/>
      </c:catAx>
      <c:valAx>
        <c:axId val="1298852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fr-FR"/>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'[240615 Revue PNDS - Working Document.xlsx]Sheet1'!$B$2</c:f>
              <c:strCache>
                <c:ptCount val="1"/>
                <c:pt idx="0">
                  <c:v>Valeurs cibles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0.14854422266984069"/>
                  <c:y val="-3.23527351502808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108-4676-A69B-C801A8013146}"/>
                </c:ext>
              </c:extLst>
            </c:dLbl>
            <c:dLbl>
              <c:idx val="2"/>
              <c:layout>
                <c:manualLayout>
                  <c:x val="-0.1281443858685351"/>
                  <c:y val="-4.5532306814201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108-4676-A69B-C801A8013146}"/>
                </c:ext>
              </c:extLst>
            </c:dLbl>
            <c:dLbl>
              <c:idx val="3"/>
              <c:layout>
                <c:manualLayout>
                  <c:x val="-0.11590448378775174"/>
                  <c:y val="-4.5532306814201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108-4676-A69B-C801A8013146}"/>
                </c:ext>
              </c:extLst>
            </c:dLbl>
            <c:dLbl>
              <c:idx val="4"/>
              <c:layout>
                <c:manualLayout>
                  <c:x val="-3.8385103942790502E-2"/>
                  <c:y val="-4.553230681420177E-2"/>
                </c:manualLayout>
              </c:layout>
              <c:spPr>
                <a:solidFill>
                  <a:schemeClr val="bg1">
                    <a:lumMod val="6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8-B108-4676-A69B-C801A8013146}"/>
                </c:ext>
              </c:extLst>
            </c:dLbl>
            <c:dLbl>
              <c:idx val="5"/>
              <c:layout>
                <c:manualLayout>
                  <c:x val="-5.8937216691242848E-2"/>
                  <c:y val="7.9673623993046991E-2"/>
                </c:manualLayout>
              </c:layout>
              <c:spPr>
                <a:solidFill>
                  <a:schemeClr val="bg1">
                    <a:lumMod val="6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9-B108-4676-A69B-C801A8013146}"/>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Document.xlsx]Sheet1'!$B$22:$G$22</c:f>
              <c:numCache>
                <c:formatCode>General</c:formatCode>
                <c:ptCount val="6"/>
                <c:pt idx="0">
                  <c:v>2020</c:v>
                </c:pt>
                <c:pt idx="1">
                  <c:v>2021</c:v>
                </c:pt>
                <c:pt idx="2">
                  <c:v>2022</c:v>
                </c:pt>
                <c:pt idx="3">
                  <c:v>2023</c:v>
                </c:pt>
                <c:pt idx="4">
                  <c:v>2024</c:v>
                </c:pt>
                <c:pt idx="5">
                  <c:v>2025</c:v>
                </c:pt>
              </c:numCache>
            </c:numRef>
          </c:cat>
          <c:val>
            <c:numRef>
              <c:f>'[240615 Revue PNDS - Working Document.xlsx]Sheet1'!$B$23:$G$23</c:f>
              <c:numCache>
                <c:formatCode>0%</c:formatCode>
                <c:ptCount val="6"/>
                <c:pt idx="0" formatCode="0.0%">
                  <c:v>0</c:v>
                </c:pt>
                <c:pt idx="1">
                  <c:v>0.95</c:v>
                </c:pt>
                <c:pt idx="2">
                  <c:v>0.95</c:v>
                </c:pt>
                <c:pt idx="3">
                  <c:v>0.95</c:v>
                </c:pt>
                <c:pt idx="4">
                  <c:v>0.95</c:v>
                </c:pt>
                <c:pt idx="5">
                  <c:v>0.95</c:v>
                </c:pt>
              </c:numCache>
            </c:numRef>
          </c:val>
          <c:smooth val="0"/>
          <c:extLst>
            <c:ext xmlns:c16="http://schemas.microsoft.com/office/drawing/2014/chart" uri="{C3380CC4-5D6E-409C-BE32-E72D297353CC}">
              <c16:uniqueId val="{00000000-B108-4676-A69B-C801A8013146}"/>
            </c:ext>
          </c:extLst>
        </c:ser>
        <c:ser>
          <c:idx val="1"/>
          <c:order val="1"/>
          <c:tx>
            <c:strRef>
              <c:f>'[240615 Revue PNDS - Working Document.xlsx]Sheet1'!$H$2</c:f>
              <c:strCache>
                <c:ptCount val="1"/>
                <c:pt idx="0">
                  <c:v>Valeurs observées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5.8812890126800244E-2"/>
                  <c:y val="0.121356838407217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108-4676-A69B-C801A8013146}"/>
                </c:ext>
              </c:extLst>
            </c:dLbl>
            <c:dLbl>
              <c:idx val="2"/>
              <c:layout>
                <c:manualLayout>
                  <c:x val="-5.0652955406278087E-2"/>
                  <c:y val="9.13117708058150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108-4676-A69B-C801A8013146}"/>
                </c:ext>
              </c:extLst>
            </c:dLbl>
            <c:dLbl>
              <c:idx val="3"/>
              <c:layout>
                <c:manualLayout>
                  <c:x val="-6.289285748706136E-2"/>
                  <c:y val="0.12135683840721713"/>
                </c:manualLayout>
              </c:layout>
              <c:spPr>
                <a:solidFill>
                  <a:schemeClr val="accent6">
                    <a:lumMod val="7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4-B108-4676-A69B-C801A8013146}"/>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Document.xlsx]Sheet1'!$B$22:$G$22</c:f>
              <c:numCache>
                <c:formatCode>General</c:formatCode>
                <c:ptCount val="6"/>
                <c:pt idx="0">
                  <c:v>2020</c:v>
                </c:pt>
                <c:pt idx="1">
                  <c:v>2021</c:v>
                </c:pt>
                <c:pt idx="2">
                  <c:v>2022</c:v>
                </c:pt>
                <c:pt idx="3">
                  <c:v>2023</c:v>
                </c:pt>
                <c:pt idx="4">
                  <c:v>2024</c:v>
                </c:pt>
                <c:pt idx="5">
                  <c:v>2025</c:v>
                </c:pt>
              </c:numCache>
            </c:numRef>
          </c:cat>
          <c:val>
            <c:numRef>
              <c:f>'[240615 Revue PNDS - Working Document.xlsx]Sheet1'!$H$23:$M$23</c:f>
              <c:numCache>
                <c:formatCode>0%</c:formatCode>
                <c:ptCount val="6"/>
                <c:pt idx="1">
                  <c:v>0.82899999999999996</c:v>
                </c:pt>
                <c:pt idx="2">
                  <c:v>0.83</c:v>
                </c:pt>
                <c:pt idx="3">
                  <c:v>0.84</c:v>
                </c:pt>
              </c:numCache>
            </c:numRef>
          </c:val>
          <c:smooth val="0"/>
          <c:extLst>
            <c:ext xmlns:c16="http://schemas.microsoft.com/office/drawing/2014/chart" uri="{C3380CC4-5D6E-409C-BE32-E72D297353CC}">
              <c16:uniqueId val="{00000001-B108-4676-A69B-C801A8013146}"/>
            </c:ext>
          </c:extLst>
        </c:ser>
        <c:dLbls>
          <c:showLegendKey val="0"/>
          <c:showVal val="1"/>
          <c:showCatName val="0"/>
          <c:showSerName val="0"/>
          <c:showPercent val="0"/>
          <c:showBubbleSize val="0"/>
        </c:dLbls>
        <c:marker val="1"/>
        <c:smooth val="0"/>
        <c:axId val="1298852784"/>
        <c:axId val="1298852424"/>
      </c:lineChart>
      <c:catAx>
        <c:axId val="12988527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424"/>
        <c:crosses val="autoZero"/>
        <c:auto val="1"/>
        <c:lblAlgn val="ctr"/>
        <c:lblOffset val="100"/>
        <c:noMultiLvlLbl val="0"/>
      </c:catAx>
      <c:valAx>
        <c:axId val="1298852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fr-FR"/>
    </a:p>
  </c:txPr>
  <c:externalData r:id="rId3">
    <c:autoUpdate val="0"/>
  </c:externalData>
  <c:userShapes r:id="rId4"/>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'[240615 Revue PNDS - Working Document.xlsx]Sheet1'!$B$2</c:f>
              <c:strCache>
                <c:ptCount val="1"/>
                <c:pt idx="0">
                  <c:v>Valeurs cibles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0.14854422266984069"/>
                  <c:y val="-3.23527351502808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108-4676-A69B-C801A8013146}"/>
                </c:ext>
              </c:extLst>
            </c:dLbl>
            <c:dLbl>
              <c:idx val="2"/>
              <c:layout>
                <c:manualLayout>
                  <c:x val="-0.1281443858685351"/>
                  <c:y val="-4.5532306814201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108-4676-A69B-C801A8013146}"/>
                </c:ext>
              </c:extLst>
            </c:dLbl>
            <c:dLbl>
              <c:idx val="3"/>
              <c:layout>
                <c:manualLayout>
                  <c:x val="-0.11590448378775174"/>
                  <c:y val="-4.5532306814201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108-4676-A69B-C801A8013146}"/>
                </c:ext>
              </c:extLst>
            </c:dLbl>
            <c:dLbl>
              <c:idx val="4"/>
              <c:layout>
                <c:manualLayout>
                  <c:x val="-3.8385103942790502E-2"/>
                  <c:y val="-4.553230681420177E-2"/>
                </c:manualLayout>
              </c:layout>
              <c:spPr>
                <a:solidFill>
                  <a:schemeClr val="bg1">
                    <a:lumMod val="6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8-B108-4676-A69B-C801A8013146}"/>
                </c:ext>
              </c:extLst>
            </c:dLbl>
            <c:dLbl>
              <c:idx val="5"/>
              <c:layout>
                <c:manualLayout>
                  <c:x val="-5.8937216691242848E-2"/>
                  <c:y val="7.9673623993046991E-2"/>
                </c:manualLayout>
              </c:layout>
              <c:spPr>
                <a:solidFill>
                  <a:schemeClr val="bg1">
                    <a:lumMod val="6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9-B108-4676-A69B-C801A8013146}"/>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Document.xlsx]Sheet1'!$B$22:$G$22</c:f>
              <c:numCache>
                <c:formatCode>General</c:formatCode>
                <c:ptCount val="6"/>
                <c:pt idx="0">
                  <c:v>2020</c:v>
                </c:pt>
                <c:pt idx="1">
                  <c:v>2021</c:v>
                </c:pt>
                <c:pt idx="2">
                  <c:v>2022</c:v>
                </c:pt>
                <c:pt idx="3">
                  <c:v>2023</c:v>
                </c:pt>
                <c:pt idx="4">
                  <c:v>2024</c:v>
                </c:pt>
                <c:pt idx="5">
                  <c:v>2025</c:v>
                </c:pt>
              </c:numCache>
            </c:numRef>
          </c:cat>
          <c:val>
            <c:numRef>
              <c:f>'[240615 Revue PNDS - Working Document.xlsx]Sheet1'!$B$23:$G$23</c:f>
              <c:numCache>
                <c:formatCode>0%</c:formatCode>
                <c:ptCount val="6"/>
                <c:pt idx="0" formatCode="0.0%">
                  <c:v>0</c:v>
                </c:pt>
                <c:pt idx="1">
                  <c:v>0.95</c:v>
                </c:pt>
                <c:pt idx="2">
                  <c:v>0.95</c:v>
                </c:pt>
                <c:pt idx="3">
                  <c:v>0.95</c:v>
                </c:pt>
                <c:pt idx="4">
                  <c:v>0.95</c:v>
                </c:pt>
                <c:pt idx="5">
                  <c:v>0.95</c:v>
                </c:pt>
              </c:numCache>
            </c:numRef>
          </c:val>
          <c:smooth val="0"/>
          <c:extLst>
            <c:ext xmlns:c16="http://schemas.microsoft.com/office/drawing/2014/chart" uri="{C3380CC4-5D6E-409C-BE32-E72D297353CC}">
              <c16:uniqueId val="{00000000-B108-4676-A69B-C801A8013146}"/>
            </c:ext>
          </c:extLst>
        </c:ser>
        <c:ser>
          <c:idx val="1"/>
          <c:order val="1"/>
          <c:tx>
            <c:strRef>
              <c:f>'[240615 Revue PNDS - Working Document.xlsx]Sheet1'!$H$2</c:f>
              <c:strCache>
                <c:ptCount val="1"/>
                <c:pt idx="0">
                  <c:v>Valeurs observées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5.8812890126800244E-2"/>
                  <c:y val="0.121356838407217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108-4676-A69B-C801A8013146}"/>
                </c:ext>
              </c:extLst>
            </c:dLbl>
            <c:dLbl>
              <c:idx val="2"/>
              <c:layout>
                <c:manualLayout>
                  <c:x val="-5.0652955406278087E-2"/>
                  <c:y val="9.13117708058150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108-4676-A69B-C801A8013146}"/>
                </c:ext>
              </c:extLst>
            </c:dLbl>
            <c:dLbl>
              <c:idx val="3"/>
              <c:layout>
                <c:manualLayout>
                  <c:x val="-6.289285748706136E-2"/>
                  <c:y val="0.12135683840721713"/>
                </c:manualLayout>
              </c:layout>
              <c:spPr>
                <a:solidFill>
                  <a:schemeClr val="accent6">
                    <a:lumMod val="7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4-B108-4676-A69B-C801A8013146}"/>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'[240615 Revue PNDS - Working Document.xlsx]Sheet1'!$B$22:$G$22</c:f>
              <c:numCache>
                <c:formatCode>General</c:formatCode>
                <c:ptCount val="6"/>
                <c:pt idx="0">
                  <c:v>2020</c:v>
                </c:pt>
                <c:pt idx="1">
                  <c:v>2021</c:v>
                </c:pt>
                <c:pt idx="2">
                  <c:v>2022</c:v>
                </c:pt>
                <c:pt idx="3">
                  <c:v>2023</c:v>
                </c:pt>
                <c:pt idx="4">
                  <c:v>2024</c:v>
                </c:pt>
                <c:pt idx="5">
                  <c:v>2025</c:v>
                </c:pt>
              </c:numCache>
            </c:numRef>
          </c:cat>
          <c:val>
            <c:numRef>
              <c:f>'[240615 Revue PNDS - Working Document.xlsx]Sheet1'!$H$23:$M$23</c:f>
              <c:numCache>
                <c:formatCode>0%</c:formatCode>
                <c:ptCount val="6"/>
                <c:pt idx="1">
                  <c:v>0.82899999999999996</c:v>
                </c:pt>
                <c:pt idx="2">
                  <c:v>0.83</c:v>
                </c:pt>
                <c:pt idx="3">
                  <c:v>0.84</c:v>
                </c:pt>
              </c:numCache>
            </c:numRef>
          </c:val>
          <c:smooth val="0"/>
          <c:extLst>
            <c:ext xmlns:c16="http://schemas.microsoft.com/office/drawing/2014/chart" uri="{C3380CC4-5D6E-409C-BE32-E72D297353CC}">
              <c16:uniqueId val="{00000001-B108-4676-A69B-C801A8013146}"/>
            </c:ext>
          </c:extLst>
        </c:ser>
        <c:dLbls>
          <c:showLegendKey val="0"/>
          <c:showVal val="1"/>
          <c:showCatName val="0"/>
          <c:showSerName val="0"/>
          <c:showPercent val="0"/>
          <c:showBubbleSize val="0"/>
        </c:dLbls>
        <c:marker val="1"/>
        <c:smooth val="0"/>
        <c:axId val="1298852784"/>
        <c:axId val="1298852424"/>
      </c:lineChart>
      <c:catAx>
        <c:axId val="12988527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424"/>
        <c:crosses val="autoZero"/>
        <c:auto val="1"/>
        <c:lblAlgn val="ctr"/>
        <c:lblOffset val="100"/>
        <c:noMultiLvlLbl val="0"/>
      </c:catAx>
      <c:valAx>
        <c:axId val="1298852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29885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fr-F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0.67545</cdr:x>
      <cdr:y>0.0051</cdr:y>
    </cdr:from>
    <cdr:to>
      <cdr:x>1</cdr:x>
      <cdr:y>0.86244</cdr:y>
    </cdr:to>
    <cdr:sp macro="" textlink="">
      <cdr:nvSpPr>
        <cdr:cNvPr id="3" name="Rectangle 2"/>
        <cdr:cNvSpPr/>
      </cdr:nvSpPr>
      <cdr:spPr>
        <a:xfrm xmlns:a="http://schemas.openxmlformats.org/drawingml/2006/main">
          <a:off x="1990580" y="9330"/>
          <a:ext cx="956455" cy="1568450"/>
        </a:xfrm>
        <a:prstGeom xmlns:a="http://schemas.openxmlformats.org/drawingml/2006/main" prst="rect">
          <a:avLst/>
        </a:prstGeom>
        <a:solidFill xmlns:a="http://schemas.openxmlformats.org/drawingml/2006/main">
          <a:schemeClr val="bg2">
            <a:lumMod val="90000"/>
            <a:alpha val="39000"/>
          </a:schemeClr>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userShapes>
</file>

<file path=word/drawings/drawing10.xml><?xml version="1.0" encoding="utf-8"?>
<c:userShapes xmlns:c="http://schemas.openxmlformats.org/drawingml/2006/chart">
  <cdr:relSizeAnchor xmlns:cdr="http://schemas.openxmlformats.org/drawingml/2006/chartDrawing">
    <cdr:from>
      <cdr:x>0.68235</cdr:x>
      <cdr:y>0.10899</cdr:y>
    </cdr:from>
    <cdr:to>
      <cdr:x>1</cdr:x>
      <cdr:y>0.87193</cdr:y>
    </cdr:to>
    <cdr:sp macro="" textlink="">
      <cdr:nvSpPr>
        <cdr:cNvPr id="2" name="Rectangle 1"/>
        <cdr:cNvSpPr/>
      </cdr:nvSpPr>
      <cdr:spPr>
        <a:xfrm xmlns:a="http://schemas.openxmlformats.org/drawingml/2006/main">
          <a:off x="1841500" y="254000"/>
          <a:ext cx="857250" cy="1778000"/>
        </a:xfrm>
        <a:prstGeom xmlns:a="http://schemas.openxmlformats.org/drawingml/2006/main" prst="rect">
          <a:avLst/>
        </a:prstGeom>
        <a:solidFill xmlns:a="http://schemas.openxmlformats.org/drawingml/2006/main">
          <a:schemeClr val="bg2">
            <a:lumMod val="90000"/>
            <a:alpha val="39000"/>
          </a:schemeClr>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userShapes>
</file>

<file path=word/drawings/drawing11.xml><?xml version="1.0" encoding="utf-8"?>
<c:userShapes xmlns:c="http://schemas.openxmlformats.org/drawingml/2006/chart">
  <cdr:relSizeAnchor xmlns:cdr="http://schemas.openxmlformats.org/drawingml/2006/chartDrawing">
    <cdr:from>
      <cdr:x>0.68683</cdr:x>
      <cdr:y>0</cdr:y>
    </cdr:from>
    <cdr:to>
      <cdr:x>0.99831</cdr:x>
      <cdr:y>0.84788</cdr:y>
    </cdr:to>
    <cdr:sp macro="" textlink="">
      <cdr:nvSpPr>
        <cdr:cNvPr id="2" name="Rectangle 1"/>
        <cdr:cNvSpPr/>
      </cdr:nvSpPr>
      <cdr:spPr>
        <a:xfrm xmlns:a="http://schemas.openxmlformats.org/drawingml/2006/main">
          <a:off x="2062480" y="0"/>
          <a:ext cx="935355" cy="1634050"/>
        </a:xfrm>
        <a:prstGeom xmlns:a="http://schemas.openxmlformats.org/drawingml/2006/main" prst="rect">
          <a:avLst/>
        </a:prstGeom>
        <a:solidFill xmlns:a="http://schemas.openxmlformats.org/drawingml/2006/main">
          <a:schemeClr val="bg2">
            <a:lumMod val="90000"/>
            <a:alpha val="39000"/>
          </a:schemeClr>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userShapes>
</file>

<file path=word/drawings/drawing110.xml><?xml version="1.0" encoding="utf-8"?>
<c:userShapes xmlns:c="http://schemas.openxmlformats.org/drawingml/2006/chart">
  <cdr:relSizeAnchor xmlns:cdr="http://schemas.openxmlformats.org/drawingml/2006/chartDrawing">
    <cdr:from>
      <cdr:x>0.67545</cdr:x>
      <cdr:y>0.0051</cdr:y>
    </cdr:from>
    <cdr:to>
      <cdr:x>1</cdr:x>
      <cdr:y>0.86244</cdr:y>
    </cdr:to>
    <cdr:sp macro="" textlink="">
      <cdr:nvSpPr>
        <cdr:cNvPr id="3" name="Rectangle 2"/>
        <cdr:cNvSpPr/>
      </cdr:nvSpPr>
      <cdr:spPr>
        <a:xfrm xmlns:a="http://schemas.openxmlformats.org/drawingml/2006/main">
          <a:off x="1990580" y="9330"/>
          <a:ext cx="956455" cy="1568450"/>
        </a:xfrm>
        <a:prstGeom xmlns:a="http://schemas.openxmlformats.org/drawingml/2006/main" prst="rect">
          <a:avLst/>
        </a:prstGeom>
        <a:solidFill xmlns:a="http://schemas.openxmlformats.org/drawingml/2006/main">
          <a:schemeClr val="bg2">
            <a:lumMod val="90000"/>
            <a:alpha val="39000"/>
          </a:schemeClr>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userShapes>
</file>

<file path=word/drawings/drawing111.xml><?xml version="1.0" encoding="utf-8"?>
<c:userShapes xmlns:c="http://schemas.openxmlformats.org/drawingml/2006/chart">
  <cdr:relSizeAnchor xmlns:cdr="http://schemas.openxmlformats.org/drawingml/2006/chartDrawing">
    <cdr:from>
      <cdr:x>0.68683</cdr:x>
      <cdr:y>0</cdr:y>
    </cdr:from>
    <cdr:to>
      <cdr:x>0.99831</cdr:x>
      <cdr:y>0.84788</cdr:y>
    </cdr:to>
    <cdr:sp macro="" textlink="">
      <cdr:nvSpPr>
        <cdr:cNvPr id="2" name="Rectangle 1"/>
        <cdr:cNvSpPr/>
      </cdr:nvSpPr>
      <cdr:spPr>
        <a:xfrm xmlns:a="http://schemas.openxmlformats.org/drawingml/2006/main">
          <a:off x="2062480" y="0"/>
          <a:ext cx="935355" cy="1634050"/>
        </a:xfrm>
        <a:prstGeom xmlns:a="http://schemas.openxmlformats.org/drawingml/2006/main" prst="rect">
          <a:avLst/>
        </a:prstGeom>
        <a:solidFill xmlns:a="http://schemas.openxmlformats.org/drawingml/2006/main">
          <a:schemeClr val="bg2">
            <a:lumMod val="90000"/>
            <a:alpha val="39000"/>
          </a:schemeClr>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userShapes>
</file>

<file path=word/drawings/drawing12.xml><?xml version="1.0" encoding="utf-8"?>
<c:userShapes xmlns:c="http://schemas.openxmlformats.org/drawingml/2006/chart">
  <cdr:relSizeAnchor xmlns:cdr="http://schemas.openxmlformats.org/drawingml/2006/chartDrawing">
    <cdr:from>
      <cdr:x>0.7071</cdr:x>
      <cdr:y>0.00461</cdr:y>
    </cdr:from>
    <cdr:to>
      <cdr:x>1</cdr:x>
      <cdr:y>0.80669</cdr:y>
    </cdr:to>
    <cdr:sp macro="" textlink="">
      <cdr:nvSpPr>
        <cdr:cNvPr id="3" name="Rectangle 2"/>
        <cdr:cNvSpPr/>
      </cdr:nvSpPr>
      <cdr:spPr>
        <a:xfrm xmlns:a="http://schemas.openxmlformats.org/drawingml/2006/main">
          <a:off x="1765496" y="7035"/>
          <a:ext cx="731324" cy="1223890"/>
        </a:xfrm>
        <a:prstGeom xmlns:a="http://schemas.openxmlformats.org/drawingml/2006/main" prst="rect">
          <a:avLst/>
        </a:prstGeom>
        <a:solidFill xmlns:a="http://schemas.openxmlformats.org/drawingml/2006/main">
          <a:schemeClr val="bg2">
            <a:lumMod val="90000"/>
            <a:alpha val="39000"/>
          </a:schemeClr>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userShapes>
</file>

<file path=word/drawings/drawing120.xml><?xml version="1.0" encoding="utf-8"?>
<c:userShapes xmlns:c="http://schemas.openxmlformats.org/drawingml/2006/chart">
  <cdr:relSizeAnchor xmlns:cdr="http://schemas.openxmlformats.org/drawingml/2006/chartDrawing">
    <cdr:from>
      <cdr:x>0.7071</cdr:x>
      <cdr:y>0.00461</cdr:y>
    </cdr:from>
    <cdr:to>
      <cdr:x>1</cdr:x>
      <cdr:y>0.80669</cdr:y>
    </cdr:to>
    <cdr:sp macro="" textlink="">
      <cdr:nvSpPr>
        <cdr:cNvPr id="3" name="Rectangle 2"/>
        <cdr:cNvSpPr/>
      </cdr:nvSpPr>
      <cdr:spPr>
        <a:xfrm xmlns:a="http://schemas.openxmlformats.org/drawingml/2006/main">
          <a:off x="1765496" y="7035"/>
          <a:ext cx="731324" cy="1223890"/>
        </a:xfrm>
        <a:prstGeom xmlns:a="http://schemas.openxmlformats.org/drawingml/2006/main" prst="rect">
          <a:avLst/>
        </a:prstGeom>
        <a:solidFill xmlns:a="http://schemas.openxmlformats.org/drawingml/2006/main">
          <a:schemeClr val="bg2">
            <a:lumMod val="90000"/>
            <a:alpha val="39000"/>
          </a:schemeClr>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userShapes>
</file>

<file path=word/drawings/drawing13.xml><?xml version="1.0" encoding="utf-8"?>
<c:userShapes xmlns:c="http://schemas.openxmlformats.org/drawingml/2006/chart">
  <cdr:relSizeAnchor xmlns:cdr="http://schemas.openxmlformats.org/drawingml/2006/chartDrawing">
    <cdr:from>
      <cdr:x>0.71396</cdr:x>
      <cdr:y>0</cdr:y>
    </cdr:from>
    <cdr:to>
      <cdr:x>1</cdr:x>
      <cdr:y>0.7965</cdr:y>
    </cdr:to>
    <cdr:sp macro="" textlink="">
      <cdr:nvSpPr>
        <cdr:cNvPr id="2" name="Rectangle 1"/>
        <cdr:cNvSpPr/>
      </cdr:nvSpPr>
      <cdr:spPr>
        <a:xfrm xmlns:a="http://schemas.openxmlformats.org/drawingml/2006/main">
          <a:off x="1913206" y="0"/>
          <a:ext cx="766494" cy="1209822"/>
        </a:xfrm>
        <a:prstGeom xmlns:a="http://schemas.openxmlformats.org/drawingml/2006/main" prst="rect">
          <a:avLst/>
        </a:prstGeom>
        <a:solidFill xmlns:a="http://schemas.openxmlformats.org/drawingml/2006/main">
          <a:schemeClr val="bg2">
            <a:lumMod val="90000"/>
            <a:alpha val="39000"/>
          </a:schemeClr>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userShapes>
</file>

<file path=word/drawings/drawing130.xml><?xml version="1.0" encoding="utf-8"?>
<c:userShapes xmlns:c="http://schemas.openxmlformats.org/drawingml/2006/chart">
  <cdr:relSizeAnchor xmlns:cdr="http://schemas.openxmlformats.org/drawingml/2006/chartDrawing">
    <cdr:from>
      <cdr:x>0.71396</cdr:x>
      <cdr:y>0</cdr:y>
    </cdr:from>
    <cdr:to>
      <cdr:x>1</cdr:x>
      <cdr:y>0.7965</cdr:y>
    </cdr:to>
    <cdr:sp macro="" textlink="">
      <cdr:nvSpPr>
        <cdr:cNvPr id="2" name="Rectangle 1"/>
        <cdr:cNvSpPr/>
      </cdr:nvSpPr>
      <cdr:spPr>
        <a:xfrm xmlns:a="http://schemas.openxmlformats.org/drawingml/2006/main">
          <a:off x="1913206" y="0"/>
          <a:ext cx="766494" cy="1209822"/>
        </a:xfrm>
        <a:prstGeom xmlns:a="http://schemas.openxmlformats.org/drawingml/2006/main" prst="rect">
          <a:avLst/>
        </a:prstGeom>
        <a:solidFill xmlns:a="http://schemas.openxmlformats.org/drawingml/2006/main">
          <a:schemeClr val="bg2">
            <a:lumMod val="90000"/>
            <a:alpha val="39000"/>
          </a:schemeClr>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userShapes>
</file>

<file path=word/drawings/drawing14.xml><?xml version="1.0" encoding="utf-8"?>
<c:userShapes xmlns:c="http://schemas.openxmlformats.org/drawingml/2006/chart">
  <cdr:relSizeAnchor xmlns:cdr="http://schemas.openxmlformats.org/drawingml/2006/chartDrawing">
    <cdr:from>
      <cdr:x>0.67255</cdr:x>
      <cdr:y>0</cdr:y>
    </cdr:from>
    <cdr:to>
      <cdr:x>1</cdr:x>
      <cdr:y>0.79681</cdr:y>
    </cdr:to>
    <cdr:sp macro="" textlink="">
      <cdr:nvSpPr>
        <cdr:cNvPr id="2" name="Rectangle 1"/>
        <cdr:cNvSpPr/>
      </cdr:nvSpPr>
      <cdr:spPr>
        <a:xfrm xmlns:a="http://schemas.openxmlformats.org/drawingml/2006/main">
          <a:off x="1765504" y="0"/>
          <a:ext cx="859586" cy="1142999"/>
        </a:xfrm>
        <a:prstGeom xmlns:a="http://schemas.openxmlformats.org/drawingml/2006/main" prst="rect">
          <a:avLst/>
        </a:prstGeom>
        <a:solidFill xmlns:a="http://schemas.openxmlformats.org/drawingml/2006/main">
          <a:schemeClr val="bg2">
            <a:lumMod val="90000"/>
            <a:alpha val="39000"/>
          </a:schemeClr>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userShapes>
</file>

<file path=word/drawings/drawing140.xml><?xml version="1.0" encoding="utf-8"?>
<c:userShapes xmlns:c="http://schemas.openxmlformats.org/drawingml/2006/chart">
  <cdr:relSizeAnchor xmlns:cdr="http://schemas.openxmlformats.org/drawingml/2006/chartDrawing">
    <cdr:from>
      <cdr:x>0.67255</cdr:x>
      <cdr:y>0</cdr:y>
    </cdr:from>
    <cdr:to>
      <cdr:x>1</cdr:x>
      <cdr:y>0.79681</cdr:y>
    </cdr:to>
    <cdr:sp macro="" textlink="">
      <cdr:nvSpPr>
        <cdr:cNvPr id="2" name="Rectangle 1"/>
        <cdr:cNvSpPr/>
      </cdr:nvSpPr>
      <cdr:spPr>
        <a:xfrm xmlns:a="http://schemas.openxmlformats.org/drawingml/2006/main">
          <a:off x="1765504" y="0"/>
          <a:ext cx="859586" cy="1142999"/>
        </a:xfrm>
        <a:prstGeom xmlns:a="http://schemas.openxmlformats.org/drawingml/2006/main" prst="rect">
          <a:avLst/>
        </a:prstGeom>
        <a:solidFill xmlns:a="http://schemas.openxmlformats.org/drawingml/2006/main">
          <a:schemeClr val="bg2">
            <a:lumMod val="90000"/>
            <a:alpha val="39000"/>
          </a:schemeClr>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userShapes>
</file>

<file path=word/drawings/drawing15.xml><?xml version="1.0" encoding="utf-8"?>
<c:userShapes xmlns:c="http://schemas.openxmlformats.org/drawingml/2006/chart">
  <cdr:relSizeAnchor xmlns:cdr="http://schemas.openxmlformats.org/drawingml/2006/chartDrawing">
    <cdr:from>
      <cdr:x>0.68386</cdr:x>
      <cdr:y>0</cdr:y>
    </cdr:from>
    <cdr:to>
      <cdr:x>1</cdr:x>
      <cdr:y>0.80642</cdr:y>
    </cdr:to>
    <cdr:sp macro="" textlink="">
      <cdr:nvSpPr>
        <cdr:cNvPr id="2" name="Rectangle 1"/>
        <cdr:cNvSpPr/>
      </cdr:nvSpPr>
      <cdr:spPr>
        <a:xfrm xmlns:a="http://schemas.openxmlformats.org/drawingml/2006/main">
          <a:off x="1779563" y="0"/>
          <a:ext cx="822667" cy="1281725"/>
        </a:xfrm>
        <a:prstGeom xmlns:a="http://schemas.openxmlformats.org/drawingml/2006/main" prst="rect">
          <a:avLst/>
        </a:prstGeom>
        <a:solidFill xmlns:a="http://schemas.openxmlformats.org/drawingml/2006/main">
          <a:schemeClr val="bg2">
            <a:lumMod val="90000"/>
            <a:alpha val="39000"/>
          </a:schemeClr>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userShapes>
</file>

<file path=word/drawings/drawing150.xml><?xml version="1.0" encoding="utf-8"?>
<c:userShapes xmlns:c="http://schemas.openxmlformats.org/drawingml/2006/chart">
  <cdr:relSizeAnchor xmlns:cdr="http://schemas.openxmlformats.org/drawingml/2006/chartDrawing">
    <cdr:from>
      <cdr:x>0.68386</cdr:x>
      <cdr:y>0</cdr:y>
    </cdr:from>
    <cdr:to>
      <cdr:x>1</cdr:x>
      <cdr:y>0.80642</cdr:y>
    </cdr:to>
    <cdr:sp macro="" textlink="">
      <cdr:nvSpPr>
        <cdr:cNvPr id="2" name="Rectangle 1"/>
        <cdr:cNvSpPr/>
      </cdr:nvSpPr>
      <cdr:spPr>
        <a:xfrm xmlns:a="http://schemas.openxmlformats.org/drawingml/2006/main">
          <a:off x="1779563" y="0"/>
          <a:ext cx="822667" cy="1281725"/>
        </a:xfrm>
        <a:prstGeom xmlns:a="http://schemas.openxmlformats.org/drawingml/2006/main" prst="rect">
          <a:avLst/>
        </a:prstGeom>
        <a:solidFill xmlns:a="http://schemas.openxmlformats.org/drawingml/2006/main">
          <a:schemeClr val="bg2">
            <a:lumMod val="90000"/>
            <a:alpha val="39000"/>
          </a:schemeClr>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userShapes>
</file>

<file path=word/drawings/drawing16.xml><?xml version="1.0" encoding="utf-8"?>
<c:userShapes xmlns:c="http://schemas.openxmlformats.org/drawingml/2006/chart">
  <cdr:relSizeAnchor xmlns:cdr="http://schemas.openxmlformats.org/drawingml/2006/chartDrawing">
    <cdr:from>
      <cdr:x>0.68626</cdr:x>
      <cdr:y>0</cdr:y>
    </cdr:from>
    <cdr:to>
      <cdr:x>1</cdr:x>
      <cdr:y>0.7922</cdr:y>
    </cdr:to>
    <cdr:sp macro="" textlink="">
      <cdr:nvSpPr>
        <cdr:cNvPr id="2" name="Rectangle 1"/>
        <cdr:cNvSpPr/>
      </cdr:nvSpPr>
      <cdr:spPr>
        <a:xfrm xmlns:a="http://schemas.openxmlformats.org/drawingml/2006/main">
          <a:off x="2118752" y="0"/>
          <a:ext cx="968618" cy="1253590"/>
        </a:xfrm>
        <a:prstGeom xmlns:a="http://schemas.openxmlformats.org/drawingml/2006/main" prst="rect">
          <a:avLst/>
        </a:prstGeom>
        <a:solidFill xmlns:a="http://schemas.openxmlformats.org/drawingml/2006/main">
          <a:schemeClr val="bg2">
            <a:lumMod val="90000"/>
            <a:alpha val="39000"/>
          </a:schemeClr>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userShapes>
</file>

<file path=word/drawings/drawing160.xml><?xml version="1.0" encoding="utf-8"?>
<c:userShapes xmlns:c="http://schemas.openxmlformats.org/drawingml/2006/chart">
  <cdr:relSizeAnchor xmlns:cdr="http://schemas.openxmlformats.org/drawingml/2006/chartDrawing">
    <cdr:from>
      <cdr:x>0.68626</cdr:x>
      <cdr:y>0</cdr:y>
    </cdr:from>
    <cdr:to>
      <cdr:x>1</cdr:x>
      <cdr:y>0.7922</cdr:y>
    </cdr:to>
    <cdr:sp macro="" textlink="">
      <cdr:nvSpPr>
        <cdr:cNvPr id="2" name="Rectangle 1"/>
        <cdr:cNvSpPr/>
      </cdr:nvSpPr>
      <cdr:spPr>
        <a:xfrm xmlns:a="http://schemas.openxmlformats.org/drawingml/2006/main">
          <a:off x="2118752" y="0"/>
          <a:ext cx="968618" cy="1253590"/>
        </a:xfrm>
        <a:prstGeom xmlns:a="http://schemas.openxmlformats.org/drawingml/2006/main" prst="rect">
          <a:avLst/>
        </a:prstGeom>
        <a:solidFill xmlns:a="http://schemas.openxmlformats.org/drawingml/2006/main">
          <a:schemeClr val="bg2">
            <a:lumMod val="90000"/>
            <a:alpha val="39000"/>
          </a:schemeClr>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userShapes>
</file>

<file path=word/drawings/drawing17.xml><?xml version="1.0" encoding="utf-8"?>
<c:userShapes xmlns:c="http://schemas.openxmlformats.org/drawingml/2006/chart">
  <cdr:relSizeAnchor xmlns:cdr="http://schemas.openxmlformats.org/drawingml/2006/chartDrawing">
    <cdr:from>
      <cdr:x>0.67511</cdr:x>
      <cdr:y>0</cdr:y>
    </cdr:from>
    <cdr:to>
      <cdr:x>1</cdr:x>
      <cdr:y>0.81641</cdr:y>
    </cdr:to>
    <cdr:sp macro="" textlink="">
      <cdr:nvSpPr>
        <cdr:cNvPr id="2" name="Rectangle 1"/>
        <cdr:cNvSpPr/>
      </cdr:nvSpPr>
      <cdr:spPr>
        <a:xfrm xmlns:a="http://schemas.openxmlformats.org/drawingml/2006/main">
          <a:off x="1732778" y="0"/>
          <a:ext cx="833892" cy="1327150"/>
        </a:xfrm>
        <a:prstGeom xmlns:a="http://schemas.openxmlformats.org/drawingml/2006/main" prst="rect">
          <a:avLst/>
        </a:prstGeom>
        <a:solidFill xmlns:a="http://schemas.openxmlformats.org/drawingml/2006/main">
          <a:schemeClr val="bg2">
            <a:lumMod val="90000"/>
            <a:alpha val="39000"/>
          </a:schemeClr>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userShapes>
</file>

<file path=word/drawings/drawing170.xml><?xml version="1.0" encoding="utf-8"?>
<c:userShapes xmlns:c="http://schemas.openxmlformats.org/drawingml/2006/chart">
  <cdr:relSizeAnchor xmlns:cdr="http://schemas.openxmlformats.org/drawingml/2006/chartDrawing">
    <cdr:from>
      <cdr:x>0.67511</cdr:x>
      <cdr:y>0</cdr:y>
    </cdr:from>
    <cdr:to>
      <cdr:x>1</cdr:x>
      <cdr:y>0.81641</cdr:y>
    </cdr:to>
    <cdr:sp macro="" textlink="">
      <cdr:nvSpPr>
        <cdr:cNvPr id="2" name="Rectangle 1"/>
        <cdr:cNvSpPr/>
      </cdr:nvSpPr>
      <cdr:spPr>
        <a:xfrm xmlns:a="http://schemas.openxmlformats.org/drawingml/2006/main">
          <a:off x="1732778" y="0"/>
          <a:ext cx="833892" cy="1327150"/>
        </a:xfrm>
        <a:prstGeom xmlns:a="http://schemas.openxmlformats.org/drawingml/2006/main" prst="rect">
          <a:avLst/>
        </a:prstGeom>
        <a:solidFill xmlns:a="http://schemas.openxmlformats.org/drawingml/2006/main">
          <a:schemeClr val="bg2">
            <a:lumMod val="90000"/>
            <a:alpha val="39000"/>
          </a:schemeClr>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userShapes>
</file>

<file path=word/drawings/drawing18.xml><?xml version="1.0" encoding="utf-8"?>
<c:userShapes xmlns:c="http://schemas.openxmlformats.org/drawingml/2006/chart">
  <cdr:relSizeAnchor xmlns:cdr="http://schemas.openxmlformats.org/drawingml/2006/chartDrawing">
    <cdr:from>
      <cdr:x>0.67414</cdr:x>
      <cdr:y>0</cdr:y>
    </cdr:from>
    <cdr:to>
      <cdr:x>1</cdr:x>
      <cdr:y>0.81197</cdr:y>
    </cdr:to>
    <cdr:sp macro="" textlink="">
      <cdr:nvSpPr>
        <cdr:cNvPr id="2" name="Rectangle 1"/>
        <cdr:cNvSpPr/>
      </cdr:nvSpPr>
      <cdr:spPr>
        <a:xfrm xmlns:a="http://schemas.openxmlformats.org/drawingml/2006/main">
          <a:off x="2062480" y="0"/>
          <a:ext cx="996950" cy="1336431"/>
        </a:xfrm>
        <a:prstGeom xmlns:a="http://schemas.openxmlformats.org/drawingml/2006/main" prst="rect">
          <a:avLst/>
        </a:prstGeom>
        <a:solidFill xmlns:a="http://schemas.openxmlformats.org/drawingml/2006/main">
          <a:schemeClr val="bg2">
            <a:lumMod val="90000"/>
            <a:alpha val="39000"/>
          </a:schemeClr>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userShapes>
</file>

<file path=word/drawings/drawing180.xml><?xml version="1.0" encoding="utf-8"?>
<c:userShapes xmlns:c="http://schemas.openxmlformats.org/drawingml/2006/chart">
  <cdr:relSizeAnchor xmlns:cdr="http://schemas.openxmlformats.org/drawingml/2006/chartDrawing">
    <cdr:from>
      <cdr:x>0.67414</cdr:x>
      <cdr:y>0</cdr:y>
    </cdr:from>
    <cdr:to>
      <cdr:x>1</cdr:x>
      <cdr:y>0.81197</cdr:y>
    </cdr:to>
    <cdr:sp macro="" textlink="">
      <cdr:nvSpPr>
        <cdr:cNvPr id="2" name="Rectangle 1"/>
        <cdr:cNvSpPr/>
      </cdr:nvSpPr>
      <cdr:spPr>
        <a:xfrm xmlns:a="http://schemas.openxmlformats.org/drawingml/2006/main">
          <a:off x="2062480" y="0"/>
          <a:ext cx="996950" cy="1336431"/>
        </a:xfrm>
        <a:prstGeom xmlns:a="http://schemas.openxmlformats.org/drawingml/2006/main" prst="rect">
          <a:avLst/>
        </a:prstGeom>
        <a:solidFill xmlns:a="http://schemas.openxmlformats.org/drawingml/2006/main">
          <a:schemeClr val="bg2">
            <a:lumMod val="90000"/>
            <a:alpha val="39000"/>
          </a:schemeClr>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userShapes>
</file>

<file path=word/drawings/drawing19.xml><?xml version="1.0" encoding="utf-8"?>
<c:userShapes xmlns:c="http://schemas.openxmlformats.org/drawingml/2006/chart">
  <cdr:relSizeAnchor xmlns:cdr="http://schemas.openxmlformats.org/drawingml/2006/chartDrawing">
    <cdr:from>
      <cdr:x>0.71044</cdr:x>
      <cdr:y>0</cdr:y>
    </cdr:from>
    <cdr:to>
      <cdr:x>1</cdr:x>
      <cdr:y>0.80233</cdr:y>
    </cdr:to>
    <cdr:sp macro="" textlink="">
      <cdr:nvSpPr>
        <cdr:cNvPr id="3" name="Rectangle 2"/>
        <cdr:cNvSpPr/>
      </cdr:nvSpPr>
      <cdr:spPr>
        <a:xfrm xmlns:a="http://schemas.openxmlformats.org/drawingml/2006/main">
          <a:off x="1841500" y="0"/>
          <a:ext cx="750570" cy="1314450"/>
        </a:xfrm>
        <a:prstGeom xmlns:a="http://schemas.openxmlformats.org/drawingml/2006/main" prst="rect">
          <a:avLst/>
        </a:prstGeom>
        <a:solidFill xmlns:a="http://schemas.openxmlformats.org/drawingml/2006/main">
          <a:schemeClr val="bg2">
            <a:lumMod val="90000"/>
            <a:alpha val="39000"/>
          </a:schemeClr>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userShapes>
</file>

<file path=word/drawings/drawing190.xml><?xml version="1.0" encoding="utf-8"?>
<c:userShapes xmlns:c="http://schemas.openxmlformats.org/drawingml/2006/chart">
  <cdr:relSizeAnchor xmlns:cdr="http://schemas.openxmlformats.org/drawingml/2006/chartDrawing">
    <cdr:from>
      <cdr:x>0.71044</cdr:x>
      <cdr:y>0</cdr:y>
    </cdr:from>
    <cdr:to>
      <cdr:x>1</cdr:x>
      <cdr:y>0.80233</cdr:y>
    </cdr:to>
    <cdr:sp macro="" textlink="">
      <cdr:nvSpPr>
        <cdr:cNvPr id="3" name="Rectangle 2"/>
        <cdr:cNvSpPr/>
      </cdr:nvSpPr>
      <cdr:spPr>
        <a:xfrm xmlns:a="http://schemas.openxmlformats.org/drawingml/2006/main">
          <a:off x="1841500" y="0"/>
          <a:ext cx="750570" cy="1314450"/>
        </a:xfrm>
        <a:prstGeom xmlns:a="http://schemas.openxmlformats.org/drawingml/2006/main" prst="rect">
          <a:avLst/>
        </a:prstGeom>
        <a:solidFill xmlns:a="http://schemas.openxmlformats.org/drawingml/2006/main">
          <a:schemeClr val="bg2">
            <a:lumMod val="90000"/>
            <a:alpha val="39000"/>
          </a:schemeClr>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userShapes>
</file>

<file path=word/drawings/drawing2.xml><?xml version="1.0" encoding="utf-8"?>
<c:userShapes xmlns:c="http://schemas.openxmlformats.org/drawingml/2006/chart">
  <cdr:relSizeAnchor xmlns:cdr="http://schemas.openxmlformats.org/drawingml/2006/chartDrawing">
    <cdr:from>
      <cdr:x>0.69481</cdr:x>
      <cdr:y>0</cdr:y>
    </cdr:from>
    <cdr:to>
      <cdr:x>1</cdr:x>
      <cdr:y>0.819</cdr:y>
    </cdr:to>
    <cdr:sp macro="" textlink="">
      <cdr:nvSpPr>
        <cdr:cNvPr id="2" name="Rectangle 1"/>
        <cdr:cNvSpPr/>
      </cdr:nvSpPr>
      <cdr:spPr>
        <a:xfrm xmlns:a="http://schemas.openxmlformats.org/drawingml/2006/main">
          <a:off x="1955409" y="0"/>
          <a:ext cx="858911" cy="1273126"/>
        </a:xfrm>
        <a:prstGeom xmlns:a="http://schemas.openxmlformats.org/drawingml/2006/main" prst="rect">
          <a:avLst/>
        </a:prstGeom>
        <a:solidFill xmlns:a="http://schemas.openxmlformats.org/drawingml/2006/main">
          <a:schemeClr val="bg2">
            <a:lumMod val="90000"/>
            <a:alpha val="39000"/>
          </a:schemeClr>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userShapes>
</file>

<file path=word/drawings/drawing20.xml><?xml version="1.0" encoding="utf-8"?>
<c:userShapes xmlns:c="http://schemas.openxmlformats.org/drawingml/2006/chart">
  <cdr:relSizeAnchor xmlns:cdr="http://schemas.openxmlformats.org/drawingml/2006/chartDrawing">
    <cdr:from>
      <cdr:x>0.67972</cdr:x>
      <cdr:y>0</cdr:y>
    </cdr:from>
    <cdr:to>
      <cdr:x>1</cdr:x>
      <cdr:y>0.83165</cdr:y>
    </cdr:to>
    <cdr:sp macro="" textlink="">
      <cdr:nvSpPr>
        <cdr:cNvPr id="3" name="Rectangle 2"/>
        <cdr:cNvSpPr/>
      </cdr:nvSpPr>
      <cdr:spPr>
        <a:xfrm xmlns:a="http://schemas.openxmlformats.org/drawingml/2006/main">
          <a:off x="2115824" y="0"/>
          <a:ext cx="996946" cy="1568450"/>
        </a:xfrm>
        <a:prstGeom xmlns:a="http://schemas.openxmlformats.org/drawingml/2006/main" prst="rect">
          <a:avLst/>
        </a:prstGeom>
        <a:solidFill xmlns:a="http://schemas.openxmlformats.org/drawingml/2006/main">
          <a:schemeClr val="bg2">
            <a:lumMod val="90000"/>
            <a:alpha val="39000"/>
          </a:schemeClr>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userShapes>
</file>

<file path=word/drawings/drawing200.xml><?xml version="1.0" encoding="utf-8"?>
<c:userShapes xmlns:c="http://schemas.openxmlformats.org/drawingml/2006/chart">
  <cdr:relSizeAnchor xmlns:cdr="http://schemas.openxmlformats.org/drawingml/2006/chartDrawing">
    <cdr:from>
      <cdr:x>0.67972</cdr:x>
      <cdr:y>0</cdr:y>
    </cdr:from>
    <cdr:to>
      <cdr:x>1</cdr:x>
      <cdr:y>0.83165</cdr:y>
    </cdr:to>
    <cdr:sp macro="" textlink="">
      <cdr:nvSpPr>
        <cdr:cNvPr id="3" name="Rectangle 2"/>
        <cdr:cNvSpPr/>
      </cdr:nvSpPr>
      <cdr:spPr>
        <a:xfrm xmlns:a="http://schemas.openxmlformats.org/drawingml/2006/main">
          <a:off x="2115824" y="0"/>
          <a:ext cx="996946" cy="1568450"/>
        </a:xfrm>
        <a:prstGeom xmlns:a="http://schemas.openxmlformats.org/drawingml/2006/main" prst="rect">
          <a:avLst/>
        </a:prstGeom>
        <a:solidFill xmlns:a="http://schemas.openxmlformats.org/drawingml/2006/main">
          <a:schemeClr val="bg2">
            <a:lumMod val="90000"/>
            <a:alpha val="39000"/>
          </a:schemeClr>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userShapes>
</file>

<file path=word/drawings/drawing21.xml><?xml version="1.0" encoding="utf-8"?>
<c:userShapes xmlns:c="http://schemas.openxmlformats.org/drawingml/2006/chart">
  <cdr:relSizeAnchor xmlns:cdr="http://schemas.openxmlformats.org/drawingml/2006/chartDrawing">
    <cdr:from>
      <cdr:x>0.69481</cdr:x>
      <cdr:y>0</cdr:y>
    </cdr:from>
    <cdr:to>
      <cdr:x>1</cdr:x>
      <cdr:y>0.819</cdr:y>
    </cdr:to>
    <cdr:sp macro="" textlink="">
      <cdr:nvSpPr>
        <cdr:cNvPr id="2" name="Rectangle 1"/>
        <cdr:cNvSpPr/>
      </cdr:nvSpPr>
      <cdr:spPr>
        <a:xfrm xmlns:a="http://schemas.openxmlformats.org/drawingml/2006/main">
          <a:off x="1955409" y="0"/>
          <a:ext cx="858911" cy="1273126"/>
        </a:xfrm>
        <a:prstGeom xmlns:a="http://schemas.openxmlformats.org/drawingml/2006/main" prst="rect">
          <a:avLst/>
        </a:prstGeom>
        <a:solidFill xmlns:a="http://schemas.openxmlformats.org/drawingml/2006/main">
          <a:schemeClr val="bg2">
            <a:lumMod val="90000"/>
            <a:alpha val="39000"/>
          </a:schemeClr>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userShapes>
</file>

<file path=word/drawings/drawing3.xml><?xml version="1.0" encoding="utf-8"?>
<c:userShapes xmlns:c="http://schemas.openxmlformats.org/drawingml/2006/chart">
  <cdr:relSizeAnchor xmlns:cdr="http://schemas.openxmlformats.org/drawingml/2006/chartDrawing">
    <cdr:from>
      <cdr:x>0.68742</cdr:x>
      <cdr:y>0.00479</cdr:y>
    </cdr:from>
    <cdr:to>
      <cdr:x>1</cdr:x>
      <cdr:y>0.81342</cdr:y>
    </cdr:to>
    <cdr:sp macro="" textlink="">
      <cdr:nvSpPr>
        <cdr:cNvPr id="2" name="Rectangle 1"/>
        <cdr:cNvSpPr/>
      </cdr:nvSpPr>
      <cdr:spPr>
        <a:xfrm xmlns:a="http://schemas.openxmlformats.org/drawingml/2006/main">
          <a:off x="2117517" y="7035"/>
          <a:ext cx="962868" cy="1188720"/>
        </a:xfrm>
        <a:prstGeom xmlns:a="http://schemas.openxmlformats.org/drawingml/2006/main" prst="rect">
          <a:avLst/>
        </a:prstGeom>
        <a:solidFill xmlns:a="http://schemas.openxmlformats.org/drawingml/2006/main">
          <a:schemeClr val="bg2">
            <a:lumMod val="90000"/>
            <a:alpha val="39000"/>
          </a:schemeClr>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userShapes>
</file>

<file path=word/drawings/drawing30.xml><?xml version="1.0" encoding="utf-8"?>
<c:userShapes xmlns:c="http://schemas.openxmlformats.org/drawingml/2006/chart">
  <cdr:relSizeAnchor xmlns:cdr="http://schemas.openxmlformats.org/drawingml/2006/chartDrawing">
    <cdr:from>
      <cdr:x>0.68742</cdr:x>
      <cdr:y>0.00479</cdr:y>
    </cdr:from>
    <cdr:to>
      <cdr:x>1</cdr:x>
      <cdr:y>0.81342</cdr:y>
    </cdr:to>
    <cdr:sp macro="" textlink="">
      <cdr:nvSpPr>
        <cdr:cNvPr id="2" name="Rectangle 1"/>
        <cdr:cNvSpPr/>
      </cdr:nvSpPr>
      <cdr:spPr>
        <a:xfrm xmlns:a="http://schemas.openxmlformats.org/drawingml/2006/main">
          <a:off x="2117517" y="7035"/>
          <a:ext cx="962868" cy="1188720"/>
        </a:xfrm>
        <a:prstGeom xmlns:a="http://schemas.openxmlformats.org/drawingml/2006/main" prst="rect">
          <a:avLst/>
        </a:prstGeom>
        <a:solidFill xmlns:a="http://schemas.openxmlformats.org/drawingml/2006/main">
          <a:schemeClr val="bg2">
            <a:lumMod val="90000"/>
            <a:alpha val="39000"/>
          </a:schemeClr>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userShapes>
</file>

<file path=word/drawings/drawing4.xml><?xml version="1.0" encoding="utf-8"?>
<c:userShapes xmlns:c="http://schemas.openxmlformats.org/drawingml/2006/chart">
  <cdr:relSizeAnchor xmlns:cdr="http://schemas.openxmlformats.org/drawingml/2006/chartDrawing">
    <cdr:from>
      <cdr:x>0.69519</cdr:x>
      <cdr:y>0</cdr:y>
    </cdr:from>
    <cdr:to>
      <cdr:x>1</cdr:x>
      <cdr:y>0.8094</cdr:y>
    </cdr:to>
    <cdr:sp macro="" textlink="">
      <cdr:nvSpPr>
        <cdr:cNvPr id="2" name="Rectangle 1"/>
        <cdr:cNvSpPr/>
      </cdr:nvSpPr>
      <cdr:spPr>
        <a:xfrm xmlns:a="http://schemas.openxmlformats.org/drawingml/2006/main">
          <a:off x="2117188" y="0"/>
          <a:ext cx="928272" cy="1252024"/>
        </a:xfrm>
        <a:prstGeom xmlns:a="http://schemas.openxmlformats.org/drawingml/2006/main" prst="rect">
          <a:avLst/>
        </a:prstGeom>
        <a:solidFill xmlns:a="http://schemas.openxmlformats.org/drawingml/2006/main">
          <a:schemeClr val="bg2">
            <a:lumMod val="90000"/>
            <a:alpha val="39000"/>
          </a:schemeClr>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userShapes>
</file>

<file path=word/drawings/drawing40.xml><?xml version="1.0" encoding="utf-8"?>
<c:userShapes xmlns:c="http://schemas.openxmlformats.org/drawingml/2006/chart">
  <cdr:relSizeAnchor xmlns:cdr="http://schemas.openxmlformats.org/drawingml/2006/chartDrawing">
    <cdr:from>
      <cdr:x>0.69519</cdr:x>
      <cdr:y>0</cdr:y>
    </cdr:from>
    <cdr:to>
      <cdr:x>1</cdr:x>
      <cdr:y>0.8094</cdr:y>
    </cdr:to>
    <cdr:sp macro="" textlink="">
      <cdr:nvSpPr>
        <cdr:cNvPr id="2" name="Rectangle 1"/>
        <cdr:cNvSpPr/>
      </cdr:nvSpPr>
      <cdr:spPr>
        <a:xfrm xmlns:a="http://schemas.openxmlformats.org/drawingml/2006/main">
          <a:off x="2117188" y="0"/>
          <a:ext cx="928272" cy="1252024"/>
        </a:xfrm>
        <a:prstGeom xmlns:a="http://schemas.openxmlformats.org/drawingml/2006/main" prst="rect">
          <a:avLst/>
        </a:prstGeom>
        <a:solidFill xmlns:a="http://schemas.openxmlformats.org/drawingml/2006/main">
          <a:schemeClr val="bg2">
            <a:lumMod val="90000"/>
            <a:alpha val="39000"/>
          </a:schemeClr>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userShapes>
</file>

<file path=word/drawings/drawing5.xml><?xml version="1.0" encoding="utf-8"?>
<c:userShapes xmlns:c="http://schemas.openxmlformats.org/drawingml/2006/chart">
  <cdr:relSizeAnchor xmlns:cdr="http://schemas.openxmlformats.org/drawingml/2006/chartDrawing">
    <cdr:from>
      <cdr:x>0.71109</cdr:x>
      <cdr:y>0.00954</cdr:y>
    </cdr:from>
    <cdr:to>
      <cdr:x>1</cdr:x>
      <cdr:y>0.8281</cdr:y>
    </cdr:to>
    <cdr:sp macro="" textlink="">
      <cdr:nvSpPr>
        <cdr:cNvPr id="2" name="Rectangle 1"/>
        <cdr:cNvSpPr/>
      </cdr:nvSpPr>
      <cdr:spPr>
        <a:xfrm xmlns:a="http://schemas.openxmlformats.org/drawingml/2006/main">
          <a:off x="2180492" y="16363"/>
          <a:ext cx="885923" cy="1404474"/>
        </a:xfrm>
        <a:prstGeom xmlns:a="http://schemas.openxmlformats.org/drawingml/2006/main" prst="rect">
          <a:avLst/>
        </a:prstGeom>
        <a:solidFill xmlns:a="http://schemas.openxmlformats.org/drawingml/2006/main">
          <a:schemeClr val="bg2">
            <a:lumMod val="90000"/>
            <a:alpha val="39000"/>
          </a:schemeClr>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userShapes>
</file>

<file path=word/drawings/drawing50.xml><?xml version="1.0" encoding="utf-8"?>
<c:userShapes xmlns:c="http://schemas.openxmlformats.org/drawingml/2006/chart">
  <cdr:relSizeAnchor xmlns:cdr="http://schemas.openxmlformats.org/drawingml/2006/chartDrawing">
    <cdr:from>
      <cdr:x>0.71109</cdr:x>
      <cdr:y>0.00954</cdr:y>
    </cdr:from>
    <cdr:to>
      <cdr:x>1</cdr:x>
      <cdr:y>0.8281</cdr:y>
    </cdr:to>
    <cdr:sp macro="" textlink="">
      <cdr:nvSpPr>
        <cdr:cNvPr id="2" name="Rectangle 1"/>
        <cdr:cNvSpPr/>
      </cdr:nvSpPr>
      <cdr:spPr>
        <a:xfrm xmlns:a="http://schemas.openxmlformats.org/drawingml/2006/main">
          <a:off x="2180492" y="16363"/>
          <a:ext cx="885923" cy="1404474"/>
        </a:xfrm>
        <a:prstGeom xmlns:a="http://schemas.openxmlformats.org/drawingml/2006/main" prst="rect">
          <a:avLst/>
        </a:prstGeom>
        <a:solidFill xmlns:a="http://schemas.openxmlformats.org/drawingml/2006/main">
          <a:schemeClr val="bg2">
            <a:lumMod val="90000"/>
            <a:alpha val="39000"/>
          </a:schemeClr>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userShapes>
</file>

<file path=word/drawings/drawing6.xml><?xml version="1.0" encoding="utf-8"?>
<c:userShapes xmlns:c="http://schemas.openxmlformats.org/drawingml/2006/chart">
  <cdr:relSizeAnchor xmlns:cdr="http://schemas.openxmlformats.org/drawingml/2006/chartDrawing">
    <cdr:from>
      <cdr:x>0.70512</cdr:x>
      <cdr:y>0.17995</cdr:y>
    </cdr:from>
    <cdr:to>
      <cdr:x>0.97085</cdr:x>
      <cdr:y>0.88175</cdr:y>
    </cdr:to>
    <cdr:sp macro="" textlink="">
      <cdr:nvSpPr>
        <cdr:cNvPr id="3" name="Rectangle 2"/>
        <cdr:cNvSpPr/>
      </cdr:nvSpPr>
      <cdr:spPr>
        <a:xfrm xmlns:a="http://schemas.openxmlformats.org/drawingml/2006/main">
          <a:off x="1996982" y="444500"/>
          <a:ext cx="752568" cy="1733550"/>
        </a:xfrm>
        <a:prstGeom xmlns:a="http://schemas.openxmlformats.org/drawingml/2006/main" prst="rect">
          <a:avLst/>
        </a:prstGeom>
        <a:solidFill xmlns:a="http://schemas.openxmlformats.org/drawingml/2006/main">
          <a:schemeClr val="bg2">
            <a:lumMod val="90000"/>
            <a:alpha val="39000"/>
          </a:schemeClr>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userShapes>
</file>

<file path=word/drawings/drawing7.xml><?xml version="1.0" encoding="utf-8"?>
<c:userShapes xmlns:c="http://schemas.openxmlformats.org/drawingml/2006/chart">
  <cdr:relSizeAnchor xmlns:cdr="http://schemas.openxmlformats.org/drawingml/2006/chartDrawing">
    <cdr:from>
      <cdr:x>0.68243</cdr:x>
      <cdr:y>0.14167</cdr:y>
    </cdr:from>
    <cdr:to>
      <cdr:x>0.96171</cdr:x>
      <cdr:y>0.88333</cdr:y>
    </cdr:to>
    <cdr:sp macro="" textlink="">
      <cdr:nvSpPr>
        <cdr:cNvPr id="2" name="Rectangle 1"/>
        <cdr:cNvSpPr/>
      </cdr:nvSpPr>
      <cdr:spPr>
        <a:xfrm xmlns:a="http://schemas.openxmlformats.org/drawingml/2006/main">
          <a:off x="1924050" y="323850"/>
          <a:ext cx="787400" cy="1695450"/>
        </a:xfrm>
        <a:prstGeom xmlns:a="http://schemas.openxmlformats.org/drawingml/2006/main" prst="rect">
          <a:avLst/>
        </a:prstGeom>
        <a:solidFill xmlns:a="http://schemas.openxmlformats.org/drawingml/2006/main">
          <a:schemeClr val="bg2">
            <a:lumMod val="90000"/>
            <a:alpha val="39000"/>
          </a:schemeClr>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userShapes>
</file>

<file path=word/drawings/drawing8.xml><?xml version="1.0" encoding="utf-8"?>
<c:userShapes xmlns:c="http://schemas.openxmlformats.org/drawingml/2006/chart">
  <cdr:relSizeAnchor xmlns:cdr="http://schemas.openxmlformats.org/drawingml/2006/chartDrawing">
    <cdr:from>
      <cdr:x>0.67317</cdr:x>
      <cdr:y>0.16435</cdr:y>
    </cdr:from>
    <cdr:to>
      <cdr:x>0.95366</cdr:x>
      <cdr:y>0.87187</cdr:y>
    </cdr:to>
    <cdr:sp macro="" textlink="">
      <cdr:nvSpPr>
        <cdr:cNvPr id="2" name="Rectangle 1"/>
        <cdr:cNvSpPr/>
      </cdr:nvSpPr>
      <cdr:spPr>
        <a:xfrm xmlns:a="http://schemas.openxmlformats.org/drawingml/2006/main">
          <a:off x="1752600" y="374650"/>
          <a:ext cx="730250" cy="1612900"/>
        </a:xfrm>
        <a:prstGeom xmlns:a="http://schemas.openxmlformats.org/drawingml/2006/main" prst="rect">
          <a:avLst/>
        </a:prstGeom>
        <a:solidFill xmlns:a="http://schemas.openxmlformats.org/drawingml/2006/main">
          <a:schemeClr val="bg2">
            <a:lumMod val="90000"/>
            <a:alpha val="39000"/>
          </a:schemeClr>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userShapes>
</file>

<file path=word/drawings/drawing9.xml><?xml version="1.0" encoding="utf-8"?>
<c:userShapes xmlns:c="http://schemas.openxmlformats.org/drawingml/2006/chart">
  <cdr:relSizeAnchor xmlns:cdr="http://schemas.openxmlformats.org/drawingml/2006/chartDrawing">
    <cdr:from>
      <cdr:x>0.67586</cdr:x>
      <cdr:y>0.15504</cdr:y>
    </cdr:from>
    <cdr:to>
      <cdr:x>0.96322</cdr:x>
      <cdr:y>0.8741</cdr:y>
    </cdr:to>
    <cdr:sp macro="" textlink="">
      <cdr:nvSpPr>
        <cdr:cNvPr id="2" name="Rectangle 1"/>
        <cdr:cNvSpPr/>
      </cdr:nvSpPr>
      <cdr:spPr>
        <a:xfrm xmlns:a="http://schemas.openxmlformats.org/drawingml/2006/main">
          <a:off x="1866900" y="368300"/>
          <a:ext cx="793750" cy="1708150"/>
        </a:xfrm>
        <a:prstGeom xmlns:a="http://schemas.openxmlformats.org/drawingml/2006/main" prst="rect">
          <a:avLst/>
        </a:prstGeom>
        <a:solidFill xmlns:a="http://schemas.openxmlformats.org/drawingml/2006/main">
          <a:schemeClr val="bg2">
            <a:lumMod val="90000"/>
            <a:alpha val="39000"/>
          </a:schemeClr>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E78528727834091A4C49028A1C894A5"/>
        <w:category>
          <w:name w:val="General"/>
          <w:gallery w:val="placeholder"/>
        </w:category>
        <w:types>
          <w:type w:val="bbPlcHdr"/>
        </w:types>
        <w:behaviors>
          <w:behavior w:val="content"/>
        </w:behaviors>
        <w:guid w:val="{C19F2F78-F036-48AA-AEE8-CE50829A2318}"/>
      </w:docPartPr>
      <w:docPartBody>
        <w:p w:rsidR="003E6965" w:rsidRDefault="00C63DE4">
          <w:pPr>
            <w:pStyle w:val="4E78528727834091A4C49028A1C894A5"/>
          </w:pPr>
          <w:r>
            <w:rPr>
              <w:color w:val="4472C4" w:themeColor="accent1"/>
              <w:sz w:val="20"/>
              <w:szCs w:val="20"/>
            </w:rPr>
            <w:t>[Document title]</w:t>
          </w:r>
        </w:p>
      </w:docPartBody>
    </w:docPart>
    <w:docPart>
      <w:docPartPr>
        <w:name w:val="CC3CFA18445D4385A2E8A09A1E446DFA"/>
        <w:category>
          <w:name w:val="General"/>
          <w:gallery w:val="placeholder"/>
        </w:category>
        <w:types>
          <w:type w:val="bbPlcHdr"/>
        </w:types>
        <w:behaviors>
          <w:behavior w:val="content"/>
        </w:behaviors>
        <w:guid w:val="{B543EEE9-12D5-459E-98F4-BF6D42A042B8}"/>
      </w:docPartPr>
      <w:docPartBody>
        <w:p w:rsidR="003E6965" w:rsidRDefault="00C63DE4">
          <w:pPr>
            <w:pStyle w:val="CC3CFA18445D4385A2E8A09A1E446DFA"/>
          </w:pPr>
          <w:r>
            <w:rPr>
              <w:color w:val="4472C4" w:themeColor="accent1"/>
              <w:sz w:val="20"/>
              <w:szCs w:val="20"/>
            </w:rPr>
            <w:t>[Document title]</w:t>
          </w:r>
        </w:p>
      </w:docPartBody>
    </w:docPart>
    <w:docPart>
      <w:docPartPr>
        <w:name w:val="49F26D59B23947C099F1D08DDE39C794"/>
        <w:category>
          <w:name w:val="General"/>
          <w:gallery w:val="placeholder"/>
        </w:category>
        <w:types>
          <w:type w:val="bbPlcHdr"/>
        </w:types>
        <w:behaviors>
          <w:behavior w:val="content"/>
        </w:behaviors>
        <w:guid w:val="{D38D2DCA-349D-4565-A875-D91ABD086C87}"/>
      </w:docPartPr>
      <w:docPartBody>
        <w:p w:rsidR="003E6965" w:rsidRDefault="00C63DE4">
          <w:pPr>
            <w:pStyle w:val="49F26D59B23947C099F1D08DDE39C794"/>
          </w:pPr>
          <w:r>
            <w:rPr>
              <w:color w:val="4472C4" w:themeColor="accent1"/>
              <w:sz w:val="20"/>
              <w:szCs w:val="20"/>
            </w:rPr>
            <w:t>[Document title]</w:t>
          </w:r>
        </w:p>
      </w:docPartBody>
    </w:docPart>
    <w:docPart>
      <w:docPartPr>
        <w:name w:val="1C750A1E05E947E0B1D1C76334C8E160"/>
        <w:category>
          <w:name w:val="General"/>
          <w:gallery w:val="placeholder"/>
        </w:category>
        <w:types>
          <w:type w:val="bbPlcHdr"/>
        </w:types>
        <w:behaviors>
          <w:behavior w:val="content"/>
        </w:behaviors>
        <w:guid w:val="{4E640C75-A174-4E49-9A5C-501DA8F8F6AF}"/>
      </w:docPartPr>
      <w:docPartBody>
        <w:p w:rsidR="003E6965" w:rsidRDefault="00C63DE4">
          <w:pPr>
            <w:pStyle w:val="1C750A1E05E947E0B1D1C76334C8E160"/>
          </w:pPr>
          <w:r>
            <w:rPr>
              <w:color w:val="4472C4" w:themeColor="accent1"/>
              <w:sz w:val="20"/>
              <w:szCs w:val="20"/>
            </w:rPr>
            <w:t>[Document title]</w:t>
          </w:r>
        </w:p>
      </w:docPartBody>
    </w:docPart>
    <w:docPart>
      <w:docPartPr>
        <w:name w:val="DB140CF015CA4A46BD0BE1B102E77E98"/>
        <w:category>
          <w:name w:val="General"/>
          <w:gallery w:val="placeholder"/>
        </w:category>
        <w:types>
          <w:type w:val="bbPlcHdr"/>
        </w:types>
        <w:behaviors>
          <w:behavior w:val="content"/>
        </w:behaviors>
        <w:guid w:val="{26856EF4-91A4-4829-ABEF-1F1D62110A22}"/>
      </w:docPartPr>
      <w:docPartBody>
        <w:p w:rsidR="003E6965" w:rsidRDefault="00C63DE4">
          <w:pPr>
            <w:pStyle w:val="DB140CF015CA4A46BD0BE1B102E77E98"/>
          </w:pPr>
          <w:r>
            <w:rPr>
              <w:color w:val="4472C4" w:themeColor="accent1"/>
              <w:sz w:val="20"/>
              <w:szCs w:val="20"/>
            </w:rPr>
            <w:t>[Document title]</w:t>
          </w:r>
        </w:p>
      </w:docPartBody>
    </w:docPart>
    <w:docPart>
      <w:docPartPr>
        <w:name w:val="CC18EC86311849A38898400CB2327010"/>
        <w:category>
          <w:name w:val="General"/>
          <w:gallery w:val="placeholder"/>
        </w:category>
        <w:types>
          <w:type w:val="bbPlcHdr"/>
        </w:types>
        <w:behaviors>
          <w:behavior w:val="content"/>
        </w:behaviors>
        <w:guid w:val="{40A3A85C-F883-4287-B077-F805D30B118B}"/>
      </w:docPartPr>
      <w:docPartBody>
        <w:p w:rsidR="003E6965" w:rsidRDefault="00C63DE4">
          <w:pPr>
            <w:pStyle w:val="CC18EC86311849A38898400CB2327010"/>
          </w:pPr>
          <w:r>
            <w:rPr>
              <w:color w:val="4472C4" w:themeColor="accent1"/>
              <w:sz w:val="20"/>
              <w:szCs w:val="20"/>
            </w:rPr>
            <w:t>[Document title]</w:t>
          </w:r>
        </w:p>
      </w:docPartBody>
    </w:docPart>
    <w:docPart>
      <w:docPartPr>
        <w:name w:val="8AD0F98C5F954F4294B6690614BFCA22"/>
        <w:category>
          <w:name w:val="General"/>
          <w:gallery w:val="placeholder"/>
        </w:category>
        <w:types>
          <w:type w:val="bbPlcHdr"/>
        </w:types>
        <w:behaviors>
          <w:behavior w:val="content"/>
        </w:behaviors>
        <w:guid w:val="{4156983C-78A3-4316-BF32-8EE3ABF1E561}"/>
      </w:docPartPr>
      <w:docPartBody>
        <w:p w:rsidR="003E6965" w:rsidRDefault="00C63DE4">
          <w:pPr>
            <w:pStyle w:val="8AD0F98C5F954F4294B6690614BFCA22"/>
          </w:pPr>
          <w:r>
            <w:rPr>
              <w:color w:val="4472C4" w:themeColor="accent1"/>
              <w:sz w:val="20"/>
              <w:szCs w:val="20"/>
            </w:rPr>
            <w:t>[Document title]</w:t>
          </w:r>
        </w:p>
      </w:docPartBody>
    </w:docPart>
    <w:docPart>
      <w:docPartPr>
        <w:name w:val="9A9841F7EB9C4C5BA74E444E1C42ED7F"/>
        <w:category>
          <w:name w:val="General"/>
          <w:gallery w:val="placeholder"/>
        </w:category>
        <w:types>
          <w:type w:val="bbPlcHdr"/>
        </w:types>
        <w:behaviors>
          <w:behavior w:val="content"/>
        </w:behaviors>
        <w:guid w:val="{8E99519A-D7CE-4FAF-B296-917209E31604}"/>
      </w:docPartPr>
      <w:docPartBody>
        <w:p w:rsidR="003E6965" w:rsidRDefault="003E6965">
          <w:pPr>
            <w:pStyle w:val="9A9841F7EB9C4C5BA74E444E1C42ED7F"/>
          </w:pPr>
          <w:r>
            <w:rPr>
              <w:color w:val="4472C4" w:themeColor="accent1"/>
              <w:sz w:val="20"/>
              <w:szCs w:val="20"/>
            </w:rPr>
            <w:t>[Document title]</w:t>
          </w:r>
        </w:p>
      </w:docPartBody>
    </w:docPart>
    <w:docPart>
      <w:docPartPr>
        <w:name w:val="C74F62EF979E4BCEABF81580054321FF"/>
        <w:category>
          <w:name w:val="General"/>
          <w:gallery w:val="placeholder"/>
        </w:category>
        <w:types>
          <w:type w:val="bbPlcHdr"/>
        </w:types>
        <w:behaviors>
          <w:behavior w:val="content"/>
        </w:behaviors>
        <w:guid w:val="{3BC77300-2F68-42CC-90EB-4870779EDA12}"/>
      </w:docPartPr>
      <w:docPartBody>
        <w:p w:rsidR="003E6965" w:rsidRDefault="003E6965">
          <w:pPr>
            <w:pStyle w:val="C74F62EF979E4BCEABF81580054321FF"/>
          </w:pPr>
          <w:r>
            <w:rPr>
              <w:color w:val="4472C4" w:themeColor="accent1"/>
              <w:sz w:val="20"/>
              <w:szCs w:val="20"/>
            </w:rPr>
            <w:t>[Document title]</w:t>
          </w:r>
        </w:p>
      </w:docPartBody>
    </w:docPart>
    <w:docPart>
      <w:docPartPr>
        <w:name w:val="4AF8415FAE2F49E5AC931EB631E672D1"/>
        <w:category>
          <w:name w:val="General"/>
          <w:gallery w:val="placeholder"/>
        </w:category>
        <w:types>
          <w:type w:val="bbPlcHdr"/>
        </w:types>
        <w:behaviors>
          <w:behavior w:val="content"/>
        </w:behaviors>
        <w:guid w:val="{32D51432-DC73-4452-8BF4-905B06B66EBF}"/>
      </w:docPartPr>
      <w:docPartBody>
        <w:p w:rsidR="00EA2F02" w:rsidRDefault="000841EA">
          <w:pPr>
            <w:pStyle w:val="4AF8415FAE2F49E5AC931EB631E672D1"/>
          </w:pPr>
          <w:r>
            <w:rPr>
              <w:color w:val="4472C4" w:themeColor="accent1"/>
              <w:sz w:val="20"/>
              <w:szCs w:val="2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Historic">
    <w:panose1 w:val="020B0502040204020203"/>
    <w:charset w:val="00"/>
    <w:family w:val="swiss"/>
    <w:pitch w:val="variable"/>
    <w:sig w:usb0="800001EF" w:usb1="02000002" w:usb2="0060C080" w:usb3="00000000" w:csb0="00000001" w:csb1="00000000"/>
  </w:font>
  <w:font w:name="Bell MT">
    <w:panose1 w:val="02020503060305020303"/>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rabic Typesetting">
    <w:charset w:val="B2"/>
    <w:family w:val="script"/>
    <w:pitch w:val="variable"/>
    <w:sig w:usb0="80002007" w:usb1="80000000" w:usb2="00000008" w:usb3="00000000" w:csb0="000000D3"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ArialMT">
    <w:altName w:val="MS Gothic"/>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DE4"/>
    <w:rsid w:val="00051987"/>
    <w:rsid w:val="0006664C"/>
    <w:rsid w:val="000717F6"/>
    <w:rsid w:val="000841EA"/>
    <w:rsid w:val="000A7B58"/>
    <w:rsid w:val="000E1A05"/>
    <w:rsid w:val="00103BA9"/>
    <w:rsid w:val="00106214"/>
    <w:rsid w:val="00113A53"/>
    <w:rsid w:val="0014749B"/>
    <w:rsid w:val="00150070"/>
    <w:rsid w:val="00165585"/>
    <w:rsid w:val="001C257B"/>
    <w:rsid w:val="001C71BB"/>
    <w:rsid w:val="001D0737"/>
    <w:rsid w:val="001E3715"/>
    <w:rsid w:val="00214187"/>
    <w:rsid w:val="00263574"/>
    <w:rsid w:val="00266CAC"/>
    <w:rsid w:val="0028374D"/>
    <w:rsid w:val="002A59F0"/>
    <w:rsid w:val="002C5EEA"/>
    <w:rsid w:val="002C7BF7"/>
    <w:rsid w:val="002D258D"/>
    <w:rsid w:val="002E730D"/>
    <w:rsid w:val="00346D24"/>
    <w:rsid w:val="00365DCF"/>
    <w:rsid w:val="00383638"/>
    <w:rsid w:val="003C2EA9"/>
    <w:rsid w:val="003D614E"/>
    <w:rsid w:val="003E6965"/>
    <w:rsid w:val="004061DA"/>
    <w:rsid w:val="00407DAD"/>
    <w:rsid w:val="00443790"/>
    <w:rsid w:val="00452F34"/>
    <w:rsid w:val="00463934"/>
    <w:rsid w:val="00492F43"/>
    <w:rsid w:val="004D200E"/>
    <w:rsid w:val="004D4E55"/>
    <w:rsid w:val="004D69F4"/>
    <w:rsid w:val="004E7417"/>
    <w:rsid w:val="004E7B4E"/>
    <w:rsid w:val="0051458A"/>
    <w:rsid w:val="00521F6F"/>
    <w:rsid w:val="0052513C"/>
    <w:rsid w:val="0053187D"/>
    <w:rsid w:val="005524A4"/>
    <w:rsid w:val="005977C8"/>
    <w:rsid w:val="005F48BA"/>
    <w:rsid w:val="00610BEE"/>
    <w:rsid w:val="006257CE"/>
    <w:rsid w:val="0063285E"/>
    <w:rsid w:val="00634458"/>
    <w:rsid w:val="00653DBE"/>
    <w:rsid w:val="00660536"/>
    <w:rsid w:val="00671925"/>
    <w:rsid w:val="0069254B"/>
    <w:rsid w:val="00693868"/>
    <w:rsid w:val="006A58EB"/>
    <w:rsid w:val="006A76D6"/>
    <w:rsid w:val="006B3869"/>
    <w:rsid w:val="006C68E0"/>
    <w:rsid w:val="006E1FB2"/>
    <w:rsid w:val="006E77FF"/>
    <w:rsid w:val="0071196A"/>
    <w:rsid w:val="00745DD6"/>
    <w:rsid w:val="0075620F"/>
    <w:rsid w:val="007772B7"/>
    <w:rsid w:val="007840DC"/>
    <w:rsid w:val="007C52F5"/>
    <w:rsid w:val="007E29C8"/>
    <w:rsid w:val="007F038E"/>
    <w:rsid w:val="007F6988"/>
    <w:rsid w:val="008207CB"/>
    <w:rsid w:val="00831CCC"/>
    <w:rsid w:val="008560F3"/>
    <w:rsid w:val="00886899"/>
    <w:rsid w:val="008A033D"/>
    <w:rsid w:val="008A4997"/>
    <w:rsid w:val="008A748E"/>
    <w:rsid w:val="008D7FF2"/>
    <w:rsid w:val="00915454"/>
    <w:rsid w:val="00924EE1"/>
    <w:rsid w:val="0092609F"/>
    <w:rsid w:val="0093114B"/>
    <w:rsid w:val="00931DF5"/>
    <w:rsid w:val="0094159D"/>
    <w:rsid w:val="009519BF"/>
    <w:rsid w:val="0096781D"/>
    <w:rsid w:val="00972306"/>
    <w:rsid w:val="009854C7"/>
    <w:rsid w:val="009A070F"/>
    <w:rsid w:val="009F4477"/>
    <w:rsid w:val="00A12D77"/>
    <w:rsid w:val="00A157E1"/>
    <w:rsid w:val="00A40E9D"/>
    <w:rsid w:val="00A42779"/>
    <w:rsid w:val="00A516A4"/>
    <w:rsid w:val="00A51BD7"/>
    <w:rsid w:val="00A67F14"/>
    <w:rsid w:val="00A72EFA"/>
    <w:rsid w:val="00A76E9E"/>
    <w:rsid w:val="00A77E40"/>
    <w:rsid w:val="00A85450"/>
    <w:rsid w:val="00AA3A3B"/>
    <w:rsid w:val="00AA5F07"/>
    <w:rsid w:val="00AB0041"/>
    <w:rsid w:val="00AC2E3D"/>
    <w:rsid w:val="00AE6B37"/>
    <w:rsid w:val="00AE77F9"/>
    <w:rsid w:val="00AF53AC"/>
    <w:rsid w:val="00B12580"/>
    <w:rsid w:val="00B254D0"/>
    <w:rsid w:val="00B51CFE"/>
    <w:rsid w:val="00B6175A"/>
    <w:rsid w:val="00B665E0"/>
    <w:rsid w:val="00B96698"/>
    <w:rsid w:val="00BA0EBF"/>
    <w:rsid w:val="00BA270E"/>
    <w:rsid w:val="00BB5461"/>
    <w:rsid w:val="00BD6541"/>
    <w:rsid w:val="00BD69D9"/>
    <w:rsid w:val="00BE63AF"/>
    <w:rsid w:val="00C24C24"/>
    <w:rsid w:val="00C30C95"/>
    <w:rsid w:val="00C3379D"/>
    <w:rsid w:val="00C348BB"/>
    <w:rsid w:val="00C544E1"/>
    <w:rsid w:val="00C63DE4"/>
    <w:rsid w:val="00C85E98"/>
    <w:rsid w:val="00C86B98"/>
    <w:rsid w:val="00CC634C"/>
    <w:rsid w:val="00CE2CA7"/>
    <w:rsid w:val="00CF458E"/>
    <w:rsid w:val="00D6358A"/>
    <w:rsid w:val="00DA67F0"/>
    <w:rsid w:val="00E016FB"/>
    <w:rsid w:val="00E34127"/>
    <w:rsid w:val="00E34C34"/>
    <w:rsid w:val="00E46928"/>
    <w:rsid w:val="00E54B22"/>
    <w:rsid w:val="00E56F95"/>
    <w:rsid w:val="00E57308"/>
    <w:rsid w:val="00E71A6E"/>
    <w:rsid w:val="00E73C44"/>
    <w:rsid w:val="00E95D2F"/>
    <w:rsid w:val="00EA2F02"/>
    <w:rsid w:val="00EB1968"/>
    <w:rsid w:val="00EC59FE"/>
    <w:rsid w:val="00F33046"/>
    <w:rsid w:val="00F343BE"/>
    <w:rsid w:val="00F418B6"/>
    <w:rsid w:val="00F57CA9"/>
    <w:rsid w:val="00F63BCD"/>
    <w:rsid w:val="00F67D9B"/>
    <w:rsid w:val="00F94AA8"/>
    <w:rsid w:val="00F95F09"/>
    <w:rsid w:val="00FC18B6"/>
    <w:rsid w:val="00FC2491"/>
    <w:rsid w:val="00FD4465"/>
    <w:rsid w:val="00FF026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4E78528727834091A4C49028A1C894A5">
    <w:name w:val="4E78528727834091A4C49028A1C894A5"/>
    <w:rPr>
      <w:lang w:val="fr-FR" w:eastAsia="fr-FR"/>
    </w:rPr>
  </w:style>
  <w:style w:type="paragraph" w:customStyle="1" w:styleId="CC3CFA18445D4385A2E8A09A1E446DFA">
    <w:name w:val="CC3CFA18445D4385A2E8A09A1E446DFA"/>
    <w:rPr>
      <w:lang w:val="fr-FR" w:eastAsia="fr-FR"/>
    </w:rPr>
  </w:style>
  <w:style w:type="paragraph" w:customStyle="1" w:styleId="49F26D59B23947C099F1D08DDE39C794">
    <w:name w:val="49F26D59B23947C099F1D08DDE39C794"/>
    <w:rPr>
      <w:lang w:val="fr-FR" w:eastAsia="fr-FR"/>
    </w:rPr>
  </w:style>
  <w:style w:type="paragraph" w:customStyle="1" w:styleId="1C750A1E05E947E0B1D1C76334C8E160">
    <w:name w:val="1C750A1E05E947E0B1D1C76334C8E160"/>
    <w:rPr>
      <w:lang w:val="fr-FR" w:eastAsia="fr-FR"/>
    </w:rPr>
  </w:style>
  <w:style w:type="paragraph" w:customStyle="1" w:styleId="DB140CF015CA4A46BD0BE1B102E77E98">
    <w:name w:val="DB140CF015CA4A46BD0BE1B102E77E98"/>
    <w:rPr>
      <w:lang w:val="fr-FR" w:eastAsia="fr-FR"/>
    </w:rPr>
  </w:style>
  <w:style w:type="paragraph" w:customStyle="1" w:styleId="CC18EC86311849A38898400CB2327010">
    <w:name w:val="CC18EC86311849A38898400CB2327010"/>
    <w:rPr>
      <w:lang w:val="fr-FR" w:eastAsia="fr-FR"/>
    </w:rPr>
  </w:style>
  <w:style w:type="paragraph" w:customStyle="1" w:styleId="8AD0F98C5F954F4294B6690614BFCA22">
    <w:name w:val="8AD0F98C5F954F4294B6690614BFCA22"/>
    <w:rPr>
      <w:lang w:val="fr-FR" w:eastAsia="fr-FR"/>
    </w:rPr>
  </w:style>
  <w:style w:type="paragraph" w:customStyle="1" w:styleId="9A9841F7EB9C4C5BA74E444E1C42ED7F">
    <w:name w:val="9A9841F7EB9C4C5BA74E444E1C42ED7F"/>
    <w:rPr>
      <w:lang w:val="fr-FR" w:eastAsia="fr-FR"/>
    </w:rPr>
  </w:style>
  <w:style w:type="paragraph" w:customStyle="1" w:styleId="C74F62EF979E4BCEABF81580054321FF">
    <w:name w:val="C74F62EF979E4BCEABF81580054321FF"/>
    <w:rPr>
      <w:lang w:val="fr-FR" w:eastAsia="fr-FR"/>
    </w:rPr>
  </w:style>
  <w:style w:type="paragraph" w:customStyle="1" w:styleId="4AF8415FAE2F49E5AC931EB631E672D1">
    <w:name w:val="4AF8415FAE2F49E5AC931EB631E672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C1AE2FB-3C99-4900-AD68-059A96000331}">
  <we:reference id="wa200005502" version="1.0.0.11" store="en-US" storeType="OMEX"/>
  <we:alternateReferences>
    <we:reference id="wa200005502" version="1.0.0.11" store="en-US" storeType="OMEX"/>
  </we:alternateReferences>
  <we:properties>
    <we:property name="docId" value="&quot;MOrrpLpG-OX1bOpZAj3r_&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E34A231F0E77048AA1E44072DC63B98" ma:contentTypeVersion="17" ma:contentTypeDescription="Create a new document." ma:contentTypeScope="" ma:versionID="82e044a853abadf3712f1869b090c577">
  <xsd:schema xmlns:xsd="http://www.w3.org/2001/XMLSchema" xmlns:xs="http://www.w3.org/2001/XMLSchema" xmlns:p="http://schemas.microsoft.com/office/2006/metadata/properties" xmlns:ns2="3a23fb08-7d80-431f-a890-ffa58d96b5e8" xmlns:ns3="4f21c765-d769-4358-b98d-9d5c0e7bee90" targetNamespace="http://schemas.microsoft.com/office/2006/metadata/properties" ma:root="true" ma:fieldsID="b24316698384a9e1d17ad1bdf6a3c37f" ns2:_="" ns3:_="">
    <xsd:import namespace="3a23fb08-7d80-431f-a890-ffa58d96b5e8"/>
    <xsd:import namespace="4f21c765-d769-4358-b98d-9d5c0e7bee9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23fb08-7d80-431f-a890-ffa58d96b5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826da67-1edc-47c3-8db5-4bd9e4102d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21c765-d769-4358-b98d-9d5c0e7bee9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de4ba81-a86e-4d0f-ae04-06295fdae7ea}" ma:internalName="TaxCatchAll" ma:showField="CatchAllData" ma:web="4f21c765-d769-4358-b98d-9d5c0e7bee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a23fb08-7d80-431f-a890-ffa58d96b5e8">
      <Terms xmlns="http://schemas.microsoft.com/office/infopath/2007/PartnerControls"/>
    </lcf76f155ced4ddcb4097134ff3c332f>
    <TaxCatchAll xmlns="4f21c765-d769-4358-b98d-9d5c0e7bee90" xsi:nil="true"/>
    <SharedWithUsers xmlns="4f21c765-d769-4358-b98d-9d5c0e7bee90">
      <UserInfo>
        <DisplayName>Frejus Lingue</DisplayName>
        <AccountId>67</AccountId>
        <AccountType/>
      </UserInfo>
      <UserInfo>
        <DisplayName>Abdoul Gouem</DisplayName>
        <AccountId>618</AccountId>
        <AccountType/>
      </UserInfo>
      <UserInfo>
        <DisplayName>Maurine Kouassi</DisplayName>
        <AccountId>160</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6A82DA-035E-4A61-A176-4B32E9C2DA38}">
  <ds:schemaRefs>
    <ds:schemaRef ds:uri="http://schemas.microsoft.com/sharepoint/v3/contenttype/forms"/>
  </ds:schemaRefs>
</ds:datastoreItem>
</file>

<file path=customXml/itemProps2.xml><?xml version="1.0" encoding="utf-8"?>
<ds:datastoreItem xmlns:ds="http://schemas.openxmlformats.org/officeDocument/2006/customXml" ds:itemID="{3F8E6D01-BA54-4CC9-A97E-71CE281BEB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23fb08-7d80-431f-a890-ffa58d96b5e8"/>
    <ds:schemaRef ds:uri="4f21c765-d769-4358-b98d-9d5c0e7bee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DDC409-E993-435F-90FA-07E761968025}">
  <ds:schemaRefs>
    <ds:schemaRef ds:uri="http://schemas.microsoft.com/office/2006/metadata/properties"/>
    <ds:schemaRef ds:uri="http://schemas.microsoft.com/office/infopath/2007/PartnerControls"/>
    <ds:schemaRef ds:uri="3a23fb08-7d80-431f-a890-ffa58d96b5e8"/>
    <ds:schemaRef ds:uri="4f21c765-d769-4358-b98d-9d5c0e7bee90"/>
  </ds:schemaRefs>
</ds:datastoreItem>
</file>

<file path=customXml/itemProps4.xml><?xml version="1.0" encoding="utf-8"?>
<ds:datastoreItem xmlns:ds="http://schemas.openxmlformats.org/officeDocument/2006/customXml" ds:itemID="{9D322487-B042-4181-8582-B1E5534A0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111</Pages>
  <Words>46326</Words>
  <Characters>256453</Characters>
  <Application>Microsoft Office Word</Application>
  <DocSecurity>4</DocSecurity>
  <Lines>2137</Lines>
  <Paragraphs>604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Revue du Plan National de Développement Sanitaire 2021-2025</vt:lpstr>
      <vt:lpstr>Revue à mi-parcours du Plan National de Développement Sanitaire 2021-2025</vt:lpstr>
    </vt:vector>
  </TitlesOfParts>
  <Company/>
  <LinksUpToDate>false</LinksUpToDate>
  <CharactersWithSpaces>302175</CharactersWithSpaces>
  <SharedDoc>false</SharedDoc>
  <HLinks>
    <vt:vector size="642" baseType="variant">
      <vt:variant>
        <vt:i4>2031666</vt:i4>
      </vt:variant>
      <vt:variant>
        <vt:i4>635</vt:i4>
      </vt:variant>
      <vt:variant>
        <vt:i4>0</vt:i4>
      </vt:variant>
      <vt:variant>
        <vt:i4>5</vt:i4>
      </vt:variant>
      <vt:variant>
        <vt:lpwstr/>
      </vt:variant>
      <vt:variant>
        <vt:lpwstr>_Toc183686804</vt:lpwstr>
      </vt:variant>
      <vt:variant>
        <vt:i4>2031666</vt:i4>
      </vt:variant>
      <vt:variant>
        <vt:i4>629</vt:i4>
      </vt:variant>
      <vt:variant>
        <vt:i4>0</vt:i4>
      </vt:variant>
      <vt:variant>
        <vt:i4>5</vt:i4>
      </vt:variant>
      <vt:variant>
        <vt:lpwstr/>
      </vt:variant>
      <vt:variant>
        <vt:lpwstr>_Toc183686803</vt:lpwstr>
      </vt:variant>
      <vt:variant>
        <vt:i4>2031666</vt:i4>
      </vt:variant>
      <vt:variant>
        <vt:i4>623</vt:i4>
      </vt:variant>
      <vt:variant>
        <vt:i4>0</vt:i4>
      </vt:variant>
      <vt:variant>
        <vt:i4>5</vt:i4>
      </vt:variant>
      <vt:variant>
        <vt:lpwstr/>
      </vt:variant>
      <vt:variant>
        <vt:lpwstr>_Toc183686802</vt:lpwstr>
      </vt:variant>
      <vt:variant>
        <vt:i4>2031666</vt:i4>
      </vt:variant>
      <vt:variant>
        <vt:i4>617</vt:i4>
      </vt:variant>
      <vt:variant>
        <vt:i4>0</vt:i4>
      </vt:variant>
      <vt:variant>
        <vt:i4>5</vt:i4>
      </vt:variant>
      <vt:variant>
        <vt:lpwstr/>
      </vt:variant>
      <vt:variant>
        <vt:lpwstr>_Toc183686801</vt:lpwstr>
      </vt:variant>
      <vt:variant>
        <vt:i4>2031666</vt:i4>
      </vt:variant>
      <vt:variant>
        <vt:i4>611</vt:i4>
      </vt:variant>
      <vt:variant>
        <vt:i4>0</vt:i4>
      </vt:variant>
      <vt:variant>
        <vt:i4>5</vt:i4>
      </vt:variant>
      <vt:variant>
        <vt:lpwstr/>
      </vt:variant>
      <vt:variant>
        <vt:lpwstr>_Toc183686800</vt:lpwstr>
      </vt:variant>
      <vt:variant>
        <vt:i4>1441853</vt:i4>
      </vt:variant>
      <vt:variant>
        <vt:i4>605</vt:i4>
      </vt:variant>
      <vt:variant>
        <vt:i4>0</vt:i4>
      </vt:variant>
      <vt:variant>
        <vt:i4>5</vt:i4>
      </vt:variant>
      <vt:variant>
        <vt:lpwstr/>
      </vt:variant>
      <vt:variant>
        <vt:lpwstr>_Toc183686799</vt:lpwstr>
      </vt:variant>
      <vt:variant>
        <vt:i4>1441853</vt:i4>
      </vt:variant>
      <vt:variant>
        <vt:i4>599</vt:i4>
      </vt:variant>
      <vt:variant>
        <vt:i4>0</vt:i4>
      </vt:variant>
      <vt:variant>
        <vt:i4>5</vt:i4>
      </vt:variant>
      <vt:variant>
        <vt:lpwstr/>
      </vt:variant>
      <vt:variant>
        <vt:lpwstr>_Toc183686798</vt:lpwstr>
      </vt:variant>
      <vt:variant>
        <vt:i4>1441853</vt:i4>
      </vt:variant>
      <vt:variant>
        <vt:i4>593</vt:i4>
      </vt:variant>
      <vt:variant>
        <vt:i4>0</vt:i4>
      </vt:variant>
      <vt:variant>
        <vt:i4>5</vt:i4>
      </vt:variant>
      <vt:variant>
        <vt:lpwstr/>
      </vt:variant>
      <vt:variant>
        <vt:lpwstr>_Toc183686797</vt:lpwstr>
      </vt:variant>
      <vt:variant>
        <vt:i4>1441853</vt:i4>
      </vt:variant>
      <vt:variant>
        <vt:i4>587</vt:i4>
      </vt:variant>
      <vt:variant>
        <vt:i4>0</vt:i4>
      </vt:variant>
      <vt:variant>
        <vt:i4>5</vt:i4>
      </vt:variant>
      <vt:variant>
        <vt:lpwstr/>
      </vt:variant>
      <vt:variant>
        <vt:lpwstr>_Toc183686796</vt:lpwstr>
      </vt:variant>
      <vt:variant>
        <vt:i4>1441853</vt:i4>
      </vt:variant>
      <vt:variant>
        <vt:i4>581</vt:i4>
      </vt:variant>
      <vt:variant>
        <vt:i4>0</vt:i4>
      </vt:variant>
      <vt:variant>
        <vt:i4>5</vt:i4>
      </vt:variant>
      <vt:variant>
        <vt:lpwstr/>
      </vt:variant>
      <vt:variant>
        <vt:lpwstr>_Toc183686795</vt:lpwstr>
      </vt:variant>
      <vt:variant>
        <vt:i4>1441853</vt:i4>
      </vt:variant>
      <vt:variant>
        <vt:i4>575</vt:i4>
      </vt:variant>
      <vt:variant>
        <vt:i4>0</vt:i4>
      </vt:variant>
      <vt:variant>
        <vt:i4>5</vt:i4>
      </vt:variant>
      <vt:variant>
        <vt:lpwstr/>
      </vt:variant>
      <vt:variant>
        <vt:lpwstr>_Toc183686794</vt:lpwstr>
      </vt:variant>
      <vt:variant>
        <vt:i4>1441853</vt:i4>
      </vt:variant>
      <vt:variant>
        <vt:i4>569</vt:i4>
      </vt:variant>
      <vt:variant>
        <vt:i4>0</vt:i4>
      </vt:variant>
      <vt:variant>
        <vt:i4>5</vt:i4>
      </vt:variant>
      <vt:variant>
        <vt:lpwstr/>
      </vt:variant>
      <vt:variant>
        <vt:lpwstr>_Toc183686793</vt:lpwstr>
      </vt:variant>
      <vt:variant>
        <vt:i4>1441853</vt:i4>
      </vt:variant>
      <vt:variant>
        <vt:i4>563</vt:i4>
      </vt:variant>
      <vt:variant>
        <vt:i4>0</vt:i4>
      </vt:variant>
      <vt:variant>
        <vt:i4>5</vt:i4>
      </vt:variant>
      <vt:variant>
        <vt:lpwstr/>
      </vt:variant>
      <vt:variant>
        <vt:lpwstr>_Toc183686792</vt:lpwstr>
      </vt:variant>
      <vt:variant>
        <vt:i4>1441853</vt:i4>
      </vt:variant>
      <vt:variant>
        <vt:i4>557</vt:i4>
      </vt:variant>
      <vt:variant>
        <vt:i4>0</vt:i4>
      </vt:variant>
      <vt:variant>
        <vt:i4>5</vt:i4>
      </vt:variant>
      <vt:variant>
        <vt:lpwstr/>
      </vt:variant>
      <vt:variant>
        <vt:lpwstr>_Toc183686791</vt:lpwstr>
      </vt:variant>
      <vt:variant>
        <vt:i4>1441853</vt:i4>
      </vt:variant>
      <vt:variant>
        <vt:i4>551</vt:i4>
      </vt:variant>
      <vt:variant>
        <vt:i4>0</vt:i4>
      </vt:variant>
      <vt:variant>
        <vt:i4>5</vt:i4>
      </vt:variant>
      <vt:variant>
        <vt:lpwstr/>
      </vt:variant>
      <vt:variant>
        <vt:lpwstr>_Toc183686790</vt:lpwstr>
      </vt:variant>
      <vt:variant>
        <vt:i4>1507389</vt:i4>
      </vt:variant>
      <vt:variant>
        <vt:i4>545</vt:i4>
      </vt:variant>
      <vt:variant>
        <vt:i4>0</vt:i4>
      </vt:variant>
      <vt:variant>
        <vt:i4>5</vt:i4>
      </vt:variant>
      <vt:variant>
        <vt:lpwstr/>
      </vt:variant>
      <vt:variant>
        <vt:lpwstr>_Toc183686789</vt:lpwstr>
      </vt:variant>
      <vt:variant>
        <vt:i4>1507389</vt:i4>
      </vt:variant>
      <vt:variant>
        <vt:i4>539</vt:i4>
      </vt:variant>
      <vt:variant>
        <vt:i4>0</vt:i4>
      </vt:variant>
      <vt:variant>
        <vt:i4>5</vt:i4>
      </vt:variant>
      <vt:variant>
        <vt:lpwstr/>
      </vt:variant>
      <vt:variant>
        <vt:lpwstr>_Toc183686788</vt:lpwstr>
      </vt:variant>
      <vt:variant>
        <vt:i4>1507389</vt:i4>
      </vt:variant>
      <vt:variant>
        <vt:i4>533</vt:i4>
      </vt:variant>
      <vt:variant>
        <vt:i4>0</vt:i4>
      </vt:variant>
      <vt:variant>
        <vt:i4>5</vt:i4>
      </vt:variant>
      <vt:variant>
        <vt:lpwstr/>
      </vt:variant>
      <vt:variant>
        <vt:lpwstr>_Toc183686787</vt:lpwstr>
      </vt:variant>
      <vt:variant>
        <vt:i4>1507389</vt:i4>
      </vt:variant>
      <vt:variant>
        <vt:i4>527</vt:i4>
      </vt:variant>
      <vt:variant>
        <vt:i4>0</vt:i4>
      </vt:variant>
      <vt:variant>
        <vt:i4>5</vt:i4>
      </vt:variant>
      <vt:variant>
        <vt:lpwstr/>
      </vt:variant>
      <vt:variant>
        <vt:lpwstr>_Toc183686786</vt:lpwstr>
      </vt:variant>
      <vt:variant>
        <vt:i4>1507389</vt:i4>
      </vt:variant>
      <vt:variant>
        <vt:i4>521</vt:i4>
      </vt:variant>
      <vt:variant>
        <vt:i4>0</vt:i4>
      </vt:variant>
      <vt:variant>
        <vt:i4>5</vt:i4>
      </vt:variant>
      <vt:variant>
        <vt:lpwstr/>
      </vt:variant>
      <vt:variant>
        <vt:lpwstr>_Toc183686785</vt:lpwstr>
      </vt:variant>
      <vt:variant>
        <vt:i4>1507389</vt:i4>
      </vt:variant>
      <vt:variant>
        <vt:i4>515</vt:i4>
      </vt:variant>
      <vt:variant>
        <vt:i4>0</vt:i4>
      </vt:variant>
      <vt:variant>
        <vt:i4>5</vt:i4>
      </vt:variant>
      <vt:variant>
        <vt:lpwstr/>
      </vt:variant>
      <vt:variant>
        <vt:lpwstr>_Toc183686784</vt:lpwstr>
      </vt:variant>
      <vt:variant>
        <vt:i4>1507389</vt:i4>
      </vt:variant>
      <vt:variant>
        <vt:i4>509</vt:i4>
      </vt:variant>
      <vt:variant>
        <vt:i4>0</vt:i4>
      </vt:variant>
      <vt:variant>
        <vt:i4>5</vt:i4>
      </vt:variant>
      <vt:variant>
        <vt:lpwstr/>
      </vt:variant>
      <vt:variant>
        <vt:lpwstr>_Toc183686783</vt:lpwstr>
      </vt:variant>
      <vt:variant>
        <vt:i4>1048626</vt:i4>
      </vt:variant>
      <vt:variant>
        <vt:i4>500</vt:i4>
      </vt:variant>
      <vt:variant>
        <vt:i4>0</vt:i4>
      </vt:variant>
      <vt:variant>
        <vt:i4>5</vt:i4>
      </vt:variant>
      <vt:variant>
        <vt:lpwstr/>
      </vt:variant>
      <vt:variant>
        <vt:lpwstr>_Toc183688816</vt:lpwstr>
      </vt:variant>
      <vt:variant>
        <vt:i4>1048626</vt:i4>
      </vt:variant>
      <vt:variant>
        <vt:i4>494</vt:i4>
      </vt:variant>
      <vt:variant>
        <vt:i4>0</vt:i4>
      </vt:variant>
      <vt:variant>
        <vt:i4>5</vt:i4>
      </vt:variant>
      <vt:variant>
        <vt:lpwstr/>
      </vt:variant>
      <vt:variant>
        <vt:lpwstr>_Toc183688815</vt:lpwstr>
      </vt:variant>
      <vt:variant>
        <vt:i4>1048626</vt:i4>
      </vt:variant>
      <vt:variant>
        <vt:i4>488</vt:i4>
      </vt:variant>
      <vt:variant>
        <vt:i4>0</vt:i4>
      </vt:variant>
      <vt:variant>
        <vt:i4>5</vt:i4>
      </vt:variant>
      <vt:variant>
        <vt:lpwstr/>
      </vt:variant>
      <vt:variant>
        <vt:lpwstr>_Toc183688814</vt:lpwstr>
      </vt:variant>
      <vt:variant>
        <vt:i4>1048626</vt:i4>
      </vt:variant>
      <vt:variant>
        <vt:i4>482</vt:i4>
      </vt:variant>
      <vt:variant>
        <vt:i4>0</vt:i4>
      </vt:variant>
      <vt:variant>
        <vt:i4>5</vt:i4>
      </vt:variant>
      <vt:variant>
        <vt:lpwstr/>
      </vt:variant>
      <vt:variant>
        <vt:lpwstr>_Toc183688813</vt:lpwstr>
      </vt:variant>
      <vt:variant>
        <vt:i4>1048626</vt:i4>
      </vt:variant>
      <vt:variant>
        <vt:i4>476</vt:i4>
      </vt:variant>
      <vt:variant>
        <vt:i4>0</vt:i4>
      </vt:variant>
      <vt:variant>
        <vt:i4>5</vt:i4>
      </vt:variant>
      <vt:variant>
        <vt:lpwstr/>
      </vt:variant>
      <vt:variant>
        <vt:lpwstr>_Toc183688812</vt:lpwstr>
      </vt:variant>
      <vt:variant>
        <vt:i4>1048626</vt:i4>
      </vt:variant>
      <vt:variant>
        <vt:i4>470</vt:i4>
      </vt:variant>
      <vt:variant>
        <vt:i4>0</vt:i4>
      </vt:variant>
      <vt:variant>
        <vt:i4>5</vt:i4>
      </vt:variant>
      <vt:variant>
        <vt:lpwstr/>
      </vt:variant>
      <vt:variant>
        <vt:lpwstr>_Toc183688811</vt:lpwstr>
      </vt:variant>
      <vt:variant>
        <vt:i4>1048626</vt:i4>
      </vt:variant>
      <vt:variant>
        <vt:i4>464</vt:i4>
      </vt:variant>
      <vt:variant>
        <vt:i4>0</vt:i4>
      </vt:variant>
      <vt:variant>
        <vt:i4>5</vt:i4>
      </vt:variant>
      <vt:variant>
        <vt:lpwstr/>
      </vt:variant>
      <vt:variant>
        <vt:lpwstr>_Toc183688810</vt:lpwstr>
      </vt:variant>
      <vt:variant>
        <vt:i4>1114162</vt:i4>
      </vt:variant>
      <vt:variant>
        <vt:i4>458</vt:i4>
      </vt:variant>
      <vt:variant>
        <vt:i4>0</vt:i4>
      </vt:variant>
      <vt:variant>
        <vt:i4>5</vt:i4>
      </vt:variant>
      <vt:variant>
        <vt:lpwstr/>
      </vt:variant>
      <vt:variant>
        <vt:lpwstr>_Toc183688809</vt:lpwstr>
      </vt:variant>
      <vt:variant>
        <vt:i4>1114162</vt:i4>
      </vt:variant>
      <vt:variant>
        <vt:i4>452</vt:i4>
      </vt:variant>
      <vt:variant>
        <vt:i4>0</vt:i4>
      </vt:variant>
      <vt:variant>
        <vt:i4>5</vt:i4>
      </vt:variant>
      <vt:variant>
        <vt:lpwstr/>
      </vt:variant>
      <vt:variant>
        <vt:lpwstr>_Toc183688808</vt:lpwstr>
      </vt:variant>
      <vt:variant>
        <vt:i4>1114162</vt:i4>
      </vt:variant>
      <vt:variant>
        <vt:i4>446</vt:i4>
      </vt:variant>
      <vt:variant>
        <vt:i4>0</vt:i4>
      </vt:variant>
      <vt:variant>
        <vt:i4>5</vt:i4>
      </vt:variant>
      <vt:variant>
        <vt:lpwstr/>
      </vt:variant>
      <vt:variant>
        <vt:lpwstr>_Toc183688807</vt:lpwstr>
      </vt:variant>
      <vt:variant>
        <vt:i4>1114162</vt:i4>
      </vt:variant>
      <vt:variant>
        <vt:i4>440</vt:i4>
      </vt:variant>
      <vt:variant>
        <vt:i4>0</vt:i4>
      </vt:variant>
      <vt:variant>
        <vt:i4>5</vt:i4>
      </vt:variant>
      <vt:variant>
        <vt:lpwstr/>
      </vt:variant>
      <vt:variant>
        <vt:lpwstr>_Toc183688806</vt:lpwstr>
      </vt:variant>
      <vt:variant>
        <vt:i4>1114162</vt:i4>
      </vt:variant>
      <vt:variant>
        <vt:i4>434</vt:i4>
      </vt:variant>
      <vt:variant>
        <vt:i4>0</vt:i4>
      </vt:variant>
      <vt:variant>
        <vt:i4>5</vt:i4>
      </vt:variant>
      <vt:variant>
        <vt:lpwstr/>
      </vt:variant>
      <vt:variant>
        <vt:lpwstr>_Toc183688805</vt:lpwstr>
      </vt:variant>
      <vt:variant>
        <vt:i4>1114162</vt:i4>
      </vt:variant>
      <vt:variant>
        <vt:i4>428</vt:i4>
      </vt:variant>
      <vt:variant>
        <vt:i4>0</vt:i4>
      </vt:variant>
      <vt:variant>
        <vt:i4>5</vt:i4>
      </vt:variant>
      <vt:variant>
        <vt:lpwstr/>
      </vt:variant>
      <vt:variant>
        <vt:lpwstr>_Toc183688804</vt:lpwstr>
      </vt:variant>
      <vt:variant>
        <vt:i4>1114162</vt:i4>
      </vt:variant>
      <vt:variant>
        <vt:i4>422</vt:i4>
      </vt:variant>
      <vt:variant>
        <vt:i4>0</vt:i4>
      </vt:variant>
      <vt:variant>
        <vt:i4>5</vt:i4>
      </vt:variant>
      <vt:variant>
        <vt:lpwstr/>
      </vt:variant>
      <vt:variant>
        <vt:lpwstr>_Toc183688803</vt:lpwstr>
      </vt:variant>
      <vt:variant>
        <vt:i4>1114162</vt:i4>
      </vt:variant>
      <vt:variant>
        <vt:i4>416</vt:i4>
      </vt:variant>
      <vt:variant>
        <vt:i4>0</vt:i4>
      </vt:variant>
      <vt:variant>
        <vt:i4>5</vt:i4>
      </vt:variant>
      <vt:variant>
        <vt:lpwstr/>
      </vt:variant>
      <vt:variant>
        <vt:lpwstr>_Toc183688802</vt:lpwstr>
      </vt:variant>
      <vt:variant>
        <vt:i4>1114162</vt:i4>
      </vt:variant>
      <vt:variant>
        <vt:i4>410</vt:i4>
      </vt:variant>
      <vt:variant>
        <vt:i4>0</vt:i4>
      </vt:variant>
      <vt:variant>
        <vt:i4>5</vt:i4>
      </vt:variant>
      <vt:variant>
        <vt:lpwstr/>
      </vt:variant>
      <vt:variant>
        <vt:lpwstr>_Toc183688801</vt:lpwstr>
      </vt:variant>
      <vt:variant>
        <vt:i4>1114162</vt:i4>
      </vt:variant>
      <vt:variant>
        <vt:i4>404</vt:i4>
      </vt:variant>
      <vt:variant>
        <vt:i4>0</vt:i4>
      </vt:variant>
      <vt:variant>
        <vt:i4>5</vt:i4>
      </vt:variant>
      <vt:variant>
        <vt:lpwstr/>
      </vt:variant>
      <vt:variant>
        <vt:lpwstr>_Toc183688800</vt:lpwstr>
      </vt:variant>
      <vt:variant>
        <vt:i4>1572925</vt:i4>
      </vt:variant>
      <vt:variant>
        <vt:i4>398</vt:i4>
      </vt:variant>
      <vt:variant>
        <vt:i4>0</vt:i4>
      </vt:variant>
      <vt:variant>
        <vt:i4>5</vt:i4>
      </vt:variant>
      <vt:variant>
        <vt:lpwstr/>
      </vt:variant>
      <vt:variant>
        <vt:lpwstr>_Toc183688799</vt:lpwstr>
      </vt:variant>
      <vt:variant>
        <vt:i4>1572925</vt:i4>
      </vt:variant>
      <vt:variant>
        <vt:i4>392</vt:i4>
      </vt:variant>
      <vt:variant>
        <vt:i4>0</vt:i4>
      </vt:variant>
      <vt:variant>
        <vt:i4>5</vt:i4>
      </vt:variant>
      <vt:variant>
        <vt:lpwstr/>
      </vt:variant>
      <vt:variant>
        <vt:lpwstr>_Toc183688798</vt:lpwstr>
      </vt:variant>
      <vt:variant>
        <vt:i4>1572925</vt:i4>
      </vt:variant>
      <vt:variant>
        <vt:i4>386</vt:i4>
      </vt:variant>
      <vt:variant>
        <vt:i4>0</vt:i4>
      </vt:variant>
      <vt:variant>
        <vt:i4>5</vt:i4>
      </vt:variant>
      <vt:variant>
        <vt:lpwstr/>
      </vt:variant>
      <vt:variant>
        <vt:lpwstr>_Toc183688797</vt:lpwstr>
      </vt:variant>
      <vt:variant>
        <vt:i4>1572925</vt:i4>
      </vt:variant>
      <vt:variant>
        <vt:i4>380</vt:i4>
      </vt:variant>
      <vt:variant>
        <vt:i4>0</vt:i4>
      </vt:variant>
      <vt:variant>
        <vt:i4>5</vt:i4>
      </vt:variant>
      <vt:variant>
        <vt:lpwstr/>
      </vt:variant>
      <vt:variant>
        <vt:lpwstr>_Toc183688796</vt:lpwstr>
      </vt:variant>
      <vt:variant>
        <vt:i4>1572925</vt:i4>
      </vt:variant>
      <vt:variant>
        <vt:i4>374</vt:i4>
      </vt:variant>
      <vt:variant>
        <vt:i4>0</vt:i4>
      </vt:variant>
      <vt:variant>
        <vt:i4>5</vt:i4>
      </vt:variant>
      <vt:variant>
        <vt:lpwstr/>
      </vt:variant>
      <vt:variant>
        <vt:lpwstr>_Toc183688795</vt:lpwstr>
      </vt:variant>
      <vt:variant>
        <vt:i4>1572925</vt:i4>
      </vt:variant>
      <vt:variant>
        <vt:i4>368</vt:i4>
      </vt:variant>
      <vt:variant>
        <vt:i4>0</vt:i4>
      </vt:variant>
      <vt:variant>
        <vt:i4>5</vt:i4>
      </vt:variant>
      <vt:variant>
        <vt:lpwstr/>
      </vt:variant>
      <vt:variant>
        <vt:lpwstr>_Toc183688794</vt:lpwstr>
      </vt:variant>
      <vt:variant>
        <vt:i4>1572925</vt:i4>
      </vt:variant>
      <vt:variant>
        <vt:i4>362</vt:i4>
      </vt:variant>
      <vt:variant>
        <vt:i4>0</vt:i4>
      </vt:variant>
      <vt:variant>
        <vt:i4>5</vt:i4>
      </vt:variant>
      <vt:variant>
        <vt:lpwstr/>
      </vt:variant>
      <vt:variant>
        <vt:lpwstr>_Toc183688793</vt:lpwstr>
      </vt:variant>
      <vt:variant>
        <vt:i4>1572925</vt:i4>
      </vt:variant>
      <vt:variant>
        <vt:i4>356</vt:i4>
      </vt:variant>
      <vt:variant>
        <vt:i4>0</vt:i4>
      </vt:variant>
      <vt:variant>
        <vt:i4>5</vt:i4>
      </vt:variant>
      <vt:variant>
        <vt:lpwstr/>
      </vt:variant>
      <vt:variant>
        <vt:lpwstr>_Toc183688792</vt:lpwstr>
      </vt:variant>
      <vt:variant>
        <vt:i4>1572925</vt:i4>
      </vt:variant>
      <vt:variant>
        <vt:i4>350</vt:i4>
      </vt:variant>
      <vt:variant>
        <vt:i4>0</vt:i4>
      </vt:variant>
      <vt:variant>
        <vt:i4>5</vt:i4>
      </vt:variant>
      <vt:variant>
        <vt:lpwstr/>
      </vt:variant>
      <vt:variant>
        <vt:lpwstr>_Toc183688791</vt:lpwstr>
      </vt:variant>
      <vt:variant>
        <vt:i4>1572925</vt:i4>
      </vt:variant>
      <vt:variant>
        <vt:i4>344</vt:i4>
      </vt:variant>
      <vt:variant>
        <vt:i4>0</vt:i4>
      </vt:variant>
      <vt:variant>
        <vt:i4>5</vt:i4>
      </vt:variant>
      <vt:variant>
        <vt:lpwstr/>
      </vt:variant>
      <vt:variant>
        <vt:lpwstr>_Toc183688790</vt:lpwstr>
      </vt:variant>
      <vt:variant>
        <vt:i4>1638461</vt:i4>
      </vt:variant>
      <vt:variant>
        <vt:i4>338</vt:i4>
      </vt:variant>
      <vt:variant>
        <vt:i4>0</vt:i4>
      </vt:variant>
      <vt:variant>
        <vt:i4>5</vt:i4>
      </vt:variant>
      <vt:variant>
        <vt:lpwstr/>
      </vt:variant>
      <vt:variant>
        <vt:lpwstr>_Toc183688789</vt:lpwstr>
      </vt:variant>
      <vt:variant>
        <vt:i4>1638461</vt:i4>
      </vt:variant>
      <vt:variant>
        <vt:i4>332</vt:i4>
      </vt:variant>
      <vt:variant>
        <vt:i4>0</vt:i4>
      </vt:variant>
      <vt:variant>
        <vt:i4>5</vt:i4>
      </vt:variant>
      <vt:variant>
        <vt:lpwstr/>
      </vt:variant>
      <vt:variant>
        <vt:lpwstr>_Toc183688788</vt:lpwstr>
      </vt:variant>
      <vt:variant>
        <vt:i4>1310781</vt:i4>
      </vt:variant>
      <vt:variant>
        <vt:i4>323</vt:i4>
      </vt:variant>
      <vt:variant>
        <vt:i4>0</vt:i4>
      </vt:variant>
      <vt:variant>
        <vt:i4>5</vt:i4>
      </vt:variant>
      <vt:variant>
        <vt:lpwstr/>
      </vt:variant>
      <vt:variant>
        <vt:lpwstr>_Toc183688758</vt:lpwstr>
      </vt:variant>
      <vt:variant>
        <vt:i4>1310781</vt:i4>
      </vt:variant>
      <vt:variant>
        <vt:i4>317</vt:i4>
      </vt:variant>
      <vt:variant>
        <vt:i4>0</vt:i4>
      </vt:variant>
      <vt:variant>
        <vt:i4>5</vt:i4>
      </vt:variant>
      <vt:variant>
        <vt:lpwstr/>
      </vt:variant>
      <vt:variant>
        <vt:lpwstr>_Toc183688757</vt:lpwstr>
      </vt:variant>
      <vt:variant>
        <vt:i4>1310781</vt:i4>
      </vt:variant>
      <vt:variant>
        <vt:i4>311</vt:i4>
      </vt:variant>
      <vt:variant>
        <vt:i4>0</vt:i4>
      </vt:variant>
      <vt:variant>
        <vt:i4>5</vt:i4>
      </vt:variant>
      <vt:variant>
        <vt:lpwstr/>
      </vt:variant>
      <vt:variant>
        <vt:lpwstr>_Toc183688756</vt:lpwstr>
      </vt:variant>
      <vt:variant>
        <vt:i4>1310781</vt:i4>
      </vt:variant>
      <vt:variant>
        <vt:i4>305</vt:i4>
      </vt:variant>
      <vt:variant>
        <vt:i4>0</vt:i4>
      </vt:variant>
      <vt:variant>
        <vt:i4>5</vt:i4>
      </vt:variant>
      <vt:variant>
        <vt:lpwstr/>
      </vt:variant>
      <vt:variant>
        <vt:lpwstr>_Toc183688755</vt:lpwstr>
      </vt:variant>
      <vt:variant>
        <vt:i4>1310781</vt:i4>
      </vt:variant>
      <vt:variant>
        <vt:i4>299</vt:i4>
      </vt:variant>
      <vt:variant>
        <vt:i4>0</vt:i4>
      </vt:variant>
      <vt:variant>
        <vt:i4>5</vt:i4>
      </vt:variant>
      <vt:variant>
        <vt:lpwstr/>
      </vt:variant>
      <vt:variant>
        <vt:lpwstr>_Toc183688754</vt:lpwstr>
      </vt:variant>
      <vt:variant>
        <vt:i4>1310781</vt:i4>
      </vt:variant>
      <vt:variant>
        <vt:i4>293</vt:i4>
      </vt:variant>
      <vt:variant>
        <vt:i4>0</vt:i4>
      </vt:variant>
      <vt:variant>
        <vt:i4>5</vt:i4>
      </vt:variant>
      <vt:variant>
        <vt:lpwstr/>
      </vt:variant>
      <vt:variant>
        <vt:lpwstr>_Toc183688753</vt:lpwstr>
      </vt:variant>
      <vt:variant>
        <vt:i4>1310781</vt:i4>
      </vt:variant>
      <vt:variant>
        <vt:i4>287</vt:i4>
      </vt:variant>
      <vt:variant>
        <vt:i4>0</vt:i4>
      </vt:variant>
      <vt:variant>
        <vt:i4>5</vt:i4>
      </vt:variant>
      <vt:variant>
        <vt:lpwstr/>
      </vt:variant>
      <vt:variant>
        <vt:lpwstr>_Toc183688752</vt:lpwstr>
      </vt:variant>
      <vt:variant>
        <vt:i4>1310781</vt:i4>
      </vt:variant>
      <vt:variant>
        <vt:i4>281</vt:i4>
      </vt:variant>
      <vt:variant>
        <vt:i4>0</vt:i4>
      </vt:variant>
      <vt:variant>
        <vt:i4>5</vt:i4>
      </vt:variant>
      <vt:variant>
        <vt:lpwstr/>
      </vt:variant>
      <vt:variant>
        <vt:lpwstr>_Toc183688751</vt:lpwstr>
      </vt:variant>
      <vt:variant>
        <vt:i4>1310781</vt:i4>
      </vt:variant>
      <vt:variant>
        <vt:i4>275</vt:i4>
      </vt:variant>
      <vt:variant>
        <vt:i4>0</vt:i4>
      </vt:variant>
      <vt:variant>
        <vt:i4>5</vt:i4>
      </vt:variant>
      <vt:variant>
        <vt:lpwstr/>
      </vt:variant>
      <vt:variant>
        <vt:lpwstr>_Toc183688750</vt:lpwstr>
      </vt:variant>
      <vt:variant>
        <vt:i4>1376317</vt:i4>
      </vt:variant>
      <vt:variant>
        <vt:i4>269</vt:i4>
      </vt:variant>
      <vt:variant>
        <vt:i4>0</vt:i4>
      </vt:variant>
      <vt:variant>
        <vt:i4>5</vt:i4>
      </vt:variant>
      <vt:variant>
        <vt:lpwstr/>
      </vt:variant>
      <vt:variant>
        <vt:lpwstr>_Toc183688749</vt:lpwstr>
      </vt:variant>
      <vt:variant>
        <vt:i4>1376317</vt:i4>
      </vt:variant>
      <vt:variant>
        <vt:i4>260</vt:i4>
      </vt:variant>
      <vt:variant>
        <vt:i4>0</vt:i4>
      </vt:variant>
      <vt:variant>
        <vt:i4>5</vt:i4>
      </vt:variant>
      <vt:variant>
        <vt:lpwstr/>
      </vt:variant>
      <vt:variant>
        <vt:lpwstr>_Toc183688748</vt:lpwstr>
      </vt:variant>
      <vt:variant>
        <vt:i4>1376317</vt:i4>
      </vt:variant>
      <vt:variant>
        <vt:i4>254</vt:i4>
      </vt:variant>
      <vt:variant>
        <vt:i4>0</vt:i4>
      </vt:variant>
      <vt:variant>
        <vt:i4>5</vt:i4>
      </vt:variant>
      <vt:variant>
        <vt:lpwstr/>
      </vt:variant>
      <vt:variant>
        <vt:lpwstr>_Toc183688747</vt:lpwstr>
      </vt:variant>
      <vt:variant>
        <vt:i4>1376317</vt:i4>
      </vt:variant>
      <vt:variant>
        <vt:i4>248</vt:i4>
      </vt:variant>
      <vt:variant>
        <vt:i4>0</vt:i4>
      </vt:variant>
      <vt:variant>
        <vt:i4>5</vt:i4>
      </vt:variant>
      <vt:variant>
        <vt:lpwstr/>
      </vt:variant>
      <vt:variant>
        <vt:lpwstr>_Toc183688746</vt:lpwstr>
      </vt:variant>
      <vt:variant>
        <vt:i4>1376317</vt:i4>
      </vt:variant>
      <vt:variant>
        <vt:i4>242</vt:i4>
      </vt:variant>
      <vt:variant>
        <vt:i4>0</vt:i4>
      </vt:variant>
      <vt:variant>
        <vt:i4>5</vt:i4>
      </vt:variant>
      <vt:variant>
        <vt:lpwstr/>
      </vt:variant>
      <vt:variant>
        <vt:lpwstr>_Toc183688745</vt:lpwstr>
      </vt:variant>
      <vt:variant>
        <vt:i4>1376317</vt:i4>
      </vt:variant>
      <vt:variant>
        <vt:i4>236</vt:i4>
      </vt:variant>
      <vt:variant>
        <vt:i4>0</vt:i4>
      </vt:variant>
      <vt:variant>
        <vt:i4>5</vt:i4>
      </vt:variant>
      <vt:variant>
        <vt:lpwstr/>
      </vt:variant>
      <vt:variant>
        <vt:lpwstr>_Toc183688744</vt:lpwstr>
      </vt:variant>
      <vt:variant>
        <vt:i4>1376317</vt:i4>
      </vt:variant>
      <vt:variant>
        <vt:i4>230</vt:i4>
      </vt:variant>
      <vt:variant>
        <vt:i4>0</vt:i4>
      </vt:variant>
      <vt:variant>
        <vt:i4>5</vt:i4>
      </vt:variant>
      <vt:variant>
        <vt:lpwstr/>
      </vt:variant>
      <vt:variant>
        <vt:lpwstr>_Toc183688743</vt:lpwstr>
      </vt:variant>
      <vt:variant>
        <vt:i4>1376317</vt:i4>
      </vt:variant>
      <vt:variant>
        <vt:i4>224</vt:i4>
      </vt:variant>
      <vt:variant>
        <vt:i4>0</vt:i4>
      </vt:variant>
      <vt:variant>
        <vt:i4>5</vt:i4>
      </vt:variant>
      <vt:variant>
        <vt:lpwstr/>
      </vt:variant>
      <vt:variant>
        <vt:lpwstr>_Toc183688742</vt:lpwstr>
      </vt:variant>
      <vt:variant>
        <vt:i4>1376317</vt:i4>
      </vt:variant>
      <vt:variant>
        <vt:i4>218</vt:i4>
      </vt:variant>
      <vt:variant>
        <vt:i4>0</vt:i4>
      </vt:variant>
      <vt:variant>
        <vt:i4>5</vt:i4>
      </vt:variant>
      <vt:variant>
        <vt:lpwstr/>
      </vt:variant>
      <vt:variant>
        <vt:lpwstr>_Toc183688741</vt:lpwstr>
      </vt:variant>
      <vt:variant>
        <vt:i4>1376317</vt:i4>
      </vt:variant>
      <vt:variant>
        <vt:i4>212</vt:i4>
      </vt:variant>
      <vt:variant>
        <vt:i4>0</vt:i4>
      </vt:variant>
      <vt:variant>
        <vt:i4>5</vt:i4>
      </vt:variant>
      <vt:variant>
        <vt:lpwstr/>
      </vt:variant>
      <vt:variant>
        <vt:lpwstr>_Toc183688740</vt:lpwstr>
      </vt:variant>
      <vt:variant>
        <vt:i4>1179709</vt:i4>
      </vt:variant>
      <vt:variant>
        <vt:i4>206</vt:i4>
      </vt:variant>
      <vt:variant>
        <vt:i4>0</vt:i4>
      </vt:variant>
      <vt:variant>
        <vt:i4>5</vt:i4>
      </vt:variant>
      <vt:variant>
        <vt:lpwstr/>
      </vt:variant>
      <vt:variant>
        <vt:lpwstr>_Toc183688739</vt:lpwstr>
      </vt:variant>
      <vt:variant>
        <vt:i4>1179709</vt:i4>
      </vt:variant>
      <vt:variant>
        <vt:i4>200</vt:i4>
      </vt:variant>
      <vt:variant>
        <vt:i4>0</vt:i4>
      </vt:variant>
      <vt:variant>
        <vt:i4>5</vt:i4>
      </vt:variant>
      <vt:variant>
        <vt:lpwstr/>
      </vt:variant>
      <vt:variant>
        <vt:lpwstr>_Toc183688738</vt:lpwstr>
      </vt:variant>
      <vt:variant>
        <vt:i4>1179709</vt:i4>
      </vt:variant>
      <vt:variant>
        <vt:i4>194</vt:i4>
      </vt:variant>
      <vt:variant>
        <vt:i4>0</vt:i4>
      </vt:variant>
      <vt:variant>
        <vt:i4>5</vt:i4>
      </vt:variant>
      <vt:variant>
        <vt:lpwstr/>
      </vt:variant>
      <vt:variant>
        <vt:lpwstr>_Toc183688737</vt:lpwstr>
      </vt:variant>
      <vt:variant>
        <vt:i4>1179709</vt:i4>
      </vt:variant>
      <vt:variant>
        <vt:i4>188</vt:i4>
      </vt:variant>
      <vt:variant>
        <vt:i4>0</vt:i4>
      </vt:variant>
      <vt:variant>
        <vt:i4>5</vt:i4>
      </vt:variant>
      <vt:variant>
        <vt:lpwstr/>
      </vt:variant>
      <vt:variant>
        <vt:lpwstr>_Toc183688736</vt:lpwstr>
      </vt:variant>
      <vt:variant>
        <vt:i4>1179709</vt:i4>
      </vt:variant>
      <vt:variant>
        <vt:i4>182</vt:i4>
      </vt:variant>
      <vt:variant>
        <vt:i4>0</vt:i4>
      </vt:variant>
      <vt:variant>
        <vt:i4>5</vt:i4>
      </vt:variant>
      <vt:variant>
        <vt:lpwstr/>
      </vt:variant>
      <vt:variant>
        <vt:lpwstr>_Toc183688735</vt:lpwstr>
      </vt:variant>
      <vt:variant>
        <vt:i4>1179709</vt:i4>
      </vt:variant>
      <vt:variant>
        <vt:i4>176</vt:i4>
      </vt:variant>
      <vt:variant>
        <vt:i4>0</vt:i4>
      </vt:variant>
      <vt:variant>
        <vt:i4>5</vt:i4>
      </vt:variant>
      <vt:variant>
        <vt:lpwstr/>
      </vt:variant>
      <vt:variant>
        <vt:lpwstr>_Toc183688734</vt:lpwstr>
      </vt:variant>
      <vt:variant>
        <vt:i4>1179709</vt:i4>
      </vt:variant>
      <vt:variant>
        <vt:i4>170</vt:i4>
      </vt:variant>
      <vt:variant>
        <vt:i4>0</vt:i4>
      </vt:variant>
      <vt:variant>
        <vt:i4>5</vt:i4>
      </vt:variant>
      <vt:variant>
        <vt:lpwstr/>
      </vt:variant>
      <vt:variant>
        <vt:lpwstr>_Toc183688733</vt:lpwstr>
      </vt:variant>
      <vt:variant>
        <vt:i4>1179709</vt:i4>
      </vt:variant>
      <vt:variant>
        <vt:i4>164</vt:i4>
      </vt:variant>
      <vt:variant>
        <vt:i4>0</vt:i4>
      </vt:variant>
      <vt:variant>
        <vt:i4>5</vt:i4>
      </vt:variant>
      <vt:variant>
        <vt:lpwstr/>
      </vt:variant>
      <vt:variant>
        <vt:lpwstr>_Toc183688732</vt:lpwstr>
      </vt:variant>
      <vt:variant>
        <vt:i4>1179709</vt:i4>
      </vt:variant>
      <vt:variant>
        <vt:i4>158</vt:i4>
      </vt:variant>
      <vt:variant>
        <vt:i4>0</vt:i4>
      </vt:variant>
      <vt:variant>
        <vt:i4>5</vt:i4>
      </vt:variant>
      <vt:variant>
        <vt:lpwstr/>
      </vt:variant>
      <vt:variant>
        <vt:lpwstr>_Toc183688731</vt:lpwstr>
      </vt:variant>
      <vt:variant>
        <vt:i4>1179709</vt:i4>
      </vt:variant>
      <vt:variant>
        <vt:i4>152</vt:i4>
      </vt:variant>
      <vt:variant>
        <vt:i4>0</vt:i4>
      </vt:variant>
      <vt:variant>
        <vt:i4>5</vt:i4>
      </vt:variant>
      <vt:variant>
        <vt:lpwstr/>
      </vt:variant>
      <vt:variant>
        <vt:lpwstr>_Toc183688730</vt:lpwstr>
      </vt:variant>
      <vt:variant>
        <vt:i4>1245245</vt:i4>
      </vt:variant>
      <vt:variant>
        <vt:i4>146</vt:i4>
      </vt:variant>
      <vt:variant>
        <vt:i4>0</vt:i4>
      </vt:variant>
      <vt:variant>
        <vt:i4>5</vt:i4>
      </vt:variant>
      <vt:variant>
        <vt:lpwstr/>
      </vt:variant>
      <vt:variant>
        <vt:lpwstr>_Toc183688729</vt:lpwstr>
      </vt:variant>
      <vt:variant>
        <vt:i4>1245245</vt:i4>
      </vt:variant>
      <vt:variant>
        <vt:i4>140</vt:i4>
      </vt:variant>
      <vt:variant>
        <vt:i4>0</vt:i4>
      </vt:variant>
      <vt:variant>
        <vt:i4>5</vt:i4>
      </vt:variant>
      <vt:variant>
        <vt:lpwstr/>
      </vt:variant>
      <vt:variant>
        <vt:lpwstr>_Toc183688728</vt:lpwstr>
      </vt:variant>
      <vt:variant>
        <vt:i4>1245245</vt:i4>
      </vt:variant>
      <vt:variant>
        <vt:i4>134</vt:i4>
      </vt:variant>
      <vt:variant>
        <vt:i4>0</vt:i4>
      </vt:variant>
      <vt:variant>
        <vt:i4>5</vt:i4>
      </vt:variant>
      <vt:variant>
        <vt:lpwstr/>
      </vt:variant>
      <vt:variant>
        <vt:lpwstr>_Toc183688727</vt:lpwstr>
      </vt:variant>
      <vt:variant>
        <vt:i4>1245245</vt:i4>
      </vt:variant>
      <vt:variant>
        <vt:i4>128</vt:i4>
      </vt:variant>
      <vt:variant>
        <vt:i4>0</vt:i4>
      </vt:variant>
      <vt:variant>
        <vt:i4>5</vt:i4>
      </vt:variant>
      <vt:variant>
        <vt:lpwstr/>
      </vt:variant>
      <vt:variant>
        <vt:lpwstr>_Toc183688726</vt:lpwstr>
      </vt:variant>
      <vt:variant>
        <vt:i4>1245245</vt:i4>
      </vt:variant>
      <vt:variant>
        <vt:i4>122</vt:i4>
      </vt:variant>
      <vt:variant>
        <vt:i4>0</vt:i4>
      </vt:variant>
      <vt:variant>
        <vt:i4>5</vt:i4>
      </vt:variant>
      <vt:variant>
        <vt:lpwstr/>
      </vt:variant>
      <vt:variant>
        <vt:lpwstr>_Toc183688725</vt:lpwstr>
      </vt:variant>
      <vt:variant>
        <vt:i4>1245245</vt:i4>
      </vt:variant>
      <vt:variant>
        <vt:i4>116</vt:i4>
      </vt:variant>
      <vt:variant>
        <vt:i4>0</vt:i4>
      </vt:variant>
      <vt:variant>
        <vt:i4>5</vt:i4>
      </vt:variant>
      <vt:variant>
        <vt:lpwstr/>
      </vt:variant>
      <vt:variant>
        <vt:lpwstr>_Toc183688724</vt:lpwstr>
      </vt:variant>
      <vt:variant>
        <vt:i4>1245245</vt:i4>
      </vt:variant>
      <vt:variant>
        <vt:i4>110</vt:i4>
      </vt:variant>
      <vt:variant>
        <vt:i4>0</vt:i4>
      </vt:variant>
      <vt:variant>
        <vt:i4>5</vt:i4>
      </vt:variant>
      <vt:variant>
        <vt:lpwstr/>
      </vt:variant>
      <vt:variant>
        <vt:lpwstr>_Toc183688723</vt:lpwstr>
      </vt:variant>
      <vt:variant>
        <vt:i4>1245245</vt:i4>
      </vt:variant>
      <vt:variant>
        <vt:i4>104</vt:i4>
      </vt:variant>
      <vt:variant>
        <vt:i4>0</vt:i4>
      </vt:variant>
      <vt:variant>
        <vt:i4>5</vt:i4>
      </vt:variant>
      <vt:variant>
        <vt:lpwstr/>
      </vt:variant>
      <vt:variant>
        <vt:lpwstr>_Toc183688722</vt:lpwstr>
      </vt:variant>
      <vt:variant>
        <vt:i4>1245245</vt:i4>
      </vt:variant>
      <vt:variant>
        <vt:i4>98</vt:i4>
      </vt:variant>
      <vt:variant>
        <vt:i4>0</vt:i4>
      </vt:variant>
      <vt:variant>
        <vt:i4>5</vt:i4>
      </vt:variant>
      <vt:variant>
        <vt:lpwstr/>
      </vt:variant>
      <vt:variant>
        <vt:lpwstr>_Toc183688721</vt:lpwstr>
      </vt:variant>
      <vt:variant>
        <vt:i4>1245245</vt:i4>
      </vt:variant>
      <vt:variant>
        <vt:i4>92</vt:i4>
      </vt:variant>
      <vt:variant>
        <vt:i4>0</vt:i4>
      </vt:variant>
      <vt:variant>
        <vt:i4>5</vt:i4>
      </vt:variant>
      <vt:variant>
        <vt:lpwstr/>
      </vt:variant>
      <vt:variant>
        <vt:lpwstr>_Toc183688720</vt:lpwstr>
      </vt:variant>
      <vt:variant>
        <vt:i4>1048637</vt:i4>
      </vt:variant>
      <vt:variant>
        <vt:i4>86</vt:i4>
      </vt:variant>
      <vt:variant>
        <vt:i4>0</vt:i4>
      </vt:variant>
      <vt:variant>
        <vt:i4>5</vt:i4>
      </vt:variant>
      <vt:variant>
        <vt:lpwstr/>
      </vt:variant>
      <vt:variant>
        <vt:lpwstr>_Toc183688719</vt:lpwstr>
      </vt:variant>
      <vt:variant>
        <vt:i4>1048637</vt:i4>
      </vt:variant>
      <vt:variant>
        <vt:i4>80</vt:i4>
      </vt:variant>
      <vt:variant>
        <vt:i4>0</vt:i4>
      </vt:variant>
      <vt:variant>
        <vt:i4>5</vt:i4>
      </vt:variant>
      <vt:variant>
        <vt:lpwstr/>
      </vt:variant>
      <vt:variant>
        <vt:lpwstr>_Toc183688718</vt:lpwstr>
      </vt:variant>
      <vt:variant>
        <vt:i4>1048637</vt:i4>
      </vt:variant>
      <vt:variant>
        <vt:i4>74</vt:i4>
      </vt:variant>
      <vt:variant>
        <vt:i4>0</vt:i4>
      </vt:variant>
      <vt:variant>
        <vt:i4>5</vt:i4>
      </vt:variant>
      <vt:variant>
        <vt:lpwstr/>
      </vt:variant>
      <vt:variant>
        <vt:lpwstr>_Toc183688717</vt:lpwstr>
      </vt:variant>
      <vt:variant>
        <vt:i4>1048637</vt:i4>
      </vt:variant>
      <vt:variant>
        <vt:i4>68</vt:i4>
      </vt:variant>
      <vt:variant>
        <vt:i4>0</vt:i4>
      </vt:variant>
      <vt:variant>
        <vt:i4>5</vt:i4>
      </vt:variant>
      <vt:variant>
        <vt:lpwstr/>
      </vt:variant>
      <vt:variant>
        <vt:lpwstr>_Toc183688716</vt:lpwstr>
      </vt:variant>
      <vt:variant>
        <vt:i4>1048637</vt:i4>
      </vt:variant>
      <vt:variant>
        <vt:i4>62</vt:i4>
      </vt:variant>
      <vt:variant>
        <vt:i4>0</vt:i4>
      </vt:variant>
      <vt:variant>
        <vt:i4>5</vt:i4>
      </vt:variant>
      <vt:variant>
        <vt:lpwstr/>
      </vt:variant>
      <vt:variant>
        <vt:lpwstr>_Toc183688715</vt:lpwstr>
      </vt:variant>
      <vt:variant>
        <vt:i4>1048637</vt:i4>
      </vt:variant>
      <vt:variant>
        <vt:i4>56</vt:i4>
      </vt:variant>
      <vt:variant>
        <vt:i4>0</vt:i4>
      </vt:variant>
      <vt:variant>
        <vt:i4>5</vt:i4>
      </vt:variant>
      <vt:variant>
        <vt:lpwstr/>
      </vt:variant>
      <vt:variant>
        <vt:lpwstr>_Toc183688714</vt:lpwstr>
      </vt:variant>
      <vt:variant>
        <vt:i4>1048637</vt:i4>
      </vt:variant>
      <vt:variant>
        <vt:i4>50</vt:i4>
      </vt:variant>
      <vt:variant>
        <vt:i4>0</vt:i4>
      </vt:variant>
      <vt:variant>
        <vt:i4>5</vt:i4>
      </vt:variant>
      <vt:variant>
        <vt:lpwstr/>
      </vt:variant>
      <vt:variant>
        <vt:lpwstr>_Toc183688713</vt:lpwstr>
      </vt:variant>
      <vt:variant>
        <vt:i4>1048637</vt:i4>
      </vt:variant>
      <vt:variant>
        <vt:i4>44</vt:i4>
      </vt:variant>
      <vt:variant>
        <vt:i4>0</vt:i4>
      </vt:variant>
      <vt:variant>
        <vt:i4>5</vt:i4>
      </vt:variant>
      <vt:variant>
        <vt:lpwstr/>
      </vt:variant>
      <vt:variant>
        <vt:lpwstr>_Toc183688712</vt:lpwstr>
      </vt:variant>
      <vt:variant>
        <vt:i4>1048637</vt:i4>
      </vt:variant>
      <vt:variant>
        <vt:i4>38</vt:i4>
      </vt:variant>
      <vt:variant>
        <vt:i4>0</vt:i4>
      </vt:variant>
      <vt:variant>
        <vt:i4>5</vt:i4>
      </vt:variant>
      <vt:variant>
        <vt:lpwstr/>
      </vt:variant>
      <vt:variant>
        <vt:lpwstr>_Toc183688711</vt:lpwstr>
      </vt:variant>
      <vt:variant>
        <vt:i4>1048637</vt:i4>
      </vt:variant>
      <vt:variant>
        <vt:i4>32</vt:i4>
      </vt:variant>
      <vt:variant>
        <vt:i4>0</vt:i4>
      </vt:variant>
      <vt:variant>
        <vt:i4>5</vt:i4>
      </vt:variant>
      <vt:variant>
        <vt:lpwstr/>
      </vt:variant>
      <vt:variant>
        <vt:lpwstr>_Toc183688710</vt:lpwstr>
      </vt:variant>
      <vt:variant>
        <vt:i4>1114173</vt:i4>
      </vt:variant>
      <vt:variant>
        <vt:i4>26</vt:i4>
      </vt:variant>
      <vt:variant>
        <vt:i4>0</vt:i4>
      </vt:variant>
      <vt:variant>
        <vt:i4>5</vt:i4>
      </vt:variant>
      <vt:variant>
        <vt:lpwstr/>
      </vt:variant>
      <vt:variant>
        <vt:lpwstr>_Toc183688709</vt:lpwstr>
      </vt:variant>
      <vt:variant>
        <vt:i4>1114173</vt:i4>
      </vt:variant>
      <vt:variant>
        <vt:i4>20</vt:i4>
      </vt:variant>
      <vt:variant>
        <vt:i4>0</vt:i4>
      </vt:variant>
      <vt:variant>
        <vt:i4>5</vt:i4>
      </vt:variant>
      <vt:variant>
        <vt:lpwstr/>
      </vt:variant>
      <vt:variant>
        <vt:lpwstr>_Toc183688708</vt:lpwstr>
      </vt:variant>
      <vt:variant>
        <vt:i4>1114173</vt:i4>
      </vt:variant>
      <vt:variant>
        <vt:i4>14</vt:i4>
      </vt:variant>
      <vt:variant>
        <vt:i4>0</vt:i4>
      </vt:variant>
      <vt:variant>
        <vt:i4>5</vt:i4>
      </vt:variant>
      <vt:variant>
        <vt:lpwstr/>
      </vt:variant>
      <vt:variant>
        <vt:lpwstr>_Toc183688707</vt:lpwstr>
      </vt:variant>
      <vt:variant>
        <vt:i4>1114173</vt:i4>
      </vt:variant>
      <vt:variant>
        <vt:i4>8</vt:i4>
      </vt:variant>
      <vt:variant>
        <vt:i4>0</vt:i4>
      </vt:variant>
      <vt:variant>
        <vt:i4>5</vt:i4>
      </vt:variant>
      <vt:variant>
        <vt:lpwstr/>
      </vt:variant>
      <vt:variant>
        <vt:lpwstr>_Toc183688706</vt:lpwstr>
      </vt:variant>
      <vt:variant>
        <vt:i4>1114173</vt:i4>
      </vt:variant>
      <vt:variant>
        <vt:i4>2</vt:i4>
      </vt:variant>
      <vt:variant>
        <vt:i4>0</vt:i4>
      </vt:variant>
      <vt:variant>
        <vt:i4>5</vt:i4>
      </vt:variant>
      <vt:variant>
        <vt:lpwstr/>
      </vt:variant>
      <vt:variant>
        <vt:lpwstr>_Toc183688705</vt:lpwstr>
      </vt:variant>
      <vt:variant>
        <vt:i4>6357034</vt:i4>
      </vt:variant>
      <vt:variant>
        <vt:i4>3</vt:i4>
      </vt:variant>
      <vt:variant>
        <vt:i4>0</vt:i4>
      </vt:variant>
      <vt:variant>
        <vt:i4>5</vt:i4>
      </vt:variant>
      <vt:variant>
        <vt:lpwstr>http://www.depps.sante.gouv.ci/</vt:lpwstr>
      </vt:variant>
      <vt:variant>
        <vt:lpwstr/>
      </vt:variant>
      <vt:variant>
        <vt:i4>2883623</vt:i4>
      </vt:variant>
      <vt:variant>
        <vt:i4>0</vt:i4>
      </vt:variant>
      <vt:variant>
        <vt:i4>0</vt:i4>
      </vt:variant>
      <vt:variant>
        <vt:i4>5</vt:i4>
      </vt:variant>
      <vt:variant>
        <vt:lpwstr>https://uk01.z.antigena.com/l/_ltCzbnQ_ppJR41fIaTYXARe3r2pSdU2lpZOxaWtZhahsnThe2I8YKYeoyPTxBt8ocd7ab~1k_YWMK_GVsmYB9Br93rwS-56phqKZZnOSXJ1n8eb96GwgZM0bXqbDbKXwxF9Ubx3LQDgs5R2mm0z9tLoNfbMVSJSLENt6o04NN8iut3VufchBhtXrUt5CVHKt8QIPKFmpm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Revue du Plan National de Développement Sanitaire 2021-2025</dc:title>
  <dc:subject/>
  <dc:creator>Maximilien Angui</dc:creator>
  <cp:keywords/>
  <dc:description/>
  <cp:lastModifiedBy>ZOMBRE, Daogo Sosthene</cp:lastModifiedBy>
  <cp:revision>2</cp:revision>
  <dcterms:created xsi:type="dcterms:W3CDTF">2025-02-22T16:11:00Z</dcterms:created>
  <dcterms:modified xsi:type="dcterms:W3CDTF">2025-02-22T16:11:00Z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0x0101009E34A231F0E77048AA1E44072DC63B98</vt:lpwstr>
  </property>
  <property fmtid="{D5CDD505-2E9C-101B-9397-08002B2CF9AE}" pid="3" name="MediaServiceImageTags">
    <vt:lpwstr/>
  </property>
  <property fmtid="{D5CDD505-2E9C-101B-9397-08002B2CF9AE}" pid="4" name="GrammarlyDocumentId">
    <vt:lpwstr>d5ae1afb2edf58afe062b82c8d7647ef741d98f3caf5179dc02880ca0e3d5f77</vt:lpwstr>
  </property>
</Properties>
</file>