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A677" w14:textId="77777777" w:rsidR="006C2DA4" w:rsidRPr="00D636C4" w:rsidRDefault="006C2DA4" w:rsidP="006C2DA4">
      <w:pPr>
        <w:jc w:val="center"/>
        <w:rPr>
          <w:rFonts w:ascii="Calibri" w:eastAsia="Calibri" w:hAnsi="Calibri" w:cs="Calibri"/>
        </w:rPr>
      </w:pPr>
    </w:p>
    <w:p w14:paraId="2BF40384"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 </w:t>
      </w:r>
    </w:p>
    <w:p w14:paraId="4B37A217"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 </w:t>
      </w:r>
    </w:p>
    <w:p w14:paraId="30521C9B" w14:textId="77777777" w:rsidR="006C2DA4" w:rsidRPr="00D636C4" w:rsidRDefault="006C2DA4" w:rsidP="006C2DA4">
      <w:pPr>
        <w:jc w:val="center"/>
        <w:rPr>
          <w:rFonts w:ascii="Calibri" w:eastAsia="Calibri" w:hAnsi="Calibri" w:cs="Calibri"/>
          <w:sz w:val="26"/>
          <w:szCs w:val="26"/>
        </w:rPr>
      </w:pPr>
      <w:r w:rsidRPr="00D636C4">
        <w:rPr>
          <w:rFonts w:ascii="Calibri" w:eastAsia="Calibri" w:hAnsi="Calibri" w:cs="Calibri"/>
          <w:sz w:val="26"/>
          <w:szCs w:val="26"/>
        </w:rPr>
        <w:t xml:space="preserve"> </w:t>
      </w:r>
    </w:p>
    <w:p w14:paraId="59202E63" w14:textId="77777777" w:rsidR="006C2DA4" w:rsidRPr="00D636C4" w:rsidRDefault="006C2DA4" w:rsidP="006C2DA4">
      <w:pPr>
        <w:jc w:val="center"/>
        <w:rPr>
          <w:rFonts w:ascii="Calibri" w:eastAsia="Calibri" w:hAnsi="Calibri" w:cs="Calibri"/>
          <w:b/>
          <w:sz w:val="26"/>
          <w:szCs w:val="26"/>
        </w:rPr>
      </w:pPr>
      <w:r w:rsidRPr="00D636C4">
        <w:rPr>
          <w:rFonts w:ascii="Calibri" w:eastAsia="Calibri" w:hAnsi="Calibri" w:cs="Calibri"/>
          <w:b/>
          <w:sz w:val="26"/>
          <w:szCs w:val="26"/>
        </w:rPr>
        <w:t>République Islamique de la Mauritanie</w:t>
      </w:r>
    </w:p>
    <w:p w14:paraId="42A08220" w14:textId="77777777" w:rsidR="006C2DA4" w:rsidRPr="00D636C4" w:rsidRDefault="006C2DA4" w:rsidP="006C2DA4">
      <w:pPr>
        <w:jc w:val="center"/>
        <w:rPr>
          <w:rFonts w:ascii="Calibri" w:eastAsia="Calibri" w:hAnsi="Calibri" w:cs="Calibri"/>
          <w:b/>
          <w:sz w:val="26"/>
          <w:szCs w:val="26"/>
        </w:rPr>
      </w:pPr>
      <w:r w:rsidRPr="00D636C4">
        <w:rPr>
          <w:rFonts w:ascii="Calibri" w:eastAsia="Calibri" w:hAnsi="Calibri" w:cs="Calibri"/>
          <w:b/>
          <w:sz w:val="26"/>
          <w:szCs w:val="26"/>
        </w:rPr>
        <w:t xml:space="preserve"> </w:t>
      </w:r>
    </w:p>
    <w:tbl>
      <w:tblPr>
        <w:tblW w:w="5665" w:type="dxa"/>
        <w:tblBorders>
          <w:top w:val="nil"/>
          <w:left w:val="nil"/>
          <w:bottom w:val="nil"/>
          <w:right w:val="nil"/>
          <w:insideH w:val="nil"/>
          <w:insideV w:val="nil"/>
        </w:tblBorders>
        <w:tblLayout w:type="fixed"/>
        <w:tblLook w:val="0600" w:firstRow="0" w:lastRow="0" w:firstColumn="0" w:lastColumn="0" w:noHBand="1" w:noVBand="1"/>
      </w:tblPr>
      <w:tblGrid>
        <w:gridCol w:w="3860"/>
        <w:gridCol w:w="1805"/>
      </w:tblGrid>
      <w:tr w:rsidR="006C2DA4" w:rsidRPr="00D636C4" w14:paraId="62509544" w14:textId="77777777" w:rsidTr="00980A9B">
        <w:trPr>
          <w:trHeight w:val="200"/>
        </w:trPr>
        <w:tc>
          <w:tcPr>
            <w:tcW w:w="3860" w:type="dxa"/>
            <w:tcBorders>
              <w:top w:val="nil"/>
              <w:left w:val="nil"/>
              <w:bottom w:val="nil"/>
              <w:right w:val="nil"/>
            </w:tcBorders>
            <w:tcMar>
              <w:top w:w="100" w:type="dxa"/>
              <w:left w:w="100" w:type="dxa"/>
              <w:bottom w:w="100" w:type="dxa"/>
              <w:right w:w="100" w:type="dxa"/>
            </w:tcMar>
          </w:tcPr>
          <w:p w14:paraId="22ACF0A0" w14:textId="77777777" w:rsidR="006C2DA4" w:rsidRPr="00D636C4" w:rsidRDefault="006C2DA4" w:rsidP="00980A9B">
            <w:pPr>
              <w:rPr>
                <w:rFonts w:ascii="Calibri" w:eastAsia="Calibri" w:hAnsi="Calibri" w:cs="Calibri"/>
                <w:sz w:val="20"/>
                <w:szCs w:val="20"/>
              </w:rPr>
            </w:pPr>
          </w:p>
        </w:tc>
        <w:tc>
          <w:tcPr>
            <w:tcW w:w="1805" w:type="dxa"/>
            <w:shd w:val="clear" w:color="auto" w:fill="auto"/>
            <w:tcMar>
              <w:top w:w="100" w:type="dxa"/>
              <w:left w:w="100" w:type="dxa"/>
              <w:bottom w:w="100" w:type="dxa"/>
              <w:right w:w="100" w:type="dxa"/>
            </w:tcMar>
          </w:tcPr>
          <w:p w14:paraId="5F97EC49" w14:textId="77777777" w:rsidR="006C2DA4" w:rsidRPr="00D636C4" w:rsidRDefault="006C2DA4" w:rsidP="00980A9B">
            <w:pPr>
              <w:widowControl w:val="0"/>
              <w:pBdr>
                <w:top w:val="nil"/>
                <w:left w:val="nil"/>
                <w:bottom w:val="nil"/>
                <w:right w:val="nil"/>
                <w:between w:val="nil"/>
              </w:pBdr>
              <w:rPr>
                <w:rFonts w:ascii="Calibri" w:eastAsia="Calibri" w:hAnsi="Calibri" w:cs="Calibri"/>
                <w:sz w:val="20"/>
                <w:szCs w:val="20"/>
              </w:rPr>
            </w:pPr>
          </w:p>
        </w:tc>
      </w:tr>
      <w:tr w:rsidR="006C2DA4" w:rsidRPr="00D636C4" w14:paraId="48DE13BF" w14:textId="77777777" w:rsidTr="00980A9B">
        <w:trPr>
          <w:trHeight w:val="1730"/>
        </w:trPr>
        <w:tc>
          <w:tcPr>
            <w:tcW w:w="3860" w:type="dxa"/>
            <w:tcBorders>
              <w:top w:val="nil"/>
              <w:left w:val="nil"/>
              <w:bottom w:val="nil"/>
              <w:right w:val="nil"/>
            </w:tcBorders>
            <w:tcMar>
              <w:top w:w="100" w:type="dxa"/>
              <w:left w:w="100" w:type="dxa"/>
              <w:bottom w:w="100" w:type="dxa"/>
              <w:right w:w="100" w:type="dxa"/>
            </w:tcMar>
          </w:tcPr>
          <w:p w14:paraId="487B4F5C" w14:textId="77777777" w:rsidR="006C2DA4" w:rsidRPr="00D636C4" w:rsidRDefault="006C2DA4" w:rsidP="00980A9B">
            <w:pPr>
              <w:widowControl w:val="0"/>
              <w:pBdr>
                <w:top w:val="nil"/>
                <w:left w:val="nil"/>
                <w:bottom w:val="nil"/>
                <w:right w:val="nil"/>
                <w:between w:val="nil"/>
              </w:pBdr>
              <w:rPr>
                <w:rFonts w:ascii="Calibri" w:eastAsia="Calibri" w:hAnsi="Calibri" w:cs="Calibri"/>
                <w:sz w:val="20"/>
                <w:szCs w:val="20"/>
              </w:rPr>
            </w:pPr>
          </w:p>
        </w:tc>
        <w:tc>
          <w:tcPr>
            <w:tcW w:w="1805" w:type="dxa"/>
            <w:tcBorders>
              <w:top w:val="nil"/>
              <w:left w:val="nil"/>
              <w:bottom w:val="nil"/>
              <w:right w:val="nil"/>
            </w:tcBorders>
            <w:tcMar>
              <w:top w:w="100" w:type="dxa"/>
              <w:left w:w="100" w:type="dxa"/>
              <w:bottom w:w="100" w:type="dxa"/>
              <w:right w:w="100" w:type="dxa"/>
            </w:tcMar>
          </w:tcPr>
          <w:p w14:paraId="3DA0475A" w14:textId="77777777" w:rsidR="006C2DA4" w:rsidRPr="00D636C4" w:rsidRDefault="006C2DA4" w:rsidP="00980A9B">
            <w:pPr>
              <w:widowControl w:val="0"/>
              <w:pBdr>
                <w:top w:val="nil"/>
                <w:left w:val="nil"/>
                <w:bottom w:val="nil"/>
                <w:right w:val="nil"/>
                <w:between w:val="nil"/>
              </w:pBdr>
              <w:rPr>
                <w:rFonts w:ascii="Calibri" w:eastAsia="Calibri" w:hAnsi="Calibri" w:cs="Calibri"/>
                <w:sz w:val="20"/>
                <w:szCs w:val="20"/>
              </w:rPr>
            </w:pPr>
            <w:r w:rsidRPr="00A21919">
              <w:rPr>
                <w:noProof/>
                <w:lang w:eastAsia="fr-FR"/>
              </w:rPr>
              <w:drawing>
                <wp:anchor distT="0" distB="0" distL="0" distR="0" simplePos="0" relativeHeight="251659264" behindDoc="0" locked="0" layoutInCell="1" allowOverlap="1" wp14:anchorId="20439C0F" wp14:editId="5CC6A1B2">
                  <wp:simplePos x="0" y="0"/>
                  <wp:positionH relativeFrom="page">
                    <wp:posOffset>2540</wp:posOffset>
                  </wp:positionH>
                  <wp:positionV relativeFrom="paragraph">
                    <wp:posOffset>172720</wp:posOffset>
                  </wp:positionV>
                  <wp:extent cx="1143000" cy="1296035"/>
                  <wp:effectExtent l="0" t="0" r="0" b="0"/>
                  <wp:wrapTopAndBottom/>
                  <wp:docPr id="2" name="image1.jpeg" descr="A picture containing text,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emblem, logo, trademark&#10;&#10;Description automatically generated"/>
                          <pic:cNvPicPr/>
                        </pic:nvPicPr>
                        <pic:blipFill>
                          <a:blip r:embed="rId8" cstate="print"/>
                          <a:stretch>
                            <a:fillRect/>
                          </a:stretch>
                        </pic:blipFill>
                        <pic:spPr>
                          <a:xfrm>
                            <a:off x="0" y="0"/>
                            <a:ext cx="1143000" cy="1296035"/>
                          </a:xfrm>
                          <a:prstGeom prst="rect">
                            <a:avLst/>
                          </a:prstGeom>
                        </pic:spPr>
                      </pic:pic>
                    </a:graphicData>
                  </a:graphic>
                </wp:anchor>
              </w:drawing>
            </w:r>
          </w:p>
        </w:tc>
      </w:tr>
    </w:tbl>
    <w:p w14:paraId="0AA86E3E" w14:textId="77777777" w:rsidR="006C2DA4" w:rsidRPr="00D636C4" w:rsidRDefault="006C2DA4" w:rsidP="006C2DA4">
      <w:pPr>
        <w:jc w:val="center"/>
        <w:rPr>
          <w:rFonts w:ascii="Calibri" w:eastAsia="Calibri" w:hAnsi="Calibri" w:cs="Calibri"/>
          <w:b/>
        </w:rPr>
      </w:pPr>
      <w:r w:rsidRPr="00D636C4">
        <w:rPr>
          <w:rFonts w:ascii="Calibri" w:eastAsia="Calibri" w:hAnsi="Calibri" w:cs="Calibri"/>
          <w:sz w:val="20"/>
          <w:szCs w:val="20"/>
        </w:rPr>
        <w:br/>
      </w:r>
      <w:r w:rsidRPr="00D636C4">
        <w:rPr>
          <w:rFonts w:ascii="Calibri" w:eastAsia="Calibri" w:hAnsi="Calibri" w:cs="Calibri"/>
          <w:b/>
        </w:rPr>
        <w:t xml:space="preserve"> </w:t>
      </w:r>
    </w:p>
    <w:p w14:paraId="7A99EA8E" w14:textId="77777777" w:rsidR="006C2DA4" w:rsidRPr="00D636C4" w:rsidRDefault="006C2DA4" w:rsidP="006C2DA4">
      <w:pPr>
        <w:jc w:val="center"/>
        <w:rPr>
          <w:rFonts w:ascii="Calibri" w:eastAsia="Calibri" w:hAnsi="Calibri" w:cs="Calibri"/>
          <w:b/>
        </w:rPr>
      </w:pPr>
      <w:r w:rsidRPr="00D636C4">
        <w:rPr>
          <w:rFonts w:ascii="Calibri" w:eastAsia="Calibri" w:hAnsi="Calibri" w:cs="Calibri"/>
          <w:b/>
        </w:rPr>
        <w:t xml:space="preserve"> </w:t>
      </w:r>
    </w:p>
    <w:p w14:paraId="7DC845F7" w14:textId="77777777" w:rsidR="006C2DA4" w:rsidRPr="00D636C4" w:rsidRDefault="006C2DA4" w:rsidP="006C2DA4">
      <w:pPr>
        <w:jc w:val="center"/>
        <w:rPr>
          <w:rFonts w:ascii="Calibri" w:eastAsia="Calibri" w:hAnsi="Calibri" w:cs="Calibri"/>
          <w:b/>
        </w:rPr>
      </w:pPr>
      <w:r w:rsidRPr="00D636C4">
        <w:rPr>
          <w:rFonts w:ascii="Calibri" w:eastAsia="Calibri" w:hAnsi="Calibri" w:cs="Calibri"/>
          <w:b/>
        </w:rPr>
        <w:t xml:space="preserve"> </w:t>
      </w:r>
    </w:p>
    <w:p w14:paraId="073102A7" w14:textId="77777777" w:rsidR="006C2DA4" w:rsidRPr="00D636C4" w:rsidRDefault="006C2DA4" w:rsidP="006C2DA4">
      <w:pPr>
        <w:jc w:val="center"/>
        <w:rPr>
          <w:rFonts w:ascii="Calibri" w:eastAsia="Calibri" w:hAnsi="Calibri" w:cs="Calibri"/>
          <w:b/>
        </w:rPr>
      </w:pPr>
      <w:r w:rsidRPr="00D636C4">
        <w:rPr>
          <w:rFonts w:ascii="Calibri" w:eastAsia="Calibri" w:hAnsi="Calibri" w:cs="Calibri"/>
          <w:b/>
        </w:rPr>
        <w:t xml:space="preserve"> </w:t>
      </w:r>
    </w:p>
    <w:p w14:paraId="7E3F861F" w14:textId="77777777" w:rsidR="006C2DA4" w:rsidRPr="00D636C4" w:rsidRDefault="006C2DA4" w:rsidP="006C2DA4">
      <w:pPr>
        <w:jc w:val="center"/>
        <w:rPr>
          <w:rFonts w:ascii="Calibri" w:eastAsia="Calibri" w:hAnsi="Calibri" w:cs="Calibri"/>
          <w:b/>
        </w:rPr>
      </w:pPr>
      <w:r w:rsidRPr="00D636C4">
        <w:rPr>
          <w:rFonts w:ascii="Calibri" w:eastAsia="Calibri" w:hAnsi="Calibri" w:cs="Calibri"/>
          <w:b/>
        </w:rPr>
        <w:t xml:space="preserve"> </w:t>
      </w:r>
    </w:p>
    <w:p w14:paraId="66096213" w14:textId="77777777" w:rsidR="006C2DA4" w:rsidRPr="00D636C4" w:rsidRDefault="006C2DA4" w:rsidP="006C2DA4">
      <w:pPr>
        <w:jc w:val="center"/>
        <w:rPr>
          <w:rFonts w:ascii="Calibri" w:eastAsia="Calibri" w:hAnsi="Calibri" w:cs="Calibri"/>
          <w:b/>
          <w:sz w:val="26"/>
          <w:szCs w:val="26"/>
        </w:rPr>
      </w:pPr>
      <w:r w:rsidRPr="00D636C4">
        <w:rPr>
          <w:rFonts w:ascii="Calibri" w:eastAsia="Calibri" w:hAnsi="Calibri" w:cs="Calibri"/>
          <w:b/>
          <w:sz w:val="26"/>
          <w:szCs w:val="26"/>
        </w:rPr>
        <w:t xml:space="preserve"> </w:t>
      </w:r>
    </w:p>
    <w:p w14:paraId="110454D6" w14:textId="77777777" w:rsidR="006C2DA4" w:rsidRPr="00D636C4" w:rsidRDefault="006C2DA4" w:rsidP="006C2DA4">
      <w:pPr>
        <w:jc w:val="center"/>
        <w:rPr>
          <w:rFonts w:ascii="Calibri" w:eastAsia="Calibri" w:hAnsi="Calibri" w:cs="Calibri"/>
          <w:b/>
          <w:sz w:val="26"/>
          <w:szCs w:val="26"/>
        </w:rPr>
      </w:pPr>
      <w:r w:rsidRPr="00D636C4">
        <w:rPr>
          <w:rFonts w:ascii="Calibri" w:eastAsia="Calibri" w:hAnsi="Calibri" w:cs="Calibri"/>
          <w:b/>
          <w:sz w:val="26"/>
          <w:szCs w:val="26"/>
        </w:rPr>
        <w:t>Stratégie Nationale de Financement de la Santé</w:t>
      </w:r>
    </w:p>
    <w:p w14:paraId="6E3758BA" w14:textId="77777777" w:rsidR="006C2DA4" w:rsidRPr="00D636C4" w:rsidRDefault="006C2DA4" w:rsidP="006C2DA4">
      <w:pPr>
        <w:jc w:val="center"/>
        <w:rPr>
          <w:rFonts w:ascii="Calibri" w:eastAsia="Calibri" w:hAnsi="Calibri" w:cs="Calibri"/>
          <w:b/>
          <w:sz w:val="26"/>
          <w:szCs w:val="26"/>
        </w:rPr>
      </w:pPr>
      <w:r w:rsidRPr="00D636C4">
        <w:rPr>
          <w:rFonts w:ascii="Calibri" w:eastAsia="Calibri" w:hAnsi="Calibri" w:cs="Calibri"/>
          <w:b/>
          <w:sz w:val="26"/>
          <w:szCs w:val="26"/>
        </w:rPr>
        <w:t>2023-2030</w:t>
      </w:r>
    </w:p>
    <w:p w14:paraId="5C53C03E"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 </w:t>
      </w:r>
    </w:p>
    <w:p w14:paraId="1403014A"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 </w:t>
      </w:r>
    </w:p>
    <w:p w14:paraId="52552389"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 </w:t>
      </w:r>
    </w:p>
    <w:p w14:paraId="27412CB1"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 </w:t>
      </w:r>
    </w:p>
    <w:p w14:paraId="0A5C47B0"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 </w:t>
      </w:r>
    </w:p>
    <w:p w14:paraId="1136E60F"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 </w:t>
      </w:r>
    </w:p>
    <w:p w14:paraId="02248CFE" w14:textId="77777777" w:rsidR="006C2DA4" w:rsidRPr="00D636C4" w:rsidRDefault="006C2DA4" w:rsidP="006C2DA4">
      <w:pPr>
        <w:jc w:val="center"/>
        <w:rPr>
          <w:rFonts w:ascii="Calibri" w:eastAsia="Calibri" w:hAnsi="Calibri" w:cs="Calibri"/>
          <w:i/>
        </w:rPr>
      </w:pPr>
      <w:r>
        <w:rPr>
          <w:rFonts w:ascii="Calibri" w:eastAsia="Calibri" w:hAnsi="Calibri" w:cs="Calibri"/>
          <w:i/>
        </w:rPr>
        <w:t>Version 2 Décembre 2023</w:t>
      </w:r>
    </w:p>
    <w:p w14:paraId="4F41A0F3" w14:textId="77777777" w:rsidR="006C2DA4" w:rsidRPr="00D636C4" w:rsidRDefault="006C2DA4" w:rsidP="006C2DA4">
      <w:pPr>
        <w:jc w:val="center"/>
        <w:rPr>
          <w:rFonts w:ascii="Calibri" w:eastAsia="Calibri" w:hAnsi="Calibri" w:cs="Calibri"/>
          <w:i/>
        </w:rPr>
      </w:pPr>
      <w:r w:rsidRPr="00D636C4">
        <w:rPr>
          <w:rFonts w:ascii="Calibri" w:eastAsia="Calibri" w:hAnsi="Calibri" w:cs="Calibri"/>
          <w:i/>
        </w:rPr>
        <w:t xml:space="preserve"> </w:t>
      </w:r>
    </w:p>
    <w:p w14:paraId="23C8585B" w14:textId="77777777" w:rsidR="006C2DA4" w:rsidRPr="00D636C4" w:rsidRDefault="006C2DA4" w:rsidP="006C2DA4">
      <w:pPr>
        <w:rPr>
          <w:rFonts w:ascii="Calibri" w:eastAsia="Calibri" w:hAnsi="Calibri" w:cs="Calibri"/>
        </w:rPr>
      </w:pPr>
      <w:r w:rsidRPr="00D636C4">
        <w:rPr>
          <w:rFonts w:ascii="Calibri" w:eastAsia="Calibri" w:hAnsi="Calibri" w:cs="Calibri"/>
        </w:rPr>
        <w:t xml:space="preserve"> </w:t>
      </w:r>
    </w:p>
    <w:p w14:paraId="57F26FE0" w14:textId="77777777" w:rsidR="006C2DA4" w:rsidRPr="00D636C4" w:rsidRDefault="006C2DA4" w:rsidP="006C2DA4">
      <w:pPr>
        <w:rPr>
          <w:rFonts w:ascii="Calibri" w:eastAsia="Calibri" w:hAnsi="Calibri" w:cs="Calibri"/>
        </w:rPr>
      </w:pPr>
      <w:r w:rsidRPr="00D636C4">
        <w:rPr>
          <w:rFonts w:ascii="Calibri" w:eastAsia="Calibri" w:hAnsi="Calibri" w:cs="Calibri"/>
        </w:rPr>
        <w:t xml:space="preserve"> </w:t>
      </w:r>
    </w:p>
    <w:p w14:paraId="0ABAD5E5" w14:textId="77777777" w:rsidR="006C2DA4" w:rsidRPr="00D636C4" w:rsidRDefault="006C2DA4" w:rsidP="006C2DA4">
      <w:pPr>
        <w:rPr>
          <w:rFonts w:ascii="Calibri" w:eastAsia="Calibri" w:hAnsi="Calibri" w:cs="Calibri"/>
        </w:rPr>
      </w:pPr>
      <w:r w:rsidRPr="00D636C4">
        <w:rPr>
          <w:rFonts w:ascii="Calibri" w:eastAsia="Calibri" w:hAnsi="Calibri" w:cs="Calibri"/>
        </w:rPr>
        <w:t xml:space="preserve"> </w:t>
      </w:r>
    </w:p>
    <w:p w14:paraId="3CAC6CC9" w14:textId="77777777" w:rsidR="006C2DA4" w:rsidRPr="00D636C4" w:rsidRDefault="006C2DA4" w:rsidP="006C2DA4">
      <w:pPr>
        <w:rPr>
          <w:rFonts w:ascii="Calibri" w:eastAsia="Calibri" w:hAnsi="Calibri" w:cs="Calibri"/>
        </w:rPr>
      </w:pPr>
      <w:r w:rsidRPr="00D636C4">
        <w:rPr>
          <w:rFonts w:ascii="Calibri" w:eastAsia="Calibri" w:hAnsi="Calibri" w:cs="Calibri"/>
        </w:rPr>
        <w:t xml:space="preserve"> </w:t>
      </w:r>
    </w:p>
    <w:p w14:paraId="3DD63682" w14:textId="77777777" w:rsidR="006C2DA4" w:rsidRPr="00D636C4" w:rsidRDefault="006C2DA4" w:rsidP="006C2DA4">
      <w:pPr>
        <w:rPr>
          <w:rFonts w:ascii="Calibri" w:eastAsia="Calibri" w:hAnsi="Calibri" w:cs="Calibri"/>
        </w:rPr>
      </w:pPr>
    </w:p>
    <w:p w14:paraId="5DF5EABF" w14:textId="77777777" w:rsidR="006C2DA4" w:rsidRPr="00D636C4" w:rsidRDefault="006C2DA4" w:rsidP="006C2DA4">
      <w:pPr>
        <w:pStyle w:val="Heading1"/>
        <w:keepNext w:val="0"/>
        <w:keepLines w:val="0"/>
        <w:spacing w:before="480"/>
        <w:rPr>
          <w:rFonts w:ascii="Calibri" w:eastAsia="Calibri" w:hAnsi="Calibri" w:cs="Calibri"/>
          <w:color w:val="2F5496"/>
          <w:sz w:val="22"/>
          <w:szCs w:val="22"/>
        </w:rPr>
      </w:pPr>
      <w:bookmarkStart w:id="0" w:name="_h92756f1m7hl" w:colFirst="0" w:colLast="0"/>
      <w:bookmarkEnd w:id="0"/>
      <w:r w:rsidRPr="00D636C4">
        <w:rPr>
          <w:rFonts w:ascii="Calibri" w:eastAsia="Calibri" w:hAnsi="Calibri" w:cs="Calibri"/>
          <w:color w:val="2F5496"/>
          <w:sz w:val="22"/>
          <w:szCs w:val="22"/>
        </w:rPr>
        <w:t xml:space="preserve"> </w:t>
      </w:r>
    </w:p>
    <w:p w14:paraId="3E3B9334" w14:textId="77777777" w:rsidR="006C2DA4" w:rsidRPr="00D636C4" w:rsidRDefault="006C2DA4" w:rsidP="006C2DA4">
      <w:pPr>
        <w:rPr>
          <w:rFonts w:ascii="Calibri" w:eastAsia="Calibri" w:hAnsi="Calibri" w:cs="Calibri"/>
          <w:b/>
        </w:rPr>
      </w:pPr>
    </w:p>
    <w:p w14:paraId="0E8B085C" w14:textId="77777777" w:rsidR="006C2DA4" w:rsidRPr="00D636C4" w:rsidRDefault="006C2DA4" w:rsidP="006C2DA4">
      <w:pPr>
        <w:rPr>
          <w:rFonts w:ascii="Calibri" w:eastAsia="Calibri" w:hAnsi="Calibri" w:cs="Calibri"/>
          <w:b/>
        </w:rPr>
      </w:pPr>
      <w:r w:rsidRPr="00D636C4">
        <w:rPr>
          <w:rFonts w:ascii="Calibri" w:eastAsia="Calibri" w:hAnsi="Calibri" w:cs="Calibri"/>
          <w:b/>
        </w:rPr>
        <w:t>Table des matières</w:t>
      </w:r>
    </w:p>
    <w:p w14:paraId="06CC7C6E" w14:textId="77777777" w:rsidR="006C2DA4" w:rsidRPr="00D636C4" w:rsidRDefault="006C2DA4" w:rsidP="006C2DA4">
      <w:pPr>
        <w:rPr>
          <w:rFonts w:ascii="Calibri" w:eastAsia="Calibri" w:hAnsi="Calibri" w:cs="Calibri"/>
          <w:b/>
        </w:rPr>
      </w:pPr>
    </w:p>
    <w:sdt>
      <w:sdtPr>
        <w:rPr>
          <w:rFonts w:ascii="Arial" w:eastAsia="Arial" w:hAnsi="Arial" w:cs="Arial"/>
          <w:b w:val="0"/>
          <w:bCs w:val="0"/>
          <w:color w:val="auto"/>
          <w:sz w:val="22"/>
          <w:szCs w:val="22"/>
          <w:lang w:val="fr-FR"/>
        </w:rPr>
        <w:id w:val="-1137950530"/>
        <w:docPartObj>
          <w:docPartGallery w:val="Table of Contents"/>
          <w:docPartUnique/>
        </w:docPartObj>
      </w:sdtPr>
      <w:sdtEndPr>
        <w:rPr>
          <w:noProof/>
        </w:rPr>
      </w:sdtEndPr>
      <w:sdtContent>
        <w:p w14:paraId="6DCE349E" w14:textId="77777777" w:rsidR="006C2DA4" w:rsidRPr="00D636C4" w:rsidRDefault="006C2DA4" w:rsidP="006C2DA4">
          <w:pPr>
            <w:pStyle w:val="TOCHeading"/>
            <w:rPr>
              <w:lang w:val="fr-FR"/>
            </w:rPr>
          </w:pPr>
        </w:p>
        <w:p w14:paraId="1AC57521" w14:textId="77777777" w:rsidR="006C2DA4" w:rsidRDefault="009904FE" w:rsidP="006C2DA4">
          <w:pPr>
            <w:pStyle w:val="TOC1"/>
            <w:tabs>
              <w:tab w:val="right" w:leader="dot" w:pos="9350"/>
            </w:tabs>
            <w:rPr>
              <w:rFonts w:eastAsiaTheme="minorEastAsia" w:cstheme="minorBidi"/>
              <w:b w:val="0"/>
              <w:bCs w:val="0"/>
              <w:i w:val="0"/>
              <w:iCs w:val="0"/>
              <w:noProof/>
              <w:kern w:val="2"/>
              <w:lang w:val="en-US"/>
            </w:rPr>
          </w:pPr>
          <w:r w:rsidRPr="00D636C4">
            <w:rPr>
              <w:b w:val="0"/>
              <w:bCs w:val="0"/>
            </w:rPr>
            <w:fldChar w:fldCharType="begin"/>
          </w:r>
          <w:r w:rsidR="006C2DA4" w:rsidRPr="00D636C4">
            <w:instrText xml:space="preserve"> TOC \o "1-3" \h \z \u </w:instrText>
          </w:r>
          <w:r w:rsidRPr="00D636C4">
            <w:rPr>
              <w:b w:val="0"/>
              <w:bCs w:val="0"/>
            </w:rPr>
            <w:fldChar w:fldCharType="separate"/>
          </w:r>
          <w:hyperlink w:anchor="_Toc140268431" w:history="1">
            <w:r w:rsidR="006C2DA4" w:rsidRPr="0054497F">
              <w:rPr>
                <w:rStyle w:val="Hyperlink"/>
                <w:rFonts w:ascii="Calibri" w:eastAsia="Calibri" w:hAnsi="Calibri" w:cs="Calibri"/>
                <w:noProof/>
              </w:rPr>
              <w:t>Chapitre 1 : Introduction</w:t>
            </w:r>
            <w:r w:rsidR="006C2DA4">
              <w:rPr>
                <w:noProof/>
                <w:webHidden/>
              </w:rPr>
              <w:tab/>
            </w:r>
            <w:r>
              <w:rPr>
                <w:noProof/>
                <w:webHidden/>
              </w:rPr>
              <w:fldChar w:fldCharType="begin"/>
            </w:r>
            <w:r w:rsidR="006C2DA4">
              <w:rPr>
                <w:noProof/>
                <w:webHidden/>
              </w:rPr>
              <w:instrText xml:space="preserve"> PAGEREF _Toc140268431 \h </w:instrText>
            </w:r>
            <w:r>
              <w:rPr>
                <w:noProof/>
                <w:webHidden/>
              </w:rPr>
            </w:r>
            <w:r>
              <w:rPr>
                <w:noProof/>
                <w:webHidden/>
              </w:rPr>
              <w:fldChar w:fldCharType="separate"/>
            </w:r>
            <w:r w:rsidR="006C2DA4">
              <w:rPr>
                <w:noProof/>
                <w:webHidden/>
              </w:rPr>
              <w:t>3</w:t>
            </w:r>
            <w:r>
              <w:rPr>
                <w:noProof/>
                <w:webHidden/>
              </w:rPr>
              <w:fldChar w:fldCharType="end"/>
            </w:r>
          </w:hyperlink>
        </w:p>
        <w:p w14:paraId="242B43D7" w14:textId="77777777" w:rsidR="006C2DA4" w:rsidRDefault="00342E28" w:rsidP="006C2DA4">
          <w:pPr>
            <w:pStyle w:val="TOC2"/>
            <w:rPr>
              <w:rFonts w:eastAsiaTheme="minorEastAsia" w:cstheme="minorBidi"/>
              <w:noProof/>
              <w:kern w:val="2"/>
              <w:sz w:val="24"/>
              <w:szCs w:val="24"/>
              <w:lang w:val="en-US"/>
            </w:rPr>
          </w:pPr>
          <w:hyperlink w:anchor="_Toc140268432" w:history="1">
            <w:r w:rsidR="006C2DA4" w:rsidRPr="0054497F">
              <w:rPr>
                <w:rStyle w:val="Hyperlink"/>
                <w:rFonts w:ascii="Calibri" w:eastAsia="Calibri" w:hAnsi="Calibri" w:cs="Calibri"/>
                <w:noProof/>
              </w:rPr>
              <w:t>1.1. Vision du gouvernement pour la Couverture Sanitaire Universelle</w:t>
            </w:r>
            <w:r w:rsidR="006C2DA4">
              <w:rPr>
                <w:noProof/>
                <w:webHidden/>
              </w:rPr>
              <w:tab/>
            </w:r>
            <w:r w:rsidR="009904FE">
              <w:rPr>
                <w:noProof/>
                <w:webHidden/>
              </w:rPr>
              <w:fldChar w:fldCharType="begin"/>
            </w:r>
            <w:r w:rsidR="006C2DA4">
              <w:rPr>
                <w:noProof/>
                <w:webHidden/>
              </w:rPr>
              <w:instrText xml:space="preserve"> PAGEREF _Toc140268432 \h </w:instrText>
            </w:r>
            <w:r w:rsidR="009904FE">
              <w:rPr>
                <w:noProof/>
                <w:webHidden/>
              </w:rPr>
            </w:r>
            <w:r w:rsidR="009904FE">
              <w:rPr>
                <w:noProof/>
                <w:webHidden/>
              </w:rPr>
              <w:fldChar w:fldCharType="separate"/>
            </w:r>
            <w:r w:rsidR="006C2DA4">
              <w:rPr>
                <w:noProof/>
                <w:webHidden/>
              </w:rPr>
              <w:t>1</w:t>
            </w:r>
            <w:r w:rsidR="009904FE">
              <w:rPr>
                <w:noProof/>
                <w:webHidden/>
              </w:rPr>
              <w:fldChar w:fldCharType="end"/>
            </w:r>
          </w:hyperlink>
        </w:p>
        <w:p w14:paraId="2AD64235" w14:textId="77777777" w:rsidR="006C2DA4" w:rsidRDefault="00342E28" w:rsidP="006C2DA4">
          <w:pPr>
            <w:pStyle w:val="TOC2"/>
            <w:rPr>
              <w:rFonts w:eastAsiaTheme="minorEastAsia" w:cstheme="minorBidi"/>
              <w:noProof/>
              <w:kern w:val="2"/>
              <w:sz w:val="24"/>
              <w:szCs w:val="24"/>
              <w:lang w:val="en-US"/>
            </w:rPr>
          </w:pPr>
          <w:hyperlink w:anchor="_Toc140268433" w:history="1">
            <w:r w:rsidR="006C2DA4" w:rsidRPr="0054497F">
              <w:rPr>
                <w:rStyle w:val="Hyperlink"/>
                <w:rFonts w:ascii="Calibri" w:eastAsia="Calibri" w:hAnsi="Calibri" w:cs="Calibri"/>
                <w:noProof/>
              </w:rPr>
              <w:t>1.2. Objectifs de cette stratégie</w:t>
            </w:r>
            <w:r w:rsidR="006C2DA4">
              <w:rPr>
                <w:noProof/>
                <w:webHidden/>
              </w:rPr>
              <w:tab/>
            </w:r>
            <w:r w:rsidR="009904FE">
              <w:rPr>
                <w:noProof/>
                <w:webHidden/>
              </w:rPr>
              <w:fldChar w:fldCharType="begin"/>
            </w:r>
            <w:r w:rsidR="006C2DA4">
              <w:rPr>
                <w:noProof/>
                <w:webHidden/>
              </w:rPr>
              <w:instrText xml:space="preserve"> PAGEREF _Toc140268433 \h </w:instrText>
            </w:r>
            <w:r w:rsidR="009904FE">
              <w:rPr>
                <w:noProof/>
                <w:webHidden/>
              </w:rPr>
            </w:r>
            <w:r w:rsidR="009904FE">
              <w:rPr>
                <w:noProof/>
                <w:webHidden/>
              </w:rPr>
              <w:fldChar w:fldCharType="separate"/>
            </w:r>
            <w:r w:rsidR="006C2DA4">
              <w:rPr>
                <w:noProof/>
                <w:webHidden/>
              </w:rPr>
              <w:t>2</w:t>
            </w:r>
            <w:r w:rsidR="009904FE">
              <w:rPr>
                <w:noProof/>
                <w:webHidden/>
              </w:rPr>
              <w:fldChar w:fldCharType="end"/>
            </w:r>
          </w:hyperlink>
        </w:p>
        <w:p w14:paraId="78B6C072" w14:textId="77777777" w:rsidR="006C2DA4" w:rsidRDefault="00342E28" w:rsidP="006C2DA4">
          <w:pPr>
            <w:pStyle w:val="TOC2"/>
            <w:rPr>
              <w:rFonts w:eastAsiaTheme="minorEastAsia" w:cstheme="minorBidi"/>
              <w:noProof/>
              <w:kern w:val="2"/>
              <w:sz w:val="24"/>
              <w:szCs w:val="24"/>
              <w:lang w:val="en-US"/>
            </w:rPr>
          </w:pPr>
          <w:hyperlink w:anchor="_Toc140268434" w:history="1">
            <w:r w:rsidR="006C2DA4" w:rsidRPr="0054497F">
              <w:rPr>
                <w:rStyle w:val="Hyperlink"/>
                <w:rFonts w:ascii="Calibri" w:eastAsia="Calibri" w:hAnsi="Calibri" w:cs="Calibri"/>
                <w:noProof/>
              </w:rPr>
              <w:t>1.3. Méthodologie</w:t>
            </w:r>
            <w:r w:rsidR="006C2DA4">
              <w:rPr>
                <w:noProof/>
                <w:webHidden/>
              </w:rPr>
              <w:tab/>
            </w:r>
            <w:r w:rsidR="009904FE">
              <w:rPr>
                <w:noProof/>
                <w:webHidden/>
              </w:rPr>
              <w:fldChar w:fldCharType="begin"/>
            </w:r>
            <w:r w:rsidR="006C2DA4">
              <w:rPr>
                <w:noProof/>
                <w:webHidden/>
              </w:rPr>
              <w:instrText xml:space="preserve"> PAGEREF _Toc140268434 \h </w:instrText>
            </w:r>
            <w:r w:rsidR="009904FE">
              <w:rPr>
                <w:noProof/>
                <w:webHidden/>
              </w:rPr>
            </w:r>
            <w:r w:rsidR="009904FE">
              <w:rPr>
                <w:noProof/>
                <w:webHidden/>
              </w:rPr>
              <w:fldChar w:fldCharType="separate"/>
            </w:r>
            <w:r w:rsidR="006C2DA4">
              <w:rPr>
                <w:noProof/>
                <w:webHidden/>
              </w:rPr>
              <w:t>2</w:t>
            </w:r>
            <w:r w:rsidR="009904FE">
              <w:rPr>
                <w:noProof/>
                <w:webHidden/>
              </w:rPr>
              <w:fldChar w:fldCharType="end"/>
            </w:r>
          </w:hyperlink>
        </w:p>
        <w:p w14:paraId="1601C369" w14:textId="77777777" w:rsidR="006C2DA4" w:rsidRDefault="00342E28" w:rsidP="006C2DA4">
          <w:pPr>
            <w:pStyle w:val="TOC1"/>
            <w:tabs>
              <w:tab w:val="right" w:leader="dot" w:pos="9350"/>
            </w:tabs>
            <w:rPr>
              <w:rFonts w:eastAsiaTheme="minorEastAsia" w:cstheme="minorBidi"/>
              <w:b w:val="0"/>
              <w:bCs w:val="0"/>
              <w:i w:val="0"/>
              <w:iCs w:val="0"/>
              <w:noProof/>
              <w:kern w:val="2"/>
              <w:lang w:val="en-US"/>
            </w:rPr>
          </w:pPr>
          <w:hyperlink w:anchor="_Toc140268435" w:history="1">
            <w:r w:rsidR="006C2DA4" w:rsidRPr="0054497F">
              <w:rPr>
                <w:rStyle w:val="Hyperlink"/>
                <w:rFonts w:ascii="Calibri" w:eastAsia="Calibri" w:hAnsi="Calibri" w:cs="Calibri"/>
                <w:noProof/>
              </w:rPr>
              <w:t>Chapitre 2 : Contexte</w:t>
            </w:r>
            <w:r w:rsidR="006C2DA4">
              <w:rPr>
                <w:noProof/>
                <w:webHidden/>
              </w:rPr>
              <w:tab/>
            </w:r>
            <w:r w:rsidR="009904FE">
              <w:rPr>
                <w:noProof/>
                <w:webHidden/>
              </w:rPr>
              <w:fldChar w:fldCharType="begin"/>
            </w:r>
            <w:r w:rsidR="006C2DA4">
              <w:rPr>
                <w:noProof/>
                <w:webHidden/>
              </w:rPr>
              <w:instrText xml:space="preserve"> PAGEREF _Toc140268435 \h </w:instrText>
            </w:r>
            <w:r w:rsidR="009904FE">
              <w:rPr>
                <w:noProof/>
                <w:webHidden/>
              </w:rPr>
            </w:r>
            <w:r w:rsidR="009904FE">
              <w:rPr>
                <w:noProof/>
                <w:webHidden/>
              </w:rPr>
              <w:fldChar w:fldCharType="separate"/>
            </w:r>
            <w:r w:rsidR="006C2DA4">
              <w:rPr>
                <w:noProof/>
                <w:webHidden/>
              </w:rPr>
              <w:t>4</w:t>
            </w:r>
            <w:r w:rsidR="009904FE">
              <w:rPr>
                <w:noProof/>
                <w:webHidden/>
              </w:rPr>
              <w:fldChar w:fldCharType="end"/>
            </w:r>
          </w:hyperlink>
        </w:p>
        <w:p w14:paraId="5CB25F7F" w14:textId="77777777" w:rsidR="006C2DA4" w:rsidRDefault="00342E28" w:rsidP="006C2DA4">
          <w:pPr>
            <w:pStyle w:val="TOC2"/>
            <w:rPr>
              <w:rFonts w:eastAsiaTheme="minorEastAsia" w:cstheme="minorBidi"/>
              <w:noProof/>
              <w:kern w:val="2"/>
              <w:sz w:val="24"/>
              <w:szCs w:val="24"/>
              <w:lang w:val="en-US"/>
            </w:rPr>
          </w:pPr>
          <w:hyperlink w:anchor="_Toc140268436" w:history="1">
            <w:r w:rsidR="006C2DA4" w:rsidRPr="0054497F">
              <w:rPr>
                <w:rStyle w:val="Hyperlink"/>
                <w:rFonts w:ascii="Calibri" w:eastAsia="Calibri" w:hAnsi="Calibri" w:cs="Calibri"/>
                <w:noProof/>
              </w:rPr>
              <w:t>2.1. Situation économique</w:t>
            </w:r>
            <w:r w:rsidR="006C2DA4">
              <w:rPr>
                <w:noProof/>
                <w:webHidden/>
              </w:rPr>
              <w:tab/>
            </w:r>
            <w:r w:rsidR="009904FE">
              <w:rPr>
                <w:noProof/>
                <w:webHidden/>
              </w:rPr>
              <w:fldChar w:fldCharType="begin"/>
            </w:r>
            <w:r w:rsidR="006C2DA4">
              <w:rPr>
                <w:noProof/>
                <w:webHidden/>
              </w:rPr>
              <w:instrText xml:space="preserve"> PAGEREF _Toc140268436 \h </w:instrText>
            </w:r>
            <w:r w:rsidR="009904FE">
              <w:rPr>
                <w:noProof/>
                <w:webHidden/>
              </w:rPr>
            </w:r>
            <w:r w:rsidR="009904FE">
              <w:rPr>
                <w:noProof/>
                <w:webHidden/>
              </w:rPr>
              <w:fldChar w:fldCharType="separate"/>
            </w:r>
            <w:r w:rsidR="006C2DA4">
              <w:rPr>
                <w:noProof/>
                <w:webHidden/>
              </w:rPr>
              <w:t>4</w:t>
            </w:r>
            <w:r w:rsidR="009904FE">
              <w:rPr>
                <w:noProof/>
                <w:webHidden/>
              </w:rPr>
              <w:fldChar w:fldCharType="end"/>
            </w:r>
          </w:hyperlink>
        </w:p>
        <w:p w14:paraId="4206687F" w14:textId="77777777" w:rsidR="006C2DA4" w:rsidRDefault="00342E28" w:rsidP="006C2DA4">
          <w:pPr>
            <w:pStyle w:val="TOC2"/>
            <w:rPr>
              <w:rFonts w:eastAsiaTheme="minorEastAsia" w:cstheme="minorBidi"/>
              <w:noProof/>
              <w:kern w:val="2"/>
              <w:sz w:val="24"/>
              <w:szCs w:val="24"/>
              <w:lang w:val="en-US"/>
            </w:rPr>
          </w:pPr>
          <w:hyperlink w:anchor="_Toc140268437" w:history="1">
            <w:r w:rsidR="006C2DA4" w:rsidRPr="0054497F">
              <w:rPr>
                <w:rStyle w:val="Hyperlink"/>
                <w:rFonts w:ascii="Calibri" w:eastAsia="Calibri" w:hAnsi="Calibri" w:cs="Calibri"/>
                <w:noProof/>
              </w:rPr>
              <w:t>2.2. Situation sociale</w:t>
            </w:r>
            <w:r w:rsidR="006C2DA4">
              <w:rPr>
                <w:noProof/>
                <w:webHidden/>
              </w:rPr>
              <w:tab/>
            </w:r>
            <w:r w:rsidR="009904FE">
              <w:rPr>
                <w:noProof/>
                <w:webHidden/>
              </w:rPr>
              <w:fldChar w:fldCharType="begin"/>
            </w:r>
            <w:r w:rsidR="006C2DA4">
              <w:rPr>
                <w:noProof/>
                <w:webHidden/>
              </w:rPr>
              <w:instrText xml:space="preserve"> PAGEREF _Toc140268437 \h </w:instrText>
            </w:r>
            <w:r w:rsidR="009904FE">
              <w:rPr>
                <w:noProof/>
                <w:webHidden/>
              </w:rPr>
            </w:r>
            <w:r w:rsidR="009904FE">
              <w:rPr>
                <w:noProof/>
                <w:webHidden/>
              </w:rPr>
              <w:fldChar w:fldCharType="separate"/>
            </w:r>
            <w:r w:rsidR="006C2DA4">
              <w:rPr>
                <w:noProof/>
                <w:webHidden/>
              </w:rPr>
              <w:t>6</w:t>
            </w:r>
            <w:r w:rsidR="009904FE">
              <w:rPr>
                <w:noProof/>
                <w:webHidden/>
              </w:rPr>
              <w:fldChar w:fldCharType="end"/>
            </w:r>
          </w:hyperlink>
        </w:p>
        <w:p w14:paraId="0AE3B66B" w14:textId="77777777" w:rsidR="006C2DA4" w:rsidRDefault="00342E28" w:rsidP="006C2DA4">
          <w:pPr>
            <w:pStyle w:val="TOC1"/>
            <w:tabs>
              <w:tab w:val="right" w:leader="dot" w:pos="9350"/>
            </w:tabs>
            <w:rPr>
              <w:rFonts w:eastAsiaTheme="minorEastAsia" w:cstheme="minorBidi"/>
              <w:b w:val="0"/>
              <w:bCs w:val="0"/>
              <w:i w:val="0"/>
              <w:iCs w:val="0"/>
              <w:noProof/>
              <w:kern w:val="2"/>
              <w:lang w:val="en-US"/>
            </w:rPr>
          </w:pPr>
          <w:hyperlink w:anchor="_Toc140268438" w:history="1">
            <w:r w:rsidR="006C2DA4" w:rsidRPr="0054497F">
              <w:rPr>
                <w:rStyle w:val="Hyperlink"/>
                <w:rFonts w:ascii="Calibri" w:eastAsia="Calibri" w:hAnsi="Calibri" w:cs="Calibri"/>
                <w:noProof/>
              </w:rPr>
              <w:t>Chapitre 3 : Analyse du financement du système de santé</w:t>
            </w:r>
            <w:r w:rsidR="006C2DA4">
              <w:rPr>
                <w:noProof/>
                <w:webHidden/>
              </w:rPr>
              <w:tab/>
            </w:r>
            <w:r w:rsidR="009904FE">
              <w:rPr>
                <w:noProof/>
                <w:webHidden/>
              </w:rPr>
              <w:fldChar w:fldCharType="begin"/>
            </w:r>
            <w:r w:rsidR="006C2DA4">
              <w:rPr>
                <w:noProof/>
                <w:webHidden/>
              </w:rPr>
              <w:instrText xml:space="preserve"> PAGEREF _Toc140268438 \h </w:instrText>
            </w:r>
            <w:r w:rsidR="009904FE">
              <w:rPr>
                <w:noProof/>
                <w:webHidden/>
              </w:rPr>
            </w:r>
            <w:r w:rsidR="009904FE">
              <w:rPr>
                <w:noProof/>
                <w:webHidden/>
              </w:rPr>
              <w:fldChar w:fldCharType="separate"/>
            </w:r>
            <w:r w:rsidR="006C2DA4">
              <w:rPr>
                <w:noProof/>
                <w:webHidden/>
              </w:rPr>
              <w:t>9</w:t>
            </w:r>
            <w:r w:rsidR="009904FE">
              <w:rPr>
                <w:noProof/>
                <w:webHidden/>
              </w:rPr>
              <w:fldChar w:fldCharType="end"/>
            </w:r>
          </w:hyperlink>
        </w:p>
        <w:p w14:paraId="5CD9D806" w14:textId="77777777" w:rsidR="006C2DA4" w:rsidRDefault="00342E28" w:rsidP="006C2DA4">
          <w:pPr>
            <w:pStyle w:val="TOC2"/>
            <w:rPr>
              <w:rFonts w:eastAsiaTheme="minorEastAsia" w:cstheme="minorBidi"/>
              <w:noProof/>
              <w:kern w:val="2"/>
              <w:sz w:val="24"/>
              <w:szCs w:val="24"/>
              <w:lang w:val="en-US"/>
            </w:rPr>
          </w:pPr>
          <w:hyperlink w:anchor="_Toc140268439" w:history="1">
            <w:r w:rsidR="006C2DA4" w:rsidRPr="0054497F">
              <w:rPr>
                <w:rStyle w:val="Hyperlink"/>
                <w:rFonts w:ascii="Calibri" w:eastAsia="Calibri" w:hAnsi="Calibri" w:cs="Calibri"/>
                <w:noProof/>
              </w:rPr>
              <w:t>3.1. Mobilisation des ressources</w:t>
            </w:r>
            <w:r w:rsidR="006C2DA4">
              <w:rPr>
                <w:noProof/>
                <w:webHidden/>
              </w:rPr>
              <w:tab/>
            </w:r>
            <w:r w:rsidR="009904FE">
              <w:rPr>
                <w:noProof/>
                <w:webHidden/>
              </w:rPr>
              <w:fldChar w:fldCharType="begin"/>
            </w:r>
            <w:r w:rsidR="006C2DA4">
              <w:rPr>
                <w:noProof/>
                <w:webHidden/>
              </w:rPr>
              <w:instrText xml:space="preserve"> PAGEREF _Toc140268439 \h </w:instrText>
            </w:r>
            <w:r w:rsidR="009904FE">
              <w:rPr>
                <w:noProof/>
                <w:webHidden/>
              </w:rPr>
            </w:r>
            <w:r w:rsidR="009904FE">
              <w:rPr>
                <w:noProof/>
                <w:webHidden/>
              </w:rPr>
              <w:fldChar w:fldCharType="separate"/>
            </w:r>
            <w:r w:rsidR="006C2DA4">
              <w:rPr>
                <w:noProof/>
                <w:webHidden/>
              </w:rPr>
              <w:t>10</w:t>
            </w:r>
            <w:r w:rsidR="009904FE">
              <w:rPr>
                <w:noProof/>
                <w:webHidden/>
              </w:rPr>
              <w:fldChar w:fldCharType="end"/>
            </w:r>
          </w:hyperlink>
        </w:p>
        <w:p w14:paraId="2C413E04" w14:textId="77777777" w:rsidR="006C2DA4" w:rsidRDefault="00342E28" w:rsidP="006C2DA4">
          <w:pPr>
            <w:pStyle w:val="TOC2"/>
            <w:rPr>
              <w:rFonts w:eastAsiaTheme="minorEastAsia" w:cstheme="minorBidi"/>
              <w:noProof/>
              <w:kern w:val="2"/>
              <w:sz w:val="24"/>
              <w:szCs w:val="24"/>
              <w:lang w:val="en-US"/>
            </w:rPr>
          </w:pPr>
          <w:hyperlink w:anchor="_Toc140268440" w:history="1">
            <w:r w:rsidR="006C2DA4" w:rsidRPr="0054497F">
              <w:rPr>
                <w:rStyle w:val="Hyperlink"/>
                <w:rFonts w:ascii="Calibri" w:eastAsia="Calibri" w:hAnsi="Calibri" w:cs="Calibri"/>
                <w:noProof/>
              </w:rPr>
              <w:t>3.2. Mise en commun des ressources</w:t>
            </w:r>
            <w:r w:rsidR="006C2DA4">
              <w:rPr>
                <w:noProof/>
                <w:webHidden/>
              </w:rPr>
              <w:tab/>
            </w:r>
            <w:r w:rsidR="009904FE">
              <w:rPr>
                <w:noProof/>
                <w:webHidden/>
              </w:rPr>
              <w:fldChar w:fldCharType="begin"/>
            </w:r>
            <w:r w:rsidR="006C2DA4">
              <w:rPr>
                <w:noProof/>
                <w:webHidden/>
              </w:rPr>
              <w:instrText xml:space="preserve"> PAGEREF _Toc140268440 \h </w:instrText>
            </w:r>
            <w:r w:rsidR="009904FE">
              <w:rPr>
                <w:noProof/>
                <w:webHidden/>
              </w:rPr>
            </w:r>
            <w:r w:rsidR="009904FE">
              <w:rPr>
                <w:noProof/>
                <w:webHidden/>
              </w:rPr>
              <w:fldChar w:fldCharType="separate"/>
            </w:r>
            <w:r w:rsidR="006C2DA4">
              <w:rPr>
                <w:noProof/>
                <w:webHidden/>
              </w:rPr>
              <w:t>11</w:t>
            </w:r>
            <w:r w:rsidR="009904FE">
              <w:rPr>
                <w:noProof/>
                <w:webHidden/>
              </w:rPr>
              <w:fldChar w:fldCharType="end"/>
            </w:r>
          </w:hyperlink>
        </w:p>
        <w:p w14:paraId="5DF4DF24" w14:textId="77777777" w:rsidR="006C2DA4" w:rsidRDefault="00342E28" w:rsidP="006C2DA4">
          <w:pPr>
            <w:pStyle w:val="TOC2"/>
            <w:rPr>
              <w:rFonts w:eastAsiaTheme="minorEastAsia" w:cstheme="minorBidi"/>
              <w:noProof/>
              <w:kern w:val="2"/>
              <w:sz w:val="24"/>
              <w:szCs w:val="24"/>
              <w:lang w:val="en-US"/>
            </w:rPr>
          </w:pPr>
          <w:hyperlink w:anchor="_Toc140268441" w:history="1">
            <w:r w:rsidR="006C2DA4" w:rsidRPr="0054497F">
              <w:rPr>
                <w:rStyle w:val="Hyperlink"/>
                <w:rFonts w:ascii="Calibri" w:eastAsia="Calibri" w:hAnsi="Calibri" w:cs="Calibri"/>
                <w:noProof/>
              </w:rPr>
              <w:t>3.3. Analyse de l’allocation de ressources et l’achat de services</w:t>
            </w:r>
            <w:r w:rsidR="006C2DA4">
              <w:rPr>
                <w:noProof/>
                <w:webHidden/>
              </w:rPr>
              <w:tab/>
            </w:r>
            <w:r w:rsidR="009904FE">
              <w:rPr>
                <w:noProof/>
                <w:webHidden/>
              </w:rPr>
              <w:fldChar w:fldCharType="begin"/>
            </w:r>
            <w:r w:rsidR="006C2DA4">
              <w:rPr>
                <w:noProof/>
                <w:webHidden/>
              </w:rPr>
              <w:instrText xml:space="preserve"> PAGEREF _Toc140268441 \h </w:instrText>
            </w:r>
            <w:r w:rsidR="009904FE">
              <w:rPr>
                <w:noProof/>
                <w:webHidden/>
              </w:rPr>
            </w:r>
            <w:r w:rsidR="009904FE">
              <w:rPr>
                <w:noProof/>
                <w:webHidden/>
              </w:rPr>
              <w:fldChar w:fldCharType="separate"/>
            </w:r>
            <w:r w:rsidR="006C2DA4">
              <w:rPr>
                <w:noProof/>
                <w:webHidden/>
              </w:rPr>
              <w:t>12</w:t>
            </w:r>
            <w:r w:rsidR="009904FE">
              <w:rPr>
                <w:noProof/>
                <w:webHidden/>
              </w:rPr>
              <w:fldChar w:fldCharType="end"/>
            </w:r>
          </w:hyperlink>
        </w:p>
        <w:p w14:paraId="1621510E" w14:textId="77777777" w:rsidR="006C2DA4" w:rsidRDefault="00342E28" w:rsidP="006C2DA4">
          <w:pPr>
            <w:pStyle w:val="TOC1"/>
            <w:tabs>
              <w:tab w:val="right" w:leader="dot" w:pos="9350"/>
            </w:tabs>
            <w:rPr>
              <w:rFonts w:eastAsiaTheme="minorEastAsia" w:cstheme="minorBidi"/>
              <w:b w:val="0"/>
              <w:bCs w:val="0"/>
              <w:i w:val="0"/>
              <w:iCs w:val="0"/>
              <w:noProof/>
              <w:kern w:val="2"/>
              <w:lang w:val="en-US"/>
            </w:rPr>
          </w:pPr>
          <w:hyperlink w:anchor="_Toc140268442" w:history="1">
            <w:r w:rsidR="006C2DA4" w:rsidRPr="0054497F">
              <w:rPr>
                <w:rStyle w:val="Hyperlink"/>
                <w:rFonts w:ascii="Calibri" w:eastAsia="Calibri" w:hAnsi="Calibri" w:cs="Calibri"/>
                <w:noProof/>
              </w:rPr>
              <w:t>Chapitre 4 : Stratégie de financement de la santé</w:t>
            </w:r>
            <w:r w:rsidR="006C2DA4">
              <w:rPr>
                <w:noProof/>
                <w:webHidden/>
              </w:rPr>
              <w:tab/>
            </w:r>
            <w:r w:rsidR="009904FE">
              <w:rPr>
                <w:noProof/>
                <w:webHidden/>
              </w:rPr>
              <w:fldChar w:fldCharType="begin"/>
            </w:r>
            <w:r w:rsidR="006C2DA4">
              <w:rPr>
                <w:noProof/>
                <w:webHidden/>
              </w:rPr>
              <w:instrText xml:space="preserve"> PAGEREF _Toc140268442 \h </w:instrText>
            </w:r>
            <w:r w:rsidR="009904FE">
              <w:rPr>
                <w:noProof/>
                <w:webHidden/>
              </w:rPr>
            </w:r>
            <w:r w:rsidR="009904FE">
              <w:rPr>
                <w:noProof/>
                <w:webHidden/>
              </w:rPr>
              <w:fldChar w:fldCharType="separate"/>
            </w:r>
            <w:r w:rsidR="006C2DA4">
              <w:rPr>
                <w:noProof/>
                <w:webHidden/>
              </w:rPr>
              <w:t>18</w:t>
            </w:r>
            <w:r w:rsidR="009904FE">
              <w:rPr>
                <w:noProof/>
                <w:webHidden/>
              </w:rPr>
              <w:fldChar w:fldCharType="end"/>
            </w:r>
          </w:hyperlink>
        </w:p>
        <w:p w14:paraId="172F4BEC" w14:textId="77777777" w:rsidR="006C2DA4" w:rsidRDefault="00342E28" w:rsidP="006C2DA4">
          <w:pPr>
            <w:pStyle w:val="TOC2"/>
            <w:rPr>
              <w:rFonts w:eastAsiaTheme="minorEastAsia" w:cstheme="minorBidi"/>
              <w:noProof/>
              <w:kern w:val="2"/>
              <w:sz w:val="24"/>
              <w:szCs w:val="24"/>
              <w:lang w:val="en-US"/>
            </w:rPr>
          </w:pPr>
          <w:hyperlink w:anchor="_Toc140268443" w:history="1">
            <w:r w:rsidR="006C2DA4" w:rsidRPr="0054497F">
              <w:rPr>
                <w:rStyle w:val="Hyperlink"/>
                <w:rFonts w:ascii="Calibri" w:eastAsia="Calibri" w:hAnsi="Calibri" w:cs="Calibri"/>
                <w:noProof/>
              </w:rPr>
              <w:t>4.1.  Vision</w:t>
            </w:r>
            <w:r w:rsidR="006C2DA4">
              <w:rPr>
                <w:noProof/>
                <w:webHidden/>
              </w:rPr>
              <w:tab/>
            </w:r>
            <w:r w:rsidR="009904FE">
              <w:rPr>
                <w:noProof/>
                <w:webHidden/>
              </w:rPr>
              <w:fldChar w:fldCharType="begin"/>
            </w:r>
            <w:r w:rsidR="006C2DA4">
              <w:rPr>
                <w:noProof/>
                <w:webHidden/>
              </w:rPr>
              <w:instrText xml:space="preserve"> PAGEREF _Toc140268443 \h </w:instrText>
            </w:r>
            <w:r w:rsidR="009904FE">
              <w:rPr>
                <w:noProof/>
                <w:webHidden/>
              </w:rPr>
            </w:r>
            <w:r w:rsidR="009904FE">
              <w:rPr>
                <w:noProof/>
                <w:webHidden/>
              </w:rPr>
              <w:fldChar w:fldCharType="separate"/>
            </w:r>
            <w:r w:rsidR="006C2DA4">
              <w:rPr>
                <w:noProof/>
                <w:webHidden/>
              </w:rPr>
              <w:t>18</w:t>
            </w:r>
            <w:r w:rsidR="009904FE">
              <w:rPr>
                <w:noProof/>
                <w:webHidden/>
              </w:rPr>
              <w:fldChar w:fldCharType="end"/>
            </w:r>
          </w:hyperlink>
        </w:p>
        <w:p w14:paraId="0C805B4E" w14:textId="77777777" w:rsidR="006C2DA4" w:rsidRDefault="00342E28" w:rsidP="006C2DA4">
          <w:pPr>
            <w:pStyle w:val="TOC2"/>
            <w:rPr>
              <w:rFonts w:eastAsiaTheme="minorEastAsia" w:cstheme="minorBidi"/>
              <w:noProof/>
              <w:kern w:val="2"/>
              <w:sz w:val="24"/>
              <w:szCs w:val="24"/>
              <w:lang w:val="en-US"/>
            </w:rPr>
          </w:pPr>
          <w:hyperlink w:anchor="_Toc140268444" w:history="1">
            <w:r w:rsidR="006C2DA4" w:rsidRPr="0054497F">
              <w:rPr>
                <w:rStyle w:val="Hyperlink"/>
                <w:rFonts w:ascii="Calibri" w:eastAsia="Calibri" w:hAnsi="Calibri" w:cs="Calibri"/>
                <w:noProof/>
              </w:rPr>
              <w:t>4.2. Objectifs</w:t>
            </w:r>
            <w:r w:rsidR="006C2DA4">
              <w:rPr>
                <w:noProof/>
                <w:webHidden/>
              </w:rPr>
              <w:tab/>
            </w:r>
            <w:r w:rsidR="009904FE">
              <w:rPr>
                <w:noProof/>
                <w:webHidden/>
              </w:rPr>
              <w:fldChar w:fldCharType="begin"/>
            </w:r>
            <w:r w:rsidR="006C2DA4">
              <w:rPr>
                <w:noProof/>
                <w:webHidden/>
              </w:rPr>
              <w:instrText xml:space="preserve"> PAGEREF _Toc140268444 \h </w:instrText>
            </w:r>
            <w:r w:rsidR="009904FE">
              <w:rPr>
                <w:noProof/>
                <w:webHidden/>
              </w:rPr>
            </w:r>
            <w:r w:rsidR="009904FE">
              <w:rPr>
                <w:noProof/>
                <w:webHidden/>
              </w:rPr>
              <w:fldChar w:fldCharType="separate"/>
            </w:r>
            <w:r w:rsidR="006C2DA4">
              <w:rPr>
                <w:noProof/>
                <w:webHidden/>
              </w:rPr>
              <w:t>18</w:t>
            </w:r>
            <w:r w:rsidR="009904FE">
              <w:rPr>
                <w:noProof/>
                <w:webHidden/>
              </w:rPr>
              <w:fldChar w:fldCharType="end"/>
            </w:r>
          </w:hyperlink>
        </w:p>
        <w:p w14:paraId="333B6626" w14:textId="77777777" w:rsidR="006C2DA4" w:rsidRDefault="00342E28" w:rsidP="006C2DA4">
          <w:pPr>
            <w:pStyle w:val="TOC2"/>
            <w:rPr>
              <w:rFonts w:eastAsiaTheme="minorEastAsia" w:cstheme="minorBidi"/>
              <w:noProof/>
              <w:kern w:val="2"/>
              <w:sz w:val="24"/>
              <w:szCs w:val="24"/>
              <w:lang w:val="en-US"/>
            </w:rPr>
          </w:pPr>
          <w:hyperlink w:anchor="_Toc140268445" w:history="1">
            <w:r w:rsidR="006C2DA4" w:rsidRPr="0054497F">
              <w:rPr>
                <w:rStyle w:val="Hyperlink"/>
                <w:rFonts w:ascii="Calibri" w:eastAsia="Calibri" w:hAnsi="Calibri" w:cs="Calibri"/>
                <w:noProof/>
              </w:rPr>
              <w:t>4.3. Axes stratégiques et principales actions</w:t>
            </w:r>
            <w:r w:rsidR="006C2DA4">
              <w:rPr>
                <w:noProof/>
                <w:webHidden/>
              </w:rPr>
              <w:tab/>
            </w:r>
            <w:r w:rsidR="009904FE">
              <w:rPr>
                <w:noProof/>
                <w:webHidden/>
              </w:rPr>
              <w:fldChar w:fldCharType="begin"/>
            </w:r>
            <w:r w:rsidR="006C2DA4">
              <w:rPr>
                <w:noProof/>
                <w:webHidden/>
              </w:rPr>
              <w:instrText xml:space="preserve"> PAGEREF _Toc140268445 \h </w:instrText>
            </w:r>
            <w:r w:rsidR="009904FE">
              <w:rPr>
                <w:noProof/>
                <w:webHidden/>
              </w:rPr>
            </w:r>
            <w:r w:rsidR="009904FE">
              <w:rPr>
                <w:noProof/>
                <w:webHidden/>
              </w:rPr>
              <w:fldChar w:fldCharType="separate"/>
            </w:r>
            <w:r w:rsidR="006C2DA4">
              <w:rPr>
                <w:noProof/>
                <w:webHidden/>
              </w:rPr>
              <w:t>19</w:t>
            </w:r>
            <w:r w:rsidR="009904FE">
              <w:rPr>
                <w:noProof/>
                <w:webHidden/>
              </w:rPr>
              <w:fldChar w:fldCharType="end"/>
            </w:r>
          </w:hyperlink>
        </w:p>
        <w:p w14:paraId="08CA9D18" w14:textId="77777777" w:rsidR="006C2DA4" w:rsidRDefault="00342E28" w:rsidP="006C2DA4">
          <w:pPr>
            <w:pStyle w:val="TOC1"/>
            <w:tabs>
              <w:tab w:val="right" w:leader="dot" w:pos="9350"/>
            </w:tabs>
            <w:rPr>
              <w:rFonts w:eastAsiaTheme="minorEastAsia" w:cstheme="minorBidi"/>
              <w:b w:val="0"/>
              <w:bCs w:val="0"/>
              <w:i w:val="0"/>
              <w:iCs w:val="0"/>
              <w:noProof/>
              <w:kern w:val="2"/>
              <w:lang w:val="en-US"/>
            </w:rPr>
          </w:pPr>
          <w:hyperlink w:anchor="_Toc140268446" w:history="1">
            <w:r w:rsidR="006C2DA4" w:rsidRPr="0054497F">
              <w:rPr>
                <w:rStyle w:val="Hyperlink"/>
                <w:rFonts w:ascii="Calibri" w:eastAsia="Calibri" w:hAnsi="Calibri" w:cs="Calibri"/>
                <w:noProof/>
              </w:rPr>
              <w:t>Chapitre 5 : Opérationnalisation et suivi évaluation de la SNFS</w:t>
            </w:r>
            <w:r w:rsidR="006C2DA4">
              <w:rPr>
                <w:noProof/>
                <w:webHidden/>
              </w:rPr>
              <w:tab/>
            </w:r>
            <w:r w:rsidR="009904FE">
              <w:rPr>
                <w:noProof/>
                <w:webHidden/>
              </w:rPr>
              <w:fldChar w:fldCharType="begin"/>
            </w:r>
            <w:r w:rsidR="006C2DA4">
              <w:rPr>
                <w:noProof/>
                <w:webHidden/>
              </w:rPr>
              <w:instrText xml:space="preserve"> PAGEREF _Toc140268446 \h </w:instrText>
            </w:r>
            <w:r w:rsidR="009904FE">
              <w:rPr>
                <w:noProof/>
                <w:webHidden/>
              </w:rPr>
            </w:r>
            <w:r w:rsidR="009904FE">
              <w:rPr>
                <w:noProof/>
                <w:webHidden/>
              </w:rPr>
              <w:fldChar w:fldCharType="separate"/>
            </w:r>
            <w:r w:rsidR="006C2DA4">
              <w:rPr>
                <w:noProof/>
                <w:webHidden/>
              </w:rPr>
              <w:t>34</w:t>
            </w:r>
            <w:r w:rsidR="009904FE">
              <w:rPr>
                <w:noProof/>
                <w:webHidden/>
              </w:rPr>
              <w:fldChar w:fldCharType="end"/>
            </w:r>
          </w:hyperlink>
        </w:p>
        <w:p w14:paraId="5FF95AAA" w14:textId="77777777" w:rsidR="006C2DA4" w:rsidRDefault="00342E28" w:rsidP="006C2DA4">
          <w:pPr>
            <w:pStyle w:val="TOC2"/>
            <w:rPr>
              <w:rFonts w:eastAsiaTheme="minorEastAsia" w:cstheme="minorBidi"/>
              <w:noProof/>
              <w:kern w:val="2"/>
              <w:sz w:val="24"/>
              <w:szCs w:val="24"/>
              <w:lang w:val="en-US"/>
            </w:rPr>
          </w:pPr>
          <w:hyperlink w:anchor="_Toc140268447" w:history="1">
            <w:r w:rsidR="006C2DA4" w:rsidRPr="0054497F">
              <w:rPr>
                <w:rStyle w:val="Hyperlink"/>
                <w:rFonts w:ascii="Calibri" w:eastAsia="Calibri" w:hAnsi="Calibri" w:cs="Calibri"/>
                <w:noProof/>
              </w:rPr>
              <w:t>5.1. Dispositif et modalités de mise en œuvre de la SNFS</w:t>
            </w:r>
            <w:r w:rsidR="006C2DA4">
              <w:rPr>
                <w:noProof/>
                <w:webHidden/>
              </w:rPr>
              <w:tab/>
            </w:r>
            <w:r w:rsidR="009904FE">
              <w:rPr>
                <w:noProof/>
                <w:webHidden/>
              </w:rPr>
              <w:fldChar w:fldCharType="begin"/>
            </w:r>
            <w:r w:rsidR="006C2DA4">
              <w:rPr>
                <w:noProof/>
                <w:webHidden/>
              </w:rPr>
              <w:instrText xml:space="preserve"> PAGEREF _Toc140268447 \h </w:instrText>
            </w:r>
            <w:r w:rsidR="009904FE">
              <w:rPr>
                <w:noProof/>
                <w:webHidden/>
              </w:rPr>
            </w:r>
            <w:r w:rsidR="009904FE">
              <w:rPr>
                <w:noProof/>
                <w:webHidden/>
              </w:rPr>
              <w:fldChar w:fldCharType="separate"/>
            </w:r>
            <w:r w:rsidR="006C2DA4">
              <w:rPr>
                <w:noProof/>
                <w:webHidden/>
              </w:rPr>
              <w:t>34</w:t>
            </w:r>
            <w:r w:rsidR="009904FE">
              <w:rPr>
                <w:noProof/>
                <w:webHidden/>
              </w:rPr>
              <w:fldChar w:fldCharType="end"/>
            </w:r>
          </w:hyperlink>
        </w:p>
        <w:p w14:paraId="7C180764" w14:textId="77777777" w:rsidR="006C2DA4" w:rsidRDefault="00342E28" w:rsidP="006C2DA4">
          <w:pPr>
            <w:pStyle w:val="TOC2"/>
            <w:rPr>
              <w:rFonts w:eastAsiaTheme="minorEastAsia" w:cstheme="minorBidi"/>
              <w:noProof/>
              <w:kern w:val="2"/>
              <w:sz w:val="24"/>
              <w:szCs w:val="24"/>
              <w:lang w:val="en-US"/>
            </w:rPr>
          </w:pPr>
          <w:hyperlink w:anchor="_Toc140268448" w:history="1">
            <w:r w:rsidR="006C2DA4" w:rsidRPr="0054497F">
              <w:rPr>
                <w:rStyle w:val="Hyperlink"/>
                <w:rFonts w:ascii="Calibri" w:eastAsia="Calibri" w:hAnsi="Calibri" w:cs="Calibri"/>
                <w:noProof/>
              </w:rPr>
              <w:t>5.2. Dispositif de coordination et de suivi et évaluation de la SNFS</w:t>
            </w:r>
            <w:r w:rsidR="006C2DA4">
              <w:rPr>
                <w:noProof/>
                <w:webHidden/>
              </w:rPr>
              <w:tab/>
            </w:r>
            <w:r w:rsidR="009904FE">
              <w:rPr>
                <w:noProof/>
                <w:webHidden/>
              </w:rPr>
              <w:fldChar w:fldCharType="begin"/>
            </w:r>
            <w:r w:rsidR="006C2DA4">
              <w:rPr>
                <w:noProof/>
                <w:webHidden/>
              </w:rPr>
              <w:instrText xml:space="preserve"> PAGEREF _Toc140268448 \h </w:instrText>
            </w:r>
            <w:r w:rsidR="009904FE">
              <w:rPr>
                <w:noProof/>
                <w:webHidden/>
              </w:rPr>
            </w:r>
            <w:r w:rsidR="009904FE">
              <w:rPr>
                <w:noProof/>
                <w:webHidden/>
              </w:rPr>
              <w:fldChar w:fldCharType="separate"/>
            </w:r>
            <w:r w:rsidR="006C2DA4">
              <w:rPr>
                <w:noProof/>
                <w:webHidden/>
              </w:rPr>
              <w:t>35</w:t>
            </w:r>
            <w:r w:rsidR="009904FE">
              <w:rPr>
                <w:noProof/>
                <w:webHidden/>
              </w:rPr>
              <w:fldChar w:fldCharType="end"/>
            </w:r>
          </w:hyperlink>
        </w:p>
        <w:p w14:paraId="40E08D26" w14:textId="77777777" w:rsidR="006C2DA4" w:rsidRDefault="00342E28" w:rsidP="006C2DA4">
          <w:pPr>
            <w:pStyle w:val="TOC2"/>
            <w:rPr>
              <w:rFonts w:eastAsiaTheme="minorEastAsia" w:cstheme="minorBidi"/>
              <w:noProof/>
              <w:kern w:val="2"/>
              <w:sz w:val="24"/>
              <w:szCs w:val="24"/>
              <w:lang w:val="en-US"/>
            </w:rPr>
          </w:pPr>
          <w:hyperlink w:anchor="_Toc140268449" w:history="1">
            <w:r w:rsidR="006C2DA4" w:rsidRPr="0054497F">
              <w:rPr>
                <w:rStyle w:val="Hyperlink"/>
                <w:rFonts w:ascii="Calibri" w:eastAsia="Calibri" w:hAnsi="Calibri" w:cs="Calibri"/>
                <w:noProof/>
              </w:rPr>
              <w:t>5.3. Conditions de succès et risques</w:t>
            </w:r>
            <w:r w:rsidR="006C2DA4">
              <w:rPr>
                <w:noProof/>
                <w:webHidden/>
              </w:rPr>
              <w:tab/>
            </w:r>
            <w:r w:rsidR="009904FE">
              <w:rPr>
                <w:noProof/>
                <w:webHidden/>
              </w:rPr>
              <w:fldChar w:fldCharType="begin"/>
            </w:r>
            <w:r w:rsidR="006C2DA4">
              <w:rPr>
                <w:noProof/>
                <w:webHidden/>
              </w:rPr>
              <w:instrText xml:space="preserve"> PAGEREF _Toc140268449 \h </w:instrText>
            </w:r>
            <w:r w:rsidR="009904FE">
              <w:rPr>
                <w:noProof/>
                <w:webHidden/>
              </w:rPr>
            </w:r>
            <w:r w:rsidR="009904FE">
              <w:rPr>
                <w:noProof/>
                <w:webHidden/>
              </w:rPr>
              <w:fldChar w:fldCharType="separate"/>
            </w:r>
            <w:r w:rsidR="006C2DA4">
              <w:rPr>
                <w:noProof/>
                <w:webHidden/>
              </w:rPr>
              <w:t>37</w:t>
            </w:r>
            <w:r w:rsidR="009904FE">
              <w:rPr>
                <w:noProof/>
                <w:webHidden/>
              </w:rPr>
              <w:fldChar w:fldCharType="end"/>
            </w:r>
          </w:hyperlink>
        </w:p>
        <w:p w14:paraId="0193D488" w14:textId="77777777" w:rsidR="006C2DA4" w:rsidRDefault="00342E28" w:rsidP="006C2DA4">
          <w:pPr>
            <w:pStyle w:val="TOC1"/>
            <w:tabs>
              <w:tab w:val="right" w:leader="dot" w:pos="9350"/>
            </w:tabs>
            <w:rPr>
              <w:rFonts w:eastAsiaTheme="minorEastAsia" w:cstheme="minorBidi"/>
              <w:b w:val="0"/>
              <w:bCs w:val="0"/>
              <w:i w:val="0"/>
              <w:iCs w:val="0"/>
              <w:noProof/>
              <w:kern w:val="2"/>
              <w:lang w:val="en-US"/>
            </w:rPr>
          </w:pPr>
          <w:hyperlink w:anchor="_Toc140268450" w:history="1">
            <w:r w:rsidR="006C2DA4" w:rsidRPr="0054497F">
              <w:rPr>
                <w:rStyle w:val="Hyperlink"/>
                <w:rFonts w:ascii="Calibri" w:eastAsia="Calibri" w:hAnsi="Calibri" w:cs="Calibri"/>
                <w:noProof/>
              </w:rPr>
              <w:t>Glossaire d’abréviations</w:t>
            </w:r>
            <w:r w:rsidR="006C2DA4">
              <w:rPr>
                <w:noProof/>
                <w:webHidden/>
              </w:rPr>
              <w:tab/>
            </w:r>
            <w:r w:rsidR="009904FE">
              <w:rPr>
                <w:noProof/>
                <w:webHidden/>
              </w:rPr>
              <w:fldChar w:fldCharType="begin"/>
            </w:r>
            <w:r w:rsidR="006C2DA4">
              <w:rPr>
                <w:noProof/>
                <w:webHidden/>
              </w:rPr>
              <w:instrText xml:space="preserve"> PAGEREF _Toc140268450 \h </w:instrText>
            </w:r>
            <w:r w:rsidR="009904FE">
              <w:rPr>
                <w:noProof/>
                <w:webHidden/>
              </w:rPr>
            </w:r>
            <w:r w:rsidR="009904FE">
              <w:rPr>
                <w:noProof/>
                <w:webHidden/>
              </w:rPr>
              <w:fldChar w:fldCharType="separate"/>
            </w:r>
            <w:r w:rsidR="006C2DA4">
              <w:rPr>
                <w:noProof/>
                <w:webHidden/>
              </w:rPr>
              <w:t>3</w:t>
            </w:r>
            <w:r w:rsidR="009904FE">
              <w:rPr>
                <w:noProof/>
                <w:webHidden/>
              </w:rPr>
              <w:fldChar w:fldCharType="end"/>
            </w:r>
          </w:hyperlink>
        </w:p>
        <w:p w14:paraId="1F4D2433" w14:textId="77777777" w:rsidR="006C2DA4" w:rsidRDefault="00342E28" w:rsidP="006C2DA4">
          <w:pPr>
            <w:pStyle w:val="TOC1"/>
            <w:tabs>
              <w:tab w:val="right" w:leader="dot" w:pos="9350"/>
            </w:tabs>
            <w:rPr>
              <w:rFonts w:eastAsiaTheme="minorEastAsia" w:cstheme="minorBidi"/>
              <w:b w:val="0"/>
              <w:bCs w:val="0"/>
              <w:i w:val="0"/>
              <w:iCs w:val="0"/>
              <w:noProof/>
              <w:kern w:val="2"/>
              <w:lang w:val="en-US"/>
            </w:rPr>
          </w:pPr>
          <w:hyperlink w:anchor="_Toc140268451" w:history="1">
            <w:r w:rsidR="006C2DA4" w:rsidRPr="0054497F">
              <w:rPr>
                <w:rStyle w:val="Hyperlink"/>
                <w:rFonts w:ascii="Calibri" w:eastAsia="Calibri" w:hAnsi="Calibri" w:cs="Calibri"/>
                <w:noProof/>
              </w:rPr>
              <w:t>Bibliographie</w:t>
            </w:r>
            <w:r w:rsidR="006C2DA4">
              <w:rPr>
                <w:noProof/>
                <w:webHidden/>
              </w:rPr>
              <w:tab/>
            </w:r>
            <w:r w:rsidR="009904FE">
              <w:rPr>
                <w:noProof/>
                <w:webHidden/>
              </w:rPr>
              <w:fldChar w:fldCharType="begin"/>
            </w:r>
            <w:r w:rsidR="006C2DA4">
              <w:rPr>
                <w:noProof/>
                <w:webHidden/>
              </w:rPr>
              <w:instrText xml:space="preserve"> PAGEREF _Toc140268451 \h </w:instrText>
            </w:r>
            <w:r w:rsidR="009904FE">
              <w:rPr>
                <w:noProof/>
                <w:webHidden/>
              </w:rPr>
            </w:r>
            <w:r w:rsidR="009904FE">
              <w:rPr>
                <w:noProof/>
                <w:webHidden/>
              </w:rPr>
              <w:fldChar w:fldCharType="separate"/>
            </w:r>
            <w:r w:rsidR="006C2DA4">
              <w:rPr>
                <w:noProof/>
                <w:webHidden/>
              </w:rPr>
              <w:t>38</w:t>
            </w:r>
            <w:r w:rsidR="009904FE">
              <w:rPr>
                <w:noProof/>
                <w:webHidden/>
              </w:rPr>
              <w:fldChar w:fldCharType="end"/>
            </w:r>
          </w:hyperlink>
        </w:p>
        <w:p w14:paraId="6D72743E" w14:textId="77777777" w:rsidR="006C2DA4" w:rsidRPr="00D636C4" w:rsidRDefault="009904FE" w:rsidP="006C2DA4">
          <w:r w:rsidRPr="00D636C4">
            <w:rPr>
              <w:b/>
              <w:bCs/>
              <w:noProof/>
            </w:rPr>
            <w:fldChar w:fldCharType="end"/>
          </w:r>
        </w:p>
      </w:sdtContent>
    </w:sdt>
    <w:p w14:paraId="5AE2714F" w14:textId="77777777" w:rsidR="006C2DA4" w:rsidRPr="00D636C4" w:rsidRDefault="006C2DA4" w:rsidP="006C2DA4">
      <w:pPr>
        <w:rPr>
          <w:rFonts w:ascii="Calibri" w:eastAsia="Calibri" w:hAnsi="Calibri" w:cs="Calibri"/>
          <w:b/>
        </w:rPr>
      </w:pPr>
      <w:r w:rsidRPr="00D636C4">
        <w:rPr>
          <w:rFonts w:ascii="Calibri" w:eastAsia="Calibri" w:hAnsi="Calibri" w:cs="Calibri"/>
          <w:b/>
        </w:rPr>
        <w:t xml:space="preserve"> </w:t>
      </w:r>
    </w:p>
    <w:p w14:paraId="3C21D2D2" w14:textId="77777777" w:rsidR="006C2DA4" w:rsidRPr="00D636C4" w:rsidRDefault="006C2DA4" w:rsidP="006C2DA4">
      <w:pPr>
        <w:spacing w:before="60"/>
        <w:rPr>
          <w:rFonts w:ascii="Calibri" w:eastAsia="Calibri" w:hAnsi="Calibri" w:cs="Calibri"/>
        </w:rPr>
      </w:pPr>
      <w:r w:rsidRPr="00D636C4">
        <w:rPr>
          <w:rFonts w:ascii="Calibri" w:eastAsia="Calibri" w:hAnsi="Calibri" w:cs="Calibri"/>
        </w:rPr>
        <w:t xml:space="preserve"> </w:t>
      </w:r>
    </w:p>
    <w:p w14:paraId="78A18413" w14:textId="77777777" w:rsidR="006C2DA4" w:rsidRPr="00D636C4" w:rsidRDefault="006C2DA4" w:rsidP="006C2DA4">
      <w:pPr>
        <w:pStyle w:val="Heading1"/>
        <w:keepNext w:val="0"/>
        <w:keepLines w:val="0"/>
        <w:spacing w:before="480"/>
        <w:rPr>
          <w:rFonts w:ascii="Calibri" w:eastAsia="Calibri" w:hAnsi="Calibri" w:cs="Calibri"/>
          <w:b/>
          <w:color w:val="2F5496"/>
          <w:sz w:val="30"/>
          <w:szCs w:val="30"/>
        </w:rPr>
      </w:pPr>
      <w:bookmarkStart w:id="1" w:name="_z70tw3y33ysd" w:colFirst="0" w:colLast="0"/>
      <w:bookmarkStart w:id="2" w:name="_9z27wwlqpfld" w:colFirst="0" w:colLast="0"/>
      <w:bookmarkEnd w:id="1"/>
      <w:bookmarkEnd w:id="2"/>
      <w:r w:rsidRPr="00D636C4">
        <w:br w:type="page"/>
      </w:r>
    </w:p>
    <w:p w14:paraId="6754B92C" w14:textId="77777777" w:rsidR="006C2DA4" w:rsidRPr="00D636C4" w:rsidRDefault="006C2DA4" w:rsidP="006C2DA4">
      <w:pPr>
        <w:pStyle w:val="Heading1"/>
        <w:keepNext w:val="0"/>
        <w:keepLines w:val="0"/>
        <w:spacing w:before="480"/>
        <w:rPr>
          <w:rFonts w:ascii="Calibri" w:eastAsia="Calibri" w:hAnsi="Calibri" w:cs="Calibri"/>
          <w:b/>
          <w:color w:val="2F5496"/>
          <w:sz w:val="30"/>
          <w:szCs w:val="30"/>
        </w:rPr>
      </w:pPr>
      <w:bookmarkStart w:id="3" w:name="_Toc140268450"/>
      <w:bookmarkStart w:id="4" w:name="_Toc137847483"/>
      <w:bookmarkStart w:id="5" w:name="_Toc140268431"/>
      <w:r w:rsidRPr="00D636C4">
        <w:rPr>
          <w:rFonts w:ascii="Calibri" w:eastAsia="Calibri" w:hAnsi="Calibri" w:cs="Calibri"/>
          <w:b/>
          <w:color w:val="2F5496"/>
          <w:sz w:val="30"/>
          <w:szCs w:val="30"/>
        </w:rPr>
        <w:lastRenderedPageBreak/>
        <w:t>Glossaire d’abréviations</w:t>
      </w:r>
      <w:bookmarkEnd w:id="3"/>
      <w:r w:rsidRPr="00D636C4">
        <w:rPr>
          <w:rFonts w:ascii="Calibri" w:eastAsia="Calibri" w:hAnsi="Calibri" w:cs="Calibri"/>
          <w:b/>
          <w:color w:val="2F5496"/>
          <w:sz w:val="30"/>
          <w:szCs w:val="30"/>
        </w:rPr>
        <w:t xml:space="preserve"> </w:t>
      </w:r>
    </w:p>
    <w:p w14:paraId="3850B8F5" w14:textId="77777777" w:rsidR="006C2DA4" w:rsidRPr="00D636C4" w:rsidRDefault="006C2DA4" w:rsidP="006C2DA4">
      <w:pPr>
        <w:rPr>
          <w:rFonts w:ascii="Calibri" w:eastAsia="Calibri" w:hAnsi="Calibri" w:cs="Calibri"/>
          <w:sz w:val="20"/>
          <w:szCs w:val="20"/>
        </w:rPr>
      </w:pPr>
    </w:p>
    <w:tbl>
      <w:tblPr>
        <w:tblStyle w:val="Tableausimple41"/>
        <w:tblW w:w="8856" w:type="dxa"/>
        <w:tblLayout w:type="fixed"/>
        <w:tblLook w:val="04A0" w:firstRow="1" w:lastRow="0" w:firstColumn="1" w:lastColumn="0" w:noHBand="0" w:noVBand="1"/>
      </w:tblPr>
      <w:tblGrid>
        <w:gridCol w:w="1620"/>
        <w:gridCol w:w="7236"/>
      </w:tblGrid>
      <w:tr w:rsidR="006C2DA4" w:rsidRPr="00D636C4" w14:paraId="742226CA" w14:textId="77777777" w:rsidTr="00980A9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0BD45F08" w14:textId="77777777" w:rsidR="006C2DA4" w:rsidRPr="00D636C4" w:rsidRDefault="006C2DA4" w:rsidP="00980A9B">
            <w:pPr>
              <w:autoSpaceDE w:val="0"/>
              <w:autoSpaceDN w:val="0"/>
              <w:adjustRightInd w:val="0"/>
              <w:rPr>
                <w:rFonts w:asciiTheme="majorHAnsi" w:hAnsiTheme="majorHAnsi" w:cstheme="majorHAnsi"/>
                <w:sz w:val="22"/>
                <w:szCs w:val="22"/>
                <w:lang w:val="fr-FR"/>
              </w:rPr>
            </w:pPr>
            <w:r w:rsidRPr="00D636C4">
              <w:rPr>
                <w:rFonts w:asciiTheme="majorHAnsi" w:hAnsiTheme="majorHAnsi" w:cstheme="majorHAnsi"/>
                <w:sz w:val="22"/>
                <w:szCs w:val="22"/>
                <w:lang w:val="fr-FR"/>
              </w:rPr>
              <w:t xml:space="preserve">AMO  </w:t>
            </w:r>
          </w:p>
        </w:tc>
        <w:tc>
          <w:tcPr>
            <w:tcW w:w="7236" w:type="dxa"/>
            <w:shd w:val="clear" w:color="auto" w:fill="auto"/>
            <w:noWrap/>
          </w:tcPr>
          <w:p w14:paraId="6D4E6914" w14:textId="77777777" w:rsidR="006C2DA4" w:rsidRPr="00D636C4" w:rsidRDefault="006C2DA4" w:rsidP="00980A9B">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sz w:val="22"/>
                <w:szCs w:val="22"/>
                <w:lang w:val="fr-FR"/>
              </w:rPr>
            </w:pPr>
            <w:r w:rsidRPr="00D636C4">
              <w:rPr>
                <w:rFonts w:asciiTheme="majorHAnsi" w:hAnsiTheme="majorHAnsi" w:cstheme="majorHAnsi"/>
                <w:b w:val="0"/>
                <w:bCs w:val="0"/>
                <w:sz w:val="22"/>
                <w:szCs w:val="22"/>
                <w:lang w:val="fr-FR"/>
              </w:rPr>
              <w:t>Assurance Médicale Obligatoire</w:t>
            </w:r>
          </w:p>
        </w:tc>
      </w:tr>
      <w:tr w:rsidR="006C2DA4" w:rsidRPr="00D636C4" w14:paraId="390B1BE2"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5D36FD68"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AMU</w:t>
            </w:r>
          </w:p>
        </w:tc>
        <w:tc>
          <w:tcPr>
            <w:tcW w:w="7236" w:type="dxa"/>
            <w:shd w:val="clear" w:color="auto" w:fill="auto"/>
            <w:noWrap/>
          </w:tcPr>
          <w:p w14:paraId="21A45986"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Assurance Médicale Universelle</w:t>
            </w:r>
          </w:p>
        </w:tc>
      </w:tr>
      <w:tr w:rsidR="006C2DA4" w:rsidRPr="00D636C4" w14:paraId="5212B9EF"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7A397B66"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AMV</w:t>
            </w:r>
          </w:p>
        </w:tc>
        <w:tc>
          <w:tcPr>
            <w:tcW w:w="7236" w:type="dxa"/>
            <w:shd w:val="clear" w:color="auto" w:fill="auto"/>
            <w:noWrap/>
          </w:tcPr>
          <w:p w14:paraId="0A3FF124"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Assurance Médicale Volontaire</w:t>
            </w:r>
          </w:p>
        </w:tc>
      </w:tr>
      <w:tr w:rsidR="006C2DA4" w:rsidRPr="00D636C4" w14:paraId="1F009E87"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3373E715"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ASC</w:t>
            </w:r>
          </w:p>
        </w:tc>
        <w:tc>
          <w:tcPr>
            <w:tcW w:w="7236" w:type="dxa"/>
            <w:shd w:val="clear" w:color="auto" w:fill="auto"/>
            <w:noWrap/>
          </w:tcPr>
          <w:p w14:paraId="0074E1A1"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lang w:val="fr-FR"/>
              </w:rPr>
            </w:pPr>
            <w:r w:rsidRPr="00D636C4">
              <w:rPr>
                <w:rFonts w:asciiTheme="majorHAnsi" w:hAnsiTheme="majorHAnsi" w:cstheme="majorHAnsi"/>
                <w:sz w:val="22"/>
                <w:szCs w:val="22"/>
                <w:lang w:val="fr-FR"/>
              </w:rPr>
              <w:t>Agent de santé communautaire</w:t>
            </w:r>
          </w:p>
        </w:tc>
      </w:tr>
      <w:tr w:rsidR="006C2DA4" w:rsidRPr="00D636C4" w14:paraId="48B3F950"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75CE6DFE"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BBP</w:t>
            </w:r>
          </w:p>
        </w:tc>
        <w:tc>
          <w:tcPr>
            <w:tcW w:w="7236" w:type="dxa"/>
            <w:shd w:val="clear" w:color="auto" w:fill="auto"/>
            <w:noWrap/>
          </w:tcPr>
          <w:p w14:paraId="0B5EA386"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Budget Basé sur les Programmes</w:t>
            </w:r>
          </w:p>
        </w:tc>
      </w:tr>
      <w:tr w:rsidR="006C2DA4" w:rsidRPr="00D636C4" w14:paraId="0DC00792"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3B703D4B"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CAS</w:t>
            </w:r>
          </w:p>
        </w:tc>
        <w:tc>
          <w:tcPr>
            <w:tcW w:w="7236" w:type="dxa"/>
            <w:shd w:val="clear" w:color="auto" w:fill="auto"/>
            <w:noWrap/>
          </w:tcPr>
          <w:p w14:paraId="5BEC27CF"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 xml:space="preserve">Compte d’Affectation Spécial </w:t>
            </w:r>
          </w:p>
        </w:tc>
      </w:tr>
      <w:tr w:rsidR="006C2DA4" w:rsidRPr="00D636C4" w14:paraId="742CE71A"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1AEF1793"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CS</w:t>
            </w:r>
          </w:p>
        </w:tc>
        <w:tc>
          <w:tcPr>
            <w:tcW w:w="7236" w:type="dxa"/>
            <w:shd w:val="clear" w:color="auto" w:fill="auto"/>
            <w:noWrap/>
          </w:tcPr>
          <w:p w14:paraId="61682A55"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Centre de Santé</w:t>
            </w:r>
          </w:p>
        </w:tc>
      </w:tr>
      <w:tr w:rsidR="006C2DA4" w:rsidRPr="00D636C4" w14:paraId="5D471DF1"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79AAC3AF"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CDS</w:t>
            </w:r>
          </w:p>
        </w:tc>
        <w:tc>
          <w:tcPr>
            <w:tcW w:w="7236" w:type="dxa"/>
            <w:shd w:val="clear" w:color="auto" w:fill="auto"/>
            <w:noWrap/>
          </w:tcPr>
          <w:p w14:paraId="2721F880"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Cellule de Développement Sanitaire</w:t>
            </w:r>
          </w:p>
        </w:tc>
      </w:tr>
      <w:tr w:rsidR="006C2DA4" w:rsidRPr="00D636C4" w14:paraId="0BFFCED0"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0C547F6B"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CBMT</w:t>
            </w:r>
          </w:p>
        </w:tc>
        <w:tc>
          <w:tcPr>
            <w:tcW w:w="7236" w:type="dxa"/>
            <w:shd w:val="clear" w:color="auto" w:fill="auto"/>
            <w:noWrap/>
          </w:tcPr>
          <w:p w14:paraId="20A8EFAF"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Cadre Budgétaire à Moyen Terme</w:t>
            </w:r>
          </w:p>
        </w:tc>
      </w:tr>
      <w:tr w:rsidR="006C2DA4" w:rsidRPr="00D636C4" w14:paraId="50A6DBF3"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6FADCAEA"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CDMT</w:t>
            </w:r>
          </w:p>
        </w:tc>
        <w:tc>
          <w:tcPr>
            <w:tcW w:w="7236" w:type="dxa"/>
            <w:shd w:val="clear" w:color="auto" w:fill="auto"/>
            <w:noWrap/>
          </w:tcPr>
          <w:p w14:paraId="794E6C8A"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Cadre de Dépense à Moyen Terme</w:t>
            </w:r>
          </w:p>
        </w:tc>
      </w:tr>
      <w:tr w:rsidR="006C2DA4" w:rsidRPr="00D636C4" w14:paraId="726F423D"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2C50CFD2"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CNAM</w:t>
            </w:r>
          </w:p>
        </w:tc>
        <w:tc>
          <w:tcPr>
            <w:tcW w:w="7236" w:type="dxa"/>
            <w:shd w:val="clear" w:color="auto" w:fill="auto"/>
            <w:noWrap/>
          </w:tcPr>
          <w:p w14:paraId="33417D43"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Caisse Nationale d'Assurance Maladie </w:t>
            </w:r>
          </w:p>
        </w:tc>
      </w:tr>
      <w:tr w:rsidR="006C2DA4" w:rsidRPr="00D636C4" w14:paraId="6A09EFE4"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314D0244"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CNASS</w:t>
            </w:r>
          </w:p>
        </w:tc>
        <w:tc>
          <w:tcPr>
            <w:tcW w:w="7236" w:type="dxa"/>
            <w:shd w:val="clear" w:color="auto" w:fill="auto"/>
            <w:noWrap/>
          </w:tcPr>
          <w:p w14:paraId="725CB7F4"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Caisse Nationale de Solidarité en Santé</w:t>
            </w:r>
          </w:p>
        </w:tc>
      </w:tr>
      <w:tr w:rsidR="006C2DA4" w:rsidRPr="00D636C4" w14:paraId="33042EF8"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1A44FF88"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COSA</w:t>
            </w:r>
          </w:p>
        </w:tc>
        <w:tc>
          <w:tcPr>
            <w:tcW w:w="7236" w:type="dxa"/>
            <w:shd w:val="clear" w:color="auto" w:fill="auto"/>
            <w:noWrap/>
          </w:tcPr>
          <w:p w14:paraId="640BC7FD"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Comité de Santé</w:t>
            </w:r>
          </w:p>
        </w:tc>
      </w:tr>
      <w:tr w:rsidR="006C2DA4" w:rsidRPr="00D636C4" w14:paraId="33363C8A"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428AB5D0"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CSU</w:t>
            </w:r>
          </w:p>
        </w:tc>
        <w:tc>
          <w:tcPr>
            <w:tcW w:w="7236" w:type="dxa"/>
            <w:shd w:val="clear" w:color="auto" w:fill="auto"/>
            <w:noWrap/>
          </w:tcPr>
          <w:p w14:paraId="5E6DBE9C"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Couverture Sanitaire Universelle</w:t>
            </w:r>
          </w:p>
        </w:tc>
      </w:tr>
      <w:tr w:rsidR="006C2DA4" w:rsidRPr="00D636C4" w14:paraId="59CF3B69"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42BD5A1E"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DGRP</w:t>
            </w:r>
          </w:p>
        </w:tc>
        <w:tc>
          <w:tcPr>
            <w:tcW w:w="7236" w:type="dxa"/>
            <w:shd w:val="clear" w:color="auto" w:fill="auto"/>
            <w:noWrap/>
          </w:tcPr>
          <w:p w14:paraId="7536FE85"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Direction Générale de la Régulation et de la Planification</w:t>
            </w:r>
          </w:p>
        </w:tc>
      </w:tr>
      <w:tr w:rsidR="006C2DA4" w:rsidRPr="00D636C4" w14:paraId="1B9366E5"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7E271829"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DGSP</w:t>
            </w:r>
          </w:p>
        </w:tc>
        <w:tc>
          <w:tcPr>
            <w:tcW w:w="7236" w:type="dxa"/>
            <w:shd w:val="clear" w:color="auto" w:fill="auto"/>
            <w:noWrap/>
          </w:tcPr>
          <w:p w14:paraId="3CD6E81D"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 xml:space="preserve">Direction Générale de la </w:t>
            </w:r>
            <w:r>
              <w:rPr>
                <w:rFonts w:asciiTheme="majorHAnsi" w:hAnsiTheme="majorHAnsi" w:cstheme="majorHAnsi"/>
                <w:color w:val="000000"/>
                <w:sz w:val="22"/>
                <w:szCs w:val="22"/>
                <w:lang w:val="fr-FR"/>
              </w:rPr>
              <w:t xml:space="preserve">Santé </w:t>
            </w:r>
            <w:r w:rsidRPr="00D636C4">
              <w:rPr>
                <w:rFonts w:asciiTheme="majorHAnsi" w:hAnsiTheme="majorHAnsi" w:cstheme="majorHAnsi"/>
                <w:color w:val="000000"/>
                <w:sz w:val="22"/>
                <w:szCs w:val="22"/>
                <w:lang w:val="fr-FR"/>
              </w:rPr>
              <w:t xml:space="preserve"> Publique</w:t>
            </w:r>
          </w:p>
        </w:tc>
      </w:tr>
      <w:tr w:rsidR="006C2DA4" w:rsidRPr="00D636C4" w14:paraId="1B482AC2" w14:textId="77777777" w:rsidTr="00980A9B">
        <w:trPr>
          <w:trHeight w:val="171"/>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00DF282D"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FBR / FBP</w:t>
            </w:r>
          </w:p>
        </w:tc>
        <w:tc>
          <w:tcPr>
            <w:tcW w:w="7236" w:type="dxa"/>
            <w:shd w:val="clear" w:color="auto" w:fill="auto"/>
            <w:noWrap/>
          </w:tcPr>
          <w:p w14:paraId="0C14F6AE"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Financement Basé sur les Résultats / Financement Basé sur la Performance</w:t>
            </w:r>
          </w:p>
        </w:tc>
      </w:tr>
      <w:tr w:rsidR="006C2DA4" w:rsidRPr="00D636C4" w14:paraId="62AD51A4"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3A9D26A3"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FMI</w:t>
            </w:r>
          </w:p>
        </w:tc>
        <w:tc>
          <w:tcPr>
            <w:tcW w:w="7236" w:type="dxa"/>
            <w:shd w:val="clear" w:color="auto" w:fill="auto"/>
            <w:noWrap/>
          </w:tcPr>
          <w:p w14:paraId="39E0085B"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Fonds Monétaire International</w:t>
            </w:r>
          </w:p>
        </w:tc>
      </w:tr>
      <w:tr w:rsidR="006C2DA4" w:rsidRPr="00D636C4" w14:paraId="59A61AFA"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2E21DE77" w14:textId="77777777" w:rsidR="006C2DA4" w:rsidRDefault="006C2DA4" w:rsidP="00980A9B">
            <w:pPr>
              <w:autoSpaceDE w:val="0"/>
              <w:autoSpaceDN w:val="0"/>
              <w:adjustRightInd w:val="0"/>
              <w:rPr>
                <w:rFonts w:asciiTheme="majorHAnsi" w:hAnsiTheme="majorHAnsi" w:cstheme="majorHAnsi"/>
                <w:b w:val="0"/>
                <w:bCs w:val="0"/>
                <w:sz w:val="22"/>
                <w:szCs w:val="22"/>
                <w:lang w:val="fr-FR"/>
              </w:rPr>
            </w:pPr>
            <w:r w:rsidRPr="00D636C4">
              <w:rPr>
                <w:rFonts w:asciiTheme="majorHAnsi" w:hAnsiTheme="majorHAnsi" w:cstheme="majorHAnsi"/>
                <w:sz w:val="22"/>
                <w:szCs w:val="22"/>
                <w:lang w:val="fr-FR"/>
              </w:rPr>
              <w:t>FOSA</w:t>
            </w:r>
          </w:p>
          <w:p w14:paraId="6460458F" w14:textId="77777777" w:rsidR="006C2DA4" w:rsidRPr="00D636C4" w:rsidRDefault="006C2DA4" w:rsidP="00980A9B">
            <w:pPr>
              <w:autoSpaceDE w:val="0"/>
              <w:autoSpaceDN w:val="0"/>
              <w:adjustRightInd w:val="0"/>
              <w:rPr>
                <w:rFonts w:asciiTheme="majorHAnsi" w:hAnsiTheme="majorHAnsi" w:cstheme="majorHAnsi"/>
                <w:sz w:val="22"/>
                <w:szCs w:val="22"/>
                <w:lang w:val="fr-FR"/>
              </w:rPr>
            </w:pPr>
            <w:r>
              <w:rPr>
                <w:rFonts w:asciiTheme="majorHAnsi" w:hAnsiTheme="majorHAnsi" w:cstheme="majorHAnsi"/>
                <w:sz w:val="22"/>
                <w:szCs w:val="22"/>
                <w:lang w:val="fr-FR"/>
              </w:rPr>
              <w:t>GFF</w:t>
            </w:r>
          </w:p>
        </w:tc>
        <w:tc>
          <w:tcPr>
            <w:tcW w:w="7236" w:type="dxa"/>
            <w:shd w:val="clear" w:color="auto" w:fill="auto"/>
            <w:noWrap/>
          </w:tcPr>
          <w:p w14:paraId="5C595FFB" w14:textId="77777777" w:rsidR="006C2DA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FR"/>
              </w:rPr>
            </w:pPr>
            <w:r w:rsidRPr="00D636C4">
              <w:rPr>
                <w:rFonts w:asciiTheme="majorHAnsi" w:hAnsiTheme="majorHAnsi" w:cstheme="majorHAnsi"/>
                <w:sz w:val="22"/>
                <w:szCs w:val="22"/>
                <w:lang w:val="fr-FR"/>
              </w:rPr>
              <w:t>Formation sanitaire</w:t>
            </w:r>
          </w:p>
          <w:p w14:paraId="6BC402A3"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Pr>
                <w:rFonts w:asciiTheme="majorHAnsi" w:hAnsiTheme="majorHAnsi" w:cstheme="majorHAnsi"/>
                <w:color w:val="000000"/>
                <w:sz w:val="22"/>
                <w:szCs w:val="22"/>
                <w:lang w:val="fr-FR"/>
              </w:rPr>
              <w:t xml:space="preserve">Global </w:t>
            </w:r>
            <w:proofErr w:type="spellStart"/>
            <w:r>
              <w:rPr>
                <w:rFonts w:asciiTheme="majorHAnsi" w:hAnsiTheme="majorHAnsi" w:cstheme="majorHAnsi"/>
                <w:color w:val="000000"/>
                <w:sz w:val="22"/>
                <w:szCs w:val="22"/>
                <w:lang w:val="fr-FR"/>
              </w:rPr>
              <w:t>Financing</w:t>
            </w:r>
            <w:proofErr w:type="spellEnd"/>
            <w:r>
              <w:rPr>
                <w:rFonts w:asciiTheme="majorHAnsi" w:hAnsiTheme="majorHAnsi" w:cstheme="majorHAnsi"/>
                <w:color w:val="000000"/>
                <w:sz w:val="22"/>
                <w:szCs w:val="22"/>
                <w:lang w:val="fr-FR"/>
              </w:rPr>
              <w:t xml:space="preserve"> Facility</w:t>
            </w:r>
          </w:p>
        </w:tc>
      </w:tr>
      <w:tr w:rsidR="006C2DA4" w:rsidRPr="00D636C4" w14:paraId="313300EC"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5465DB16"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GFP</w:t>
            </w:r>
          </w:p>
        </w:tc>
        <w:tc>
          <w:tcPr>
            <w:tcW w:w="7236" w:type="dxa"/>
            <w:shd w:val="clear" w:color="auto" w:fill="auto"/>
            <w:noWrap/>
          </w:tcPr>
          <w:p w14:paraId="6292B4E8"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Gestion des Finances Publiques</w:t>
            </w:r>
          </w:p>
        </w:tc>
      </w:tr>
      <w:tr w:rsidR="006C2DA4" w:rsidRPr="00D636C4" w14:paraId="249C7AF7"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0CB73302" w14:textId="77777777" w:rsidR="006C2DA4" w:rsidRPr="00D636C4" w:rsidRDefault="006C2DA4" w:rsidP="00980A9B">
            <w:pPr>
              <w:autoSpaceDE w:val="0"/>
              <w:autoSpaceDN w:val="0"/>
              <w:adjustRightInd w:val="0"/>
              <w:rPr>
                <w:rFonts w:asciiTheme="majorHAnsi" w:hAnsiTheme="majorHAnsi" w:cstheme="majorHAnsi"/>
                <w:sz w:val="22"/>
                <w:szCs w:val="22"/>
                <w:lang w:val="fr-FR"/>
              </w:rPr>
            </w:pPr>
            <w:r w:rsidRPr="00D636C4">
              <w:rPr>
                <w:rFonts w:asciiTheme="majorHAnsi" w:hAnsiTheme="majorHAnsi" w:cstheme="majorHAnsi"/>
                <w:sz w:val="22"/>
                <w:szCs w:val="22"/>
                <w:lang w:val="fr-FR"/>
              </w:rPr>
              <w:t>MASEF</w:t>
            </w:r>
          </w:p>
        </w:tc>
        <w:tc>
          <w:tcPr>
            <w:tcW w:w="7236" w:type="dxa"/>
            <w:shd w:val="clear" w:color="auto" w:fill="auto"/>
            <w:noWrap/>
          </w:tcPr>
          <w:p w14:paraId="6B2C7BF6"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Ministère des affaires sociales, de l’enfance et de la famille</w:t>
            </w:r>
          </w:p>
        </w:tc>
      </w:tr>
      <w:tr w:rsidR="006C2DA4" w:rsidRPr="00D636C4" w14:paraId="08566ACE"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22260D1B" w14:textId="77777777" w:rsidR="006C2DA4" w:rsidRPr="00D636C4" w:rsidRDefault="006C2DA4" w:rsidP="00980A9B">
            <w:pPr>
              <w:autoSpaceDE w:val="0"/>
              <w:autoSpaceDN w:val="0"/>
              <w:adjustRightInd w:val="0"/>
              <w:rPr>
                <w:rFonts w:asciiTheme="majorHAnsi" w:hAnsiTheme="majorHAnsi" w:cstheme="majorHAnsi"/>
                <w:sz w:val="22"/>
                <w:szCs w:val="22"/>
                <w:lang w:val="fr-FR"/>
              </w:rPr>
            </w:pPr>
            <w:r w:rsidRPr="00D636C4">
              <w:rPr>
                <w:rFonts w:asciiTheme="majorHAnsi" w:hAnsiTheme="majorHAnsi" w:cstheme="majorHAnsi"/>
                <w:sz w:val="22"/>
                <w:szCs w:val="22"/>
                <w:lang w:val="fr-FR"/>
              </w:rPr>
              <w:t>MCD</w:t>
            </w:r>
          </w:p>
        </w:tc>
        <w:tc>
          <w:tcPr>
            <w:tcW w:w="7236" w:type="dxa"/>
            <w:shd w:val="clear" w:color="auto" w:fill="auto"/>
            <w:noWrap/>
          </w:tcPr>
          <w:p w14:paraId="28D18134"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Médecin chef de district</w:t>
            </w:r>
          </w:p>
        </w:tc>
      </w:tr>
      <w:tr w:rsidR="006C2DA4" w:rsidRPr="00D636C4" w14:paraId="5520FE48"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764C1C2D" w14:textId="77777777" w:rsidR="006C2DA4" w:rsidRPr="00D636C4" w:rsidRDefault="006C2DA4" w:rsidP="00980A9B">
            <w:pPr>
              <w:jc w:val="both"/>
              <w:rPr>
                <w:rFonts w:asciiTheme="majorHAnsi" w:hAnsiTheme="majorHAnsi" w:cstheme="majorHAnsi"/>
                <w:color w:val="000000"/>
                <w:sz w:val="22"/>
                <w:szCs w:val="22"/>
                <w:lang w:val="fr-FR"/>
              </w:rPr>
            </w:pPr>
            <w:proofErr w:type="spellStart"/>
            <w:r w:rsidRPr="00D636C4">
              <w:rPr>
                <w:rFonts w:asciiTheme="majorHAnsi" w:hAnsiTheme="majorHAnsi" w:cstheme="majorHAnsi"/>
                <w:color w:val="000000"/>
                <w:sz w:val="22"/>
                <w:szCs w:val="22"/>
                <w:lang w:val="fr-FR"/>
              </w:rPr>
              <w:t>MdS</w:t>
            </w:r>
            <w:proofErr w:type="spellEnd"/>
          </w:p>
        </w:tc>
        <w:tc>
          <w:tcPr>
            <w:tcW w:w="7236" w:type="dxa"/>
            <w:shd w:val="clear" w:color="auto" w:fill="auto"/>
            <w:noWrap/>
          </w:tcPr>
          <w:p w14:paraId="60E1E527"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Ministère de la santé</w:t>
            </w:r>
          </w:p>
        </w:tc>
      </w:tr>
      <w:tr w:rsidR="006C2DA4" w:rsidRPr="00D636C4" w14:paraId="14534486"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6DC7E652" w14:textId="77777777" w:rsidR="006C2DA4" w:rsidRPr="00D636C4" w:rsidRDefault="006C2DA4" w:rsidP="00980A9B">
            <w:pPr>
              <w:jc w:val="both"/>
              <w:rPr>
                <w:rFonts w:asciiTheme="majorHAnsi" w:hAnsiTheme="majorHAnsi" w:cstheme="majorHAnsi"/>
                <w:color w:val="000000"/>
                <w:sz w:val="22"/>
                <w:szCs w:val="22"/>
                <w:lang w:val="fr-FR"/>
              </w:rPr>
            </w:pPr>
            <w:proofErr w:type="spellStart"/>
            <w:r w:rsidRPr="00D636C4">
              <w:rPr>
                <w:rFonts w:asciiTheme="majorHAnsi" w:hAnsiTheme="majorHAnsi" w:cstheme="majorHAnsi"/>
                <w:color w:val="000000"/>
                <w:sz w:val="22"/>
                <w:szCs w:val="22"/>
                <w:lang w:val="fr-FR"/>
              </w:rPr>
              <w:t>MdF</w:t>
            </w:r>
            <w:proofErr w:type="spellEnd"/>
          </w:p>
        </w:tc>
        <w:tc>
          <w:tcPr>
            <w:tcW w:w="7236" w:type="dxa"/>
            <w:shd w:val="clear" w:color="auto" w:fill="auto"/>
            <w:noWrap/>
          </w:tcPr>
          <w:p w14:paraId="28DBD3A6"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Ministère des finances</w:t>
            </w:r>
          </w:p>
        </w:tc>
      </w:tr>
      <w:tr w:rsidR="006C2DA4" w:rsidRPr="00D636C4" w14:paraId="41525BDE"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59788B84"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OMS</w:t>
            </w:r>
          </w:p>
        </w:tc>
        <w:tc>
          <w:tcPr>
            <w:tcW w:w="7236" w:type="dxa"/>
            <w:shd w:val="clear" w:color="auto" w:fill="auto"/>
            <w:noWrap/>
          </w:tcPr>
          <w:p w14:paraId="008D21B2"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Organisation Mondiale de la Santé</w:t>
            </w:r>
          </w:p>
        </w:tc>
      </w:tr>
      <w:tr w:rsidR="006C2DA4" w:rsidRPr="00D636C4" w14:paraId="33DFA612"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0F9B21F4"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PNDS</w:t>
            </w:r>
          </w:p>
        </w:tc>
        <w:tc>
          <w:tcPr>
            <w:tcW w:w="7236" w:type="dxa"/>
            <w:shd w:val="clear" w:color="auto" w:fill="auto"/>
            <w:noWrap/>
          </w:tcPr>
          <w:p w14:paraId="4D724576"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Plan National de Développement Sanitaire</w:t>
            </w:r>
          </w:p>
        </w:tc>
      </w:tr>
      <w:tr w:rsidR="006C2DA4" w:rsidRPr="00D636C4" w14:paraId="55FF5597"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25F2D117"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PROPEP</w:t>
            </w:r>
          </w:p>
        </w:tc>
        <w:tc>
          <w:tcPr>
            <w:tcW w:w="7236" w:type="dxa"/>
            <w:shd w:val="clear" w:color="auto" w:fill="auto"/>
            <w:noWrap/>
          </w:tcPr>
          <w:p w14:paraId="6F4C1CF2"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Projet Prioritaire Élargi du Président de la République</w:t>
            </w:r>
          </w:p>
        </w:tc>
      </w:tr>
      <w:tr w:rsidR="006C2DA4" w:rsidRPr="00D636C4" w14:paraId="433B5E4C"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3F836E6D"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PS</w:t>
            </w:r>
          </w:p>
        </w:tc>
        <w:tc>
          <w:tcPr>
            <w:tcW w:w="7236" w:type="dxa"/>
            <w:shd w:val="clear" w:color="auto" w:fill="auto"/>
            <w:noWrap/>
          </w:tcPr>
          <w:p w14:paraId="30302D01"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Poste de Santé</w:t>
            </w:r>
          </w:p>
        </w:tc>
      </w:tr>
      <w:tr w:rsidR="006C2DA4" w:rsidRPr="00D636C4" w14:paraId="5A27E767"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579D68C4" w14:textId="77777777" w:rsidR="006C2DA4" w:rsidRPr="00D636C4" w:rsidRDefault="006C2DA4" w:rsidP="00980A9B">
            <w:pPr>
              <w:autoSpaceDE w:val="0"/>
              <w:autoSpaceDN w:val="0"/>
              <w:adjustRightInd w:val="0"/>
              <w:rPr>
                <w:rFonts w:asciiTheme="majorHAnsi" w:hAnsiTheme="majorHAnsi" w:cstheme="majorHAnsi"/>
                <w:sz w:val="22"/>
                <w:szCs w:val="22"/>
                <w:lang w:val="fr-FR"/>
              </w:rPr>
            </w:pPr>
            <w:r w:rsidRPr="00D636C4">
              <w:rPr>
                <w:rFonts w:asciiTheme="majorHAnsi" w:hAnsiTheme="majorHAnsi" w:cstheme="majorHAnsi"/>
                <w:sz w:val="22"/>
                <w:szCs w:val="22"/>
                <w:lang w:val="fr-FR"/>
              </w:rPr>
              <w:t>PTF</w:t>
            </w:r>
          </w:p>
        </w:tc>
        <w:tc>
          <w:tcPr>
            <w:tcW w:w="7236" w:type="dxa"/>
            <w:shd w:val="clear" w:color="auto" w:fill="auto"/>
            <w:noWrap/>
          </w:tcPr>
          <w:p w14:paraId="4CC91B44"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Partenaire Technique et Financier</w:t>
            </w:r>
          </w:p>
        </w:tc>
      </w:tr>
      <w:tr w:rsidR="006C2DA4" w:rsidRPr="00D636C4" w14:paraId="6EA008D3"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47E5433E"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S&amp;E</w:t>
            </w:r>
          </w:p>
        </w:tc>
        <w:tc>
          <w:tcPr>
            <w:tcW w:w="7236" w:type="dxa"/>
            <w:shd w:val="clear" w:color="auto" w:fill="auto"/>
            <w:noWrap/>
          </w:tcPr>
          <w:p w14:paraId="41517FC9"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Suivi et Évaluation</w:t>
            </w:r>
          </w:p>
        </w:tc>
      </w:tr>
      <w:tr w:rsidR="006C2DA4" w:rsidRPr="00D636C4" w14:paraId="15AE1366"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0C7F7972"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SIGFP</w:t>
            </w:r>
          </w:p>
        </w:tc>
        <w:tc>
          <w:tcPr>
            <w:tcW w:w="7236" w:type="dxa"/>
            <w:shd w:val="clear" w:color="auto" w:fill="auto"/>
            <w:noWrap/>
          </w:tcPr>
          <w:p w14:paraId="1162C862"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Système intégré de gestion des finances publiques</w:t>
            </w:r>
          </w:p>
        </w:tc>
      </w:tr>
      <w:tr w:rsidR="006C2DA4" w:rsidRPr="00D636C4" w14:paraId="3ACDD980"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522AE195" w14:textId="77777777" w:rsidR="006C2DA4" w:rsidRPr="00D636C4" w:rsidRDefault="006C2DA4" w:rsidP="00980A9B">
            <w:pPr>
              <w:autoSpaceDE w:val="0"/>
              <w:autoSpaceDN w:val="0"/>
              <w:adjustRightInd w:val="0"/>
              <w:rPr>
                <w:rFonts w:asciiTheme="majorHAnsi" w:hAnsiTheme="majorHAnsi" w:cstheme="majorHAnsi"/>
                <w:sz w:val="22"/>
                <w:szCs w:val="22"/>
                <w:lang w:val="fr-FR"/>
              </w:rPr>
            </w:pPr>
            <w:r w:rsidRPr="00D636C4">
              <w:rPr>
                <w:rFonts w:asciiTheme="majorHAnsi" w:hAnsiTheme="majorHAnsi" w:cstheme="majorHAnsi"/>
                <w:sz w:val="22"/>
                <w:szCs w:val="22"/>
                <w:lang w:val="fr-FR"/>
              </w:rPr>
              <w:t>SNFS</w:t>
            </w:r>
          </w:p>
        </w:tc>
        <w:tc>
          <w:tcPr>
            <w:tcW w:w="7236" w:type="dxa"/>
            <w:shd w:val="clear" w:color="auto" w:fill="auto"/>
            <w:noWrap/>
          </w:tcPr>
          <w:p w14:paraId="521CED71"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Stratégie Nationale de Financement de la Santé</w:t>
            </w:r>
          </w:p>
        </w:tc>
      </w:tr>
      <w:tr w:rsidR="006C2DA4" w:rsidRPr="00D636C4" w14:paraId="4235AE58"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061DC7FD" w14:textId="77777777" w:rsidR="006C2DA4" w:rsidRPr="00D636C4" w:rsidRDefault="006C2DA4" w:rsidP="00980A9B">
            <w:pPr>
              <w:jc w:val="both"/>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SNIS</w:t>
            </w:r>
          </w:p>
        </w:tc>
        <w:tc>
          <w:tcPr>
            <w:tcW w:w="7236" w:type="dxa"/>
            <w:shd w:val="clear" w:color="auto" w:fill="auto"/>
            <w:noWrap/>
          </w:tcPr>
          <w:p w14:paraId="3F8DE923"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color w:val="000000"/>
                <w:sz w:val="22"/>
                <w:szCs w:val="22"/>
                <w:lang w:val="fr-FR"/>
              </w:rPr>
              <w:t>Système Nationale d’Information Sanitaire</w:t>
            </w:r>
          </w:p>
        </w:tc>
      </w:tr>
      <w:tr w:rsidR="006C2DA4" w:rsidRPr="00D636C4" w14:paraId="63D74636" w14:textId="77777777" w:rsidTr="00980A9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206E3C83" w14:textId="77777777" w:rsidR="006C2DA4" w:rsidRPr="00D636C4" w:rsidRDefault="006C2DA4" w:rsidP="00980A9B">
            <w:pPr>
              <w:jc w:val="both"/>
              <w:rPr>
                <w:rFonts w:asciiTheme="majorHAnsi" w:hAnsiTheme="majorHAnsi" w:cstheme="majorHAnsi"/>
                <w:sz w:val="22"/>
                <w:szCs w:val="22"/>
                <w:lang w:val="fr-FR"/>
              </w:rPr>
            </w:pPr>
            <w:r w:rsidRPr="00D636C4">
              <w:rPr>
                <w:rFonts w:asciiTheme="majorHAnsi" w:hAnsiTheme="majorHAnsi" w:cstheme="majorHAnsi"/>
                <w:sz w:val="22"/>
                <w:szCs w:val="22"/>
                <w:lang w:val="fr-FR"/>
              </w:rPr>
              <w:t>SSP</w:t>
            </w:r>
          </w:p>
        </w:tc>
        <w:tc>
          <w:tcPr>
            <w:tcW w:w="7236" w:type="dxa"/>
            <w:shd w:val="clear" w:color="auto" w:fill="auto"/>
            <w:noWrap/>
          </w:tcPr>
          <w:p w14:paraId="40143F90" w14:textId="77777777" w:rsidR="006C2DA4" w:rsidRPr="00D636C4" w:rsidRDefault="006C2DA4" w:rsidP="00980A9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lang w:val="fr-FR"/>
              </w:rPr>
            </w:pPr>
            <w:r w:rsidRPr="00D636C4">
              <w:rPr>
                <w:rFonts w:asciiTheme="majorHAnsi" w:hAnsiTheme="majorHAnsi" w:cstheme="majorHAnsi"/>
                <w:sz w:val="22"/>
                <w:szCs w:val="22"/>
                <w:lang w:val="fr-FR"/>
              </w:rPr>
              <w:t>Soins de santé primaire</w:t>
            </w:r>
          </w:p>
        </w:tc>
      </w:tr>
      <w:tr w:rsidR="006C2DA4" w:rsidRPr="00D636C4" w14:paraId="56678BC2" w14:textId="77777777" w:rsidTr="00980A9B">
        <w:trPr>
          <w:trHeight w:val="31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tcPr>
          <w:p w14:paraId="54AD69B8" w14:textId="77777777" w:rsidR="006C2DA4" w:rsidRPr="00D636C4" w:rsidRDefault="006C2DA4" w:rsidP="00980A9B">
            <w:pPr>
              <w:jc w:val="both"/>
              <w:rPr>
                <w:rFonts w:asciiTheme="majorHAnsi" w:hAnsiTheme="majorHAnsi" w:cstheme="majorHAnsi"/>
                <w:sz w:val="22"/>
                <w:szCs w:val="22"/>
                <w:lang w:val="fr-FR"/>
              </w:rPr>
            </w:pPr>
            <w:r w:rsidRPr="00D636C4">
              <w:rPr>
                <w:rFonts w:asciiTheme="majorHAnsi" w:hAnsiTheme="majorHAnsi" w:cstheme="majorHAnsi"/>
                <w:sz w:val="22"/>
                <w:szCs w:val="22"/>
                <w:lang w:val="fr-FR"/>
              </w:rPr>
              <w:t>USB</w:t>
            </w:r>
          </w:p>
        </w:tc>
        <w:tc>
          <w:tcPr>
            <w:tcW w:w="7236" w:type="dxa"/>
            <w:shd w:val="clear" w:color="auto" w:fill="auto"/>
            <w:noWrap/>
          </w:tcPr>
          <w:p w14:paraId="1BBDAB76" w14:textId="77777777" w:rsidR="006C2DA4" w:rsidRPr="00D636C4" w:rsidRDefault="006C2DA4" w:rsidP="00980A9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FR"/>
              </w:rPr>
            </w:pPr>
            <w:r w:rsidRPr="00D636C4">
              <w:rPr>
                <w:rFonts w:asciiTheme="majorHAnsi" w:hAnsiTheme="majorHAnsi" w:cstheme="majorHAnsi"/>
                <w:sz w:val="22"/>
                <w:szCs w:val="22"/>
                <w:lang w:val="fr-FR"/>
              </w:rPr>
              <w:t>Unité de soins de base</w:t>
            </w:r>
          </w:p>
        </w:tc>
      </w:tr>
    </w:tbl>
    <w:p w14:paraId="5D696CAA" w14:textId="77777777" w:rsidR="006C2DA4" w:rsidRPr="00D636C4" w:rsidRDefault="006C2DA4" w:rsidP="006C2DA4">
      <w:pPr>
        <w:rPr>
          <w:rFonts w:ascii="Calibri" w:eastAsia="Calibri" w:hAnsi="Calibri" w:cs="Calibri"/>
          <w:sz w:val="20"/>
          <w:szCs w:val="20"/>
        </w:rPr>
      </w:pPr>
      <w:r w:rsidRPr="00D636C4">
        <w:rPr>
          <w:rFonts w:ascii="Calibri" w:eastAsia="Calibri" w:hAnsi="Calibri" w:cs="Calibri"/>
          <w:sz w:val="20"/>
          <w:szCs w:val="20"/>
        </w:rPr>
        <w:br w:type="page"/>
      </w:r>
    </w:p>
    <w:p w14:paraId="307A91C5" w14:textId="77777777" w:rsidR="006C2DA4" w:rsidRDefault="006C2DA4" w:rsidP="006C2DA4">
      <w:pPr>
        <w:pStyle w:val="Heading1"/>
        <w:keepNext w:val="0"/>
        <w:keepLines w:val="0"/>
        <w:spacing w:before="480"/>
        <w:rPr>
          <w:rFonts w:ascii="Calibri" w:eastAsia="Calibri" w:hAnsi="Calibri" w:cs="Calibri"/>
          <w:b/>
          <w:color w:val="2F5496"/>
          <w:sz w:val="30"/>
          <w:szCs w:val="30"/>
        </w:rPr>
      </w:pPr>
      <w:r>
        <w:rPr>
          <w:rFonts w:ascii="Calibri" w:eastAsia="Calibri" w:hAnsi="Calibri" w:cs="Calibri"/>
          <w:b/>
          <w:color w:val="2F5496"/>
          <w:sz w:val="30"/>
          <w:szCs w:val="30"/>
        </w:rPr>
        <w:lastRenderedPageBreak/>
        <w:t>PREFACE</w:t>
      </w:r>
    </w:p>
    <w:p w14:paraId="69370E80" w14:textId="77777777" w:rsidR="006C2DA4" w:rsidRDefault="006C2DA4" w:rsidP="006C2DA4">
      <w:pPr>
        <w:jc w:val="both"/>
        <w:rPr>
          <w:rFonts w:ascii="Calibri" w:eastAsia="Calibri" w:hAnsi="Calibri" w:cs="Calibri"/>
        </w:rPr>
      </w:pPr>
    </w:p>
    <w:p w14:paraId="00343FD6" w14:textId="77777777" w:rsidR="006C2DA4" w:rsidRDefault="006C2DA4" w:rsidP="006C2DA4">
      <w:pPr>
        <w:jc w:val="both"/>
        <w:rPr>
          <w:rFonts w:ascii="Calibri" w:eastAsia="Calibri" w:hAnsi="Calibri" w:cs="Calibri"/>
        </w:rPr>
      </w:pPr>
      <w:r w:rsidRPr="00D636C4">
        <w:rPr>
          <w:rFonts w:ascii="Calibri" w:eastAsia="Calibri" w:hAnsi="Calibri" w:cs="Calibri"/>
        </w:rPr>
        <w:t>La République Islamique de la Mauritanie a mis l’atteinte de la couverture sanitaire universelle (CSU) au cœur de sa vision pour le développement du secteur de la santé. Beaucoup de progrès ont déjà été réalisés vers cet objectif</w:t>
      </w:r>
      <w:r>
        <w:rPr>
          <w:rFonts w:ascii="Calibri" w:eastAsia="Calibri" w:hAnsi="Calibri" w:cs="Calibri"/>
        </w:rPr>
        <w:t>, bien que plusieurs</w:t>
      </w:r>
      <w:r w:rsidRPr="00D636C4">
        <w:rPr>
          <w:rFonts w:ascii="Calibri" w:eastAsia="Calibri" w:hAnsi="Calibri" w:cs="Calibri"/>
        </w:rPr>
        <w:t xml:space="preserve"> défis persistent, dont le sous-investissement dans la santé par rapport aux besoins, particulièrement au niveau primaire, la mise en commun des ressources limitée, et une fonction d’achat encore peu stratégique, due en partie à un manque d’alignement entre les programmes nationaux et ceux des P</w:t>
      </w:r>
      <w:r>
        <w:rPr>
          <w:rFonts w:ascii="Calibri" w:eastAsia="Calibri" w:hAnsi="Calibri" w:cs="Calibri"/>
        </w:rPr>
        <w:t xml:space="preserve">artenaires </w:t>
      </w:r>
      <w:r w:rsidRPr="00D636C4">
        <w:rPr>
          <w:rFonts w:ascii="Calibri" w:eastAsia="Calibri" w:hAnsi="Calibri" w:cs="Calibri"/>
        </w:rPr>
        <w:t>T</w:t>
      </w:r>
      <w:r>
        <w:rPr>
          <w:rFonts w:ascii="Calibri" w:eastAsia="Calibri" w:hAnsi="Calibri" w:cs="Calibri"/>
        </w:rPr>
        <w:t xml:space="preserve">echniques et </w:t>
      </w:r>
      <w:r w:rsidRPr="00D636C4">
        <w:rPr>
          <w:rFonts w:ascii="Calibri" w:eastAsia="Calibri" w:hAnsi="Calibri" w:cs="Calibri"/>
        </w:rPr>
        <w:t>F</w:t>
      </w:r>
      <w:r>
        <w:rPr>
          <w:rFonts w:ascii="Calibri" w:eastAsia="Calibri" w:hAnsi="Calibri" w:cs="Calibri"/>
        </w:rPr>
        <w:t>inanciers (PTFs)</w:t>
      </w:r>
      <w:r w:rsidRPr="00D636C4">
        <w:rPr>
          <w:rFonts w:ascii="Calibri" w:eastAsia="Calibri" w:hAnsi="Calibri" w:cs="Calibri"/>
        </w:rPr>
        <w:t>.</w:t>
      </w:r>
    </w:p>
    <w:p w14:paraId="6F81A777" w14:textId="77777777" w:rsidR="006C2DA4" w:rsidRDefault="006C2DA4" w:rsidP="006C2DA4">
      <w:pPr>
        <w:jc w:val="both"/>
        <w:rPr>
          <w:rFonts w:ascii="Calibri" w:eastAsia="Calibri" w:hAnsi="Calibri" w:cs="Calibri"/>
        </w:rPr>
      </w:pPr>
    </w:p>
    <w:p w14:paraId="5C027F4F" w14:textId="77777777" w:rsidR="006C2DA4" w:rsidRDefault="006C2DA4" w:rsidP="006C2DA4">
      <w:pPr>
        <w:jc w:val="both"/>
        <w:rPr>
          <w:rFonts w:ascii="Calibri" w:eastAsia="Calibri" w:hAnsi="Calibri" w:cs="Calibri"/>
        </w:rPr>
      </w:pPr>
      <w:r>
        <w:rPr>
          <w:rFonts w:ascii="Calibri" w:eastAsia="Calibri" w:hAnsi="Calibri" w:cs="Calibri"/>
        </w:rPr>
        <w:t xml:space="preserve">Développer une stratégie de financement de la </w:t>
      </w:r>
      <w:r w:rsidRPr="00D636C4">
        <w:rPr>
          <w:rFonts w:ascii="Calibri" w:eastAsia="Calibri" w:hAnsi="Calibri" w:cs="Calibri"/>
        </w:rPr>
        <w:t>santé</w:t>
      </w:r>
      <w:r>
        <w:rPr>
          <w:rFonts w:ascii="Calibri" w:eastAsia="Calibri" w:hAnsi="Calibri" w:cs="Calibri"/>
        </w:rPr>
        <w:t xml:space="preserve"> est un maillon clef vers la CSU. </w:t>
      </w:r>
      <w:r w:rsidRPr="00D636C4">
        <w:rPr>
          <w:rFonts w:ascii="Calibri" w:eastAsia="Calibri" w:hAnsi="Calibri" w:cs="Calibri"/>
        </w:rPr>
        <w:t xml:space="preserve">Le processus de développement de </w:t>
      </w:r>
      <w:r>
        <w:rPr>
          <w:rFonts w:ascii="Calibri" w:eastAsia="Calibri" w:hAnsi="Calibri" w:cs="Calibri"/>
        </w:rPr>
        <w:t>cette stratégie a été</w:t>
      </w:r>
      <w:r w:rsidRPr="00D636C4">
        <w:rPr>
          <w:rFonts w:ascii="Calibri" w:eastAsia="Calibri" w:hAnsi="Calibri" w:cs="Calibri"/>
        </w:rPr>
        <w:t xml:space="preserve"> mené en Mauritanie par un groupe de travail technique interdisciplinaire sur le financement de la santé, qui est au sein du Comité National de Pilotage du secteur (CONAP</w:t>
      </w:r>
      <w:r>
        <w:rPr>
          <w:rFonts w:ascii="Calibri" w:eastAsia="Calibri" w:hAnsi="Calibri" w:cs="Calibri"/>
        </w:rPr>
        <w:t xml:space="preserve">). Fort des leçons internationales et nationales, et d’une large consultation avec toutes les parties prenantes, la vision accordée est </w:t>
      </w:r>
      <w:r w:rsidRPr="00D636C4">
        <w:rPr>
          <w:rFonts w:ascii="Calibri" w:eastAsia="Calibri" w:hAnsi="Calibri" w:cs="Calibri"/>
        </w:rPr>
        <w:t xml:space="preserve">de soutenir les progrès vers </w:t>
      </w:r>
      <w:r>
        <w:rPr>
          <w:rFonts w:ascii="Calibri" w:eastAsia="Calibri" w:hAnsi="Calibri" w:cs="Calibri"/>
        </w:rPr>
        <w:t>la</w:t>
      </w:r>
      <w:r w:rsidRPr="00D636C4">
        <w:rPr>
          <w:rFonts w:ascii="Calibri" w:eastAsia="Calibri" w:hAnsi="Calibri" w:cs="Calibri"/>
        </w:rPr>
        <w:t xml:space="preserve"> CSU</w:t>
      </w:r>
      <w:r>
        <w:rPr>
          <w:rFonts w:ascii="Calibri" w:eastAsia="Calibri" w:hAnsi="Calibri" w:cs="Calibri"/>
        </w:rPr>
        <w:t xml:space="preserve">, </w:t>
      </w:r>
      <w:r w:rsidRPr="00D636C4">
        <w:rPr>
          <w:rFonts w:ascii="Calibri" w:eastAsia="Calibri" w:hAnsi="Calibri" w:cs="Calibri"/>
        </w:rPr>
        <w:t>à</w:t>
      </w:r>
      <w:r>
        <w:rPr>
          <w:rFonts w:ascii="Calibri" w:eastAsia="Calibri" w:hAnsi="Calibri" w:cs="Calibri"/>
        </w:rPr>
        <w:t xml:space="preserve"> travers</w:t>
      </w:r>
      <w:r w:rsidRPr="00D636C4">
        <w:rPr>
          <w:rFonts w:ascii="Calibri" w:eastAsia="Calibri" w:hAnsi="Calibri" w:cs="Calibri"/>
        </w:rPr>
        <w:t xml:space="preserve"> (a) une réorganisation de la mobilisation de ressources visant à réduire les paiements directs des ménages et à augmenter la contribution des recettes fiscales progressives pour la santé, (b) une augmentation significative de la mutualisation des risques et la mise en commun des ressources, afin d'améliorer la protection financière de la population et (c) une utilisation plus stratégique des ressources disponibles pour la santé, visant à améliorer l’efficience et l'équité des dépenses, en particulier à travers une plus grande priorité donnée aux S</w:t>
      </w:r>
      <w:r>
        <w:rPr>
          <w:rFonts w:ascii="Calibri" w:eastAsia="Calibri" w:hAnsi="Calibri" w:cs="Calibri"/>
        </w:rPr>
        <w:t xml:space="preserve">oins de </w:t>
      </w:r>
      <w:r w:rsidRPr="00D636C4">
        <w:rPr>
          <w:rFonts w:ascii="Calibri" w:eastAsia="Calibri" w:hAnsi="Calibri" w:cs="Calibri"/>
        </w:rPr>
        <w:t>S</w:t>
      </w:r>
      <w:r>
        <w:rPr>
          <w:rFonts w:ascii="Calibri" w:eastAsia="Calibri" w:hAnsi="Calibri" w:cs="Calibri"/>
        </w:rPr>
        <w:t xml:space="preserve">anté </w:t>
      </w:r>
      <w:r w:rsidRPr="00D636C4">
        <w:rPr>
          <w:rFonts w:ascii="Calibri" w:eastAsia="Calibri" w:hAnsi="Calibri" w:cs="Calibri"/>
        </w:rPr>
        <w:t>P</w:t>
      </w:r>
      <w:r>
        <w:rPr>
          <w:rFonts w:ascii="Calibri" w:eastAsia="Calibri" w:hAnsi="Calibri" w:cs="Calibri"/>
        </w:rPr>
        <w:t>rimaire (SSP)</w:t>
      </w:r>
      <w:r w:rsidRPr="00D636C4">
        <w:rPr>
          <w:rFonts w:ascii="Calibri" w:eastAsia="Calibri" w:hAnsi="Calibri" w:cs="Calibri"/>
        </w:rPr>
        <w:t>.</w:t>
      </w:r>
      <w:r>
        <w:rPr>
          <w:rFonts w:ascii="Calibri" w:eastAsia="Calibri" w:hAnsi="Calibri" w:cs="Calibri"/>
        </w:rPr>
        <w:t xml:space="preserve"> </w:t>
      </w:r>
    </w:p>
    <w:p w14:paraId="66DAE452" w14:textId="77777777" w:rsidR="006C2DA4" w:rsidRPr="00D636C4" w:rsidRDefault="006C2DA4" w:rsidP="006C2DA4">
      <w:pPr>
        <w:jc w:val="both"/>
        <w:rPr>
          <w:rFonts w:ascii="Calibri" w:eastAsia="Calibri" w:hAnsi="Calibri" w:cs="Calibri"/>
        </w:rPr>
      </w:pPr>
      <w:r>
        <w:rPr>
          <w:rFonts w:ascii="Calibri" w:eastAsia="Calibri" w:hAnsi="Calibri" w:cs="Calibri"/>
        </w:rPr>
        <w:t xml:space="preserve">Les valeurs clefs défendues par cette stratégie sont l’équité dans la mobilisation et l’allocation des ressources, l’efficience dans les dépenses </w:t>
      </w:r>
      <w:r w:rsidRPr="00D636C4">
        <w:rPr>
          <w:rFonts w:ascii="Calibri" w:eastAsia="Calibri" w:hAnsi="Calibri" w:cs="Calibri"/>
        </w:rPr>
        <w:t>à</w:t>
      </w:r>
      <w:r>
        <w:rPr>
          <w:rFonts w:ascii="Calibri" w:eastAsia="Calibri" w:hAnsi="Calibri" w:cs="Calibri"/>
        </w:rPr>
        <w:t xml:space="preserve"> travers une plus grande coordination entre acteurs, et un focus sur les SSP. </w:t>
      </w:r>
    </w:p>
    <w:p w14:paraId="767609D5" w14:textId="77777777" w:rsidR="006C2DA4" w:rsidRDefault="006C2DA4" w:rsidP="006C2DA4">
      <w:pPr>
        <w:rPr>
          <w:rFonts w:ascii="Calibri" w:eastAsia="Calibri" w:hAnsi="Calibri" w:cs="Calibri"/>
        </w:rPr>
      </w:pPr>
    </w:p>
    <w:p w14:paraId="29642DBC" w14:textId="77777777" w:rsidR="006C2DA4" w:rsidRDefault="006C2DA4" w:rsidP="006C2DA4">
      <w:pPr>
        <w:tabs>
          <w:tab w:val="left" w:pos="8280"/>
        </w:tabs>
        <w:rPr>
          <w:rFonts w:ascii="Calibri" w:eastAsia="Calibri" w:hAnsi="Calibri" w:cs="Calibri"/>
        </w:rPr>
      </w:pPr>
      <w:r>
        <w:rPr>
          <w:rFonts w:ascii="Calibri" w:eastAsia="Calibri" w:hAnsi="Calibri" w:cs="Calibri"/>
        </w:rPr>
        <w:t xml:space="preserve">Une série d’actions essentielles vers ces objectifs a été déclinée dans la stratégie de financement de la </w:t>
      </w:r>
      <w:r w:rsidRPr="00D636C4">
        <w:rPr>
          <w:rFonts w:ascii="Calibri" w:eastAsia="Calibri" w:hAnsi="Calibri" w:cs="Calibri"/>
        </w:rPr>
        <w:t>santé</w:t>
      </w:r>
      <w:r>
        <w:rPr>
          <w:rFonts w:ascii="Calibri" w:eastAsia="Calibri" w:hAnsi="Calibri" w:cs="Calibri"/>
        </w:rPr>
        <w:t xml:space="preserve">. Ces actions vont requérir un leadership fort et soutenu de la part du gouvernement afin d’orienter tous les acteurs vers la plus grande cohérence prônée dans cette stratégie, ainsi qu’un engagement financier additionnel. </w:t>
      </w:r>
    </w:p>
    <w:p w14:paraId="033B5ACB" w14:textId="77777777" w:rsidR="006C2DA4" w:rsidRDefault="006C2DA4" w:rsidP="006C2DA4">
      <w:pPr>
        <w:tabs>
          <w:tab w:val="left" w:pos="8280"/>
        </w:tabs>
        <w:rPr>
          <w:rFonts w:ascii="Calibri" w:eastAsia="Calibri" w:hAnsi="Calibri" w:cs="Calibri"/>
        </w:rPr>
      </w:pPr>
    </w:p>
    <w:p w14:paraId="1716DAE4" w14:textId="77777777" w:rsidR="006C2DA4" w:rsidRPr="00D636C4" w:rsidRDefault="006C2DA4" w:rsidP="006C2DA4">
      <w:pPr>
        <w:spacing w:after="160" w:line="256" w:lineRule="auto"/>
        <w:rPr>
          <w:rFonts w:ascii="Calibri" w:eastAsia="Calibri" w:hAnsi="Calibri" w:cs="Calibri"/>
        </w:rPr>
      </w:pPr>
      <w:r w:rsidRPr="00D636C4">
        <w:rPr>
          <w:rFonts w:ascii="Calibri" w:eastAsia="Calibri" w:hAnsi="Calibri" w:cs="Calibri"/>
        </w:rPr>
        <w:t>Le succès dans la mise en œuvre de la présente SNFS dépendra, essentiellement, de deux aspects :</w:t>
      </w:r>
    </w:p>
    <w:p w14:paraId="62D818B2" w14:textId="77777777" w:rsidR="006C2DA4" w:rsidRPr="00D636C4" w:rsidRDefault="006C2DA4" w:rsidP="006C2DA4">
      <w:pPr>
        <w:numPr>
          <w:ilvl w:val="0"/>
          <w:numId w:val="9"/>
        </w:numPr>
        <w:spacing w:line="256" w:lineRule="auto"/>
        <w:jc w:val="both"/>
        <w:rPr>
          <w:rFonts w:ascii="Calibri" w:eastAsia="Calibri" w:hAnsi="Calibri" w:cs="Calibri"/>
        </w:rPr>
      </w:pPr>
      <w:r w:rsidRPr="00D636C4">
        <w:rPr>
          <w:rFonts w:ascii="Calibri" w:eastAsia="Calibri" w:hAnsi="Calibri" w:cs="Calibri"/>
        </w:rPr>
        <w:t>L’engagement politique de haut niveau en faveur de la santé. Cet engagement s’est manifesté à maintes reprises, entre autres par l’ampleur et l’ambition du Pro</w:t>
      </w:r>
      <w:r>
        <w:rPr>
          <w:rFonts w:ascii="Calibri" w:eastAsia="Calibri" w:hAnsi="Calibri" w:cs="Calibri"/>
        </w:rPr>
        <w:t xml:space="preserve">gramme </w:t>
      </w:r>
      <w:r w:rsidRPr="00D636C4">
        <w:rPr>
          <w:rFonts w:ascii="Calibri" w:eastAsia="Calibri" w:hAnsi="Calibri" w:cs="Calibri"/>
        </w:rPr>
        <w:t>P</w:t>
      </w:r>
      <w:r>
        <w:rPr>
          <w:rFonts w:ascii="Calibri" w:eastAsia="Calibri" w:hAnsi="Calibri" w:cs="Calibri"/>
        </w:rPr>
        <w:t xml:space="preserve">rioritaire </w:t>
      </w:r>
      <w:r w:rsidRPr="00D636C4">
        <w:rPr>
          <w:rFonts w:ascii="Calibri" w:eastAsia="Calibri" w:hAnsi="Calibri" w:cs="Calibri"/>
        </w:rPr>
        <w:t>E</w:t>
      </w:r>
      <w:r>
        <w:rPr>
          <w:rFonts w:ascii="Calibri" w:eastAsia="Calibri" w:hAnsi="Calibri" w:cs="Calibri"/>
        </w:rPr>
        <w:t xml:space="preserve">largi du </w:t>
      </w:r>
      <w:r w:rsidRPr="00D636C4">
        <w:rPr>
          <w:rFonts w:ascii="Calibri" w:eastAsia="Calibri" w:hAnsi="Calibri" w:cs="Calibri"/>
        </w:rPr>
        <w:t>P</w:t>
      </w:r>
      <w:r>
        <w:rPr>
          <w:rFonts w:ascii="Calibri" w:eastAsia="Calibri" w:hAnsi="Calibri" w:cs="Calibri"/>
        </w:rPr>
        <w:t>résident (ProPEP)</w:t>
      </w:r>
      <w:r w:rsidRPr="00D636C4">
        <w:rPr>
          <w:rFonts w:ascii="Calibri" w:eastAsia="Calibri" w:hAnsi="Calibri" w:cs="Calibri"/>
        </w:rPr>
        <w:t xml:space="preserve">, son Excellence </w:t>
      </w:r>
      <w:r>
        <w:rPr>
          <w:rFonts w:ascii="Calibri" w:eastAsia="Calibri" w:hAnsi="Calibri" w:cs="Calibri"/>
        </w:rPr>
        <w:t xml:space="preserve">Mohamed Ould Cheikh El </w:t>
      </w:r>
      <w:proofErr w:type="spellStart"/>
      <w:r>
        <w:rPr>
          <w:rFonts w:ascii="Calibri" w:eastAsia="Calibri" w:hAnsi="Calibri" w:cs="Calibri"/>
        </w:rPr>
        <w:t>Ghazouani</w:t>
      </w:r>
      <w:proofErr w:type="spellEnd"/>
      <w:r w:rsidRPr="00D636C4">
        <w:rPr>
          <w:rFonts w:ascii="Calibri" w:eastAsia="Calibri" w:hAnsi="Calibri" w:cs="Calibri"/>
        </w:rPr>
        <w:t>. La présente stratégie constitue un des outils pour la matérialisation de cet engagement en faveur du financement d’une action de santé équitable, efficace, efficiente et durable pour une couverture sanitaire universelle, bénéficiant en particulier aux groupes les plus vulnérables.</w:t>
      </w:r>
    </w:p>
    <w:p w14:paraId="17385A87" w14:textId="77777777" w:rsidR="006C2DA4" w:rsidRDefault="006C2DA4" w:rsidP="006C2DA4">
      <w:pPr>
        <w:numPr>
          <w:ilvl w:val="0"/>
          <w:numId w:val="9"/>
        </w:numPr>
        <w:spacing w:line="256" w:lineRule="auto"/>
        <w:jc w:val="both"/>
        <w:rPr>
          <w:rFonts w:ascii="Calibri" w:eastAsia="Calibri" w:hAnsi="Calibri" w:cs="Calibri"/>
        </w:rPr>
      </w:pPr>
      <w:r w:rsidRPr="00D636C4">
        <w:rPr>
          <w:rFonts w:ascii="Calibri" w:eastAsia="Calibri" w:hAnsi="Calibri" w:cs="Calibri"/>
        </w:rPr>
        <w:t>L’engagement et une participation effective des P</w:t>
      </w:r>
      <w:r>
        <w:rPr>
          <w:rFonts w:ascii="Calibri" w:eastAsia="Calibri" w:hAnsi="Calibri" w:cs="Calibri"/>
        </w:rPr>
        <w:t xml:space="preserve">artenaires </w:t>
      </w:r>
      <w:r w:rsidRPr="00D636C4">
        <w:rPr>
          <w:rFonts w:ascii="Calibri" w:eastAsia="Calibri" w:hAnsi="Calibri" w:cs="Calibri"/>
        </w:rPr>
        <w:t>T</w:t>
      </w:r>
      <w:r>
        <w:rPr>
          <w:rFonts w:ascii="Calibri" w:eastAsia="Calibri" w:hAnsi="Calibri" w:cs="Calibri"/>
        </w:rPr>
        <w:t xml:space="preserve">echniques et </w:t>
      </w:r>
      <w:r w:rsidRPr="00D636C4">
        <w:rPr>
          <w:rFonts w:ascii="Calibri" w:eastAsia="Calibri" w:hAnsi="Calibri" w:cs="Calibri"/>
        </w:rPr>
        <w:t>F</w:t>
      </w:r>
      <w:r>
        <w:rPr>
          <w:rFonts w:ascii="Calibri" w:eastAsia="Calibri" w:hAnsi="Calibri" w:cs="Calibri"/>
        </w:rPr>
        <w:t>inanciers</w:t>
      </w:r>
      <w:r w:rsidRPr="00D636C4">
        <w:rPr>
          <w:rFonts w:ascii="Calibri" w:eastAsia="Calibri" w:hAnsi="Calibri" w:cs="Calibri"/>
        </w:rPr>
        <w:t xml:space="preserve"> à accompagner cet élan et à renforcer ce leadership du Département en charge de la santé pour une planification, une mobilisation des ressources, une mise en œuvre et un suivi conjoint et responsable, transparent et inclusif. Le renforcement du Compact à travers la participation de tous les PTF constitue une matérialisation de cet accompagnement pour plus d’appropriation </w:t>
      </w:r>
      <w:r w:rsidRPr="00D636C4">
        <w:rPr>
          <w:rFonts w:ascii="Calibri" w:eastAsia="Calibri" w:hAnsi="Calibri" w:cs="Calibri"/>
        </w:rPr>
        <w:lastRenderedPageBreak/>
        <w:t>nationale, d’harmonisation et de redevabilité en conformité avec les déclarations internationales sur l’aide publique au développement et sur le financement de la santé.</w:t>
      </w:r>
    </w:p>
    <w:p w14:paraId="67F5BC2A" w14:textId="77777777" w:rsidR="006C2DA4" w:rsidRPr="00D636C4" w:rsidRDefault="006C2DA4" w:rsidP="006C2DA4">
      <w:pPr>
        <w:spacing w:line="256" w:lineRule="auto"/>
        <w:ind w:left="720"/>
        <w:jc w:val="both"/>
        <w:rPr>
          <w:rFonts w:ascii="Calibri" w:eastAsia="Calibri" w:hAnsi="Calibri" w:cs="Calibri"/>
        </w:rPr>
      </w:pPr>
    </w:p>
    <w:p w14:paraId="59409044" w14:textId="77777777" w:rsidR="007A3E73" w:rsidRDefault="006C2DA4" w:rsidP="006C2DA4">
      <w:pPr>
        <w:tabs>
          <w:tab w:val="left" w:pos="8280"/>
        </w:tabs>
        <w:rPr>
          <w:rFonts w:ascii="Calibri" w:eastAsia="Calibri" w:hAnsi="Calibri" w:cs="Calibri"/>
        </w:rPr>
      </w:pPr>
      <w:r>
        <w:rPr>
          <w:rFonts w:ascii="Calibri" w:eastAsia="Calibri" w:hAnsi="Calibri" w:cs="Calibri"/>
        </w:rPr>
        <w:t xml:space="preserve">En conclusion, les avancées sont indéniables et les chantiers amorcés pertinents, mais un recentrage du financement vers les Soins de Santé Primaires (SSP) est essentiel pour honorer les promesses de la CSU, et progresser vers une plus grande équité et efficience des ressources. </w:t>
      </w:r>
    </w:p>
    <w:p w14:paraId="1CEB67F5" w14:textId="77777777" w:rsidR="007A3E73" w:rsidRDefault="007A3E73" w:rsidP="007A3E73">
      <w:pPr>
        <w:tabs>
          <w:tab w:val="left" w:pos="8280"/>
        </w:tabs>
        <w:rPr>
          <w:rFonts w:ascii="Calibri" w:eastAsia="Calibri" w:hAnsi="Calibri" w:cs="Calibri"/>
        </w:rPr>
      </w:pPr>
      <w:r>
        <w:rPr>
          <w:rFonts w:ascii="Calibri" w:eastAsia="Calibri" w:hAnsi="Calibri" w:cs="Calibri"/>
        </w:rPr>
        <w:t>L</w:t>
      </w:r>
      <w:r w:rsidR="006C2DA4">
        <w:rPr>
          <w:rFonts w:ascii="Calibri" w:eastAsia="Calibri" w:hAnsi="Calibri" w:cs="Calibri"/>
        </w:rPr>
        <w:t>e soutien au plus haut niveau du gouvernement</w:t>
      </w:r>
      <w:r>
        <w:rPr>
          <w:rFonts w:ascii="Calibri" w:eastAsia="Calibri" w:hAnsi="Calibri" w:cs="Calibri"/>
        </w:rPr>
        <w:t xml:space="preserve"> sera l’objet d’un plaidoyer ferme de notre département et le suivi essentiel des actions sera assuré en collaboration avec tous les acteurs pour une mise en œuvre adéquate de la feuille de route de cette stratégie Nationale de Financement de la </w:t>
      </w:r>
      <w:r w:rsidR="00300EB7">
        <w:rPr>
          <w:rFonts w:ascii="Calibri" w:eastAsia="Calibri" w:hAnsi="Calibri" w:cs="Calibri"/>
        </w:rPr>
        <w:t>Santé 2023</w:t>
      </w:r>
      <w:r>
        <w:rPr>
          <w:rFonts w:ascii="Calibri" w:eastAsia="Calibri" w:hAnsi="Calibri" w:cs="Calibri"/>
        </w:rPr>
        <w:t>-2030.</w:t>
      </w:r>
    </w:p>
    <w:p w14:paraId="0DFFE106" w14:textId="77777777" w:rsidR="007A3E73" w:rsidRDefault="007A3E73" w:rsidP="007A3E73">
      <w:pPr>
        <w:tabs>
          <w:tab w:val="left" w:pos="8280"/>
        </w:tabs>
        <w:rPr>
          <w:rFonts w:ascii="Calibri" w:eastAsia="Calibri" w:hAnsi="Calibri" w:cs="Calibri"/>
        </w:rPr>
      </w:pPr>
      <w:r>
        <w:rPr>
          <w:rFonts w:ascii="Calibri" w:eastAsia="Calibri" w:hAnsi="Calibri" w:cs="Calibri"/>
        </w:rPr>
        <w:t xml:space="preserve">J’invite donc </w:t>
      </w:r>
      <w:r w:rsidR="00300EB7">
        <w:rPr>
          <w:rFonts w:ascii="Calibri" w:eastAsia="Calibri" w:hAnsi="Calibri" w:cs="Calibri"/>
        </w:rPr>
        <w:t>toutes les instances</w:t>
      </w:r>
      <w:r>
        <w:rPr>
          <w:rFonts w:ascii="Calibri" w:eastAsia="Calibri" w:hAnsi="Calibri" w:cs="Calibri"/>
        </w:rPr>
        <w:t xml:space="preserve"> de coordination </w:t>
      </w:r>
      <w:r w:rsidR="00300EB7">
        <w:rPr>
          <w:rFonts w:ascii="Calibri" w:eastAsia="Calibri" w:hAnsi="Calibri" w:cs="Calibri"/>
        </w:rPr>
        <w:t xml:space="preserve">à se mettre à l’œuvre dès leur mise en place, pour un suivi régulier </w:t>
      </w:r>
      <w:r w:rsidR="00300EB7" w:rsidRPr="00300EB7">
        <w:rPr>
          <w:rFonts w:ascii="Calibri" w:eastAsia="Calibri" w:hAnsi="Calibri" w:cs="Calibri"/>
        </w:rPr>
        <w:t>de cette feuille de route</w:t>
      </w:r>
      <w:r w:rsidR="00300EB7">
        <w:rPr>
          <w:rFonts w:ascii="Calibri" w:eastAsia="Calibri" w:hAnsi="Calibri" w:cs="Calibri"/>
        </w:rPr>
        <w:t>.</w:t>
      </w:r>
    </w:p>
    <w:p w14:paraId="2C684D71" w14:textId="77777777" w:rsidR="00300EB7" w:rsidRDefault="00300EB7" w:rsidP="00300EB7">
      <w:pPr>
        <w:tabs>
          <w:tab w:val="left" w:pos="8280"/>
        </w:tabs>
        <w:jc w:val="right"/>
        <w:rPr>
          <w:rFonts w:ascii="Calibri" w:eastAsia="Calibri" w:hAnsi="Calibri" w:cs="Calibri"/>
        </w:rPr>
      </w:pPr>
    </w:p>
    <w:p w14:paraId="386FAC9C" w14:textId="77777777" w:rsidR="00300EB7" w:rsidRDefault="00300EB7" w:rsidP="00300EB7">
      <w:pPr>
        <w:tabs>
          <w:tab w:val="left" w:pos="8280"/>
        </w:tabs>
        <w:jc w:val="right"/>
        <w:rPr>
          <w:rFonts w:ascii="Calibri" w:eastAsia="Calibri" w:hAnsi="Calibri" w:cs="Calibri"/>
        </w:rPr>
      </w:pPr>
    </w:p>
    <w:p w14:paraId="2F3DBE3B" w14:textId="77777777" w:rsidR="00300EB7" w:rsidRDefault="00300EB7" w:rsidP="00300EB7">
      <w:pPr>
        <w:tabs>
          <w:tab w:val="left" w:pos="8280"/>
        </w:tabs>
        <w:jc w:val="right"/>
        <w:rPr>
          <w:rFonts w:ascii="Calibri" w:eastAsia="Calibri" w:hAnsi="Calibri" w:cs="Calibri"/>
        </w:rPr>
      </w:pPr>
    </w:p>
    <w:p w14:paraId="6EB7A3F0" w14:textId="77777777" w:rsidR="00300EB7" w:rsidRPr="00300EB7" w:rsidRDefault="00300EB7" w:rsidP="00300EB7">
      <w:pPr>
        <w:tabs>
          <w:tab w:val="left" w:pos="8280"/>
        </w:tabs>
        <w:jc w:val="right"/>
        <w:rPr>
          <w:rFonts w:ascii="Calibri" w:eastAsia="Calibri" w:hAnsi="Calibri" w:cs="Calibri"/>
          <w:b/>
          <w:bCs/>
          <w:sz w:val="28"/>
          <w:szCs w:val="28"/>
        </w:rPr>
        <w:sectPr w:rsidR="00300EB7" w:rsidRPr="00300EB7" w:rsidSect="00C365A6">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start="1"/>
          <w:cols w:space="720"/>
        </w:sectPr>
      </w:pPr>
      <w:r w:rsidRPr="00300EB7">
        <w:rPr>
          <w:rFonts w:ascii="Calibri" w:eastAsia="Calibri" w:hAnsi="Calibri" w:cs="Calibri"/>
          <w:b/>
          <w:bCs/>
          <w:sz w:val="28"/>
          <w:szCs w:val="28"/>
        </w:rPr>
        <w:t xml:space="preserve">Naha Hamdi </w:t>
      </w:r>
      <w:proofErr w:type="spellStart"/>
      <w:r w:rsidRPr="00300EB7">
        <w:rPr>
          <w:rFonts w:ascii="Calibri" w:eastAsia="Calibri" w:hAnsi="Calibri" w:cs="Calibri"/>
          <w:b/>
          <w:bCs/>
          <w:sz w:val="28"/>
          <w:szCs w:val="28"/>
        </w:rPr>
        <w:t>Mouknass</w:t>
      </w:r>
      <w:proofErr w:type="spellEnd"/>
    </w:p>
    <w:p w14:paraId="16192B78" w14:textId="77777777" w:rsidR="006C2DA4" w:rsidRPr="00D636C4" w:rsidRDefault="006C2DA4" w:rsidP="006C2DA4">
      <w:pPr>
        <w:pStyle w:val="Heading1"/>
        <w:keepNext w:val="0"/>
        <w:keepLines w:val="0"/>
        <w:spacing w:before="480"/>
        <w:rPr>
          <w:rFonts w:ascii="Calibri" w:eastAsia="Calibri" w:hAnsi="Calibri" w:cs="Calibri"/>
          <w:b/>
        </w:rPr>
      </w:pPr>
      <w:r w:rsidRPr="00D636C4">
        <w:rPr>
          <w:rFonts w:ascii="Calibri" w:eastAsia="Calibri" w:hAnsi="Calibri" w:cs="Calibri"/>
          <w:b/>
          <w:color w:val="2F5496"/>
          <w:sz w:val="30"/>
          <w:szCs w:val="30"/>
        </w:rPr>
        <w:lastRenderedPageBreak/>
        <w:t>Chapitre 1 : Introduction</w:t>
      </w:r>
      <w:bookmarkEnd w:id="4"/>
      <w:bookmarkEnd w:id="5"/>
    </w:p>
    <w:p w14:paraId="5EA5690B" w14:textId="77777777" w:rsidR="006C2DA4" w:rsidRPr="00D636C4" w:rsidRDefault="006C2DA4" w:rsidP="006C2DA4">
      <w:pPr>
        <w:pStyle w:val="Heading2"/>
        <w:keepNext w:val="0"/>
        <w:keepLines w:val="0"/>
        <w:spacing w:after="80"/>
        <w:rPr>
          <w:rFonts w:ascii="Calibri" w:eastAsia="Calibri" w:hAnsi="Calibri" w:cs="Calibri"/>
          <w:b/>
          <w:sz w:val="22"/>
          <w:szCs w:val="22"/>
        </w:rPr>
      </w:pPr>
      <w:bookmarkStart w:id="6" w:name="_Toc137847484"/>
      <w:bookmarkStart w:id="7" w:name="_Toc140268432"/>
      <w:r w:rsidRPr="00D636C4">
        <w:rPr>
          <w:rFonts w:ascii="Calibri" w:eastAsia="Calibri" w:hAnsi="Calibri" w:cs="Calibri"/>
          <w:b/>
          <w:sz w:val="22"/>
          <w:szCs w:val="22"/>
        </w:rPr>
        <w:t>1.1. Vision du gouvernement pour la Couverture Sanitaire Universelle</w:t>
      </w:r>
      <w:bookmarkEnd w:id="6"/>
      <w:bookmarkEnd w:id="7"/>
    </w:p>
    <w:p w14:paraId="0ABBABA8" w14:textId="77777777" w:rsidR="006C2DA4" w:rsidRPr="00D636C4" w:rsidRDefault="006C2DA4" w:rsidP="006C2DA4">
      <w:pPr>
        <w:jc w:val="both"/>
        <w:rPr>
          <w:rFonts w:ascii="Calibri" w:eastAsia="Calibri" w:hAnsi="Calibri" w:cs="Calibri"/>
        </w:rPr>
      </w:pPr>
      <w:bookmarkStart w:id="8" w:name="_Hlk147240438"/>
      <w:r w:rsidRPr="00D636C4">
        <w:rPr>
          <w:rFonts w:ascii="Calibri" w:eastAsia="Calibri" w:hAnsi="Calibri" w:cs="Calibri"/>
        </w:rPr>
        <w:t xml:space="preserve">La République Islamique de la Mauritanie a mis l’atteinte de la couverture sanitaire universelle (CSU) au cœur de sa vision pour le développement du secteur de la santé. Cet objectif est identifié comme un axe prioritaire des deux derniers Plans Nationaux de Développement Sanitaire (PNDS 2012-2020 et 2021-2030). Le plan actuel identifie plusieurs stratégies au sein du sous-programme 4.2 du PNDS pour réaliser l’ambition de CSU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santé","given":"","non-dropping-particle":"","parse-names":false,"suffix":""}],"id":"ITEM-1","issued":{"date-parts":[["2021"]]},"publisher-place":"Nouakchott","title":"Plan National de Développement Sanitaire Volume I : Analyse situationnelle et Plan","type":"article","volume":"I"},"uris":["http://www.mendeley.com/documents/?uuid=df856792-65f3-40a5-8ad8-42456c8dbff3"]}],"mendeley":{"formattedCitation":"[1]","plainTextFormattedCitation":"[1]","previouslyFormattedCitation":"[1]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w:t>
      </w:r>
      <w:r w:rsidR="009904FE" w:rsidRPr="00D636C4">
        <w:rPr>
          <w:rFonts w:ascii="Calibri" w:eastAsia="Calibri" w:hAnsi="Calibri" w:cs="Calibri"/>
        </w:rPr>
        <w:fldChar w:fldCharType="end"/>
      </w:r>
      <w:r w:rsidRPr="00D636C4">
        <w:rPr>
          <w:rFonts w:ascii="Calibri" w:eastAsia="Calibri" w:hAnsi="Calibri" w:cs="Calibri"/>
        </w:rPr>
        <w:t>:</w:t>
      </w:r>
    </w:p>
    <w:p w14:paraId="5CB50BA5" w14:textId="77777777" w:rsidR="006C2DA4" w:rsidRPr="00D636C4" w:rsidRDefault="006C2DA4" w:rsidP="006C2DA4">
      <w:pPr>
        <w:jc w:val="both"/>
        <w:rPr>
          <w:rFonts w:ascii="Calibri" w:eastAsia="Calibri" w:hAnsi="Calibri" w:cs="Calibri"/>
        </w:rPr>
      </w:pPr>
    </w:p>
    <w:p w14:paraId="288C9AF3" w14:textId="77777777" w:rsidR="006C2DA4" w:rsidRPr="00D636C4" w:rsidRDefault="006C2DA4" w:rsidP="006C2DA4">
      <w:pPr>
        <w:numPr>
          <w:ilvl w:val="0"/>
          <w:numId w:val="15"/>
        </w:numPr>
        <w:jc w:val="both"/>
        <w:rPr>
          <w:rFonts w:ascii="Calibri" w:eastAsia="Calibri" w:hAnsi="Calibri" w:cs="Calibri"/>
        </w:rPr>
      </w:pPr>
      <w:r w:rsidRPr="00D636C4">
        <w:rPr>
          <w:rFonts w:ascii="Calibri" w:eastAsia="Calibri" w:hAnsi="Calibri" w:cs="Calibri"/>
        </w:rPr>
        <w:t>Augmenter le taux du budget de l'État consacré à la santé</w:t>
      </w:r>
      <w:r>
        <w:rPr>
          <w:rFonts w:ascii="Calibri" w:eastAsia="Calibri" w:hAnsi="Calibri" w:cs="Calibri"/>
        </w:rPr>
        <w:t xml:space="preserve"> jusqu’à 15% du budget global à l’horizon </w:t>
      </w:r>
      <w:r w:rsidR="007A3E73">
        <w:rPr>
          <w:rFonts w:ascii="Calibri" w:eastAsia="Calibri" w:hAnsi="Calibri" w:cs="Calibri"/>
        </w:rPr>
        <w:t>2030.</w:t>
      </w:r>
    </w:p>
    <w:p w14:paraId="3521263C" w14:textId="77777777" w:rsidR="006C2DA4" w:rsidRPr="00D636C4" w:rsidRDefault="006C2DA4" w:rsidP="006C2DA4">
      <w:pPr>
        <w:numPr>
          <w:ilvl w:val="0"/>
          <w:numId w:val="15"/>
        </w:numPr>
        <w:jc w:val="both"/>
        <w:rPr>
          <w:rFonts w:ascii="Calibri" w:eastAsia="Calibri" w:hAnsi="Calibri" w:cs="Calibri"/>
        </w:rPr>
      </w:pPr>
      <w:r w:rsidRPr="00D636C4">
        <w:rPr>
          <w:rFonts w:ascii="Calibri" w:eastAsia="Calibri" w:hAnsi="Calibri" w:cs="Calibri"/>
        </w:rPr>
        <w:t>Mettre à l'échelle l'assurance maladie pour améliorer la protection financière du risque maladie</w:t>
      </w:r>
      <w:r w:rsidR="00300EB7">
        <w:rPr>
          <w:rFonts w:ascii="Calibri" w:eastAsia="Calibri" w:hAnsi="Calibri" w:cs="Calibri"/>
        </w:rPr>
        <w:t>.</w:t>
      </w:r>
      <w:r>
        <w:rPr>
          <w:rFonts w:ascii="Calibri" w:eastAsia="Calibri" w:hAnsi="Calibri" w:cs="Calibri"/>
        </w:rPr>
        <w:t xml:space="preserve"> </w:t>
      </w:r>
    </w:p>
    <w:p w14:paraId="53C489FD" w14:textId="77777777" w:rsidR="006C2DA4" w:rsidRPr="00D636C4" w:rsidRDefault="006C2DA4" w:rsidP="006C2DA4">
      <w:pPr>
        <w:numPr>
          <w:ilvl w:val="0"/>
          <w:numId w:val="15"/>
        </w:numPr>
        <w:jc w:val="both"/>
        <w:rPr>
          <w:rFonts w:ascii="Calibri" w:eastAsia="Calibri" w:hAnsi="Calibri" w:cs="Calibri"/>
        </w:rPr>
      </w:pPr>
      <w:r w:rsidRPr="00D636C4">
        <w:rPr>
          <w:rFonts w:ascii="Calibri" w:eastAsia="Calibri" w:hAnsi="Calibri" w:cs="Calibri"/>
        </w:rPr>
        <w:t xml:space="preserve">Harmonisation et rationalisation des mécanismes de gratuité des soins (afin de les </w:t>
      </w:r>
      <w:r>
        <w:rPr>
          <w:rFonts w:ascii="Calibri" w:eastAsia="Calibri" w:hAnsi="Calibri" w:cs="Calibri"/>
        </w:rPr>
        <w:t>intégrer progressivement dans le système assuranciel</w:t>
      </w:r>
      <w:r w:rsidRPr="00D636C4">
        <w:rPr>
          <w:rFonts w:ascii="Calibri" w:eastAsia="Calibri" w:hAnsi="Calibri" w:cs="Calibri"/>
        </w:rPr>
        <w:t>).</w:t>
      </w:r>
    </w:p>
    <w:p w14:paraId="35EE7F9C" w14:textId="77777777" w:rsidR="006C2DA4" w:rsidRPr="00D636C4" w:rsidRDefault="006C2DA4" w:rsidP="006C2DA4">
      <w:pPr>
        <w:numPr>
          <w:ilvl w:val="0"/>
          <w:numId w:val="15"/>
        </w:numPr>
        <w:jc w:val="both"/>
        <w:rPr>
          <w:rFonts w:ascii="Calibri" w:eastAsia="Calibri" w:hAnsi="Calibri" w:cs="Calibri"/>
        </w:rPr>
      </w:pPr>
      <w:r w:rsidRPr="00D636C4">
        <w:rPr>
          <w:rFonts w:ascii="Calibri" w:eastAsia="Calibri" w:hAnsi="Calibri" w:cs="Calibri"/>
        </w:rPr>
        <w:t>Élaborer et mettre en œuvre une stratégie de couverture sanitaire universelle.</w:t>
      </w:r>
    </w:p>
    <w:p w14:paraId="19A24F34"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02C534F8"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Ces axes seront la base de la réussite de la CSU. Beaucoup de progrès ont déjà été réalisés vers cet objectif, malgré les chocs exogènes de la pandémie de COVID-19 et l’instabilité dans l’économie mondiale. Ceci a été possible grâce au soutien fort du plus haut niveau de l’état et </w:t>
      </w:r>
      <w:r>
        <w:rPr>
          <w:rFonts w:ascii="Calibri" w:eastAsia="Calibri" w:hAnsi="Calibri" w:cs="Calibri"/>
        </w:rPr>
        <w:t>le</w:t>
      </w:r>
      <w:r w:rsidRPr="00D636C4">
        <w:rPr>
          <w:rFonts w:ascii="Calibri" w:eastAsia="Calibri" w:hAnsi="Calibri" w:cs="Calibri"/>
        </w:rPr>
        <w:t xml:space="preserve"> leadership du ministère de la Santé, (</w:t>
      </w:r>
      <w:proofErr w:type="spellStart"/>
      <w:r w:rsidRPr="00D636C4">
        <w:rPr>
          <w:rFonts w:ascii="Calibri" w:eastAsia="Calibri" w:hAnsi="Calibri" w:cs="Calibri"/>
        </w:rPr>
        <w:t>MdS</w:t>
      </w:r>
      <w:proofErr w:type="spellEnd"/>
      <w:r w:rsidRPr="00D636C4">
        <w:rPr>
          <w:rFonts w:ascii="Calibri" w:eastAsia="Calibri" w:hAnsi="Calibri" w:cs="Calibri"/>
        </w:rPr>
        <w:t>) ainsi qu’à l’appui des partenaires techniques et financiers (PTFs).</w:t>
      </w:r>
    </w:p>
    <w:p w14:paraId="628DAE9C" w14:textId="77777777" w:rsidR="006C2DA4" w:rsidRPr="00D636C4" w:rsidRDefault="006C2DA4" w:rsidP="006C2DA4">
      <w:pPr>
        <w:rPr>
          <w:rFonts w:ascii="Calibri" w:eastAsia="Calibri" w:hAnsi="Calibri" w:cs="Calibri"/>
        </w:rPr>
      </w:pPr>
      <w:r w:rsidRPr="00D636C4">
        <w:rPr>
          <w:rFonts w:ascii="Calibri" w:eastAsia="Calibri" w:hAnsi="Calibri" w:cs="Calibri"/>
        </w:rPr>
        <w:t xml:space="preserve"> </w:t>
      </w:r>
    </w:p>
    <w:p w14:paraId="7070906E"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Le Président de la République s’est en effet engagé en faveur de la CSU dans son Programme Prioritaire Élargie du Président de la République (ProPEP</w:t>
      </w:r>
      <w:r>
        <w:rPr>
          <w:rFonts w:ascii="Calibri" w:eastAsia="Calibri" w:hAnsi="Calibri" w:cs="Calibri"/>
        </w:rPr>
        <w:t xml:space="preserve"> 2020-2023). C</w:t>
      </w:r>
      <w:r w:rsidRPr="00D636C4">
        <w:rPr>
          <w:rFonts w:ascii="Calibri" w:eastAsia="Calibri" w:hAnsi="Calibri" w:cs="Calibri"/>
        </w:rPr>
        <w:t>e programme sur 30 mois a priorisé des activités pour améliorer l’accès aux services pour les populations prioritaires et renforcer les programmes de soutien aux ménages les plus démunis, entre autres en finançant la réduction des frais du forfait obstétrical, en plus de son extension à échelle nationale. De plus, le programme a permis de faire porter les ménages les plus indigents (100 000 ménages) par l’assurance obligatoire en subventionnant leur adhésion à ce régime pour une couverture à 100% du risque maladie et de mettre sur pied un nouveau régime d’assurance maladie volontaire, la Caisse Nationale de Solidarité en Santé (CNASS), qui visera à accroitre le rôle du prépaiement et d’augmenter le partage de risque pour le reste de de la population (la majorité), qui sont actuellement sans protection.</w:t>
      </w:r>
    </w:p>
    <w:p w14:paraId="2961C32C"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26894887" w14:textId="77777777" w:rsidR="006C2DA4" w:rsidRDefault="006C2DA4" w:rsidP="006C2DA4">
      <w:pPr>
        <w:jc w:val="both"/>
        <w:rPr>
          <w:rFonts w:ascii="Calibri" w:eastAsia="Calibri" w:hAnsi="Calibri" w:cs="Calibri"/>
        </w:rPr>
      </w:pPr>
      <w:r w:rsidRPr="00D636C4">
        <w:rPr>
          <w:rFonts w:ascii="Calibri" w:eastAsia="Calibri" w:hAnsi="Calibri" w:cs="Calibri"/>
        </w:rPr>
        <w:t xml:space="preserve">Malgré des progrès importants, </w:t>
      </w:r>
      <w:r>
        <w:rPr>
          <w:rFonts w:ascii="Calibri" w:eastAsia="Calibri" w:hAnsi="Calibri" w:cs="Calibri"/>
        </w:rPr>
        <w:t>plusieurs</w:t>
      </w:r>
      <w:r w:rsidRPr="00D636C4">
        <w:rPr>
          <w:rFonts w:ascii="Calibri" w:eastAsia="Calibri" w:hAnsi="Calibri" w:cs="Calibri"/>
        </w:rPr>
        <w:t xml:space="preserve"> défis persistent, dont le sous-investissement dans la santé par rapport aux besoins, particulièrement au niveau primaire, </w:t>
      </w:r>
      <w:r>
        <w:rPr>
          <w:rFonts w:ascii="Calibri" w:eastAsia="Calibri" w:hAnsi="Calibri" w:cs="Calibri"/>
        </w:rPr>
        <w:t>une</w:t>
      </w:r>
      <w:r w:rsidRPr="00D636C4">
        <w:rPr>
          <w:rFonts w:ascii="Calibri" w:eastAsia="Calibri" w:hAnsi="Calibri" w:cs="Calibri"/>
        </w:rPr>
        <w:t xml:space="preserve"> mise en commun des ressources limitée, et une fonction d’achat encore peu stratégique, due en partie à un manque d’alignement entre les programmes nationaux et ceux des PTFs.</w:t>
      </w:r>
      <w:r>
        <w:rPr>
          <w:rFonts w:ascii="Calibri" w:eastAsia="Calibri" w:hAnsi="Calibri" w:cs="Calibri"/>
        </w:rPr>
        <w:t xml:space="preserve"> </w:t>
      </w:r>
    </w:p>
    <w:p w14:paraId="7BB018D7" w14:textId="77777777" w:rsidR="00300EB7" w:rsidRDefault="00300EB7" w:rsidP="006C2DA4">
      <w:pPr>
        <w:jc w:val="both"/>
        <w:rPr>
          <w:rFonts w:ascii="Calibri" w:eastAsia="Calibri" w:hAnsi="Calibri" w:cs="Calibri"/>
        </w:rPr>
      </w:pPr>
    </w:p>
    <w:p w14:paraId="2DB5D9FB" w14:textId="77777777" w:rsidR="00300EB7" w:rsidRDefault="00300EB7" w:rsidP="006C2DA4">
      <w:pPr>
        <w:jc w:val="both"/>
        <w:rPr>
          <w:rFonts w:ascii="Calibri" w:eastAsia="Calibri" w:hAnsi="Calibri" w:cs="Calibri"/>
        </w:rPr>
      </w:pPr>
    </w:p>
    <w:p w14:paraId="34783EFC" w14:textId="77777777" w:rsidR="006C2DA4" w:rsidRDefault="006C2DA4" w:rsidP="006C2DA4">
      <w:pPr>
        <w:jc w:val="both"/>
        <w:rPr>
          <w:rFonts w:ascii="Calibri" w:eastAsia="Calibri" w:hAnsi="Calibri" w:cs="Calibri"/>
        </w:rPr>
      </w:pPr>
    </w:p>
    <w:p w14:paraId="04152A5C" w14:textId="77777777" w:rsidR="006C2DA4" w:rsidRDefault="006C2DA4" w:rsidP="006C2DA4">
      <w:pPr>
        <w:pBdr>
          <w:top w:val="single" w:sz="4" w:space="1" w:color="auto"/>
          <w:left w:val="single" w:sz="4" w:space="4" w:color="auto"/>
          <w:bottom w:val="single" w:sz="4" w:space="1" w:color="auto"/>
          <w:right w:val="single" w:sz="4" w:space="4" w:color="auto"/>
        </w:pBdr>
        <w:jc w:val="both"/>
        <w:rPr>
          <w:rFonts w:ascii="Calibri" w:eastAsia="Calibri" w:hAnsi="Calibri" w:cs="Calibri"/>
          <w:b/>
          <w:bCs/>
        </w:rPr>
      </w:pPr>
      <w:r>
        <w:rPr>
          <w:rFonts w:ascii="Calibri" w:eastAsia="Calibri" w:hAnsi="Calibri" w:cs="Calibri"/>
          <w:b/>
          <w:bCs/>
        </w:rPr>
        <w:lastRenderedPageBreak/>
        <w:t xml:space="preserve">Encadré 1 : </w:t>
      </w:r>
      <w:r w:rsidRPr="00C04266">
        <w:rPr>
          <w:rFonts w:ascii="Calibri" w:eastAsia="Calibri" w:hAnsi="Calibri" w:cs="Calibri"/>
          <w:b/>
          <w:bCs/>
        </w:rPr>
        <w:t>L’importance des SSP</w:t>
      </w:r>
    </w:p>
    <w:p w14:paraId="3B06B29C" w14:textId="77777777" w:rsidR="006C2DA4" w:rsidRPr="00B8433E" w:rsidRDefault="006C2DA4" w:rsidP="006C2DA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Calibri"/>
        </w:rPr>
      </w:pPr>
      <w:r>
        <w:rPr>
          <w:rFonts w:ascii="Calibri" w:eastAsia="Calibri" w:hAnsi="Calibri" w:cs="Calibri"/>
        </w:rPr>
        <w:t xml:space="preserve">Les SSP </w:t>
      </w:r>
      <w:r w:rsidRPr="00B8433E">
        <w:rPr>
          <w:rFonts w:ascii="Calibri" w:eastAsia="Calibri" w:hAnsi="Calibri" w:cs="Calibri"/>
        </w:rPr>
        <w:t>sont une composante essentielle des systèmes de santé hautement performants, dans les pays à revenu élevé, intermédiaire et faible, fournissant des soins efficaces, abordables et inclusifs aux personnes lorsqu'elles en ont besoin</w:t>
      </w:r>
      <w:r>
        <w:rPr>
          <w:rFonts w:ascii="Calibri" w:eastAsia="Calibri" w:hAnsi="Calibri" w:cs="Calibri"/>
        </w:rPr>
        <w:t>.</w:t>
      </w:r>
      <w:r w:rsidRPr="00B8433E">
        <w:rPr>
          <w:rFonts w:ascii="Calibri" w:eastAsia="Calibri" w:hAnsi="Calibri" w:cs="Calibri"/>
        </w:rPr>
        <w:t xml:space="preserve"> Le système de soins primaires est également le canal par lequel sont dispensées </w:t>
      </w:r>
      <w:r>
        <w:rPr>
          <w:rFonts w:ascii="Calibri" w:eastAsia="Calibri" w:hAnsi="Calibri" w:cs="Calibri"/>
        </w:rPr>
        <w:t>les</w:t>
      </w:r>
      <w:r w:rsidRPr="00B8433E">
        <w:rPr>
          <w:rFonts w:ascii="Calibri" w:eastAsia="Calibri" w:hAnsi="Calibri" w:cs="Calibri"/>
        </w:rPr>
        <w:t xml:space="preserve"> interventions de santé les plus rentables. Il constitue le fondement à la fois de la couverture sanitaire universelle (CSU) et des objectifs de développement durable (ODD)</w:t>
      </w:r>
      <w:r>
        <w:rPr>
          <w:rFonts w:ascii="Calibri" w:eastAsia="Calibri" w:hAnsi="Calibri" w:cs="Calibri"/>
        </w:rPr>
        <w:t>. (33)</w:t>
      </w:r>
    </w:p>
    <w:p w14:paraId="0AFEE471" w14:textId="77777777" w:rsidR="006C2DA4" w:rsidRPr="00D636C4" w:rsidRDefault="006C2DA4" w:rsidP="006C2DA4">
      <w:pPr>
        <w:jc w:val="both"/>
        <w:rPr>
          <w:rFonts w:ascii="Calibri" w:eastAsia="Calibri" w:hAnsi="Calibri" w:cs="Calibri"/>
        </w:rPr>
      </w:pPr>
    </w:p>
    <w:p w14:paraId="6F8E6763"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Depuis plusieurs années, le secteur se concentre sur la préparation d’une Stratégie Nationale de Financement de la Santé (SNFS). Cette stratégie servira de fondement pour un plaidoyer pour mobiliser plus de ressources pour la santé, basé sur les évidences et priorités nationales, et pour guider des actions stratégiques favorisant un meilleur alignement et une utilisation plus efficiente des ressources.</w:t>
      </w:r>
    </w:p>
    <w:p w14:paraId="452144D7" w14:textId="77777777" w:rsidR="006C2DA4" w:rsidRDefault="006C2DA4" w:rsidP="006C2DA4">
      <w:pPr>
        <w:jc w:val="both"/>
        <w:rPr>
          <w:rFonts w:ascii="Calibri" w:eastAsia="Calibri" w:hAnsi="Calibri" w:cs="Calibri"/>
        </w:rPr>
      </w:pPr>
      <w:r w:rsidRPr="00D636C4">
        <w:rPr>
          <w:rFonts w:ascii="Calibri" w:eastAsia="Calibri" w:hAnsi="Calibri" w:cs="Calibri"/>
        </w:rPr>
        <w:t xml:space="preserve"> </w:t>
      </w:r>
      <w:bookmarkStart w:id="9" w:name="_Toc137847485"/>
      <w:bookmarkStart w:id="10" w:name="_Toc140268433"/>
    </w:p>
    <w:p w14:paraId="285AB9F5" w14:textId="77777777" w:rsidR="006C2DA4" w:rsidRPr="00D57B21" w:rsidRDefault="006C2DA4" w:rsidP="006C2DA4">
      <w:pPr>
        <w:jc w:val="both"/>
        <w:rPr>
          <w:rFonts w:ascii="Calibri" w:eastAsia="Calibri" w:hAnsi="Calibri" w:cs="Calibri"/>
          <w:b/>
        </w:rPr>
      </w:pPr>
      <w:r w:rsidRPr="008F12D0">
        <w:rPr>
          <w:rFonts w:ascii="Calibri" w:eastAsia="Calibri" w:hAnsi="Calibri" w:cs="Calibri"/>
          <w:b/>
        </w:rPr>
        <w:t>1.2. Objectifs de cette stratégie</w:t>
      </w:r>
      <w:bookmarkEnd w:id="9"/>
      <w:bookmarkEnd w:id="10"/>
    </w:p>
    <w:p w14:paraId="3B9CBB47" w14:textId="77777777" w:rsidR="006C2DA4" w:rsidRDefault="006C2DA4" w:rsidP="006C2DA4">
      <w:pPr>
        <w:rPr>
          <w:rFonts w:ascii="Calibri" w:eastAsia="Calibri" w:hAnsi="Calibri" w:cs="Calibri"/>
        </w:rPr>
      </w:pPr>
      <w:r w:rsidRPr="00D636C4">
        <w:rPr>
          <w:rFonts w:ascii="Calibri" w:eastAsia="Calibri" w:hAnsi="Calibri" w:cs="Calibri"/>
        </w:rPr>
        <w:t xml:space="preserve">Cette stratégie nationale de financement de la santé </w:t>
      </w:r>
      <w:r>
        <w:rPr>
          <w:rFonts w:ascii="Calibri" w:eastAsia="Calibri" w:hAnsi="Calibri" w:cs="Calibri"/>
        </w:rPr>
        <w:t xml:space="preserve">(SNFS) </w:t>
      </w:r>
      <w:r w:rsidRPr="00D636C4">
        <w:rPr>
          <w:rFonts w:ascii="Calibri" w:eastAsia="Calibri" w:hAnsi="Calibri" w:cs="Calibri"/>
        </w:rPr>
        <w:t>a pour objectifs de :</w:t>
      </w:r>
    </w:p>
    <w:p w14:paraId="06C97361" w14:textId="77777777" w:rsidR="006C2DA4" w:rsidRPr="00D636C4" w:rsidRDefault="006C2DA4" w:rsidP="006C2DA4">
      <w:pPr>
        <w:rPr>
          <w:rFonts w:ascii="Calibri" w:eastAsia="Calibri" w:hAnsi="Calibri" w:cs="Calibri"/>
        </w:rPr>
      </w:pPr>
    </w:p>
    <w:p w14:paraId="795C08E2" w14:textId="77777777" w:rsidR="006C2DA4" w:rsidRPr="00E6730B" w:rsidRDefault="006C2DA4" w:rsidP="006C2DA4">
      <w:pPr>
        <w:rPr>
          <w:rFonts w:ascii="Calibri" w:eastAsia="Calibri" w:hAnsi="Calibri" w:cs="Calibri"/>
        </w:rPr>
      </w:pPr>
      <w:r w:rsidRPr="00E6730B">
        <w:rPr>
          <w:rFonts w:ascii="Calibri" w:eastAsia="Calibri" w:hAnsi="Calibri" w:cs="Calibri"/>
          <w:b/>
          <w:bCs/>
        </w:rPr>
        <w:t xml:space="preserve">Guider des actions stratégiques pour un alignement et une accélération </w:t>
      </w:r>
      <w:r w:rsidRPr="00E6730B">
        <w:rPr>
          <w:rFonts w:ascii="Calibri" w:eastAsia="Calibri" w:hAnsi="Calibri" w:cs="Calibri"/>
        </w:rPr>
        <w:t>sur le moyen/long terme des initiatives de renforcement du financement de la santé, en particulier :</w:t>
      </w:r>
    </w:p>
    <w:p w14:paraId="5ACDAC3A" w14:textId="77777777" w:rsidR="006C2DA4" w:rsidRPr="00E6730B" w:rsidRDefault="006C2DA4" w:rsidP="006C2DA4">
      <w:pPr>
        <w:pStyle w:val="ListParagraph"/>
        <w:numPr>
          <w:ilvl w:val="0"/>
          <w:numId w:val="27"/>
        </w:numPr>
      </w:pPr>
      <w:r w:rsidRPr="00E6730B">
        <w:rPr>
          <w:rFonts w:ascii="Calibri" w:eastAsia="Calibri" w:hAnsi="Calibri" w:cs="Calibri"/>
        </w:rPr>
        <w:t xml:space="preserve">Assurer la mobilisation des ressources financières progressives nécessaires à une couverture sanitaire universelle à l’horizon 2030 et </w:t>
      </w:r>
      <w:r w:rsidRPr="0070238E">
        <w:rPr>
          <w:rFonts w:ascii="Calibri" w:eastAsia="Calibri" w:hAnsi="Calibri" w:cs="Calibri"/>
        </w:rPr>
        <w:t>d</w:t>
      </w:r>
      <w:r w:rsidRPr="00E6730B">
        <w:rPr>
          <w:rFonts w:ascii="Calibri" w:eastAsia="Calibri" w:hAnsi="Calibri" w:cs="Calibri"/>
        </w:rPr>
        <w:t>éfinir une feuille de route pour une augmentation progressive du budget public alloué à la santé avec un objectif de 15% en 2030.</w:t>
      </w:r>
    </w:p>
    <w:p w14:paraId="1F551D17" w14:textId="77777777" w:rsidR="006C2DA4" w:rsidRPr="00E6730B" w:rsidRDefault="006C2DA4" w:rsidP="006C2DA4">
      <w:pPr>
        <w:pStyle w:val="ListParagraph"/>
        <w:numPr>
          <w:ilvl w:val="0"/>
          <w:numId w:val="27"/>
        </w:numPr>
      </w:pPr>
      <w:r w:rsidRPr="0070238E">
        <w:rPr>
          <w:rFonts w:ascii="Calibri" w:eastAsia="Calibri" w:hAnsi="Calibri" w:cs="Calibri"/>
        </w:rPr>
        <w:t>Améliorer la mise en commun et mutualisation des ressources pour renforcer la protection financière de la population ;</w:t>
      </w:r>
    </w:p>
    <w:p w14:paraId="1F49C40A" w14:textId="77777777" w:rsidR="006C2DA4" w:rsidRPr="00E6730B" w:rsidRDefault="006C2DA4" w:rsidP="006C2DA4">
      <w:pPr>
        <w:pStyle w:val="ListParagraph"/>
        <w:numPr>
          <w:ilvl w:val="0"/>
          <w:numId w:val="27"/>
        </w:numPr>
      </w:pPr>
      <w:r w:rsidRPr="00E6730B">
        <w:rPr>
          <w:rFonts w:ascii="Calibri" w:eastAsia="Calibri" w:hAnsi="Calibri" w:cs="Calibri"/>
        </w:rPr>
        <w:t>Améliorer le processus d'allocation des ressources de la santé, en privilégiant les SSP, et rendre l’achat plus stratégique ;</w:t>
      </w:r>
    </w:p>
    <w:p w14:paraId="6BF26E73" w14:textId="77777777" w:rsidR="006C2DA4" w:rsidRPr="00E6730B" w:rsidRDefault="006C2DA4" w:rsidP="006C2DA4">
      <w:pPr>
        <w:pStyle w:val="ListParagraph"/>
        <w:numPr>
          <w:ilvl w:val="0"/>
          <w:numId w:val="27"/>
        </w:numPr>
      </w:pPr>
      <w:r w:rsidRPr="00E6730B">
        <w:rPr>
          <w:rFonts w:ascii="Calibri" w:eastAsia="Calibri" w:hAnsi="Calibri" w:cs="Calibri"/>
        </w:rPr>
        <w:t>Renforcer des fonctions sous-jacentes au système de financement de la santé : gouvernance, données et gestion des finances publiques (GFP).</w:t>
      </w:r>
    </w:p>
    <w:p w14:paraId="4E84222B" w14:textId="77777777" w:rsidR="006C2DA4" w:rsidRPr="00D636C4" w:rsidRDefault="006C2DA4" w:rsidP="006C2DA4">
      <w:pPr>
        <w:pStyle w:val="Heading2"/>
        <w:keepNext w:val="0"/>
        <w:keepLines w:val="0"/>
        <w:spacing w:after="80"/>
        <w:rPr>
          <w:rFonts w:ascii="Calibri" w:eastAsia="Calibri" w:hAnsi="Calibri" w:cs="Calibri"/>
          <w:b/>
          <w:sz w:val="22"/>
          <w:szCs w:val="22"/>
        </w:rPr>
      </w:pPr>
      <w:bookmarkStart w:id="11" w:name="_Toc137847486"/>
      <w:bookmarkStart w:id="12" w:name="_Toc140268434"/>
      <w:bookmarkEnd w:id="8"/>
      <w:r>
        <w:rPr>
          <w:rFonts w:ascii="Calibri" w:eastAsia="Calibri" w:hAnsi="Calibri" w:cs="Calibri"/>
          <w:b/>
          <w:sz w:val="22"/>
          <w:szCs w:val="22"/>
        </w:rPr>
        <w:t>1</w:t>
      </w:r>
      <w:r w:rsidRPr="00D636C4">
        <w:rPr>
          <w:rFonts w:ascii="Calibri" w:eastAsia="Calibri" w:hAnsi="Calibri" w:cs="Calibri"/>
          <w:b/>
          <w:sz w:val="22"/>
          <w:szCs w:val="22"/>
        </w:rPr>
        <w:t>.3. Méthodologie</w:t>
      </w:r>
      <w:bookmarkEnd w:id="11"/>
      <w:bookmarkEnd w:id="12"/>
    </w:p>
    <w:p w14:paraId="3E1FB725" w14:textId="77777777" w:rsidR="006C2DA4" w:rsidRPr="00D636C4" w:rsidRDefault="006C2DA4" w:rsidP="006C2DA4">
      <w:pPr>
        <w:rPr>
          <w:rFonts w:ascii="Calibri" w:eastAsia="Calibri" w:hAnsi="Calibri" w:cs="Calibri"/>
        </w:rPr>
      </w:pPr>
      <w:bookmarkStart w:id="13" w:name="_Hlk147240678"/>
      <w:r w:rsidRPr="00D636C4">
        <w:rPr>
          <w:rFonts w:ascii="Calibri" w:eastAsia="Calibri" w:hAnsi="Calibri" w:cs="Calibri"/>
        </w:rPr>
        <w:t xml:space="preserve"> Le processus de développement de la SNFS </w:t>
      </w:r>
      <w:r>
        <w:rPr>
          <w:rFonts w:ascii="Calibri" w:eastAsia="Calibri" w:hAnsi="Calibri" w:cs="Calibri"/>
        </w:rPr>
        <w:t>a été</w:t>
      </w:r>
      <w:r w:rsidRPr="00D636C4">
        <w:rPr>
          <w:rFonts w:ascii="Calibri" w:eastAsia="Calibri" w:hAnsi="Calibri" w:cs="Calibri"/>
        </w:rPr>
        <w:t xml:space="preserve"> mené en Mauritanie par un groupe de travail technique interdisciplinaire sur le financement de la santé, qui est au sein du Comité National de Pilotage du secteur (CONAP), et qui assure la coordination entre les principal</w:t>
      </w:r>
      <w:r>
        <w:rPr>
          <w:rFonts w:ascii="Calibri" w:eastAsia="Calibri" w:hAnsi="Calibri" w:cs="Calibri"/>
        </w:rPr>
        <w:t>es parties prenantes - dont le M</w:t>
      </w:r>
      <w:r w:rsidRPr="00D636C4">
        <w:rPr>
          <w:rFonts w:ascii="Calibri" w:eastAsia="Calibri" w:hAnsi="Calibri" w:cs="Calibri"/>
        </w:rPr>
        <w:t>inistère de la Santé</w:t>
      </w:r>
      <w:r>
        <w:rPr>
          <w:rFonts w:ascii="Calibri" w:eastAsia="Calibri" w:hAnsi="Calibri" w:cs="Calibri"/>
        </w:rPr>
        <w:t xml:space="preserve"> (</w:t>
      </w:r>
      <w:proofErr w:type="spellStart"/>
      <w:r>
        <w:rPr>
          <w:rFonts w:ascii="Calibri" w:eastAsia="Calibri" w:hAnsi="Calibri" w:cs="Calibri"/>
        </w:rPr>
        <w:t>MdS</w:t>
      </w:r>
      <w:proofErr w:type="spellEnd"/>
      <w:r>
        <w:rPr>
          <w:rFonts w:ascii="Calibri" w:eastAsia="Calibri" w:hAnsi="Calibri" w:cs="Calibri"/>
        </w:rPr>
        <w:t>), le M</w:t>
      </w:r>
      <w:r w:rsidRPr="00D636C4">
        <w:rPr>
          <w:rFonts w:ascii="Calibri" w:eastAsia="Calibri" w:hAnsi="Calibri" w:cs="Calibri"/>
        </w:rPr>
        <w:t xml:space="preserve">inistère </w:t>
      </w:r>
      <w:r>
        <w:rPr>
          <w:rFonts w:ascii="Calibri" w:eastAsia="Calibri" w:hAnsi="Calibri" w:cs="Calibri"/>
        </w:rPr>
        <w:t xml:space="preserve">en charge </w:t>
      </w:r>
      <w:r w:rsidRPr="00D636C4">
        <w:rPr>
          <w:rFonts w:ascii="Calibri" w:eastAsia="Calibri" w:hAnsi="Calibri" w:cs="Calibri"/>
        </w:rPr>
        <w:t>de l’Economi</w:t>
      </w:r>
      <w:r>
        <w:rPr>
          <w:rFonts w:ascii="Calibri" w:eastAsia="Calibri" w:hAnsi="Calibri" w:cs="Calibri"/>
        </w:rPr>
        <w:t>e, du Développement Durable</w:t>
      </w:r>
      <w:r w:rsidRPr="00D636C4">
        <w:rPr>
          <w:rFonts w:ascii="Calibri" w:eastAsia="Calibri" w:hAnsi="Calibri" w:cs="Calibri"/>
        </w:rPr>
        <w:t xml:space="preserve"> et de la Promotion des secteurs </w:t>
      </w:r>
      <w:r>
        <w:rPr>
          <w:rFonts w:ascii="Calibri" w:eastAsia="Calibri" w:hAnsi="Calibri" w:cs="Calibri"/>
        </w:rPr>
        <w:t>productifs, le M</w:t>
      </w:r>
      <w:r w:rsidRPr="00D636C4">
        <w:rPr>
          <w:rFonts w:ascii="Calibri" w:eastAsia="Calibri" w:hAnsi="Calibri" w:cs="Calibri"/>
        </w:rPr>
        <w:t>inistère des Finances</w:t>
      </w:r>
      <w:r>
        <w:rPr>
          <w:rFonts w:ascii="Calibri" w:eastAsia="Calibri" w:hAnsi="Calibri" w:cs="Calibri"/>
        </w:rPr>
        <w:t xml:space="preserve"> (</w:t>
      </w:r>
      <w:proofErr w:type="spellStart"/>
      <w:r>
        <w:rPr>
          <w:rFonts w:ascii="Calibri" w:eastAsia="Calibri" w:hAnsi="Calibri" w:cs="Calibri"/>
        </w:rPr>
        <w:t>MdF</w:t>
      </w:r>
      <w:proofErr w:type="spellEnd"/>
      <w:r>
        <w:rPr>
          <w:rFonts w:ascii="Calibri" w:eastAsia="Calibri" w:hAnsi="Calibri" w:cs="Calibri"/>
        </w:rPr>
        <w:t>)</w:t>
      </w:r>
      <w:r w:rsidRPr="00D636C4">
        <w:rPr>
          <w:rFonts w:ascii="Calibri" w:eastAsia="Calibri" w:hAnsi="Calibri" w:cs="Calibri"/>
        </w:rPr>
        <w:t xml:space="preserve">, la Direction Générale du Budget (DGB), la Caisse Nationale d’Assurance Maladie (CNAM), la </w:t>
      </w:r>
      <w:r w:rsidRPr="00D636C4">
        <w:rPr>
          <w:rFonts w:asciiTheme="majorHAnsi" w:hAnsiTheme="majorHAnsi" w:cstheme="majorHAnsi"/>
          <w:color w:val="000000"/>
        </w:rPr>
        <w:t>Caisse Nationale de Solidarité en Santé</w:t>
      </w:r>
      <w:r w:rsidRPr="00D636C4">
        <w:rPr>
          <w:rFonts w:ascii="Calibri" w:eastAsia="Calibri" w:hAnsi="Calibri" w:cs="Calibri"/>
        </w:rPr>
        <w:t xml:space="preserve"> </w:t>
      </w:r>
      <w:r>
        <w:rPr>
          <w:rFonts w:ascii="Calibri" w:eastAsia="Calibri" w:hAnsi="Calibri" w:cs="Calibri"/>
        </w:rPr>
        <w:t>(</w:t>
      </w:r>
      <w:r w:rsidRPr="00D636C4">
        <w:rPr>
          <w:rFonts w:ascii="Calibri" w:eastAsia="Calibri" w:hAnsi="Calibri" w:cs="Calibri"/>
        </w:rPr>
        <w:t>CNASS</w:t>
      </w:r>
      <w:r>
        <w:rPr>
          <w:rFonts w:ascii="Calibri" w:eastAsia="Calibri" w:hAnsi="Calibri" w:cs="Calibri"/>
        </w:rPr>
        <w:t>)</w:t>
      </w:r>
      <w:r w:rsidRPr="00D636C4">
        <w:rPr>
          <w:rFonts w:ascii="Calibri" w:eastAsia="Calibri" w:hAnsi="Calibri" w:cs="Calibri"/>
        </w:rPr>
        <w:t>, le Ministère des Affaires sociales</w:t>
      </w:r>
      <w:r>
        <w:rPr>
          <w:rFonts w:ascii="Calibri" w:eastAsia="Calibri" w:hAnsi="Calibri" w:cs="Calibri"/>
        </w:rPr>
        <w:t xml:space="preserve"> </w:t>
      </w:r>
      <w:r w:rsidRPr="00D636C4">
        <w:rPr>
          <w:rFonts w:ascii="Calibri" w:eastAsia="Calibri" w:hAnsi="Calibri" w:cs="Calibri"/>
        </w:rPr>
        <w:t>, de l’Enfance et de la Famille (MASEF), et les partenaires techniques et financiers</w:t>
      </w:r>
      <w:r>
        <w:rPr>
          <w:rFonts w:ascii="Calibri" w:eastAsia="Calibri" w:hAnsi="Calibri" w:cs="Calibri"/>
        </w:rPr>
        <w:t xml:space="preserve"> (PTFs)</w:t>
      </w:r>
      <w:r w:rsidRPr="00D636C4">
        <w:rPr>
          <w:rFonts w:ascii="Calibri" w:eastAsia="Calibri" w:hAnsi="Calibri" w:cs="Calibri"/>
        </w:rPr>
        <w:t>.</w:t>
      </w:r>
    </w:p>
    <w:bookmarkEnd w:id="13"/>
    <w:p w14:paraId="61C1D304"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63C932B8"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Le contenu analytique de cette stratégie (chapitres 2 et 3) </w:t>
      </w:r>
      <w:r>
        <w:rPr>
          <w:rFonts w:ascii="Calibri" w:eastAsia="Calibri" w:hAnsi="Calibri" w:cs="Calibri"/>
        </w:rPr>
        <w:t>a été</w:t>
      </w:r>
      <w:r w:rsidRPr="00D636C4">
        <w:rPr>
          <w:rFonts w:ascii="Calibri" w:eastAsia="Calibri" w:hAnsi="Calibri" w:cs="Calibri"/>
        </w:rPr>
        <w:t xml:space="preserve"> alimenté par plusieurs travaux antérieurs, particulièrement une </w:t>
      </w:r>
      <w:r w:rsidRPr="00D636C4">
        <w:rPr>
          <w:rFonts w:ascii="Calibri" w:eastAsia="Calibri" w:hAnsi="Calibri" w:cs="Calibri"/>
          <w:i/>
        </w:rPr>
        <w:t>Analyse du Système de Financement de la Santé</w:t>
      </w:r>
      <w:r w:rsidRPr="00D636C4">
        <w:rPr>
          <w:rFonts w:ascii="Calibri" w:eastAsia="Calibri" w:hAnsi="Calibri" w:cs="Calibri"/>
        </w:rPr>
        <w:t xml:space="preserve"> préparé</w:t>
      </w:r>
      <w:r>
        <w:rPr>
          <w:rFonts w:ascii="Calibri" w:eastAsia="Calibri" w:hAnsi="Calibri" w:cs="Calibri"/>
        </w:rPr>
        <w:t xml:space="preserve"> en début 2023 à la demande du M</w:t>
      </w:r>
      <w:r w:rsidRPr="00D636C4">
        <w:rPr>
          <w:rFonts w:ascii="Calibri" w:eastAsia="Calibri" w:hAnsi="Calibri" w:cs="Calibri"/>
        </w:rPr>
        <w:t>inistère de la Santé et des membres du groupe de travail technique, ainsi que :</w:t>
      </w:r>
    </w:p>
    <w:p w14:paraId="38AB96C2"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29C3691E" w14:textId="77777777" w:rsidR="006C2DA4" w:rsidRPr="00D636C4" w:rsidRDefault="007A3E73" w:rsidP="006C2DA4">
      <w:pPr>
        <w:numPr>
          <w:ilvl w:val="0"/>
          <w:numId w:val="1"/>
        </w:numPr>
        <w:jc w:val="both"/>
        <w:rPr>
          <w:rFonts w:ascii="Calibri" w:eastAsia="Calibri" w:hAnsi="Calibri" w:cs="Calibri"/>
        </w:rPr>
      </w:pPr>
      <w:r>
        <w:rPr>
          <w:rFonts w:ascii="Calibri" w:eastAsia="Calibri" w:hAnsi="Calibri" w:cs="Calibri"/>
        </w:rPr>
        <w:t>-</w:t>
      </w:r>
      <w:r w:rsidR="006C2DA4" w:rsidRPr="00D636C4">
        <w:rPr>
          <w:rFonts w:ascii="Calibri" w:eastAsia="Calibri" w:hAnsi="Calibri" w:cs="Calibri"/>
        </w:rPr>
        <w:t>Le Diagnostic du Système de Financement de la Santé (2019) ;</w:t>
      </w:r>
    </w:p>
    <w:p w14:paraId="48A4792B" w14:textId="77777777" w:rsidR="006C2DA4" w:rsidRPr="00D636C4" w:rsidRDefault="006C2DA4" w:rsidP="006C2DA4">
      <w:pPr>
        <w:numPr>
          <w:ilvl w:val="0"/>
          <w:numId w:val="1"/>
        </w:numPr>
        <w:jc w:val="both"/>
        <w:rPr>
          <w:rFonts w:ascii="Calibri" w:eastAsia="Calibri" w:hAnsi="Calibri" w:cs="Calibri"/>
        </w:rPr>
      </w:pPr>
      <w:r w:rsidRPr="00D636C4">
        <w:rPr>
          <w:rFonts w:ascii="Calibri" w:eastAsia="Calibri" w:hAnsi="Calibri" w:cs="Calibri"/>
        </w:rPr>
        <w:lastRenderedPageBreak/>
        <w:t>La Carte Sanitaire Nationale de la Mauritanie (2020) ;</w:t>
      </w:r>
    </w:p>
    <w:p w14:paraId="68C93538" w14:textId="77777777" w:rsidR="006C2DA4" w:rsidRPr="00D636C4" w:rsidRDefault="006C2DA4" w:rsidP="006C2DA4">
      <w:pPr>
        <w:numPr>
          <w:ilvl w:val="0"/>
          <w:numId w:val="1"/>
        </w:numPr>
        <w:jc w:val="both"/>
        <w:rPr>
          <w:rFonts w:ascii="Calibri" w:eastAsia="Calibri" w:hAnsi="Calibri" w:cs="Calibri"/>
        </w:rPr>
      </w:pPr>
      <w:r w:rsidRPr="00D636C4">
        <w:rPr>
          <w:rFonts w:ascii="Calibri" w:eastAsia="Calibri" w:hAnsi="Calibri" w:cs="Calibri"/>
        </w:rPr>
        <w:t>Le rapport de la mission d’appui à la Couverture Sanitaire Universelle en République Islamique de Mauritanie (OMS, 2020) ;</w:t>
      </w:r>
    </w:p>
    <w:p w14:paraId="0A0B93F1" w14:textId="77777777" w:rsidR="006C2DA4" w:rsidRPr="00D636C4" w:rsidRDefault="006C2DA4" w:rsidP="006C2DA4">
      <w:pPr>
        <w:numPr>
          <w:ilvl w:val="0"/>
          <w:numId w:val="1"/>
        </w:numPr>
        <w:jc w:val="both"/>
        <w:rPr>
          <w:rFonts w:ascii="Calibri" w:eastAsia="Calibri" w:hAnsi="Calibri" w:cs="Calibri"/>
        </w:rPr>
      </w:pPr>
      <w:r w:rsidRPr="00D636C4">
        <w:rPr>
          <w:rFonts w:ascii="Calibri" w:eastAsia="Calibri" w:hAnsi="Calibri" w:cs="Calibri"/>
        </w:rPr>
        <w:t>L’analyse de l’espace budgétaire pour la santé et la vaccination en République Islamique de Mauritanie (Banque Mondiale, 2020) ;</w:t>
      </w:r>
    </w:p>
    <w:p w14:paraId="79373BEB" w14:textId="77777777" w:rsidR="006C2DA4" w:rsidRDefault="006C2DA4" w:rsidP="006C2DA4">
      <w:pPr>
        <w:numPr>
          <w:ilvl w:val="0"/>
          <w:numId w:val="1"/>
        </w:numPr>
        <w:jc w:val="both"/>
        <w:rPr>
          <w:rFonts w:ascii="Calibri" w:eastAsia="Calibri" w:hAnsi="Calibri" w:cs="Calibri"/>
        </w:rPr>
      </w:pPr>
      <w:r w:rsidRPr="00D636C4">
        <w:rPr>
          <w:rFonts w:ascii="Calibri" w:eastAsia="Calibri" w:hAnsi="Calibri" w:cs="Calibri"/>
        </w:rPr>
        <w:t>La cartographie des ressources du Plan National de Développement Sanitaire (GFF, 2022) ;</w:t>
      </w:r>
    </w:p>
    <w:p w14:paraId="5702AF7D" w14:textId="77777777" w:rsidR="006C2DA4" w:rsidRDefault="006C2DA4" w:rsidP="006C2DA4">
      <w:pPr>
        <w:numPr>
          <w:ilvl w:val="0"/>
          <w:numId w:val="1"/>
        </w:numPr>
        <w:jc w:val="both"/>
        <w:rPr>
          <w:rFonts w:ascii="Calibri" w:eastAsia="Calibri" w:hAnsi="Calibri" w:cs="Calibri"/>
        </w:rPr>
      </w:pPr>
      <w:r>
        <w:rPr>
          <w:rFonts w:ascii="Calibri" w:eastAsia="Calibri" w:hAnsi="Calibri" w:cs="Calibri"/>
        </w:rPr>
        <w:t>Le dossier d’investissement 2022-2025 (GFF, 2023) ;</w:t>
      </w:r>
    </w:p>
    <w:p w14:paraId="1D1337D6" w14:textId="77777777" w:rsidR="006C2DA4" w:rsidRPr="00C04266" w:rsidRDefault="006C2DA4" w:rsidP="006C2DA4">
      <w:pPr>
        <w:numPr>
          <w:ilvl w:val="0"/>
          <w:numId w:val="1"/>
        </w:numPr>
        <w:jc w:val="both"/>
        <w:rPr>
          <w:rFonts w:ascii="Calibri" w:eastAsia="Calibri" w:hAnsi="Calibri" w:cs="Calibri"/>
        </w:rPr>
      </w:pPr>
      <w:r>
        <w:rPr>
          <w:rFonts w:ascii="Calibri" w:eastAsia="Calibri" w:hAnsi="Calibri" w:cs="Calibri"/>
        </w:rPr>
        <w:t>Les Comptes Nationaux de santé 2018 – 2021 (</w:t>
      </w:r>
      <w:proofErr w:type="spellStart"/>
      <w:r>
        <w:rPr>
          <w:rFonts w:ascii="Calibri" w:eastAsia="Calibri" w:hAnsi="Calibri" w:cs="Calibri"/>
        </w:rPr>
        <w:t>MdS</w:t>
      </w:r>
      <w:proofErr w:type="spellEnd"/>
      <w:r>
        <w:rPr>
          <w:rFonts w:ascii="Calibri" w:eastAsia="Calibri" w:hAnsi="Calibri" w:cs="Calibri"/>
        </w:rPr>
        <w:t>, 2023) ;</w:t>
      </w:r>
    </w:p>
    <w:p w14:paraId="0551D607" w14:textId="77777777" w:rsidR="006C2DA4" w:rsidRPr="00D636C4" w:rsidRDefault="006C2DA4" w:rsidP="006C2DA4">
      <w:pPr>
        <w:numPr>
          <w:ilvl w:val="0"/>
          <w:numId w:val="1"/>
        </w:numPr>
        <w:jc w:val="both"/>
        <w:rPr>
          <w:rFonts w:ascii="Calibri" w:eastAsia="Calibri" w:hAnsi="Calibri" w:cs="Calibri"/>
        </w:rPr>
      </w:pPr>
      <w:r w:rsidRPr="00D636C4">
        <w:rPr>
          <w:rFonts w:ascii="Calibri" w:eastAsia="Calibri" w:hAnsi="Calibri" w:cs="Calibri"/>
        </w:rPr>
        <w:t>L’analyse de la Gestion des Finances Publiques en santé et des conditions propices à l'intégration du financement basé sur la performance en Mauritanie (Banque Mondiale, 2023) ;</w:t>
      </w:r>
    </w:p>
    <w:p w14:paraId="2F8C7062" w14:textId="77777777" w:rsidR="006C2DA4" w:rsidRPr="00D636C4" w:rsidRDefault="006C2DA4" w:rsidP="006C2DA4">
      <w:pPr>
        <w:numPr>
          <w:ilvl w:val="0"/>
          <w:numId w:val="1"/>
        </w:numPr>
        <w:jc w:val="both"/>
        <w:rPr>
          <w:rFonts w:ascii="Calibri" w:eastAsia="Calibri" w:hAnsi="Calibri" w:cs="Calibri"/>
        </w:rPr>
      </w:pPr>
      <w:r w:rsidRPr="00D636C4">
        <w:rPr>
          <w:rFonts w:ascii="Calibri" w:eastAsia="Calibri" w:hAnsi="Calibri" w:cs="Calibri"/>
        </w:rPr>
        <w:t>Évaluation rapide du Compact National Santé 2018-2020 en République Islamique de Mauritanie (2023) ;</w:t>
      </w:r>
    </w:p>
    <w:p w14:paraId="39C02F07" w14:textId="77777777" w:rsidR="006C2DA4" w:rsidRPr="00D636C4" w:rsidRDefault="006C2DA4" w:rsidP="006C2DA4">
      <w:pPr>
        <w:numPr>
          <w:ilvl w:val="0"/>
          <w:numId w:val="1"/>
        </w:numPr>
        <w:jc w:val="both"/>
        <w:rPr>
          <w:rFonts w:ascii="Calibri" w:eastAsia="Calibri" w:hAnsi="Calibri" w:cs="Calibri"/>
        </w:rPr>
      </w:pPr>
      <w:r w:rsidRPr="00D636C4">
        <w:rPr>
          <w:rFonts w:ascii="Calibri" w:eastAsia="Calibri" w:hAnsi="Calibri" w:cs="Calibri"/>
        </w:rPr>
        <w:t>Le lancement du processus de transition à l’approche Budget-Programme initié par le ministère des Finances et en cours de mise en œuvre au ministère de la Santé.</w:t>
      </w:r>
    </w:p>
    <w:p w14:paraId="1CD8E7B4"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483D94CB" w14:textId="77777777" w:rsidR="006C2DA4" w:rsidRDefault="006C2DA4" w:rsidP="006C2DA4">
      <w:pPr>
        <w:jc w:val="both"/>
        <w:rPr>
          <w:rFonts w:ascii="Calibri" w:eastAsia="Calibri" w:hAnsi="Calibri" w:cs="Calibri"/>
        </w:rPr>
      </w:pPr>
      <w:r w:rsidRPr="00D636C4">
        <w:rPr>
          <w:rFonts w:ascii="Calibri" w:eastAsia="Calibri" w:hAnsi="Calibri" w:cs="Calibri"/>
        </w:rPr>
        <w:t>De plus, trois ateliers sur le financement de la santé et la CSU ont été tenus en juin 2022, février et juin 2023 pour solliciter l’engagement et les contributions d'un large éventail de parties prenantes.</w:t>
      </w:r>
    </w:p>
    <w:p w14:paraId="7D82169F" w14:textId="77777777" w:rsidR="006C2DA4" w:rsidRDefault="006C2DA4" w:rsidP="006C2DA4">
      <w:pPr>
        <w:jc w:val="both"/>
        <w:rPr>
          <w:rFonts w:ascii="Calibri" w:eastAsia="Calibri" w:hAnsi="Calibri" w:cs="Calibri"/>
        </w:rPr>
      </w:pPr>
    </w:p>
    <w:p w14:paraId="02AABAAA" w14:textId="77777777" w:rsidR="006C2DA4" w:rsidRDefault="006C2DA4" w:rsidP="006C2DA4">
      <w:pPr>
        <w:jc w:val="both"/>
        <w:rPr>
          <w:rFonts w:ascii="Calibri" w:eastAsia="Calibri" w:hAnsi="Calibri" w:cs="Calibri"/>
        </w:rPr>
      </w:pPr>
      <w:r w:rsidRPr="00D636C4">
        <w:rPr>
          <w:rFonts w:ascii="Calibri" w:eastAsia="Calibri" w:hAnsi="Calibri" w:cs="Calibri"/>
          <w:b/>
        </w:rPr>
        <w:t>Conditions de succès et risques</w:t>
      </w:r>
    </w:p>
    <w:p w14:paraId="6AC7CA9F" w14:textId="77777777" w:rsidR="006C2DA4" w:rsidRPr="00D636C4" w:rsidRDefault="006C2DA4" w:rsidP="006C2DA4">
      <w:pPr>
        <w:spacing w:after="160" w:line="256" w:lineRule="auto"/>
        <w:rPr>
          <w:rFonts w:ascii="Calibri" w:eastAsia="Calibri" w:hAnsi="Calibri" w:cs="Calibri"/>
        </w:rPr>
      </w:pPr>
      <w:r w:rsidRPr="00D636C4">
        <w:rPr>
          <w:rFonts w:ascii="Calibri" w:eastAsia="Calibri" w:hAnsi="Calibri" w:cs="Calibri"/>
        </w:rPr>
        <w:t>Le succès dans la mise en œuvre de la présente SNFS dépendra, essentiellement, de deux aspects :</w:t>
      </w:r>
    </w:p>
    <w:p w14:paraId="0DB51ED1" w14:textId="77777777" w:rsidR="006C2DA4" w:rsidRPr="00D636C4" w:rsidRDefault="006C2DA4" w:rsidP="006C2DA4">
      <w:pPr>
        <w:numPr>
          <w:ilvl w:val="0"/>
          <w:numId w:val="9"/>
        </w:numPr>
        <w:spacing w:line="256" w:lineRule="auto"/>
        <w:jc w:val="both"/>
        <w:rPr>
          <w:rFonts w:ascii="Calibri" w:eastAsia="Calibri" w:hAnsi="Calibri" w:cs="Calibri"/>
        </w:rPr>
      </w:pPr>
      <w:r w:rsidRPr="00D636C4">
        <w:rPr>
          <w:rFonts w:ascii="Calibri" w:eastAsia="Calibri" w:hAnsi="Calibri" w:cs="Calibri"/>
        </w:rPr>
        <w:t>L’engagement politique de haut niveau en faveur de la santé. Cet engagement s’est manifesté à maintes reprises, entre autres par l’ampleur et l’ambition du ProPEP, par le premier haut responsable du Pays, son Excellence Mr Le Président de la République. La présente stratégie constitue un des outils pour la matérialisation de cet engagement en faveur du financement d’une action de santé équitable, efficace, efficiente et durable pour une couverture sanitaire universelle, bénéficiant en particulier aux groupes les plus vulnérables.</w:t>
      </w:r>
    </w:p>
    <w:p w14:paraId="786BF570" w14:textId="77777777" w:rsidR="006C2DA4" w:rsidRPr="00D636C4" w:rsidRDefault="006C2DA4" w:rsidP="006C2DA4">
      <w:pPr>
        <w:numPr>
          <w:ilvl w:val="0"/>
          <w:numId w:val="9"/>
        </w:numPr>
        <w:spacing w:line="256" w:lineRule="auto"/>
        <w:jc w:val="both"/>
        <w:rPr>
          <w:rFonts w:ascii="Calibri" w:eastAsia="Calibri" w:hAnsi="Calibri" w:cs="Calibri"/>
        </w:rPr>
      </w:pPr>
      <w:r w:rsidRPr="00D636C4">
        <w:rPr>
          <w:rFonts w:ascii="Calibri" w:eastAsia="Calibri" w:hAnsi="Calibri" w:cs="Calibri"/>
        </w:rPr>
        <w:t>L’engagement et une participation effective des PTF à accompagner cet élan et à renforcer ce leadership du Département en charge de la santé pour une planification, une mobilisation des ressources, une mise en œuvre et un suivi conjoint et responsable, transparent et inclusif. Le renforcement du Compact à travers la participation de tous les PTF constitue une matérialisation de cet accompagnement pour plus d’appropriation nationale, d’harmonisation et de redevabilité en conformité avec les déclarations internationales sur l’aide publique au développement et sur le financement de la santé.</w:t>
      </w:r>
    </w:p>
    <w:p w14:paraId="60B3CEC2" w14:textId="77777777" w:rsidR="006C2DA4" w:rsidRPr="00D636C4" w:rsidRDefault="006C2DA4" w:rsidP="006C2DA4">
      <w:pPr>
        <w:jc w:val="both"/>
        <w:rPr>
          <w:rFonts w:ascii="Calibri" w:eastAsia="Calibri" w:hAnsi="Calibri" w:cs="Calibri"/>
        </w:rPr>
      </w:pPr>
    </w:p>
    <w:p w14:paraId="6D0FD917"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140847C9" w14:textId="77777777" w:rsidR="006C2DA4" w:rsidRPr="00D636C4" w:rsidRDefault="006C2DA4" w:rsidP="006C2DA4">
      <w:pPr>
        <w:rPr>
          <w:rFonts w:ascii="Calibri" w:eastAsia="Calibri" w:hAnsi="Calibri" w:cs="Calibri"/>
        </w:rPr>
      </w:pPr>
      <w:r w:rsidRPr="00D636C4">
        <w:rPr>
          <w:rFonts w:ascii="Calibri" w:eastAsia="Calibri" w:hAnsi="Calibri" w:cs="Calibri"/>
        </w:rPr>
        <w:t>Ce rapport est structuré comme suit :</w:t>
      </w:r>
      <w:r>
        <w:rPr>
          <w:rFonts w:ascii="Calibri" w:eastAsia="Calibri" w:hAnsi="Calibri" w:cs="Calibri"/>
        </w:rPr>
        <w:t xml:space="preserve"> c</w:t>
      </w:r>
      <w:r w:rsidRPr="00D636C4">
        <w:rPr>
          <w:rFonts w:ascii="Calibri" w:eastAsia="Calibri" w:hAnsi="Calibri" w:cs="Calibri"/>
        </w:rPr>
        <w:t>hapitre 2 passe en revue le contexte national, dont la situation économique, sociale et du système de santé</w:t>
      </w:r>
      <w:r>
        <w:rPr>
          <w:rFonts w:ascii="Calibri" w:eastAsia="Calibri" w:hAnsi="Calibri" w:cs="Calibri"/>
        </w:rPr>
        <w:t> ; c</w:t>
      </w:r>
      <w:r w:rsidRPr="00D636C4">
        <w:rPr>
          <w:rFonts w:ascii="Calibri" w:eastAsia="Calibri" w:hAnsi="Calibri" w:cs="Calibri"/>
        </w:rPr>
        <w:t>hapitre 3 présente une synthèse de l’analyse du financement du système de santé, dont:</w:t>
      </w:r>
      <w:r>
        <w:rPr>
          <w:rFonts w:ascii="Calibri" w:eastAsia="Calibri" w:hAnsi="Calibri" w:cs="Calibri"/>
        </w:rPr>
        <w:t xml:space="preserve"> l</w:t>
      </w:r>
      <w:r w:rsidRPr="00D636C4">
        <w:rPr>
          <w:rFonts w:ascii="Calibri" w:eastAsia="Calibri" w:hAnsi="Calibri" w:cs="Calibri"/>
        </w:rPr>
        <w:t>es besoins financiers pour atteindre les objectifs du PNDS</w:t>
      </w:r>
      <w:r>
        <w:rPr>
          <w:rFonts w:ascii="Calibri" w:eastAsia="Calibri" w:hAnsi="Calibri" w:cs="Calibri"/>
        </w:rPr>
        <w:t>, l</w:t>
      </w:r>
      <w:r w:rsidRPr="00D636C4">
        <w:rPr>
          <w:rFonts w:ascii="Calibri" w:eastAsia="Calibri" w:hAnsi="Calibri" w:cs="Calibri"/>
        </w:rPr>
        <w:t>a mobilisation des ressources pour la santé</w:t>
      </w:r>
      <w:r>
        <w:rPr>
          <w:rFonts w:ascii="Calibri" w:eastAsia="Calibri" w:hAnsi="Calibri" w:cs="Calibri"/>
        </w:rPr>
        <w:t>, l</w:t>
      </w:r>
      <w:r w:rsidRPr="00D636C4">
        <w:rPr>
          <w:rFonts w:ascii="Calibri" w:eastAsia="Calibri" w:hAnsi="Calibri" w:cs="Calibri"/>
        </w:rPr>
        <w:t>a mise en commun des ressources</w:t>
      </w:r>
      <w:r>
        <w:rPr>
          <w:rFonts w:ascii="Calibri" w:eastAsia="Calibri" w:hAnsi="Calibri" w:cs="Calibri"/>
        </w:rPr>
        <w:t>, l</w:t>
      </w:r>
      <w:r w:rsidRPr="00D636C4">
        <w:rPr>
          <w:rFonts w:ascii="Calibri" w:eastAsia="Calibri" w:hAnsi="Calibri" w:cs="Calibri"/>
        </w:rPr>
        <w:t>’allocation de ressources et de l’achat de services</w:t>
      </w:r>
      <w:r>
        <w:rPr>
          <w:rFonts w:ascii="Calibri" w:eastAsia="Calibri" w:hAnsi="Calibri" w:cs="Calibri"/>
        </w:rPr>
        <w:t>, et l</w:t>
      </w:r>
      <w:r w:rsidRPr="00D636C4">
        <w:rPr>
          <w:rFonts w:ascii="Calibri" w:eastAsia="Calibri" w:hAnsi="Calibri" w:cs="Calibri"/>
        </w:rPr>
        <w:t xml:space="preserve">es fonctions sous-jacentes au financement de la santé </w:t>
      </w:r>
      <w:r>
        <w:rPr>
          <w:rFonts w:ascii="Calibri" w:eastAsia="Calibri" w:hAnsi="Calibri" w:cs="Calibri"/>
        </w:rPr>
        <w:t>(</w:t>
      </w:r>
      <w:r w:rsidRPr="00D636C4">
        <w:rPr>
          <w:rFonts w:ascii="Calibri" w:eastAsia="Calibri" w:hAnsi="Calibri" w:cs="Calibri"/>
        </w:rPr>
        <w:t>gestion des finances publiques, le système d’informations sanitaires et les mécanismes de gouvernance et de redevabilité</w:t>
      </w:r>
      <w:r>
        <w:rPr>
          <w:rFonts w:ascii="Calibri" w:eastAsia="Calibri" w:hAnsi="Calibri" w:cs="Calibri"/>
        </w:rPr>
        <w:t>)</w:t>
      </w:r>
      <w:r w:rsidRPr="00D636C4">
        <w:rPr>
          <w:rFonts w:ascii="Calibri" w:eastAsia="Calibri" w:hAnsi="Calibri" w:cs="Calibri"/>
        </w:rPr>
        <w:t>.</w:t>
      </w:r>
      <w:r>
        <w:rPr>
          <w:rFonts w:ascii="Calibri" w:eastAsia="Calibri" w:hAnsi="Calibri" w:cs="Calibri"/>
        </w:rPr>
        <w:t xml:space="preserve"> </w:t>
      </w:r>
      <w:r w:rsidRPr="00D636C4">
        <w:rPr>
          <w:rFonts w:ascii="Calibri" w:eastAsia="Calibri" w:hAnsi="Calibri" w:cs="Calibri"/>
        </w:rPr>
        <w:t xml:space="preserve">Chapitre 4 résume les principaux axes stratégiques et chantiers d’actions </w:t>
      </w:r>
      <w:r>
        <w:rPr>
          <w:rFonts w:ascii="Calibri" w:eastAsia="Calibri" w:hAnsi="Calibri" w:cs="Calibri"/>
        </w:rPr>
        <w:t xml:space="preserve"> et c</w:t>
      </w:r>
      <w:r w:rsidRPr="00D636C4">
        <w:rPr>
          <w:rFonts w:ascii="Calibri" w:eastAsia="Calibri" w:hAnsi="Calibri" w:cs="Calibri"/>
        </w:rPr>
        <w:t xml:space="preserve">hapitre 5 décrit le </w:t>
      </w:r>
      <w:r w:rsidRPr="00D636C4">
        <w:rPr>
          <w:rFonts w:ascii="Calibri" w:eastAsia="Calibri" w:hAnsi="Calibri" w:cs="Calibri"/>
        </w:rPr>
        <w:lastRenderedPageBreak/>
        <w:t>dispositif et les modalités d’opérationnalisation et de suivi évaluation de la SNFS, et analyse les conditions de succès et risques.</w:t>
      </w:r>
    </w:p>
    <w:p w14:paraId="1CB6AA63" w14:textId="77777777" w:rsidR="006C2DA4" w:rsidRDefault="006C2DA4" w:rsidP="006C2DA4">
      <w:pPr>
        <w:jc w:val="both"/>
        <w:rPr>
          <w:rFonts w:ascii="Calibri" w:eastAsia="Calibri" w:hAnsi="Calibri" w:cs="Calibri"/>
        </w:rPr>
      </w:pPr>
      <w:r w:rsidRPr="00D636C4">
        <w:rPr>
          <w:rFonts w:ascii="Calibri" w:eastAsia="Calibri" w:hAnsi="Calibri" w:cs="Calibri"/>
        </w:rPr>
        <w:t xml:space="preserve"> </w:t>
      </w:r>
      <w:bookmarkStart w:id="14" w:name="_Toc137847487"/>
      <w:bookmarkStart w:id="15" w:name="_Toc140268435"/>
    </w:p>
    <w:p w14:paraId="26B34C91" w14:textId="77777777" w:rsidR="006C2DA4" w:rsidRPr="00D636C4" w:rsidRDefault="006C2DA4" w:rsidP="006C2DA4">
      <w:pPr>
        <w:jc w:val="both"/>
        <w:rPr>
          <w:rFonts w:ascii="Calibri" w:eastAsia="Calibri" w:hAnsi="Calibri" w:cs="Calibri"/>
          <w:b/>
          <w:color w:val="2F5496"/>
          <w:sz w:val="30"/>
          <w:szCs w:val="30"/>
        </w:rPr>
      </w:pPr>
      <w:r w:rsidRPr="00D636C4">
        <w:rPr>
          <w:rFonts w:ascii="Calibri" w:eastAsia="Calibri" w:hAnsi="Calibri" w:cs="Calibri"/>
          <w:b/>
          <w:color w:val="2F5496"/>
          <w:sz w:val="30"/>
          <w:szCs w:val="30"/>
        </w:rPr>
        <w:t>Chapitre 2 : Contexte</w:t>
      </w:r>
      <w:bookmarkEnd w:id="14"/>
      <w:bookmarkEnd w:id="15"/>
    </w:p>
    <w:p w14:paraId="478D1DC8"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La réalisation de l’ambition de CSU d’ici 2030 en Mauritanie signifie que toute la population aura accès à tout l'éventail des services de santé de qualité dont elle a besoin, </w:t>
      </w:r>
      <w:r>
        <w:rPr>
          <w:rFonts w:ascii="Calibri" w:eastAsia="Calibri" w:hAnsi="Calibri" w:cs="Calibri"/>
        </w:rPr>
        <w:t xml:space="preserve">en premier lieu les SSP, </w:t>
      </w:r>
      <w:r w:rsidRPr="00D636C4">
        <w:rPr>
          <w:rFonts w:ascii="Calibri" w:eastAsia="Calibri" w:hAnsi="Calibri" w:cs="Calibri"/>
        </w:rPr>
        <w:t xml:space="preserve"> à l'endroit où elle en a besoin, sans que cela</w:t>
      </w:r>
      <w:r>
        <w:rPr>
          <w:rFonts w:ascii="Calibri" w:eastAsia="Calibri" w:hAnsi="Calibri" w:cs="Calibri"/>
        </w:rPr>
        <w:t xml:space="preserve"> ne</w:t>
      </w:r>
      <w:r w:rsidRPr="00D636C4">
        <w:rPr>
          <w:rFonts w:ascii="Calibri" w:eastAsia="Calibri" w:hAnsi="Calibri" w:cs="Calibri"/>
        </w:rPr>
        <w:t xml:space="preserve"> génère de difficultés financières. Pourtant, le contexte économique, social et géographique complique cette ambition.</w:t>
      </w:r>
    </w:p>
    <w:p w14:paraId="0BBC69F6" w14:textId="77777777" w:rsidR="006C2DA4" w:rsidRDefault="006C2DA4" w:rsidP="006C2DA4">
      <w:pPr>
        <w:jc w:val="both"/>
        <w:rPr>
          <w:rFonts w:ascii="Calibri" w:eastAsia="Calibri" w:hAnsi="Calibri" w:cs="Calibri"/>
        </w:rPr>
      </w:pPr>
      <w:r w:rsidRPr="00D636C4">
        <w:rPr>
          <w:rFonts w:ascii="Calibri" w:eastAsia="Calibri" w:hAnsi="Calibri" w:cs="Calibri"/>
        </w:rPr>
        <w:t xml:space="preserve"> </w:t>
      </w:r>
      <w:bookmarkStart w:id="16" w:name="_Toc137847488"/>
      <w:bookmarkStart w:id="17" w:name="_Toc140268436"/>
    </w:p>
    <w:p w14:paraId="5639AFD9" w14:textId="77777777" w:rsidR="006C2DA4" w:rsidRPr="00D636C4" w:rsidRDefault="006C2DA4" w:rsidP="006C2DA4">
      <w:pPr>
        <w:jc w:val="both"/>
        <w:rPr>
          <w:rFonts w:ascii="Calibri" w:eastAsia="Calibri" w:hAnsi="Calibri" w:cs="Calibri"/>
        </w:rPr>
      </w:pPr>
      <w:r w:rsidRPr="00D636C4">
        <w:rPr>
          <w:rFonts w:ascii="Calibri" w:eastAsia="Calibri" w:hAnsi="Calibri" w:cs="Calibri"/>
          <w:b/>
        </w:rPr>
        <w:t>2.1. Situation économique</w:t>
      </w:r>
      <w:bookmarkEnd w:id="16"/>
      <w:bookmarkEnd w:id="17"/>
    </w:p>
    <w:p w14:paraId="7E1BFB7C"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La Mauritanie appartient à la classe des pays à revenu intermédiaire tranche inférieure avec un produit intérieur brut (PIB) par personne de $2,166 en 2021 (USD courantes)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{"citationItems":[{"id":"ITEM-1","itemData":{"URL":"https://data.worldbank.org/country/mauritania","author":[{"dropping-particle":"","family":"World Bank Group","given":"","non-dropping-particle":"","parse-names":false,"suffix":""}],"container-title":"data.worldbank.org","id":"ITEM-1","issued":{"date-parts":[["2023"]]},"title":"World Bank Data - Mauritania","type":"webpage"},"uris":["http://www.mendeley.com/documents/?uuid=461d0c22-a3f8-4e22-944f-7b2197898465"]}],"mendeley":{"formattedCitation":"[2]","plainTextFormattedCitation":"[2]","previouslyFormattedCitation":"[2]"},"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w:t>
      </w:r>
      <w:r w:rsidR="009904FE" w:rsidRPr="00D636C4">
        <w:rPr>
          <w:rFonts w:ascii="Calibri" w:eastAsia="Calibri" w:hAnsi="Calibri" w:cs="Calibri"/>
        </w:rPr>
        <w:fldChar w:fldCharType="end"/>
      </w:r>
      <w:r w:rsidRPr="00D636C4">
        <w:rPr>
          <w:rFonts w:ascii="Calibri" w:eastAsia="Calibri" w:hAnsi="Calibri" w:cs="Calibri"/>
        </w:rPr>
        <w:t>. L’économie Mauritanienne a connu une période de croissance économique importante entre 2017 et 2019, avec un taux de croissance annuel du PIB réel</w:t>
      </w:r>
      <w:r w:rsidRPr="00D636C4">
        <w:rPr>
          <w:rFonts w:ascii="Calibri" w:eastAsia="Calibri" w:hAnsi="Calibri" w:cs="Calibri"/>
          <w:b/>
        </w:rPr>
        <w:t xml:space="preserve"> </w:t>
      </w:r>
      <w:r w:rsidRPr="00D636C4">
        <w:rPr>
          <w:rFonts w:ascii="Calibri" w:eastAsia="Calibri" w:hAnsi="Calibri" w:cs="Calibri"/>
        </w:rPr>
        <w:t xml:space="preserve">moyen de 5.5%, près du double de la moyenne de l'Afrique subsaharienne durant cette période (3%). Toutefois, cette tendance prometteuse a été interrompue par la pandémie COVID-19, qui a mené à une contraction du taux de croissance du PIB à -0.9 % en 2020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{"citationItems":[{"id":"ITEM-1","itemData":{"URL":"source: https://www.imf.org/external/datamapper/NGDP_RPCH@WEO/MRT?year=2023","author":[{"dropping-particle":"","family":"IMF","given":"","non-dropping-particle":"","parse-names":false,"suffix":""}],"container-title":"imf.org","id":"ITEM-1","issued":{"date-parts":[["0"]]},"title":"IMF Datasets World Economic Outlook 2023 - Mauritania","type":"webpage"},"uris":["http://www.mendeley.com/documents/?uuid=c25edb79-5029-4fbb-bfea-f29a5f7eaace"]},{"id":"ITEM-2","itemData":{"abstract":"IMF Country Report No. 23/73 ISLAMIC REPUBLIC OF MAURITANIA 2022 ARTICLE IV CONSULTATION AND REQUESTS FOR 42-MONTH ARRANGEMENTS UNDER THE EXTENDED CREDIT FACILITY AND THE EXTENDED FUND FACILITY —PRESS RELEASE; STAFF REPORT; AND STATEMENT BY THE EXECUTIVE DIRECTOR FOR THE ISLAMIC REPUBLIC OF MAURITANIA Under","author":[{"dropping-particle":"","family":"International Monetary Fund","given":"","non-dropping-particle":"","parse-names":false,"suffix":""}],"id":"ITEM-2","issue":"23/73","issued":{"date-parts":[["2023"]]},"publisher-place":"Washington DC","title":"IMF Country Report - Islamic Republic of Mauritania (2022 Article IV Consultation)","type":"report"},"uris":["http://www.mendeley.com/documents/?uuid=5b674038-96dc-4ddf-8515-406d03e37594"]}],"mendeley":{"formattedCitation":"[3], [4]","plainTextFormattedCitation":"[3], [4]","previouslyFormattedCitation":"[3], [4]"},"properties":{"noteIndex":0},"schema":"https://github.com/citation-style-language/schema/raw/master/csl-citation.json"}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[3], [4]</w:t>
      </w:r>
      <w:r w:rsidR="009904FE" w:rsidRPr="00D636C4">
        <w:rPr>
          <w:rFonts w:ascii="Calibri" w:eastAsia="Calibri" w:hAnsi="Calibri" w:cs="Calibri"/>
        </w:rPr>
        <w:fldChar w:fldCharType="end"/>
      </w:r>
      <w:r w:rsidRPr="00D636C4">
        <w:rPr>
          <w:rFonts w:ascii="Calibri" w:eastAsia="Calibri" w:hAnsi="Calibri" w:cs="Calibri"/>
        </w:rPr>
        <w:t xml:space="preserve">(voir Graph 1 ci-dessous). Depuis 2021, l'activité économique se redresse avec un rebondissement dans les secteurs non-extractif et extractif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{"citationItems":[{"id":"ITEM-1","itemData":{"author":[{"dropping-particle":"","family":"Banque Mondiale","given":"","non-dropping-particle":"","parse-names":false,"suffix":""}],"id":"ITEM-1","issued":{"date-parts":[["2021"]]},"publisher-place":"Nouakchott","title":"Revue des dépenses publiques - Mauritanie (2021) Pistes pour maintenir la viabilité budgétaire et soutenir une reprise économique plus inclusive après la COVID-19","type":"report"},"uris":["http://www.mendeley.com/documents/?uuid=28330d42-356e-41c2-9dd7-acbc99cafd24"]}],"mendeley":{"formattedCitation":"[5]","plainTextFormattedCitation":"[5]","previouslyFormattedCitation":"[5]"},"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[5]</w:t>
      </w:r>
      <w:r w:rsidR="009904FE" w:rsidRPr="00D636C4">
        <w:rPr>
          <w:rFonts w:ascii="Calibri" w:eastAsia="Calibri" w:hAnsi="Calibri" w:cs="Calibri"/>
        </w:rPr>
        <w:fldChar w:fldCharType="end"/>
      </w:r>
      <w:r w:rsidRPr="00D636C4">
        <w:rPr>
          <w:rFonts w:ascii="Calibri" w:eastAsia="Calibri" w:hAnsi="Calibri" w:cs="Calibri"/>
        </w:rPr>
        <w:t>.</w:t>
      </w:r>
    </w:p>
    <w:p w14:paraId="128BB438" w14:textId="77777777" w:rsidR="006C2DA4" w:rsidRPr="00D636C4" w:rsidRDefault="006C2DA4" w:rsidP="006C2DA4">
      <w:pPr>
        <w:jc w:val="both"/>
        <w:rPr>
          <w:rFonts w:ascii="Calibri" w:eastAsia="Calibri" w:hAnsi="Calibri" w:cs="Calibri"/>
          <w:b/>
        </w:rPr>
      </w:pPr>
      <w:r w:rsidRPr="00D636C4">
        <w:rPr>
          <w:rFonts w:ascii="Calibri" w:eastAsia="Calibri" w:hAnsi="Calibri" w:cs="Calibri"/>
          <w:b/>
        </w:rPr>
        <w:t xml:space="preserve"> </w:t>
      </w:r>
    </w:p>
    <w:p w14:paraId="148D78AD" w14:textId="77777777" w:rsidR="006C2DA4" w:rsidRPr="00D636C4" w:rsidRDefault="006C2DA4" w:rsidP="006C2DA4">
      <w:pPr>
        <w:jc w:val="center"/>
        <w:rPr>
          <w:rFonts w:ascii="Calibri" w:eastAsia="Calibri" w:hAnsi="Calibri" w:cs="Calibri"/>
        </w:rPr>
      </w:pPr>
      <w:r w:rsidRPr="00D636C4">
        <w:rPr>
          <w:rFonts w:ascii="Calibri" w:eastAsia="Calibri" w:hAnsi="Calibri" w:cs="Calibri"/>
          <w:b/>
        </w:rPr>
        <w:t xml:space="preserve">Graph 1 : </w:t>
      </w:r>
      <w:r w:rsidRPr="00D636C4">
        <w:rPr>
          <w:rFonts w:ascii="Calibri" w:eastAsia="Calibri" w:hAnsi="Calibri" w:cs="Calibri"/>
        </w:rPr>
        <w:t>Évolution du PIB en Mauritanie (2010-2024)</w:t>
      </w:r>
    </w:p>
    <w:p w14:paraId="125B3E65" w14:textId="77777777" w:rsidR="006C2DA4" w:rsidRPr="00D636C4" w:rsidRDefault="006C2DA4" w:rsidP="006C2DA4">
      <w:pPr>
        <w:jc w:val="center"/>
        <w:rPr>
          <w:rFonts w:ascii="Calibri" w:eastAsia="Calibri" w:hAnsi="Calibri" w:cs="Calibri"/>
        </w:rPr>
      </w:pPr>
      <w:r w:rsidRPr="00D636C4">
        <w:rPr>
          <w:noProof/>
          <w:lang w:eastAsia="fr-FR"/>
        </w:rPr>
        <w:drawing>
          <wp:inline distT="0" distB="0" distL="0" distR="0" wp14:anchorId="4B3616FC" wp14:editId="751C9BE8">
            <wp:extent cx="4542343" cy="1912380"/>
            <wp:effectExtent l="0" t="0" r="10795" b="12065"/>
            <wp:docPr id="3" name="Chart 1">
              <a:extLst xmlns:a="http://schemas.openxmlformats.org/drawingml/2006/main">
                <a:ext uri="{FF2B5EF4-FFF2-40B4-BE49-F238E27FC236}">
                  <a16:creationId xmlns:a16="http://schemas.microsoft.com/office/drawing/2014/main" id="{D85A9252-BD6C-4D4E-ABD0-45969CD88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756F59"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Source : données du FMI </w:t>
      </w:r>
      <w:r w:rsidRPr="00D636C4">
        <w:rPr>
          <w:rFonts w:ascii="Calibri" w:eastAsia="Calibri" w:hAnsi="Calibri" w:cs="Calibri"/>
          <w:noProof/>
        </w:rPr>
        <w:t>[3]</w:t>
      </w:r>
      <w:r w:rsidRPr="00D636C4">
        <w:rPr>
          <w:rFonts w:ascii="Calibri" w:eastAsia="Calibri" w:hAnsi="Calibri" w:cs="Calibri"/>
        </w:rPr>
        <w:t xml:space="preserve"> ; données de 2022-24 sont des projections.</w:t>
      </w:r>
    </w:p>
    <w:p w14:paraId="213D8E30"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51848DA5"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L’économie mauritanienne demeure cependant dépendante des ressources naturelles et exposée aux fluctuations des prix des matières premières. La faible taille du marché domestique présente une contrainte pour la diversification de l’économie, et l’industrie manufacturière est insuffisamment développée - sa contribution au PIB ayant même reculée de 11% durant la période 2000-2004 à 7% en 2015- 2021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{"citationItems":[{"id":"ITEM-1","itemData":{"author":[{"dropping-particle":"","family":"Groupe de la Banque Africaine de Développement (BAD)","given":"","non-dropping-particle":"","parse-names":false,"suffix":""}],"id":"ITEM-1","issued":{"date-parts":[["2023"]]},"publisher-place":"Nouakchott","title":"Mauritanie - Note de Diagnostique Pays 2023","type":"report"},"uris":["http://www.mendeley.com/documents/?uuid=804bfc76-d341-43f5-a816-631178c5663e"]}],"mendeley":{"formattedCitation":"[6]","plainTextFormattedCitation":"[6]","previouslyFormattedCitation":"[6]"},"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[6]</w:t>
      </w:r>
      <w:r w:rsidR="009904FE" w:rsidRPr="00D636C4">
        <w:rPr>
          <w:rFonts w:ascii="Calibri" w:eastAsia="Calibri" w:hAnsi="Calibri" w:cs="Calibri"/>
        </w:rPr>
        <w:fldChar w:fldCharType="end"/>
      </w:r>
      <w:r w:rsidRPr="00D636C4">
        <w:rPr>
          <w:rFonts w:ascii="Calibri" w:eastAsia="Calibri" w:hAnsi="Calibri" w:cs="Calibri"/>
        </w:rPr>
        <w:t>.</w:t>
      </w:r>
    </w:p>
    <w:p w14:paraId="653AD459"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1CF13945"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Les recettes fiscales occupent un poids significatif et croissant dans les recettes publiques totales (71%), provenant majoritairement des taxes directes sur les biens et services (30 %), suivi par la taxe sur la valeur ajoutée (TVA) (26 %) (voir Graph 2 ci-dessous)</w:t>
      </w:r>
      <w:bookmarkStart w:id="18" w:name="OLE_LINK1"/>
      <w:r w:rsidRPr="00D636C4">
        <w:rPr>
          <w:rFonts w:ascii="Calibri" w:eastAsia="Calibri" w:hAnsi="Calibri" w:cs="Calibri"/>
        </w:rPr>
        <w:t xml:space="preserv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{"citationItems":[{"id":"ITEM-1","itemData":{"author":[{"dropping-particle":"","family":"OECD","given":"","non-dropping-particle":"","parse-names":false,"suffix":""}],"id":"ITEM-1","issued":{"date-parts":[["2022"]]},"number-of-pages":"2","title":"Revenue Statistics in Africa 2022 - Mauritania","type":"report"},"uris":["http://www.mendeley.com/documents/?uuid=57524c5e-4b21-4b04-b084-84a789bf885d"]}],"mendeley":{"formattedCitation":"[7]","plainTextFormattedCitation":"[7]","previouslyFormattedCitation":"[7]"},"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[7]</w:t>
      </w:r>
      <w:r w:rsidR="009904FE" w:rsidRPr="00D636C4">
        <w:rPr>
          <w:rFonts w:ascii="Calibri" w:eastAsia="Calibri" w:hAnsi="Calibri" w:cs="Calibri"/>
        </w:rPr>
        <w:fldChar w:fldCharType="end"/>
      </w:r>
      <w:bookmarkEnd w:id="18"/>
      <w:r w:rsidRPr="00D636C4">
        <w:rPr>
          <w:rFonts w:ascii="Calibri" w:eastAsia="Calibri" w:hAnsi="Calibri" w:cs="Calibri"/>
        </w:rPr>
        <w:t xml:space="preserve">. Pourtant, la capacité fiscale actuelle de l’état – soit le </w:t>
      </w:r>
      <w:r w:rsidRPr="00D636C4">
        <w:rPr>
          <w:rFonts w:ascii="Calibri" w:eastAsia="Calibri" w:hAnsi="Calibri" w:cs="Calibri"/>
        </w:rPr>
        <w:lastRenderedPageBreak/>
        <w:t>ratio de recettes publiques à PIB - reste faible (13,1 % en 2020), en deçà de la moyenne de 31 pays de l’Afrique (16%).</w:t>
      </w:r>
    </w:p>
    <w:p w14:paraId="6D2EC4DC"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36431FFD" w14:textId="77777777" w:rsidR="006C2DA4" w:rsidRPr="00D636C4" w:rsidRDefault="006C2DA4" w:rsidP="006C2DA4">
      <w:pPr>
        <w:jc w:val="center"/>
        <w:rPr>
          <w:rFonts w:ascii="Calibri" w:eastAsia="Calibri" w:hAnsi="Calibri" w:cs="Calibri"/>
        </w:rPr>
      </w:pPr>
      <w:r w:rsidRPr="00D636C4">
        <w:rPr>
          <w:rFonts w:ascii="Calibri" w:eastAsia="Calibri" w:hAnsi="Calibri" w:cs="Calibri"/>
          <w:b/>
        </w:rPr>
        <w:t>Graph 2</w:t>
      </w:r>
      <w:r w:rsidRPr="00D636C4">
        <w:rPr>
          <w:rFonts w:ascii="Calibri" w:eastAsia="Calibri" w:hAnsi="Calibri" w:cs="Calibri"/>
        </w:rPr>
        <w:t xml:space="preserve"> : recettes fiscales Mauritanie et Afrique</w:t>
      </w:r>
    </w:p>
    <w:p w14:paraId="482EEE53" w14:textId="77777777" w:rsidR="006C2DA4" w:rsidRPr="00D636C4" w:rsidRDefault="006C2DA4" w:rsidP="006C2DA4">
      <w:pPr>
        <w:jc w:val="center"/>
        <w:rPr>
          <w:rFonts w:ascii="Calibri" w:eastAsia="Calibri" w:hAnsi="Calibri" w:cs="Calibri"/>
        </w:rPr>
      </w:pPr>
      <w:r w:rsidRPr="00D636C4">
        <w:rPr>
          <w:noProof/>
          <w:lang w:eastAsia="fr-FR"/>
        </w:rPr>
        <w:drawing>
          <wp:inline distT="0" distB="0" distL="0" distR="0" wp14:anchorId="659615BB" wp14:editId="49CC89EA">
            <wp:extent cx="6253019" cy="2964815"/>
            <wp:effectExtent l="0" t="0" r="14605" b="6985"/>
            <wp:docPr id="4" name="Chart 1">
              <a:extLst xmlns:a="http://schemas.openxmlformats.org/drawingml/2006/main">
                <a:ext uri="{FF2B5EF4-FFF2-40B4-BE49-F238E27FC236}">
                  <a16:creationId xmlns:a16="http://schemas.microsoft.com/office/drawing/2014/main" id="{AB5A615D-8B97-EE41-8E70-E11B9472FA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79AF95"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Source : données de l’OCD</w:t>
      </w:r>
      <w:r>
        <w:rPr>
          <w:rFonts w:ascii="Calibri" w:eastAsia="Calibri" w:hAnsi="Calibri" w:cs="Calibri"/>
        </w:rPr>
        <w:t>E</w:t>
      </w:r>
      <w:r w:rsidRPr="00D636C4">
        <w:rPr>
          <w:rFonts w:ascii="Calibri" w:eastAsia="Calibri" w:hAnsi="Calibri" w:cs="Calibri"/>
        </w:rPr>
        <w:t xml:space="preserv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{"citationItems":[{"id":"ITEM-1","itemData":{"author":[{"dropping-particle":"","family":"OECD","given":"","non-dropping-particle":"","parse-names":false,"suffix":""}],"id":"ITEM-1","issued":{"date-parts":[["2022"]]},"number-of-pages":"2","title":"Revenue Statistics in Africa 2022 - Mauritania","type":"report"},"uris":["http://www.mendeley.com/documents/?uuid=57524c5e-4b21-4b04-b084-84a789bf885d"]}],"mendeley":{"formattedCitation":"[7]","plainTextFormattedCitation":"[7]","previouslyFormattedCitation":"[7]"},"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[7]</w:t>
      </w:r>
      <w:r w:rsidR="009904FE" w:rsidRPr="00D636C4">
        <w:rPr>
          <w:rFonts w:ascii="Calibri" w:eastAsia="Calibri" w:hAnsi="Calibri" w:cs="Calibri"/>
        </w:rPr>
        <w:fldChar w:fldCharType="end"/>
      </w:r>
    </w:p>
    <w:p w14:paraId="1651C145"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59703B3F" w14:textId="77777777" w:rsidR="006C2DA4" w:rsidRPr="00D636C4" w:rsidRDefault="006C2DA4" w:rsidP="006C2DA4">
      <w:pPr>
        <w:jc w:val="both"/>
        <w:rPr>
          <w:rFonts w:ascii="Calibri" w:eastAsia="Calibri" w:hAnsi="Calibri" w:cs="Calibri"/>
        </w:rPr>
      </w:pPr>
      <w:r>
        <w:rPr>
          <w:rFonts w:ascii="Calibri" w:eastAsia="Calibri" w:hAnsi="Calibri" w:cs="Calibri"/>
        </w:rPr>
        <w:t>De plus, l</w:t>
      </w:r>
      <w:r w:rsidRPr="00D636C4">
        <w:rPr>
          <w:rFonts w:ascii="Calibri" w:eastAsia="Calibri" w:hAnsi="Calibri" w:cs="Calibri"/>
        </w:rPr>
        <w:t>e déficit de la balance commerciale s'est creusé pour atteindre 5,3 % du PIB au cours du premier semestre 2022, contre 3,2 % du PIB au cours de la même période en 2021.</w:t>
      </w:r>
      <w:r>
        <w:rPr>
          <w:rFonts w:ascii="Calibri" w:eastAsia="Calibri" w:hAnsi="Calibri" w:cs="Calibri"/>
        </w:rPr>
        <w:t xml:space="preserve"> Enfin, l</w:t>
      </w:r>
      <w:r w:rsidRPr="00D636C4">
        <w:rPr>
          <w:rFonts w:ascii="Calibri" w:eastAsia="Calibri" w:hAnsi="Calibri" w:cs="Calibri"/>
        </w:rPr>
        <w:t xml:space="preserve">e ratio de la dette publique au PIB du pays a connu une tendance générale à la baisse depuis 2015, au contraire du reste de l’Afrique subsaharienne pendant la même période.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{"citationItems":[{"id":"ITEM-1","itemData":{"abstract":"IMF Country Report No. 23/73 ISLAMIC REPUBLIC OF MAURITANIA 2022 ARTICLE IV CONSULTATION AND REQUESTS FOR 42-MONTH ARRANGEMENTS UNDER THE EXTENDED CREDIT FACILITY AND THE EXTENDED FUND FACILITY —PRESS RELEASE; STAFF REPORT; AND STATEMENT BY THE EXECUTIVE DIRECTOR FOR THE ISLAMIC REPUBLIC OF MAURITANIA Under","author":[{"dropping-particle":"","family":"International Monetary Fund","given":"","non-dropping-particle":"","parse-names":false,"suffix":""}],"id":"ITEM-1","issue":"23/73","issued":{"date-parts":[["2023"]]},"publisher-place":"Washington DC","title":"IMF Country Report - Islamic Republic of Mauritania (2022 Article IV Consultation)","type":"report"},"uris":["http://www.mendeley.com/documents/?uuid=5b674038-96dc-4ddf-8515-406d03e37594"]}],"mendeley":{"formattedCitation":"[4]","plainTextFormattedCitation":"[4]","previouslyFormattedCitation":"[4]"},"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[4]</w:t>
      </w:r>
      <w:r w:rsidR="009904FE" w:rsidRPr="00D636C4">
        <w:rPr>
          <w:rFonts w:ascii="Calibri" w:eastAsia="Calibri" w:hAnsi="Calibri" w:cs="Calibri"/>
        </w:rPr>
        <w:fldChar w:fldCharType="end"/>
      </w:r>
    </w:p>
    <w:p w14:paraId="419DCF28" w14:textId="77777777" w:rsidR="006C2DA4" w:rsidRPr="00D636C4" w:rsidRDefault="006C2DA4" w:rsidP="006C2DA4">
      <w:pPr>
        <w:ind w:left="720" w:right="720"/>
        <w:jc w:val="center"/>
        <w:rPr>
          <w:rFonts w:ascii="Calibri" w:eastAsia="Calibri" w:hAnsi="Calibri" w:cs="Calibri"/>
        </w:rPr>
      </w:pPr>
      <w:r w:rsidRPr="00D636C4">
        <w:rPr>
          <w:noProof/>
          <w:lang w:eastAsia="fr-FR"/>
        </w:rPr>
        <w:drawing>
          <wp:anchor distT="0" distB="0" distL="114300" distR="114300" simplePos="0" relativeHeight="251660288" behindDoc="0" locked="0" layoutInCell="1" allowOverlap="1" wp14:anchorId="46D3ADD3" wp14:editId="41C04CFF">
            <wp:simplePos x="0" y="0"/>
            <wp:positionH relativeFrom="margin">
              <wp:posOffset>0</wp:posOffset>
            </wp:positionH>
            <wp:positionV relativeFrom="margin">
              <wp:posOffset>5341620</wp:posOffset>
            </wp:positionV>
            <wp:extent cx="5585460" cy="2682240"/>
            <wp:effectExtent l="0" t="0" r="15240" b="3810"/>
            <wp:wrapSquare wrapText="bothSides"/>
            <wp:docPr id="5" name="Chart 1">
              <a:extLst xmlns:a="http://schemas.openxmlformats.org/drawingml/2006/main">
                <a:ext uri="{FF2B5EF4-FFF2-40B4-BE49-F238E27FC236}">
                  <a16:creationId xmlns:a16="http://schemas.microsoft.com/office/drawing/2014/main" id="{3E959F26-4BB8-54C0-07EE-B0803A01F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D636C4">
        <w:rPr>
          <w:rFonts w:ascii="Calibri" w:eastAsia="Calibri" w:hAnsi="Calibri" w:cs="Calibri"/>
          <w:b/>
        </w:rPr>
        <w:t>Graph 3 :</w:t>
      </w:r>
      <w:r w:rsidRPr="00D636C4">
        <w:rPr>
          <w:rFonts w:ascii="Calibri" w:eastAsia="Calibri" w:hAnsi="Calibri" w:cs="Calibri"/>
        </w:rPr>
        <w:t xml:space="preserve"> Dette de l’administration publique en % du PIB entre 2010 et 2023 (Mauritanie et Afrique subsaharienne)</w:t>
      </w:r>
    </w:p>
    <w:p w14:paraId="5E210141" w14:textId="77777777" w:rsidR="006C2DA4" w:rsidRPr="00D636C4" w:rsidRDefault="006C2DA4" w:rsidP="006C2DA4">
      <w:pPr>
        <w:ind w:right="720"/>
        <w:jc w:val="center"/>
        <w:rPr>
          <w:rFonts w:ascii="Calibri" w:eastAsia="Calibri" w:hAnsi="Calibri" w:cs="Calibri"/>
        </w:rPr>
      </w:pPr>
    </w:p>
    <w:p w14:paraId="3339FEA5"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lastRenderedPageBreak/>
        <w:t xml:space="preserve">Source : données du FMI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{"citationItems":[{"id":"ITEM-1","itemData":{"URL":"source: https://www.imf.org/external/datamapper/NGDP_RPCH@WEO/MRT?year=2023","author":[{"dropping-particle":"","family":"IMF","given":"","non-dropping-particle":"","parse-names":false,"suffix":""}],"container-title":"imf.org","id":"ITEM-1","issued":{"date-parts":[["0"]]},"title":"IMF Datasets World Economic Outlook 2023 - Mauritania","type":"webpage"},"uris":["http://www.mendeley.com/documents/?uuid=c25edb79-5029-4fbb-bfea-f29a5f7eaace"]}],"mendeley":{"formattedCitation":"[3]","plainTextFormattedCitation":"[3]","previouslyFormattedCitation":"[3]"},"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[3]</w:t>
      </w:r>
      <w:r w:rsidR="009904FE" w:rsidRPr="00D636C4">
        <w:rPr>
          <w:rFonts w:ascii="Calibri" w:eastAsia="Calibri" w:hAnsi="Calibri" w:cs="Calibri"/>
        </w:rPr>
        <w:fldChar w:fldCharType="end"/>
      </w:r>
    </w:p>
    <w:p w14:paraId="52EAC639" w14:textId="77777777" w:rsidR="006C2DA4" w:rsidRDefault="006C2DA4" w:rsidP="006C2DA4">
      <w:pPr>
        <w:jc w:val="both"/>
        <w:rPr>
          <w:rFonts w:ascii="Calibri" w:eastAsia="Calibri" w:hAnsi="Calibri" w:cs="Calibri"/>
        </w:rPr>
      </w:pPr>
    </w:p>
    <w:p w14:paraId="13C36116" w14:textId="77777777" w:rsidR="006C2DA4" w:rsidRPr="00D636C4" w:rsidRDefault="006C2DA4" w:rsidP="006C2DA4">
      <w:pPr>
        <w:jc w:val="both"/>
        <w:rPr>
          <w:rFonts w:ascii="Calibri" w:eastAsia="Calibri" w:hAnsi="Calibri" w:cs="Calibri"/>
        </w:rPr>
      </w:pPr>
      <w:r>
        <w:rPr>
          <w:rFonts w:ascii="Calibri" w:eastAsia="Calibri" w:hAnsi="Calibri" w:cs="Calibri"/>
        </w:rPr>
        <w:t>Plus de</w:t>
      </w:r>
      <w:r w:rsidRPr="00D636C4">
        <w:rPr>
          <w:rFonts w:ascii="Calibri" w:eastAsia="Calibri" w:hAnsi="Calibri" w:cs="Calibri"/>
        </w:rPr>
        <w:t xml:space="preserve"> deux tiers de la population travaillent dans le secteur informel (84 % de la population avant la pandémie)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{"citationItems":[{"id":"ITEM-1","itemData":{"author":[{"dropping-particle":"","family":"Group","given":"The World Bank","non-dropping-particle":"","parse-names":false,"suffix":""}],"id":"ITEM-1","issued":{"date-parts":[["2022"]]},"publisher-place":"Nouakchott","title":"Report on the Economic Situation in Mauritania - 5th edition - Leveraging the private sector to drive economic transformation and job creation","type":"report"},"uris":["http://www.mendeley.com/documents/?uuid=36881287-7bb4-430a-9085-4c97efa8005f"]}],"mendeley":{"formattedCitation":"[8]","plainTextFormattedCitation":"[8]","previouslyFormattedCitation":"[8]"},"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[8]</w:t>
      </w:r>
      <w:r w:rsidR="009904FE" w:rsidRPr="00D636C4">
        <w:rPr>
          <w:rFonts w:ascii="Calibri" w:eastAsia="Calibri" w:hAnsi="Calibri" w:cs="Calibri"/>
        </w:rPr>
        <w:fldChar w:fldCharType="end"/>
      </w:r>
      <w:r w:rsidRPr="00D636C4">
        <w:rPr>
          <w:rFonts w:ascii="Calibri" w:eastAsia="Calibri" w:hAnsi="Calibri" w:cs="Calibri"/>
        </w:rPr>
        <w:t xml:space="preserve">, qui représente entre 30 et 50% du PIB du pays. Selon le FMI, ce niveau élevé d’informalité reflète la part importante de l'agriculture dans l'emploi (approximativement 65%)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ISBN":"9781513591773","author":[{"dropping-particle":"","family":"Cardarelli","given":"Roberto","non-dropping-particle":"","parse-names":false,"suffix":""},{"dropping-particle":"","family":"Abdulkarim","given":"Azhin","non-dropping-particle":"","parse-names":false,"suffix":""},{"dropping-particle":"","family":"Alter","given":"Adrian","non-dropping-particle":"","parse-names":false,"suffix":""},{"dropping-particle":"","family":"Arzoumanian","given":"Shant","non-dropping-particle":"","parse-names":false,"suffix":""},{"dropping-particle":"","family":"Badr","given":"Karim","non-dropping-particle":"","parse-names":false,"suffix":""},{"dropping-particle":"","family":"Balima","given":"Hippolyte","non-dropping-particle":"","parse-names":false,"suffix":""},{"dropping-particle":"","family":"Belgacem","given":"Aymen","non-dropping-particle":"","parse-names":false,"suffix":""},{"dropping-particle":"","family":"Bizimana","given":"Olivier","non-dropping-particle":"","parse-names":false,"suffix":""},{"dropping-particle":"","family":"Gaertner","given":"Matt","non-dropping-particle":"","parse-names":false,"suffix":""},{"dropping-particle":"","family":"Harb","given":"Mahmoud","non-dropping-particle":"","parse-names":false,"suffix":""},{"dropping-particle":"","family":"Khatat","given":"Mariam El Hamiani","non-dropping-particle":"","parse-names":false,"suffix":""},{"dropping-particle":"","family":"Maggi","given":"Chiara","non-dropping-particle":"","parse-names":false,"suffix":""},{"dropping-particle":"","family":"Muthoora","given":"Priscilla","non-dropping-particle":"","parse-names":false,"suffix":""},{"dropping-particle":"","family":"Vacher","given":"Jerome","non-dropping-particle":"","parse-names":false,"suffix":""}],"id":"ITEM-1","issued":{"date-parts":[["2022"]]},"title":"Informality, Development, and the Business Cycle in North Africa","type":"report"},"uris":["http://www.mendeley.com/documents/?uuid=9f56866a-8e14-4232-add9-25ab23ad255b"]}],"mendeley":{"formattedCitation":"[9]","plainTextFormattedCitation":"[9]","previouslyFormattedCitation":"[9]"},"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[9]</w:t>
      </w:r>
      <w:r w:rsidR="009904FE" w:rsidRPr="00D636C4">
        <w:rPr>
          <w:rFonts w:ascii="Calibri" w:eastAsia="Calibri" w:hAnsi="Calibri" w:cs="Calibri"/>
        </w:rPr>
        <w:fldChar w:fldCharType="end"/>
      </w:r>
      <w:r w:rsidRPr="00D636C4">
        <w:rPr>
          <w:rFonts w:ascii="Calibri" w:eastAsia="Calibri" w:hAnsi="Calibri" w:cs="Calibri"/>
        </w:rPr>
        <w:t>.</w:t>
      </w:r>
    </w:p>
    <w:p w14:paraId="49703D71" w14:textId="77777777" w:rsidR="006C2DA4" w:rsidRPr="00D636C4" w:rsidRDefault="006C2DA4" w:rsidP="006C2DA4">
      <w:pPr>
        <w:pStyle w:val="Heading2"/>
        <w:keepNext w:val="0"/>
        <w:keepLines w:val="0"/>
        <w:spacing w:after="80"/>
        <w:jc w:val="both"/>
        <w:rPr>
          <w:rFonts w:ascii="Calibri" w:eastAsia="Calibri" w:hAnsi="Calibri" w:cs="Calibri"/>
          <w:b/>
          <w:sz w:val="22"/>
          <w:szCs w:val="22"/>
        </w:rPr>
      </w:pPr>
      <w:bookmarkStart w:id="19" w:name="_Toc137847489"/>
      <w:bookmarkStart w:id="20" w:name="_Toc140268437"/>
      <w:r w:rsidRPr="00D636C4">
        <w:rPr>
          <w:rFonts w:ascii="Calibri" w:eastAsia="Calibri" w:hAnsi="Calibri" w:cs="Calibri"/>
          <w:b/>
          <w:sz w:val="22"/>
          <w:szCs w:val="22"/>
        </w:rPr>
        <w:t>2.2. Situation sociale</w:t>
      </w:r>
      <w:bookmarkEnd w:id="19"/>
      <w:bookmarkEnd w:id="20"/>
    </w:p>
    <w:p w14:paraId="71F1F795" w14:textId="77777777" w:rsidR="006C2DA4" w:rsidRPr="00D636C4" w:rsidRDefault="006C2DA4" w:rsidP="006C2DA4">
      <w:pPr>
        <w:jc w:val="both"/>
        <w:rPr>
          <w:rFonts w:ascii="Calibri" w:eastAsia="Calibri" w:hAnsi="Calibri" w:cs="Calibri"/>
        </w:rPr>
      </w:pPr>
      <w:r w:rsidRPr="00005B28">
        <w:rPr>
          <w:rFonts w:ascii="Calibri" w:eastAsia="Calibri" w:hAnsi="Calibri" w:cs="Calibri"/>
          <w:bCs/>
        </w:rPr>
        <w:t>Le contexte social est lui aussi mitig</w:t>
      </w:r>
      <w:r w:rsidRPr="00D636C4">
        <w:rPr>
          <w:rFonts w:ascii="Calibri" w:eastAsia="Calibri" w:hAnsi="Calibri" w:cs="Calibri"/>
        </w:rPr>
        <w:t>é</w:t>
      </w:r>
      <w:r>
        <w:rPr>
          <w:rFonts w:ascii="Calibri" w:eastAsia="Calibri" w:hAnsi="Calibri" w:cs="Calibri"/>
          <w:b/>
        </w:rPr>
        <w:t xml:space="preserve">. </w:t>
      </w:r>
      <w:r w:rsidRPr="00D636C4">
        <w:rPr>
          <w:rFonts w:ascii="Calibri" w:eastAsia="Calibri" w:hAnsi="Calibri" w:cs="Calibri"/>
        </w:rPr>
        <w:t xml:space="preserve">Le pays est classé 158e sur 188 pays en termes d’indice du développement humain, en baisse depuis les années 1990s, reflétant une performance faible relative aux autres pays en termes de santé, d’éducation et de niveau de vie de la population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https://hdr.undp.org/data-center/specific-country-data#/countries/MRT","author":[{"dropping-particle":"","family":"UNPD","given":"","non-dropping-particle":"","parse-names":false,"suffix":""}],"container-title":"hdr.undp.org","id":"ITEM-1","issued":{"date-parts":[["2022"]]},"title":"Human Development Reports - Mauritania","type":"webpage"},"uris":["http://www.mendeley.com/documents/?uuid=ae03fa7b-2ad6-458b-b648-336f9530e21f"]}],"mendeley":{"formattedCitation":"[10]","plainTextFormattedCitation":"[10]","previouslyFormattedCitation":"[10]"},"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[10]</w:t>
      </w:r>
      <w:r w:rsidR="009904FE" w:rsidRPr="00D636C4">
        <w:rPr>
          <w:rFonts w:ascii="Calibri" w:eastAsia="Calibri" w:hAnsi="Calibri" w:cs="Calibri"/>
        </w:rPr>
        <w:fldChar w:fldCharType="end"/>
      </w:r>
      <w:r w:rsidRPr="00D636C4">
        <w:rPr>
          <w:rFonts w:ascii="Calibri" w:eastAsia="Calibri" w:hAnsi="Calibri" w:cs="Calibri"/>
        </w:rPr>
        <w:t xml:space="preserve">. Des chocs exogènes, tels que la guerre en Ukraine, combinés avec une sècheresse en 2021-2022, ont entraîné une augmentation aiguë de l'insécurité alimentaire dans le pays, avec le nombre de personnes en situation d’insécurité sévère ayant doublé entre 2021 et 2022, touchant près de 20 % de la population – l'un des taux les plus élevés du Sahel et un niveau record en Mauritanie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{"citationItems":[{"id":"ITEM-1","itemData":{"abstract":"IMF Country Report No. 23/73 ISLAMIC REPUBLIC OF MAURITANIA 2022 ARTICLE IV CONSULTATION AND REQUESTS FOR 42-MONTH ARRANGEMENTS UNDER THE EXTENDED CREDIT FACILITY AND THE EXTENDED FUND FACILITY —PRESS RELEASE; STAFF REPORT; AND STATEMENT BY THE EXECUTIVE DIRECTOR FOR THE ISLAMIC REPUBLIC OF MAURITANIA Under","author":[{"dropping-particle":"","family":"International Monetary Fund","given":"","non-dropping-particle":"","parse-names":false,"suffix":""}],"id":"ITEM-1","issue":"23/73","issued":{"date-parts":[["2023"]]},"publisher-place":"Washington DC","title":"IMF Country Report - Islamic Republic of Mauritania (2022 Article IV Consultation)","type":"report"},"uris":["http://www.mendeley.com/documents/?uuid=5b674038-96dc-4ddf-8515-406d03e37594"]}],"mendeley":{"formattedCitation":"[4]","plainTextFormattedCitation":"[4]","previouslyFormattedCitation":"[4]"},"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[4]</w:t>
      </w:r>
      <w:r w:rsidR="009904FE" w:rsidRPr="00D636C4">
        <w:rPr>
          <w:rFonts w:ascii="Calibri" w:eastAsia="Calibri" w:hAnsi="Calibri" w:cs="Calibri"/>
        </w:rPr>
        <w:fldChar w:fldCharType="end"/>
      </w:r>
      <w:r w:rsidRPr="00D636C4">
        <w:rPr>
          <w:rFonts w:ascii="Calibri" w:eastAsia="Calibri" w:hAnsi="Calibri" w:cs="Calibri"/>
        </w:rPr>
        <w:t>.</w:t>
      </w:r>
    </w:p>
    <w:p w14:paraId="6AB3FFAB"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16643CBC"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La proportion de la population vivant sous le seuil de pauvreté national est passée de 34.3 % en 2014 à 31.8 % en 2019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{"citationItems":[{"id":"ITEM-1","itemData":{"URL":"https://data.worldbank.org/country/mauritania","author":[{"dropping-particle":"","family":"World Bank Group","given":"","non-dropping-particle":"","parse-names":false,"suffix":""}],"container-title":"data.worldbank.org","id":"ITEM-1","issued":{"date-parts":[["2023"]]},"title":"World Bank Data - Mauritania","type":"webpage"},"uris":["http://www.mendeley.com/documents/?uuid=461d0c22-a3f8-4e22-944f-7b2197898465"]}],"mendeley":{"formattedCitation":"[2]","plainTextFormattedCitation":"[2]","previouslyFormattedCitation":"[2]"},"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w:t>
      </w:r>
      <w:r w:rsidR="009904FE" w:rsidRPr="00D636C4">
        <w:rPr>
          <w:rFonts w:ascii="Calibri" w:eastAsia="Calibri" w:hAnsi="Calibri" w:cs="Calibri"/>
        </w:rPr>
        <w:fldChar w:fldCharType="end"/>
      </w:r>
      <w:r w:rsidRPr="00D636C4">
        <w:rPr>
          <w:rFonts w:ascii="Calibri" w:eastAsia="Calibri" w:hAnsi="Calibri" w:cs="Calibri"/>
        </w:rPr>
        <w:t xml:space="preserve">. Toutefois l'estimation de l'indice de pauvreté multidimensionnelle la plus récente (2019/2021) estime que 58.4% de la population mauritanienne (plus de 2,6 millions de personnes en 2020) est pauvre de manière multidimensionnelle, dont 38 % sont en situation de pauvreté multi-dimensionnelle sévère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{"citationItems":[{"id":"ITEM-1","itemData":{"DOI":"10.4135/9781483345727.n566","abstract":"The measurement of well-being in its multidimensional aspects has become ever more prominent in monitoring development over the last three decades. This note discusses some of the properties of a recent multidimensional index proposed by the UNDP. Unlike most of its predecessors, UNDP’s Multidimensional Poverty Index (MPI) succeeds in taking into account both the distribution of deprivation within a number of dimensions as well as the distribution of multiple deprivations across the dimensions. This is important since there are good reasons to think of multidimensional poverty as more than just the sum of poverty across various dimensions of well-being. The MPI suffers, however, from a few unattractive features that need to be better understood (given the recently acquired prominence of the index). The object of this note is to highlight some of them.","author":[{"dropping-particle":"","family":"UNDP","given":"","non-dropping-particle":"","parse-names":false,"suffix":""}],"container-title":"Multidimensional Poverty Index 2022","id":"ITEM-1","issued":{"date-parts":[["2022"]]},"title":"Multidimensional Poverty Index - Mauritania Briefing note","type":"report"},"uris":["http://www.mendeley.com/documents/?uuid=2692040a-27ff-434b-ab40-d0be73534524"]}],"mendeley":{"formattedCitation":"[11]","plainTextFormattedCitation":"[11]","previouslyFormattedCitation":"[11]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[11]</w:t>
      </w:r>
      <w:r w:rsidR="009904FE" w:rsidRPr="00D636C4">
        <w:rPr>
          <w:rFonts w:ascii="Calibri" w:eastAsia="Calibri" w:hAnsi="Calibri" w:cs="Calibri"/>
        </w:rPr>
        <w:fldChar w:fldCharType="end"/>
      </w:r>
      <w:r w:rsidRPr="00D636C4">
        <w:rPr>
          <w:rFonts w:ascii="Calibri" w:eastAsia="Calibri" w:hAnsi="Calibri" w:cs="Calibri"/>
        </w:rPr>
        <w:t>.</w:t>
      </w:r>
    </w:p>
    <w:p w14:paraId="1E7AA435"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61FA49A9"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De plus, la faible densité populationnelle dans des zones rurales du pays (en moyenne 4,4 habitants par km² - voir Tableau 1 ci-dessous-), un taux de croissance démographique élevé (2.6%) et une transition urbaine rapide, compliquent l’accès aux services sociaux pour la population.</w:t>
      </w:r>
      <w:r w:rsidRPr="00D636C4">
        <w:rPr>
          <w:rFonts w:ascii="Calibri" w:eastAsia="Calibri" w:hAnsi="Calibri" w:cs="Calibri"/>
          <w:b/>
        </w:rPr>
        <w:t xml:space="preserve"> </w:t>
      </w:r>
      <w:r w:rsidRPr="00D636C4">
        <w:rPr>
          <w:rFonts w:ascii="Calibri" w:eastAsia="Calibri" w:hAnsi="Calibri" w:cs="Calibri"/>
        </w:rPr>
        <w:t>Du fait de</w:t>
      </w:r>
      <w:r w:rsidRPr="00D636C4">
        <w:rPr>
          <w:rFonts w:ascii="Calibri" w:eastAsia="Calibri" w:hAnsi="Calibri" w:cs="Calibri"/>
          <w:b/>
        </w:rPr>
        <w:t xml:space="preserve"> </w:t>
      </w:r>
      <w:r w:rsidRPr="00D636C4">
        <w:rPr>
          <w:rFonts w:ascii="Calibri" w:eastAsia="Calibri" w:hAnsi="Calibri" w:cs="Calibri"/>
        </w:rPr>
        <w:t xml:space="preserve">la croissance rapide des villes Mauritaniennes, plus de la moitié (56%) de la population urbaine réside dans une agglomération sous-desservie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{"citationItems":[{"id":"ITEM-1","itemData":{"URL":"https://data.worldbank.org/country/mauritania","author":[{"dropping-particle":"","family":"World Bank Group","given":"","non-dropping-particle":"","parse-names":false,"suffix":""}],"container-title":"data.worldbank.org","id":"ITEM-1","issued":{"date-parts":[["2023"]]},"title":"World Bank Data - Mauritania","type":"webpage"},"uris":["http://www.mendeley.com/documents/?uuid=461d0c22-a3f8-4e22-944f-7b2197898465"]}],"mendeley":{"formattedCitation":"[2]","plainTextFormattedCitation":"[2]","previouslyFormattedCitation":"[2]"},"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w:t>
      </w:r>
      <w:r w:rsidR="009904FE" w:rsidRPr="00D636C4">
        <w:rPr>
          <w:rFonts w:ascii="Calibri" w:eastAsia="Calibri" w:hAnsi="Calibri" w:cs="Calibri"/>
        </w:rPr>
        <w:fldChar w:fldCharType="end"/>
      </w:r>
      <w:r w:rsidRPr="00D636C4">
        <w:rPr>
          <w:rFonts w:ascii="Calibri" w:eastAsia="Calibri" w:hAnsi="Calibri" w:cs="Calibri"/>
        </w:rPr>
        <w:t>.</w:t>
      </w:r>
    </w:p>
    <w:p w14:paraId="59E8D260"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53DBA1FD"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La pauvreté et les privations ne sont pas également réparties sur le territoire, avec les localités du centre-sud de la Mauritanie ("Triangle de l'espoir") ayant les niveaux les plus élevés.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Dahmani-scuitti","given":"Anais","non-dropping-particle":"","parse-names":false,"suffix":""},{"dropping-particle":"","family":"Doyle","given":"Jesse","non-dropping-particle":"","parse-names":false,"suffix":""},{"dropping-particle":"","family":"Lefebvre","given":"Matthieu","non-dropping-particle":"","parse-names":false,"suffix":""},{"dropping-particle":"","family":"Meyer","given":"Moritz","non-dropping-particle":"","parse-names":false,"suffix":""},{"dropping-particle":"","family":"Rajashekar","given":"Anirudh","non-dropping-particle":"","parse-names":false,"suffix":""}],"collection-title":"POVERTY &amp; EQUITY NOTES","id":"ITEM-1","issue":"34","issued":{"date-parts":[["2020"]]},"number":"34","number-of-pages":"1-4","publisher-place":"Nouakchott","title":"Mapping Deprivations in Mauritania","type":"report"},"uris":["http://www.mendeley.com/documents/?uuid=ffbb86dd-e1a6-4ccf-bbd7-2424084f6810"]}],"mendeley":{"formattedCitation":"[12]","plainTextFormattedCitation":"[12]","previouslyFormattedCitation":"[12]"},"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[12]</w:t>
      </w:r>
      <w:r w:rsidR="009904FE" w:rsidRPr="00D636C4">
        <w:rPr>
          <w:rFonts w:ascii="Calibri" w:eastAsia="Calibri" w:hAnsi="Calibri" w:cs="Calibri"/>
        </w:rPr>
        <w:fldChar w:fldCharType="end"/>
      </w:r>
      <w:r w:rsidRPr="00D636C4">
        <w:rPr>
          <w:rFonts w:ascii="Calibri" w:eastAsia="Calibri" w:hAnsi="Calibri" w:cs="Calibri"/>
        </w:rPr>
        <w:t xml:space="preserve"> Presque la moitié (43%) des personnes démunies du pays se trouvent dans seulement 4 des 13 Wilaya : </w:t>
      </w:r>
      <w:proofErr w:type="spellStart"/>
      <w:r w:rsidRPr="00D636C4">
        <w:rPr>
          <w:rFonts w:ascii="Calibri" w:eastAsia="Calibri" w:hAnsi="Calibri" w:cs="Calibri"/>
        </w:rPr>
        <w:t>Assaba</w:t>
      </w:r>
      <w:proofErr w:type="spellEnd"/>
      <w:r w:rsidRPr="00D636C4">
        <w:rPr>
          <w:rFonts w:ascii="Calibri" w:eastAsia="Calibri" w:hAnsi="Calibri" w:cs="Calibri"/>
        </w:rPr>
        <w:t xml:space="preserve">, </w:t>
      </w:r>
      <w:proofErr w:type="spellStart"/>
      <w:r w:rsidRPr="00D636C4">
        <w:rPr>
          <w:rFonts w:ascii="Calibri" w:eastAsia="Calibri" w:hAnsi="Calibri" w:cs="Calibri"/>
        </w:rPr>
        <w:t>Brakna</w:t>
      </w:r>
      <w:proofErr w:type="spellEnd"/>
      <w:r w:rsidRPr="00D636C4">
        <w:rPr>
          <w:rFonts w:ascii="Calibri" w:eastAsia="Calibri" w:hAnsi="Calibri" w:cs="Calibri"/>
        </w:rPr>
        <w:t xml:space="preserve">, Guidimagha et </w:t>
      </w:r>
      <w:proofErr w:type="spellStart"/>
      <w:r w:rsidRPr="00D636C4">
        <w:rPr>
          <w:rFonts w:ascii="Calibri" w:eastAsia="Calibri" w:hAnsi="Calibri" w:cs="Calibri"/>
        </w:rPr>
        <w:t>Tagant</w:t>
      </w:r>
      <w:proofErr w:type="spellEnd"/>
      <w:r w:rsidRPr="00D636C4">
        <w:rPr>
          <w:rFonts w:ascii="Calibri" w:eastAsia="Calibri" w:hAnsi="Calibri" w:cs="Calibri"/>
        </w:rPr>
        <w:t xml:space="preserv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{"citationItems":[{"id":"ITEM-1","itemData":{"author":[{"dropping-particle":"","family":"ANSADE","given":"","non-dropping-particle":"","parse-names":false,"suffix":""}],"id":"ITEM-1","issued":{"date-parts":[["2023"]]},"title":"Etude Santé, Nutrition et Pauvreté en Mauritanie - Situation et Défis - Rapport 2023","type":"report"},"uris":["http://www.mendeley.com/documents/?uuid=90543b7d-98c1-47d3-96e6-88dc2f66210c"]}],"mendeley":{"formattedCitation":"[13]","plainTextFormattedCitation":"[13]","previouslyFormattedCitation":"[13]"},"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[13]</w:t>
      </w:r>
      <w:r w:rsidR="009904FE" w:rsidRPr="00D636C4">
        <w:rPr>
          <w:rFonts w:ascii="Calibri" w:eastAsia="Calibri" w:hAnsi="Calibri" w:cs="Calibri"/>
        </w:rPr>
        <w:fldChar w:fldCharType="end"/>
      </w:r>
      <w:r w:rsidRPr="00D636C4">
        <w:rPr>
          <w:rFonts w:ascii="Calibri" w:eastAsia="Calibri" w:hAnsi="Calibri" w:cs="Calibri"/>
        </w:rPr>
        <w:t xml:space="preserve"> La population mauritanienne vivant dans les zones rurales ou appartenant aux couches les plus pauvres de la population est nettement moins favorisée en termes d'accès aux infrastructures de base tels que l'eau potable (100% chez les plus riches vs 39% chez les pauvres) et l'électricité (88% en milieu urbain vs 7% en milieu rural). Le niveau d'éducation atteint est également inférieur en moyenne </w:t>
      </w:r>
      <w:r>
        <w:rPr>
          <w:rFonts w:ascii="Calibri" w:eastAsia="Calibri" w:hAnsi="Calibri" w:cs="Calibri"/>
        </w:rPr>
        <w:t>au sein de</w:t>
      </w:r>
      <w:r w:rsidRPr="00D636C4">
        <w:rPr>
          <w:rFonts w:ascii="Calibri" w:eastAsia="Calibri" w:hAnsi="Calibri" w:cs="Calibri"/>
        </w:rPr>
        <w:t xml:space="preserve"> ces groupes, avec par exemple seulement 4 % des personnes du quintile économique le plus pauvre </w:t>
      </w:r>
      <w:r>
        <w:rPr>
          <w:rFonts w:ascii="Calibri" w:eastAsia="Calibri" w:hAnsi="Calibri" w:cs="Calibri"/>
        </w:rPr>
        <w:t>ayant</w:t>
      </w:r>
      <w:r w:rsidRPr="00D636C4">
        <w:rPr>
          <w:rFonts w:ascii="Calibri" w:eastAsia="Calibri" w:hAnsi="Calibri" w:cs="Calibri"/>
        </w:rPr>
        <w:t xml:space="preserve"> suivi un enseignement secondaire, contre 60 % dans le quintile le plus riche. Les femmes sont particulièrement confrontées à des obstacles en matière d'accès à l'éducation, leur taux d'alphabétisation national étant 6% plus bas que celui des hommes (45 % contre 39 %).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{"citationItems":[{"id":"ITEM-1","itemData":{"author":[{"dropping-particle":"","family":"ONS","given":"","non-dropping-particle":"","parse-names":false,"suffix":""}],"id":"ITEM-1","issued":{"date-parts":[["2022"]]},"publisher-place":"Nouakchott","title":"Enquête Démographique et de Santé de la Mauritanie (EDSM) - 2019-2021","type":"report"},"uris":["http://www.mendeley.com/documents/?uuid=a64b7f48-55e4-4336-bfd8-8f9eaa9cd8ff"]}],"mendeley":{"formattedCitation":"[14]","plainTextFormattedCitation":"[14]","previouslyFormattedCitation":"[14]"},"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[14]</w:t>
      </w:r>
      <w:r w:rsidR="009904FE" w:rsidRPr="00D636C4">
        <w:rPr>
          <w:rFonts w:ascii="Calibri" w:eastAsia="Calibri" w:hAnsi="Calibri" w:cs="Calibri"/>
        </w:rPr>
        <w:fldChar w:fldCharType="end"/>
      </w:r>
    </w:p>
    <w:p w14:paraId="2BE23D14"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214DFDC3" w14:textId="77777777" w:rsidR="006C2DA4" w:rsidRPr="00D636C4" w:rsidRDefault="006C2DA4" w:rsidP="006C2DA4">
      <w:pPr>
        <w:spacing w:before="40"/>
        <w:jc w:val="center"/>
        <w:rPr>
          <w:rFonts w:ascii="Calibri" w:eastAsia="Calibri" w:hAnsi="Calibri" w:cs="Calibri"/>
        </w:rPr>
      </w:pPr>
      <w:r w:rsidRPr="00D636C4">
        <w:rPr>
          <w:rFonts w:ascii="Calibri" w:eastAsia="Calibri" w:hAnsi="Calibri" w:cs="Calibri"/>
          <w:b/>
        </w:rPr>
        <w:t>Tableau 1</w:t>
      </w:r>
      <w:r w:rsidRPr="00D636C4">
        <w:rPr>
          <w:rFonts w:ascii="Calibri" w:eastAsia="Calibri" w:hAnsi="Calibri" w:cs="Calibri"/>
        </w:rPr>
        <w:t xml:space="preserve"> : Caractéristiques socio-démographiques des différentes régions en 2019 (données du projet INAYA)</w:t>
      </w:r>
    </w:p>
    <w:tbl>
      <w:tblPr>
        <w:tblW w:w="7905" w:type="dxa"/>
        <w:jc w:val="center"/>
        <w:tblBorders>
          <w:top w:val="nil"/>
          <w:left w:val="nil"/>
          <w:bottom w:val="nil"/>
          <w:right w:val="nil"/>
          <w:insideH w:val="nil"/>
          <w:insideV w:val="nil"/>
        </w:tblBorders>
        <w:tblLayout w:type="fixed"/>
        <w:tblLook w:val="0600" w:firstRow="0" w:lastRow="0" w:firstColumn="0" w:lastColumn="0" w:noHBand="1" w:noVBand="1"/>
      </w:tblPr>
      <w:tblGrid>
        <w:gridCol w:w="2610"/>
        <w:gridCol w:w="1665"/>
        <w:gridCol w:w="1935"/>
        <w:gridCol w:w="1695"/>
      </w:tblGrid>
      <w:tr w:rsidR="006C2DA4" w:rsidRPr="00D636C4" w14:paraId="5E4E936D" w14:textId="77777777" w:rsidTr="00980A9B">
        <w:trPr>
          <w:trHeight w:val="393"/>
          <w:tblHeader/>
          <w:jc w:val="center"/>
        </w:trPr>
        <w:tc>
          <w:tcPr>
            <w:tcW w:w="261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80CDEFB"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lastRenderedPageBreak/>
              <w:t>Région</w:t>
            </w:r>
          </w:p>
        </w:tc>
        <w:tc>
          <w:tcPr>
            <w:tcW w:w="16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0D3256A"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 de la pop. totale</w:t>
            </w:r>
          </w:p>
        </w:tc>
        <w:tc>
          <w:tcPr>
            <w:tcW w:w="193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F4F325E"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Densité de population (/ km</w:t>
            </w:r>
            <w:r w:rsidRPr="00D636C4">
              <w:rPr>
                <w:rFonts w:ascii="Calibri" w:eastAsia="Calibri" w:hAnsi="Calibri" w:cs="Calibri"/>
                <w:b/>
                <w:sz w:val="20"/>
                <w:szCs w:val="20"/>
                <w:vertAlign w:val="superscript"/>
              </w:rPr>
              <w:t>2</w:t>
            </w:r>
            <w:r w:rsidRPr="00D636C4">
              <w:rPr>
                <w:rFonts w:ascii="Calibri" w:eastAsia="Calibri" w:hAnsi="Calibri" w:cs="Calibri"/>
                <w:b/>
                <w:sz w:val="20"/>
                <w:szCs w:val="20"/>
              </w:rPr>
              <w:t>)</w:t>
            </w:r>
          </w:p>
        </w:tc>
        <w:tc>
          <w:tcPr>
            <w:tcW w:w="16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C4C1858"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Niveau de pauvreté (%)</w:t>
            </w:r>
          </w:p>
        </w:tc>
      </w:tr>
      <w:tr w:rsidR="006C2DA4" w:rsidRPr="00D636C4" w14:paraId="3D079E8E"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7AA3ED"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Adrar</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6EF8116"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1.4%</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D37CF22"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0.3</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1121049"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36.9</w:t>
            </w:r>
          </w:p>
        </w:tc>
      </w:tr>
      <w:tr w:rsidR="006C2DA4" w:rsidRPr="00D636C4" w14:paraId="0FA80EF1"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5A85D9" w14:textId="77777777" w:rsidR="006C2DA4" w:rsidRPr="00D636C4" w:rsidRDefault="006C2DA4" w:rsidP="00980A9B">
            <w:pPr>
              <w:ind w:left="180"/>
              <w:rPr>
                <w:rFonts w:ascii="Calibri" w:eastAsia="Calibri" w:hAnsi="Calibri" w:cs="Calibri"/>
                <w:b/>
                <w:sz w:val="20"/>
                <w:szCs w:val="20"/>
              </w:rPr>
            </w:pPr>
            <w:proofErr w:type="spellStart"/>
            <w:r w:rsidRPr="00D636C4">
              <w:rPr>
                <w:rFonts w:ascii="Calibri" w:eastAsia="Calibri" w:hAnsi="Calibri" w:cs="Calibri"/>
                <w:b/>
                <w:sz w:val="20"/>
                <w:szCs w:val="20"/>
              </w:rPr>
              <w:t>Assaba</w:t>
            </w:r>
            <w:proofErr w:type="spellEnd"/>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3CDD4FC"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8.9%</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A70AAC1"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8.9</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F537479"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43.5</w:t>
            </w:r>
          </w:p>
        </w:tc>
      </w:tr>
      <w:tr w:rsidR="006C2DA4" w:rsidRPr="00D636C4" w14:paraId="1A2266EB"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1E3E1" w14:textId="77777777" w:rsidR="006C2DA4" w:rsidRPr="00D636C4" w:rsidRDefault="006C2DA4" w:rsidP="00980A9B">
            <w:pPr>
              <w:ind w:left="180"/>
              <w:rPr>
                <w:rFonts w:ascii="Calibri" w:eastAsia="Calibri" w:hAnsi="Calibri" w:cs="Calibri"/>
                <w:b/>
                <w:sz w:val="20"/>
                <w:szCs w:val="20"/>
              </w:rPr>
            </w:pPr>
            <w:proofErr w:type="spellStart"/>
            <w:r w:rsidRPr="00D636C4">
              <w:rPr>
                <w:rFonts w:ascii="Calibri" w:eastAsia="Calibri" w:hAnsi="Calibri" w:cs="Calibri"/>
                <w:b/>
                <w:sz w:val="20"/>
                <w:szCs w:val="20"/>
              </w:rPr>
              <w:t>Brakna</w:t>
            </w:r>
            <w:proofErr w:type="spellEnd"/>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9A00EA6"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8.3%</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C5EBCF6"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9.2</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9840E39"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43.3</w:t>
            </w:r>
          </w:p>
        </w:tc>
      </w:tr>
      <w:tr w:rsidR="006C2DA4" w:rsidRPr="00D636C4" w14:paraId="1FC5BF34"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D3006A" w14:textId="77777777" w:rsidR="006C2DA4" w:rsidRPr="00D636C4" w:rsidRDefault="006C2DA4" w:rsidP="00980A9B">
            <w:pPr>
              <w:ind w:left="180"/>
              <w:rPr>
                <w:rFonts w:ascii="Calibri" w:eastAsia="Calibri" w:hAnsi="Calibri" w:cs="Calibri"/>
                <w:b/>
                <w:sz w:val="20"/>
                <w:szCs w:val="20"/>
              </w:rPr>
            </w:pPr>
            <w:proofErr w:type="spellStart"/>
            <w:r w:rsidRPr="00D636C4">
              <w:rPr>
                <w:rFonts w:ascii="Calibri" w:eastAsia="Calibri" w:hAnsi="Calibri" w:cs="Calibri"/>
                <w:b/>
                <w:sz w:val="20"/>
                <w:szCs w:val="20"/>
              </w:rPr>
              <w:t>Dakhlett</w:t>
            </w:r>
            <w:proofErr w:type="spellEnd"/>
            <w:r w:rsidRPr="00D636C4">
              <w:rPr>
                <w:rFonts w:ascii="Calibri" w:eastAsia="Calibri" w:hAnsi="Calibri" w:cs="Calibri"/>
                <w:b/>
                <w:sz w:val="20"/>
                <w:szCs w:val="20"/>
              </w:rPr>
              <w:t xml:space="preserve"> </w:t>
            </w:r>
            <w:proofErr w:type="spellStart"/>
            <w:r w:rsidRPr="00D636C4">
              <w:rPr>
                <w:rFonts w:ascii="Calibri" w:eastAsia="Calibri" w:hAnsi="Calibri" w:cs="Calibri"/>
                <w:b/>
                <w:sz w:val="20"/>
                <w:szCs w:val="20"/>
              </w:rPr>
              <w:t>Nouardhibou</w:t>
            </w:r>
            <w:proofErr w:type="spellEnd"/>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DC3C172"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3.7%</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9E0EB35"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5.6</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4AC4451"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14.8</w:t>
            </w:r>
          </w:p>
        </w:tc>
      </w:tr>
      <w:tr w:rsidR="006C2DA4" w:rsidRPr="00D636C4" w14:paraId="523B84B9"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44F753"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Gorgol</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0D0DEED"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9.5%</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80517A6"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24.7</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668EC3C"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38.2</w:t>
            </w:r>
          </w:p>
        </w:tc>
      </w:tr>
      <w:tr w:rsidR="006C2DA4" w:rsidRPr="00D636C4" w14:paraId="333E3466"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5F9F9F"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Guidimagha</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F7B7E9C"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8.0%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FB51D6F"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25.9</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237016B"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49.1</w:t>
            </w:r>
          </w:p>
        </w:tc>
      </w:tr>
      <w:tr w:rsidR="006C2DA4" w:rsidRPr="00D636C4" w14:paraId="30B5F568"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6CEE50"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 xml:space="preserve">Hodh </w:t>
            </w:r>
            <w:proofErr w:type="spellStart"/>
            <w:r w:rsidRPr="00D636C4">
              <w:rPr>
                <w:rFonts w:ascii="Calibri" w:eastAsia="Calibri" w:hAnsi="Calibri" w:cs="Calibri"/>
                <w:b/>
                <w:sz w:val="20"/>
                <w:szCs w:val="20"/>
              </w:rPr>
              <w:t>Charghi</w:t>
            </w:r>
            <w:proofErr w:type="spellEnd"/>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1FF7B49"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12.4%</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1295BB1"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2.4</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AAF434E"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28.3</w:t>
            </w:r>
          </w:p>
        </w:tc>
      </w:tr>
      <w:tr w:rsidR="006C2DA4" w:rsidRPr="00D636C4" w14:paraId="632BDFEC" w14:textId="77777777" w:rsidTr="00980A9B">
        <w:trPr>
          <w:trHeight w:val="480"/>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946A2D"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Hodh el Gharbi</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BBA208F"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8.1%</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E7FCA1D"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5.5</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779B546"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39.2</w:t>
            </w:r>
          </w:p>
        </w:tc>
      </w:tr>
      <w:tr w:rsidR="006C2DA4" w:rsidRPr="00D636C4" w14:paraId="66828F3D"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3A41FE"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Inchiri</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7027E45"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0.6%</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5B30478"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0.4</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FBF3C8B"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23.7</w:t>
            </w:r>
          </w:p>
        </w:tc>
      </w:tr>
      <w:tr w:rsidR="006C2DA4" w:rsidRPr="00D636C4" w14:paraId="0726F843" w14:textId="77777777" w:rsidTr="00980A9B">
        <w:trPr>
          <w:trHeight w:val="179"/>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BE02FC"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Nouakchott (Nord, Ouest, Sud)</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9853FA2"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29.3%</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7E70BA3"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47.9</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B62144"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14.4</w:t>
            </w:r>
          </w:p>
        </w:tc>
      </w:tr>
      <w:tr w:rsidR="006C2DA4" w:rsidRPr="00D636C4" w14:paraId="4E4B1DAA"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0ECB8C" w14:textId="77777777" w:rsidR="006C2DA4" w:rsidRPr="00D636C4" w:rsidRDefault="006C2DA4" w:rsidP="00980A9B">
            <w:pPr>
              <w:ind w:left="180"/>
              <w:rPr>
                <w:rFonts w:ascii="Calibri" w:eastAsia="Calibri" w:hAnsi="Calibri" w:cs="Calibri"/>
                <w:b/>
                <w:sz w:val="20"/>
                <w:szCs w:val="20"/>
              </w:rPr>
            </w:pPr>
            <w:proofErr w:type="spellStart"/>
            <w:r w:rsidRPr="00D636C4">
              <w:rPr>
                <w:rFonts w:ascii="Calibri" w:eastAsia="Calibri" w:hAnsi="Calibri" w:cs="Calibri"/>
                <w:b/>
                <w:sz w:val="20"/>
                <w:szCs w:val="20"/>
              </w:rPr>
              <w:t>Tagant</w:t>
            </w:r>
            <w:proofErr w:type="spellEnd"/>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BA3B651"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1.9%</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2961007"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0.9</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1F1A4C7"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49.0</w:t>
            </w:r>
          </w:p>
        </w:tc>
      </w:tr>
      <w:tr w:rsidR="006C2DA4" w:rsidRPr="00D636C4" w14:paraId="3D7B1385"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BDE584" w14:textId="77777777" w:rsidR="006C2DA4" w:rsidRPr="00D636C4" w:rsidRDefault="006C2DA4" w:rsidP="00980A9B">
            <w:pPr>
              <w:ind w:left="180"/>
              <w:rPr>
                <w:rFonts w:ascii="Calibri" w:eastAsia="Calibri" w:hAnsi="Calibri" w:cs="Calibri"/>
                <w:b/>
                <w:sz w:val="20"/>
                <w:szCs w:val="20"/>
              </w:rPr>
            </w:pPr>
            <w:proofErr w:type="spellStart"/>
            <w:r w:rsidRPr="00D636C4">
              <w:rPr>
                <w:rFonts w:ascii="Calibri" w:eastAsia="Calibri" w:hAnsi="Calibri" w:cs="Calibri"/>
                <w:b/>
                <w:sz w:val="20"/>
                <w:szCs w:val="20"/>
              </w:rPr>
              <w:t>Tiris</w:t>
            </w:r>
            <w:proofErr w:type="spellEnd"/>
            <w:r w:rsidRPr="00D636C4">
              <w:rPr>
                <w:rFonts w:ascii="Calibri" w:eastAsia="Calibri" w:hAnsi="Calibri" w:cs="Calibri"/>
                <w:b/>
                <w:sz w:val="20"/>
                <w:szCs w:val="20"/>
              </w:rPr>
              <w:t xml:space="preserve"> Zemmour</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A1ABBDD"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1.4%</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EA5EEFE"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0.2</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ECE5AB8"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18.9</w:t>
            </w:r>
          </w:p>
        </w:tc>
      </w:tr>
      <w:tr w:rsidR="006C2DA4" w:rsidRPr="00D636C4" w14:paraId="594CEFF5" w14:textId="77777777" w:rsidTr="00980A9B">
        <w:trPr>
          <w:trHeight w:val="27"/>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A8A484" w14:textId="77777777" w:rsidR="006C2DA4" w:rsidRPr="00D636C4" w:rsidRDefault="006C2DA4" w:rsidP="00980A9B">
            <w:pPr>
              <w:ind w:left="180"/>
              <w:rPr>
                <w:rFonts w:ascii="Calibri" w:eastAsia="Calibri" w:hAnsi="Calibri" w:cs="Calibri"/>
                <w:b/>
                <w:sz w:val="20"/>
                <w:szCs w:val="20"/>
              </w:rPr>
            </w:pPr>
            <w:r w:rsidRPr="00D636C4">
              <w:rPr>
                <w:rFonts w:ascii="Calibri" w:eastAsia="Calibri" w:hAnsi="Calibri" w:cs="Calibri"/>
                <w:b/>
                <w:sz w:val="20"/>
                <w:szCs w:val="20"/>
              </w:rPr>
              <w:t>Trarza</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1BC3592"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6.5%</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C5FDECE"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4.0</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4F36A97" w14:textId="77777777" w:rsidR="006C2DA4" w:rsidRPr="00D636C4" w:rsidRDefault="006C2DA4" w:rsidP="00980A9B">
            <w:pPr>
              <w:ind w:left="180"/>
              <w:rPr>
                <w:rFonts w:ascii="Calibri" w:eastAsia="Calibri" w:hAnsi="Calibri" w:cs="Calibri"/>
                <w:sz w:val="20"/>
                <w:szCs w:val="20"/>
              </w:rPr>
            </w:pPr>
            <w:r w:rsidRPr="00D636C4">
              <w:rPr>
                <w:rFonts w:ascii="Calibri" w:eastAsia="Calibri" w:hAnsi="Calibri" w:cs="Calibri"/>
                <w:sz w:val="20"/>
                <w:szCs w:val="20"/>
              </w:rPr>
              <w:t xml:space="preserve"> 32.2</w:t>
            </w:r>
          </w:p>
        </w:tc>
      </w:tr>
    </w:tbl>
    <w:p w14:paraId="779E6051" w14:textId="77777777" w:rsidR="006C2DA4" w:rsidRPr="008F12D0" w:rsidRDefault="006C2DA4" w:rsidP="006C2DA4">
      <w:pPr>
        <w:pStyle w:val="Heading2"/>
        <w:keepNext w:val="0"/>
        <w:keepLines w:val="0"/>
        <w:spacing w:after="80"/>
        <w:jc w:val="both"/>
        <w:rPr>
          <w:rFonts w:ascii="Calibri" w:eastAsia="Calibri" w:hAnsi="Calibri" w:cs="Calibri"/>
          <w:b/>
          <w:sz w:val="22"/>
          <w:szCs w:val="22"/>
        </w:rPr>
      </w:pPr>
      <w:r w:rsidRPr="008F12D0">
        <w:rPr>
          <w:rFonts w:ascii="Calibri" w:eastAsia="Calibri" w:hAnsi="Calibri" w:cs="Calibri"/>
          <w:b/>
          <w:sz w:val="22"/>
          <w:szCs w:val="22"/>
        </w:rPr>
        <w:t>2.3. Situation sanitaire</w:t>
      </w:r>
    </w:p>
    <w:p w14:paraId="11E20D39"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La Mauritanie peine à améliorer la santé de sa population. La mortalité maternelle reste élevée, </w:t>
      </w:r>
      <w:r>
        <w:rPr>
          <w:rFonts w:ascii="Calibri" w:eastAsia="Calibri" w:hAnsi="Calibri" w:cs="Calibri"/>
        </w:rPr>
        <w:t xml:space="preserve">avec </w:t>
      </w:r>
      <w:r w:rsidRPr="00D636C4">
        <w:rPr>
          <w:rFonts w:ascii="Calibri" w:eastAsia="Calibri" w:hAnsi="Calibri" w:cs="Calibri"/>
        </w:rPr>
        <w:t xml:space="preserve">un ratio de 424 décès maternels pour 100,000 naissances vivantes - loin de la cible des </w:t>
      </w:r>
      <w:r>
        <w:rPr>
          <w:rFonts w:ascii="Calibri" w:eastAsia="Calibri" w:hAnsi="Calibri" w:cs="Calibri"/>
        </w:rPr>
        <w:t>objectifs de développement (</w:t>
      </w:r>
      <w:r w:rsidRPr="00D636C4">
        <w:rPr>
          <w:rFonts w:ascii="Calibri" w:eastAsia="Calibri" w:hAnsi="Calibri" w:cs="Calibri"/>
        </w:rPr>
        <w:t>ODD</w:t>
      </w:r>
      <w:r>
        <w:rPr>
          <w:rFonts w:ascii="Calibri" w:eastAsia="Calibri" w:hAnsi="Calibri" w:cs="Calibri"/>
        </w:rPr>
        <w:t>)</w:t>
      </w:r>
      <w:r w:rsidRPr="00D636C4">
        <w:rPr>
          <w:rFonts w:ascii="Calibri" w:eastAsia="Calibri" w:hAnsi="Calibri" w:cs="Calibri"/>
        </w:rPr>
        <w:t xml:space="preserve"> de 140 décès pour 100,000 en 2030.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{"citationItems":[{"id":"ITEM-1","itemData":{"author":[{"dropping-particle":"","family":"ONS","given":"","non-dropping-particle":"","parse-names":false,"suffix":""}],"id":"ITEM-1","issued":{"date-parts":[["2022"]]},"publisher-place":"Nouakchott","title":"Enquête Démographique et de Santé de la Mauritanie (EDSM) - 2019-2021","type":"report"},"uris":["http://www.mendeley.com/documents/?uuid=a64b7f48-55e4-4336-bfd8-8f9eaa9cd8ff"]}],"mendeley":{"formattedCitation":"[14]","plainTextFormattedCitation":"[14]","previouslyFormattedCitation":"[14]"},"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[14]</w:t>
      </w:r>
      <w:r w:rsidR="009904FE" w:rsidRPr="00D636C4">
        <w:rPr>
          <w:rFonts w:ascii="Calibri" w:eastAsia="Calibri" w:hAnsi="Calibri" w:cs="Calibri"/>
        </w:rPr>
        <w:fldChar w:fldCharType="end"/>
      </w:r>
      <w:r w:rsidRPr="00D636C4">
        <w:rPr>
          <w:rFonts w:ascii="Calibri" w:eastAsia="Calibri" w:hAnsi="Calibri" w:cs="Calibri"/>
        </w:rPr>
        <w:t xml:space="preserv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{"citationItems":[{"id":"ITEM-1","itemData":{"author":[{"dropping-particle":"","family":"ANSADE","given":"","non-dropping-particle":"","parse-names":false,"suffix":""}],"id":"ITEM-1","issued":{"date-parts":[["2023"]]},"title":"Etude Santé, Nutrition et Pauvreté en Mauritanie - Situation et Défis - Rapport 2023","type":"report"},"uris":["http://www.mendeley.com/documents/?uuid=90543b7d-98c1-47d3-96e6-88dc2f66210c"]}],"mendeley":{"formattedCitation":"[13]","plainTextFormattedCitation":"[13]","previouslyFormattedCitation":"[13]"},"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[13]</w:t>
      </w:r>
      <w:r w:rsidR="009904FE" w:rsidRPr="00D636C4">
        <w:rPr>
          <w:rFonts w:ascii="Calibri" w:eastAsia="Calibri" w:hAnsi="Calibri" w:cs="Calibri"/>
        </w:rPr>
        <w:fldChar w:fldCharType="end"/>
      </w:r>
      <w:r w:rsidRPr="00D636C4">
        <w:rPr>
          <w:rFonts w:ascii="Calibri" w:eastAsia="Calibri" w:hAnsi="Calibri" w:cs="Calibri"/>
        </w:rPr>
        <w:t xml:space="preserve"> Malgré la mise en place du </w:t>
      </w:r>
      <w:r>
        <w:rPr>
          <w:rFonts w:ascii="Calibri" w:eastAsia="Calibri" w:hAnsi="Calibri" w:cs="Calibri"/>
        </w:rPr>
        <w:t>f</w:t>
      </w:r>
      <w:r w:rsidRPr="00D636C4">
        <w:rPr>
          <w:rFonts w:ascii="Calibri" w:eastAsia="Calibri" w:hAnsi="Calibri" w:cs="Calibri"/>
        </w:rPr>
        <w:t xml:space="preserve">orfait </w:t>
      </w:r>
      <w:r>
        <w:rPr>
          <w:rFonts w:ascii="Calibri" w:eastAsia="Calibri" w:hAnsi="Calibri" w:cs="Calibri"/>
        </w:rPr>
        <w:t>o</w:t>
      </w:r>
      <w:r w:rsidRPr="00D636C4">
        <w:rPr>
          <w:rFonts w:ascii="Calibri" w:eastAsia="Calibri" w:hAnsi="Calibri" w:cs="Calibri"/>
        </w:rPr>
        <w:t xml:space="preserve">bstétrical – un dispositif subventionné pour l’accès aux soins de santé maternelle - environ la moitié des femmes enceintes ne bénéficient pas des interventions du paquet préventif essentiel pour la santé de la mère et du nouveau-né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{"citationItems":[{"id":"ITEM-1","itemData":{"author":[{"dropping-particle":"","family":"République Islamique de Mauritanie","given":"","non-dropping-particle":"","parse-names":false,"suffix":""}],"id":"ITEM-1","issued":{"date-parts":[["2022"]]},"title":"Dossier d'Investissement pour l’amélioration de la sante de la reproduction, maternelle, néonatale et infanto-juvenile, adolescents et la nutrition en Mauritanie (2022-2025)","type":"report"},"uris":["http://www.mendeley.com/documents/?uuid=0763d7ca-cb19-4a3a-8d03-f3b2f9958f56"]}],"mendeley":{"formattedCitation":"[15]","plainTextFormattedCitation":"[15]","previouslyFormattedCitation":"[15]"},"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[15]</w:t>
      </w:r>
      <w:r w:rsidR="009904FE" w:rsidRPr="00D636C4">
        <w:rPr>
          <w:rFonts w:ascii="Calibri" w:eastAsia="Calibri" w:hAnsi="Calibri" w:cs="Calibri"/>
        </w:rPr>
        <w:fldChar w:fldCharType="end"/>
      </w:r>
      <w:r w:rsidRPr="00D636C4">
        <w:rPr>
          <w:rFonts w:ascii="Calibri" w:eastAsia="Calibri" w:hAnsi="Calibri" w:cs="Calibri"/>
        </w:rPr>
        <w:t xml:space="preserve">. Le pourcentage d’accouchement assisté par un personnel qualifié ne dépasse pas 69 % au niveau national - et ce taux est très inégal selon les régions et le niveau de richesse, avec 52 % des accouchements en milieu rural étant assistés, contre 91 % en milieu urbain.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{"citationItems":[{"id":"ITEM-1","itemData":{"author":[{"dropping-particle":"","family":"ONS","given":"","non-dropping-particle":"","parse-names":false,"suffix":""}],"id":"ITEM-1","issued":{"date-parts":[["2017"]]},"title":"MAURITANIE Enquête par grappes à indicateurs multiples MICS5 2015","type":"report"},"uris":["http://www.mendeley.com/documents/?uuid=2c44b888-8660-4aef-a3fa-9d5a2e790aec"]}],"mendeley":{"formattedCitation":"[16]","plainTextFormattedCitation":"[16]","previouslyFormattedCitation":"[16]"},"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[16]</w:t>
      </w:r>
      <w:r w:rsidR="009904FE" w:rsidRPr="00D636C4">
        <w:rPr>
          <w:rFonts w:ascii="Calibri" w:eastAsia="Calibri" w:hAnsi="Calibri" w:cs="Calibri"/>
        </w:rPr>
        <w:fldChar w:fldCharType="end"/>
      </w:r>
    </w:p>
    <w:p w14:paraId="2821F8AF"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3A4E1529"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Le taux de mortalité infanto-juvénile du pays s’est globalement amélioré après plusieurs années de stagnation, en passant de 68 décès pour 1000 naissances vivantes chez les enfants de moins de 5 ans en 2011 à 41‰ en 2019. Toutefois, les principales causes de décès pour les enfants de moins de 5 ans tels que le paludisme, les infections respiratoires aiguës, et la diarrhée, demeurent évitables et pourraient être adressées par une amélioration à l’accès aux soins essentiels au niveau périphérique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{"citationItems":[{"id":"ITEM-1","itemData":{"author":[{"dropping-particle":"","family":"République Islamique de Mauritanie","given":"","non-dropping-particle":"","parse-names":false,"suffix":""}],"id":"ITEM-1","issued":{"date-parts":[["2022"]]},"title":"Dossier d'Investissement pour l’amélioration de la sante de la reproduction, maternelle, néonatale et infanto-juvenile, adolescents et la nutrition en Mauritanie (2022-2025)","type":"report"},"uris":["http://www.mendeley.com/documents/?uuid=0763d7ca-cb19-4a3a-8d03-f3b2f9958f56"]}],"mendeley":{"formattedCitation":"[15]","plainTextFormattedCitation":"[15]","previouslyFormattedCitation":"[15]"},"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[15]</w:t>
      </w:r>
      <w:r w:rsidR="009904FE" w:rsidRPr="00D636C4">
        <w:rPr>
          <w:rFonts w:ascii="Calibri" w:eastAsia="Calibri" w:hAnsi="Calibri" w:cs="Calibri"/>
        </w:rPr>
        <w:fldChar w:fldCharType="end"/>
      </w:r>
      <w:r w:rsidRPr="00D636C4">
        <w:rPr>
          <w:rFonts w:ascii="Calibri" w:eastAsia="Calibri" w:hAnsi="Calibri" w:cs="Calibri"/>
        </w:rPr>
        <w:t xml:space="preserve">. La </w:t>
      </w:r>
      <w:r w:rsidRPr="00D636C4">
        <w:rPr>
          <w:rFonts w:ascii="Calibri" w:eastAsia="Calibri" w:hAnsi="Calibri" w:cs="Calibri"/>
        </w:rPr>
        <w:lastRenderedPageBreak/>
        <w:t>couverture vaccinale incomplète des enfants et la malnutrition demeurent des causes sous-jacentes importantes des décès des enfants, et ces facteurs se sont aggravés lors de la pandémie.</w:t>
      </w:r>
    </w:p>
    <w:p w14:paraId="608E9996"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59A70B92"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Ces résultats sanitaires sont en partie dus aux nombreuses défaillances du système de santé</w:t>
      </w:r>
      <w:r>
        <w:rPr>
          <w:rFonts w:ascii="Calibri" w:eastAsia="Calibri" w:hAnsi="Calibri" w:cs="Calibri"/>
        </w:rPr>
        <w:t> :</w:t>
      </w:r>
    </w:p>
    <w:p w14:paraId="7873D872" w14:textId="77777777" w:rsidR="006C2DA4" w:rsidRPr="00D636C4" w:rsidRDefault="006C2DA4" w:rsidP="006C2DA4">
      <w:pPr>
        <w:numPr>
          <w:ilvl w:val="0"/>
          <w:numId w:val="2"/>
        </w:numPr>
        <w:jc w:val="both"/>
        <w:rPr>
          <w:rFonts w:ascii="Times New Roman" w:eastAsia="Times New Roman" w:hAnsi="Times New Roman" w:cs="Times New Roman"/>
        </w:rPr>
      </w:pPr>
      <w:r w:rsidRPr="00D636C4">
        <w:rPr>
          <w:rFonts w:ascii="Calibri" w:eastAsia="Calibri" w:hAnsi="Calibri" w:cs="Calibri"/>
          <w:b/>
        </w:rPr>
        <w:t>Infrastructure</w:t>
      </w:r>
      <w:r w:rsidRPr="00D636C4">
        <w:rPr>
          <w:rFonts w:ascii="Calibri" w:eastAsia="Calibri" w:hAnsi="Calibri" w:cs="Calibri"/>
        </w:rPr>
        <w:t xml:space="preserve"> : En 2017, 40,5% des ménages en Mauritanie étaient encore à plus de 60 minutes d’une structure sanitaire, avec ce taux allant jusqu’à près de deux tiers (64%) en milieu rural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 de la République Islamique de Mauritanie","given":"","non-dropping-particle":"","parse-names":false,"suffix":""}],"id":"ITEM-1","issued":{"date-parts":[["2019"]]},"title":"Diagnostique du Système de Financement de la Santé - Rapport Provisoire","type":"report"},"uris":["http://www.mendeley.com/documents/?uuid=d484ffa0-e8de-49a6-93ee-9c18b6d53400"]}],"mendeley":{"formattedCitation":"[17]","plainTextFormattedCitation":"[17]","previouslyFormattedCitation":"[17]"},"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[17]</w:t>
      </w:r>
      <w:r w:rsidR="009904FE" w:rsidRPr="00D636C4">
        <w:rPr>
          <w:rFonts w:ascii="Calibri" w:eastAsia="Calibri" w:hAnsi="Calibri" w:cs="Calibri"/>
        </w:rPr>
        <w:fldChar w:fldCharType="end"/>
      </w:r>
      <w:r w:rsidRPr="00D636C4">
        <w:rPr>
          <w:rFonts w:ascii="Calibri" w:eastAsia="Calibri" w:hAnsi="Calibri" w:cs="Calibri"/>
        </w:rPr>
        <w:t xml:space="preserve">. Malgré la construction d’environ 150 structures de santé entre 2012 et 2020, les besoins en infrastructure sont toujours importants au niveau national, avec plus du double du nombre de postes de santé et 4 fois plus de </w:t>
      </w:r>
      <w:r>
        <w:rPr>
          <w:rFonts w:ascii="Calibri" w:eastAsia="Calibri" w:hAnsi="Calibri" w:cs="Calibri"/>
        </w:rPr>
        <w:t>c</w:t>
      </w:r>
      <w:r w:rsidRPr="00D636C4">
        <w:rPr>
          <w:rFonts w:ascii="Calibri" w:eastAsia="Calibri" w:hAnsi="Calibri" w:cs="Calibri"/>
        </w:rPr>
        <w:t xml:space="preserve">entres de santé encore nécessaires pour respecter les normes nationales de population à couvrir d’ici 2030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{"citationItems":[{"id":"ITEM-1","itemData":{"author":[{"dropping-particle":"","family":"Bureau Mauritanien d'Études en Santé Publique (BUMESP)","given":"","non-dropping-particle":"","parse-names":false,"suffix":""}],"id":"ITEM-1","issued":{"date-parts":[["2020"]]},"publisher-place":"Nouakchott","title":"Carte Sanitaire Nationale de la Mauritanie - 2020","type":"report"},"uris":["http://www.mendeley.com/documents/?uuid=45fc5921-59c7-48e0-9148-0186f2caf93f"]}],"mendeley":{"formattedCitation":"[18]","plainTextFormattedCitation":"[18]","previouslyFormattedCitation":"[18]"},"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[18]</w:t>
      </w:r>
      <w:r w:rsidR="009904FE" w:rsidRPr="00D636C4">
        <w:rPr>
          <w:rFonts w:ascii="Calibri" w:eastAsia="Calibri" w:hAnsi="Calibri" w:cs="Calibri"/>
        </w:rPr>
        <w:fldChar w:fldCharType="end"/>
      </w:r>
      <w:r w:rsidRPr="00D636C4">
        <w:rPr>
          <w:rFonts w:ascii="Calibri" w:eastAsia="Calibri" w:hAnsi="Calibri" w:cs="Calibri"/>
        </w:rPr>
        <w:t xml:space="preserve">. Il n'existe pas encore de plan national de développement des infrastructures, ni de cadre définissant les critères et les priorités pour l'attribution des infrastructures de santé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santé","given":"","non-dropping-particle":"","parse-names":false,"suffix":""}],"id":"ITEM-1","issued":{"date-parts":[["2021"]]},"publisher-place":"Nouakchott","title":"Plan National de Développement Sanitaire Volume I : Analyse situationnelle et Plan","type":"article","volume":"I"},"uris":["http://www.mendeley.com/documents/?uuid=df856792-65f3-40a5-8ad8-42456c8dbff3"]}],"mendeley":{"formattedCitation":"[1]","plainTextFormattedCitation":"[1]","previouslyFormattedCitation":"[1]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w:t>
      </w:r>
      <w:r w:rsidR="009904FE" w:rsidRPr="00D636C4">
        <w:rPr>
          <w:rFonts w:ascii="Calibri" w:eastAsia="Calibri" w:hAnsi="Calibri" w:cs="Calibri"/>
        </w:rPr>
        <w:fldChar w:fldCharType="end"/>
      </w:r>
      <w:r w:rsidRPr="00D636C4">
        <w:rPr>
          <w:rFonts w:ascii="Calibri" w:eastAsia="Calibri" w:hAnsi="Calibri" w:cs="Calibri"/>
        </w:rPr>
        <w:t xml:space="preserve">. </w:t>
      </w:r>
    </w:p>
    <w:p w14:paraId="0F4389A6" w14:textId="77777777" w:rsidR="006C2DA4" w:rsidRPr="00D636C4" w:rsidRDefault="006C2DA4" w:rsidP="006C2DA4">
      <w:pPr>
        <w:ind w:left="720"/>
        <w:jc w:val="both"/>
        <w:rPr>
          <w:rFonts w:ascii="Calibri" w:eastAsia="Calibri" w:hAnsi="Calibri" w:cs="Calibri"/>
        </w:rPr>
      </w:pPr>
      <w:r w:rsidRPr="00D636C4">
        <w:rPr>
          <w:rFonts w:ascii="Calibri" w:eastAsia="Calibri" w:hAnsi="Calibri" w:cs="Calibri"/>
        </w:rPr>
        <w:t xml:space="preserve"> </w:t>
      </w:r>
    </w:p>
    <w:p w14:paraId="2D045F13" w14:textId="77777777" w:rsidR="006C2DA4" w:rsidRPr="00D636C4" w:rsidRDefault="006C2DA4" w:rsidP="006C2DA4">
      <w:pPr>
        <w:numPr>
          <w:ilvl w:val="0"/>
          <w:numId w:val="6"/>
        </w:numPr>
        <w:jc w:val="both"/>
        <w:rPr>
          <w:rFonts w:ascii="Times New Roman" w:eastAsia="Times New Roman" w:hAnsi="Times New Roman" w:cs="Times New Roman"/>
        </w:rPr>
      </w:pPr>
      <w:r w:rsidRPr="00D636C4">
        <w:rPr>
          <w:rFonts w:ascii="Calibri" w:eastAsia="Calibri" w:hAnsi="Calibri" w:cs="Calibri"/>
        </w:rPr>
        <w:t xml:space="preserve">La disponibilité de </w:t>
      </w:r>
      <w:r w:rsidRPr="00D636C4">
        <w:rPr>
          <w:rFonts w:ascii="Calibri" w:eastAsia="Calibri" w:hAnsi="Calibri" w:cs="Calibri"/>
          <w:b/>
        </w:rPr>
        <w:t>médicaments</w:t>
      </w:r>
      <w:r w:rsidRPr="00D636C4">
        <w:rPr>
          <w:rFonts w:ascii="Calibri" w:eastAsia="Calibri" w:hAnsi="Calibri" w:cs="Calibri"/>
        </w:rPr>
        <w:t xml:space="preserve"> souffre de problèmes liés aux difficultés dans leur transport, stockage et gestion, et aux ruptures de molécules au niveau de la Centrale d’Achat des Médicaments Essentiels et des Consommables (CAMEC).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santé","given":"","non-dropping-particle":"","parse-names":false,"suffix":""}],"id":"ITEM-1","issued":{"date-parts":[["2021"]]},"publisher-place":"Nouakchott","title":"Plan National de Développement Sanitaire Volume I : Analyse situationnelle et Plan","type":"article","volume":"I"},"uris":["http://www.mendeley.com/documents/?uuid=df856792-65f3-40a5-8ad8-42456c8dbff3"]}],"mendeley":{"formattedCitation":"[1]","plainTextFormattedCitation":"[1]","previouslyFormattedCitation":"[1]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w:t>
      </w:r>
      <w:r w:rsidR="009904FE" w:rsidRPr="00D636C4">
        <w:rPr>
          <w:rFonts w:ascii="Calibri" w:eastAsia="Calibri" w:hAnsi="Calibri" w:cs="Calibri"/>
        </w:rPr>
        <w:fldChar w:fldCharType="end"/>
      </w:r>
      <w:r w:rsidRPr="00D636C4">
        <w:rPr>
          <w:rFonts w:ascii="Calibri" w:eastAsia="Calibri" w:hAnsi="Calibri" w:cs="Calibri"/>
        </w:rPr>
        <w:t xml:space="preserve"> En 2018, la disponibilité moyenne de 13 molécules traceuses était de 22%, et aucune des FOSA recensés, des hôpitaux aux PS, ne disposait de l'ensemble des 13 molécules.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{"citationItems":[{"id":"ITEM-1","itemData":{"author":[{"dropping-particle":"","family":"SARA","given":"","non-dropping-particle":"","parse-names":false,"suffix":""}],"id":"ITEM-1","issued":{"date-parts":[["2018"]]},"publisher-place":"Bamako","title":"Evaluation de la disponibilité, de la capacité opérationnelle des services de santé et la revue de la qualité des données","type":"report"},"uris":["http://www.mendeley.com/documents/?uuid=031630f9-5b73-4395-b181-b84b855c763c"]}],"mendeley":{"formattedCitation":"[19]","plainTextFormattedCitation":"[19]","previouslyFormattedCitation":"[19]"},"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[19]</w:t>
      </w:r>
      <w:r w:rsidR="009904FE" w:rsidRPr="00D636C4">
        <w:rPr>
          <w:rFonts w:ascii="Calibri" w:eastAsia="Calibri" w:hAnsi="Calibri" w:cs="Calibri"/>
        </w:rPr>
        <w:fldChar w:fldCharType="end"/>
      </w:r>
      <w:r>
        <w:rPr>
          <w:rFonts w:ascii="Calibri" w:eastAsia="Calibri" w:hAnsi="Calibri" w:cs="Calibri"/>
        </w:rPr>
        <w:t xml:space="preserve"> Une nouvelle initiative, Al </w:t>
      </w:r>
      <w:proofErr w:type="spellStart"/>
      <w:r>
        <w:rPr>
          <w:rFonts w:ascii="Calibri" w:eastAsia="Calibri" w:hAnsi="Calibri" w:cs="Calibri"/>
        </w:rPr>
        <w:t>Mouyassar</w:t>
      </w:r>
      <w:proofErr w:type="spellEnd"/>
      <w:r>
        <w:rPr>
          <w:rFonts w:ascii="Calibri" w:eastAsia="Calibri" w:hAnsi="Calibri" w:cs="Calibri"/>
        </w:rPr>
        <w:t xml:space="preserve">, met en marche un fonds de roulement pour la CAMEC afin de palier à ces problèmes de disponibilité de médicaments. Cette initiative, inscrite dans la loi des finances 2024, est ponctuelle néanmoins, et ne résout pas les problèmes d’accessibilité des médicaments pour la population. </w:t>
      </w:r>
    </w:p>
    <w:p w14:paraId="1BC03778" w14:textId="77777777" w:rsidR="006C2DA4" w:rsidRPr="00D636C4" w:rsidRDefault="006C2DA4" w:rsidP="006C2DA4">
      <w:pPr>
        <w:ind w:left="720"/>
        <w:jc w:val="both"/>
        <w:rPr>
          <w:rFonts w:ascii="Calibri" w:eastAsia="Calibri" w:hAnsi="Calibri" w:cs="Calibri"/>
        </w:rPr>
      </w:pPr>
      <w:r w:rsidRPr="00D636C4">
        <w:rPr>
          <w:rFonts w:ascii="Calibri" w:eastAsia="Calibri" w:hAnsi="Calibri" w:cs="Calibri"/>
        </w:rPr>
        <w:t xml:space="preserve"> </w:t>
      </w:r>
    </w:p>
    <w:p w14:paraId="381CA8B9" w14:textId="77777777" w:rsidR="006C2DA4" w:rsidRPr="00D636C4" w:rsidRDefault="006C2DA4" w:rsidP="006C2DA4">
      <w:pPr>
        <w:numPr>
          <w:ilvl w:val="0"/>
          <w:numId w:val="20"/>
        </w:numPr>
        <w:jc w:val="both"/>
        <w:rPr>
          <w:rFonts w:ascii="Times New Roman" w:eastAsia="Times New Roman" w:hAnsi="Times New Roman" w:cs="Times New Roman"/>
        </w:rPr>
      </w:pPr>
      <w:r w:rsidRPr="00D636C4">
        <w:rPr>
          <w:rFonts w:ascii="Calibri" w:eastAsia="Calibri" w:hAnsi="Calibri" w:cs="Calibri"/>
        </w:rPr>
        <w:t xml:space="preserve">L’offre de soins souffre d’un manque de </w:t>
      </w:r>
      <w:r w:rsidRPr="00D636C4">
        <w:rPr>
          <w:rFonts w:ascii="Calibri" w:eastAsia="Calibri" w:hAnsi="Calibri" w:cs="Calibri"/>
          <w:b/>
        </w:rPr>
        <w:t>personnel qualifié</w:t>
      </w:r>
      <w:r w:rsidRPr="00D636C4">
        <w:rPr>
          <w:rFonts w:ascii="Calibri" w:eastAsia="Calibri" w:hAnsi="Calibri" w:cs="Calibri"/>
        </w:rPr>
        <w:t>, bien que la situation ait été améliorée par la création en 2010 d’une faculté de médecine et d</w:t>
      </w:r>
      <w:r>
        <w:rPr>
          <w:rFonts w:ascii="Calibri" w:eastAsia="Calibri" w:hAnsi="Calibri" w:cs="Calibri"/>
        </w:rPr>
        <w:t>’</w:t>
      </w:r>
      <w:r w:rsidRPr="00D636C4">
        <w:rPr>
          <w:rFonts w:ascii="Calibri" w:eastAsia="Calibri" w:hAnsi="Calibri" w:cs="Calibri"/>
        </w:rPr>
        <w:t xml:space="preserve">écoles de santé publique. Le pays dispose en moyenne de 2 médecins par 10,000 habitants, et 0.3 infirmières par 300 habitants, ce qui est loin des normes proposées par l’OMS de 1 par 10,000 et 1 par 300, mais mieux </w:t>
      </w:r>
      <w:r>
        <w:rPr>
          <w:rFonts w:ascii="Calibri" w:eastAsia="Calibri" w:hAnsi="Calibri" w:cs="Calibri"/>
        </w:rPr>
        <w:t>que</w:t>
      </w:r>
      <w:r w:rsidRPr="00D636C4">
        <w:rPr>
          <w:rFonts w:ascii="Calibri" w:eastAsia="Calibri" w:hAnsi="Calibri" w:cs="Calibri"/>
        </w:rPr>
        <w:t xml:space="preserve"> d’autres pays de la sous-région.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{"citationItems":[{"id":"ITEM-1","itemData":{"author":[{"dropping-particle":"","family":"Bureau Mauritanien d'Études en Santé Publique (BUMESP)","given":"","non-dropping-particle":"","parse-names":false,"suffix":""}],"id":"ITEM-1","issued":{"date-parts":[["2020"]]},"publisher-place":"Nouakchott","title":"Carte Sanitaire Nationale de la Mauritanie - 2020","type":"report"},"uris":["http://www.mendeley.com/documents/?uuid=45fc5921-59c7-48e0-9148-0186f2caf93f"]}],"mendeley":{"formattedCitation":"[18]","plainTextFormattedCitation":"[18]","previouslyFormattedCitation":"[18]"},"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[18]</w:t>
      </w:r>
      <w:r w:rsidR="009904FE" w:rsidRPr="00D636C4">
        <w:rPr>
          <w:rFonts w:ascii="Calibri" w:eastAsia="Calibri" w:hAnsi="Calibri" w:cs="Calibri"/>
        </w:rPr>
        <w:fldChar w:fldCharType="end"/>
      </w:r>
      <w:r w:rsidRPr="00D636C4">
        <w:rPr>
          <w:rFonts w:ascii="Calibri" w:eastAsia="Calibri" w:hAnsi="Calibri" w:cs="Calibri"/>
        </w:rPr>
        <w:t xml:space="preserve"> Néanmoins, le problème de répartition des effectifs sur le territoire demeure </w:t>
      </w:r>
      <w:r>
        <w:rPr>
          <w:rFonts w:ascii="Calibri" w:eastAsia="Calibri" w:hAnsi="Calibri" w:cs="Calibri"/>
        </w:rPr>
        <w:t>disproportionné</w:t>
      </w:r>
      <w:r w:rsidRPr="00D636C4">
        <w:rPr>
          <w:rFonts w:ascii="Calibri" w:eastAsia="Calibri" w:hAnsi="Calibri" w:cs="Calibri"/>
        </w:rPr>
        <w:t>, entre les régions et entre les niveaux de soins, dû à des difficultés de recrutement, formation, déploiement et de fidélisation du personnel. Ceci entraine une concentration importante de médecins spécialistes (77%) et sage-femmes (57%) à Nouakchott, où les conditions de vie et de rémunération sont plus intéres</w:t>
      </w:r>
      <w:r>
        <w:rPr>
          <w:rFonts w:ascii="Calibri" w:eastAsia="Calibri" w:hAnsi="Calibri" w:cs="Calibri"/>
        </w:rPr>
        <w:t>sante</w:t>
      </w:r>
      <w:r w:rsidRPr="00D636C4">
        <w:rPr>
          <w:rFonts w:ascii="Calibri" w:eastAsia="Calibri" w:hAnsi="Calibri" w:cs="Calibri"/>
        </w:rPr>
        <w:t xml:space="preserve">s.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santé","given":"","non-dropping-particle":"","parse-names":false,"suffix":""}],"id":"ITEM-1","issued":{"date-parts":[["2021"]]},"publisher-place":"Nouakchott","title":"Plan National de Développement Sanitaire Volume I : Analyse situationnelle et Plan","type":"article","volume":"I"},"uris":["http://www.mendeley.com/documents/?uuid=df856792-65f3-40a5-8ad8-42456c8dbff3"]}],"mendeley":{"formattedCitation":"[1]","plainTextFormattedCitation":"[1]","previouslyFormattedCitation":"[1]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w:t>
      </w:r>
      <w:r w:rsidR="009904FE" w:rsidRPr="00D636C4">
        <w:rPr>
          <w:rFonts w:ascii="Calibri" w:eastAsia="Calibri" w:hAnsi="Calibri" w:cs="Calibri"/>
        </w:rPr>
        <w:fldChar w:fldCharType="end"/>
      </w:r>
    </w:p>
    <w:p w14:paraId="3E81888A" w14:textId="77777777" w:rsidR="006C2DA4" w:rsidRPr="00D636C4" w:rsidRDefault="006C2DA4" w:rsidP="006C2DA4">
      <w:pPr>
        <w:ind w:left="720"/>
        <w:jc w:val="both"/>
        <w:rPr>
          <w:rFonts w:ascii="Calibri" w:eastAsia="Calibri" w:hAnsi="Calibri" w:cs="Calibri"/>
        </w:rPr>
      </w:pPr>
      <w:r w:rsidRPr="00D636C4">
        <w:rPr>
          <w:rFonts w:ascii="Calibri" w:eastAsia="Calibri" w:hAnsi="Calibri" w:cs="Calibri"/>
        </w:rPr>
        <w:t xml:space="preserve"> </w:t>
      </w:r>
    </w:p>
    <w:p w14:paraId="0A5FECFA" w14:textId="77777777" w:rsidR="006C2DA4" w:rsidRPr="00D636C4" w:rsidRDefault="006C2DA4" w:rsidP="006C2DA4">
      <w:pPr>
        <w:numPr>
          <w:ilvl w:val="0"/>
          <w:numId w:val="3"/>
        </w:numPr>
        <w:jc w:val="both"/>
        <w:rPr>
          <w:rFonts w:ascii="Times New Roman" w:eastAsia="Times New Roman" w:hAnsi="Times New Roman" w:cs="Times New Roman"/>
        </w:rPr>
      </w:pPr>
      <w:r>
        <w:rPr>
          <w:rFonts w:ascii="Calibri" w:eastAsia="Calibri" w:hAnsi="Calibri" w:cs="Calibri"/>
        </w:rPr>
        <w:t>Le M</w:t>
      </w:r>
      <w:r w:rsidRPr="00D636C4">
        <w:rPr>
          <w:rFonts w:ascii="Calibri" w:eastAsia="Calibri" w:hAnsi="Calibri" w:cs="Calibri"/>
        </w:rPr>
        <w:t xml:space="preserve">inistère de la Santé a mis en place la plateforme DHIS2 pour intégrer l'ensemble des données du </w:t>
      </w:r>
      <w:r w:rsidRPr="00D636C4">
        <w:rPr>
          <w:rFonts w:ascii="Calibri" w:eastAsia="Calibri" w:hAnsi="Calibri" w:cs="Calibri"/>
          <w:b/>
        </w:rPr>
        <w:t>Système national d’information sanitaire (SNIS)</w:t>
      </w:r>
      <w:r w:rsidRPr="00D636C4">
        <w:rPr>
          <w:rFonts w:ascii="Calibri" w:eastAsia="Calibri" w:hAnsi="Calibri" w:cs="Calibri"/>
        </w:rPr>
        <w:t xml:space="preserve"> dans un même entrepôt national. Toutefois, les faiblesses du plateau informatique et les capacités d'utilisation du système actuel </w:t>
      </w:r>
      <w:r>
        <w:rPr>
          <w:rFonts w:ascii="Calibri" w:eastAsia="Calibri" w:hAnsi="Calibri" w:cs="Calibri"/>
        </w:rPr>
        <w:t>sont telles</w:t>
      </w:r>
      <w:r w:rsidRPr="00D636C4">
        <w:rPr>
          <w:rFonts w:ascii="Calibri" w:eastAsia="Calibri" w:hAnsi="Calibri" w:cs="Calibri"/>
        </w:rPr>
        <w:t xml:space="preserve"> que les données sont insuffisamment complètes, prompt</w:t>
      </w:r>
      <w:r>
        <w:rPr>
          <w:rFonts w:ascii="Calibri" w:eastAsia="Calibri" w:hAnsi="Calibri" w:cs="Calibri"/>
        </w:rPr>
        <w:t>e</w:t>
      </w:r>
      <w:r w:rsidRPr="00D636C4">
        <w:rPr>
          <w:rFonts w:ascii="Calibri" w:eastAsia="Calibri" w:hAnsi="Calibri" w:cs="Calibri"/>
        </w:rPr>
        <w:t xml:space="preserve">s et de qualité pour faciliter la prise de décision stratégique.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santé","given":"","non-dropping-particle":"","parse-names":false,"suffix":""}],"id":"ITEM-1","issued":{"date-parts":[["2021"]]},"publisher-place":"Nouakchott","title":"Plan National de Développement Sanitaire Volume I : Analyse situationnelle et Plan","type":"article","volume":"I"},"uris":["http://www.mendeley.com/documents/?uuid=df856792-65f3-40a5-8ad8-42456c8dbff3"]}],"mendeley":{"formattedCitation":"[1]","plainTextFormattedCitation":"[1]","previouslyFormattedCitation":"[1]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w:t>
      </w:r>
      <w:r w:rsidR="009904FE" w:rsidRPr="00D636C4">
        <w:rPr>
          <w:rFonts w:ascii="Calibri" w:eastAsia="Calibri" w:hAnsi="Calibri" w:cs="Calibri"/>
        </w:rPr>
        <w:fldChar w:fldCharType="end"/>
      </w:r>
      <w:r w:rsidRPr="00D636C4">
        <w:rPr>
          <w:rFonts w:ascii="Calibri" w:eastAsia="Calibri" w:hAnsi="Calibri" w:cs="Calibri"/>
        </w:rPr>
        <w:t xml:space="preserve"> Une fragmentation importante persiste également entre les systèmes d’information sur les soins, les ressources humaines pour la santé, les procédures d’approvisionnement en intrants et la gestion des finances, ce qui rend </w:t>
      </w:r>
      <w:r>
        <w:rPr>
          <w:rFonts w:ascii="Calibri" w:eastAsia="Calibri" w:hAnsi="Calibri" w:cs="Calibri"/>
        </w:rPr>
        <w:t>impossible</w:t>
      </w:r>
      <w:r w:rsidRPr="00D636C4">
        <w:rPr>
          <w:rFonts w:ascii="Calibri" w:eastAsia="Calibri" w:hAnsi="Calibri" w:cs="Calibri"/>
        </w:rPr>
        <w:t xml:space="preserve"> l'obtention d'une image claire et intégrée du secteur dans son ensemble.</w:t>
      </w:r>
    </w:p>
    <w:p w14:paraId="1D12FA4E" w14:textId="77777777" w:rsidR="006C2DA4" w:rsidRPr="00D636C4" w:rsidRDefault="006C2DA4" w:rsidP="006C2DA4">
      <w:pPr>
        <w:ind w:left="720"/>
        <w:jc w:val="both"/>
        <w:rPr>
          <w:rFonts w:ascii="Calibri" w:eastAsia="Calibri" w:hAnsi="Calibri" w:cs="Calibri"/>
        </w:rPr>
      </w:pPr>
      <w:r w:rsidRPr="00D636C4">
        <w:rPr>
          <w:rFonts w:ascii="Calibri" w:eastAsia="Calibri" w:hAnsi="Calibri" w:cs="Calibri"/>
        </w:rPr>
        <w:t xml:space="preserve"> </w:t>
      </w:r>
    </w:p>
    <w:p w14:paraId="7C1940BF" w14:textId="77777777" w:rsidR="006C2DA4" w:rsidRPr="00D636C4" w:rsidRDefault="006C2DA4" w:rsidP="006C2DA4">
      <w:pPr>
        <w:numPr>
          <w:ilvl w:val="0"/>
          <w:numId w:val="7"/>
        </w:numPr>
        <w:jc w:val="both"/>
        <w:rPr>
          <w:rFonts w:ascii="Times New Roman" w:eastAsia="Times New Roman" w:hAnsi="Times New Roman" w:cs="Times New Roman"/>
        </w:rPr>
      </w:pPr>
      <w:r w:rsidRPr="00D636C4">
        <w:rPr>
          <w:rFonts w:ascii="Calibri" w:eastAsia="Calibri" w:hAnsi="Calibri" w:cs="Calibri"/>
        </w:rPr>
        <w:lastRenderedPageBreak/>
        <w:t>La</w:t>
      </w:r>
      <w:r w:rsidRPr="00D636C4">
        <w:rPr>
          <w:rFonts w:ascii="Calibri" w:eastAsia="Calibri" w:hAnsi="Calibri" w:cs="Calibri"/>
          <w:b/>
        </w:rPr>
        <w:t xml:space="preserve"> gouvernance du secteur</w:t>
      </w:r>
      <w:r w:rsidRPr="00D636C4">
        <w:rPr>
          <w:rFonts w:ascii="Calibri" w:eastAsia="Calibri" w:hAnsi="Calibri" w:cs="Calibri"/>
        </w:rPr>
        <w:t xml:space="preserve"> est généralement insuffi</w:t>
      </w:r>
      <w:r>
        <w:rPr>
          <w:rFonts w:ascii="Calibri" w:eastAsia="Calibri" w:hAnsi="Calibri" w:cs="Calibri"/>
        </w:rPr>
        <w:t xml:space="preserve">sante </w:t>
      </w:r>
      <w:r w:rsidRPr="00D636C4">
        <w:rPr>
          <w:rFonts w:ascii="Calibri" w:eastAsia="Calibri" w:hAnsi="Calibri" w:cs="Calibri"/>
        </w:rPr>
        <w:t xml:space="preserve"> en vue de la faiblesse du cadre législatif et règlementaire et du manque de capacité pour la coordination interne et intersectoriel. Le partage d’information entre le niveau central et périphérique est généralement insuffisant, et l’absence de mécanismes de participation des communautés limite la redevabilité des acteurs du système. Le manque de processus rigoureux d’assurance qualité, de supervision décentralisée et de systèmes d’entretien </w:t>
      </w:r>
      <w:r>
        <w:rPr>
          <w:rFonts w:ascii="Calibri" w:eastAsia="Calibri" w:hAnsi="Calibri" w:cs="Calibri"/>
        </w:rPr>
        <w:t xml:space="preserve">et de maintenance </w:t>
      </w:r>
      <w:r w:rsidRPr="00D636C4">
        <w:rPr>
          <w:rFonts w:ascii="Calibri" w:eastAsia="Calibri" w:hAnsi="Calibri" w:cs="Calibri"/>
        </w:rPr>
        <w:t xml:space="preserve">des infrastructures et équipements nuisent à l’offre de service sur le long terme.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santé","given":"","non-dropping-particle":"","parse-names":false,"suffix":""}],"id":"ITEM-1","issued":{"date-parts":[["2021"]]},"publisher-place":"Nouakchott","title":"Plan National de Développement Sanitaire Volume I : Analyse situationnelle et Plan","type":"article","volume":"I"},"uris":["http://www.mendeley.com/documents/?uuid=df856792-65f3-40a5-8ad8-42456c8dbff3"]}],"mendeley":{"formattedCitation":"[1]","plainTextFormattedCitation":"[1]","previouslyFormattedCitation":"[1]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w:t>
      </w:r>
      <w:r w:rsidR="009904FE" w:rsidRPr="00D636C4">
        <w:rPr>
          <w:rFonts w:ascii="Calibri" w:eastAsia="Calibri" w:hAnsi="Calibri" w:cs="Calibri"/>
        </w:rPr>
        <w:fldChar w:fldCharType="end"/>
      </w:r>
    </w:p>
    <w:p w14:paraId="6FD5EB5A" w14:textId="77777777" w:rsidR="006C2DA4" w:rsidRDefault="006C2DA4" w:rsidP="006C2DA4">
      <w:pPr>
        <w:rPr>
          <w:rFonts w:ascii="Calibri" w:eastAsia="Calibri" w:hAnsi="Calibri" w:cs="Calibri"/>
          <w:b/>
          <w:color w:val="2F5496"/>
          <w:sz w:val="30"/>
          <w:szCs w:val="30"/>
        </w:rPr>
      </w:pPr>
      <w:bookmarkStart w:id="21" w:name="_Toc137847490"/>
      <w:bookmarkStart w:id="22" w:name="_Toc140268438"/>
    </w:p>
    <w:p w14:paraId="7CB2C138" w14:textId="77777777" w:rsidR="006C2DA4" w:rsidRPr="00D636C4" w:rsidRDefault="006C2DA4" w:rsidP="006C2DA4">
      <w:pPr>
        <w:rPr>
          <w:rFonts w:ascii="Calibri" w:eastAsia="Calibri" w:hAnsi="Calibri" w:cs="Calibri"/>
          <w:b/>
          <w:color w:val="2F5496"/>
          <w:sz w:val="30"/>
          <w:szCs w:val="30"/>
        </w:rPr>
      </w:pPr>
      <w:r>
        <w:rPr>
          <w:rFonts w:ascii="Calibri" w:eastAsia="Calibri" w:hAnsi="Calibri" w:cs="Calibri"/>
          <w:b/>
          <w:color w:val="2F5496"/>
          <w:sz w:val="30"/>
          <w:szCs w:val="30"/>
        </w:rPr>
        <w:t>Cha</w:t>
      </w:r>
      <w:r w:rsidRPr="00D636C4">
        <w:rPr>
          <w:rFonts w:ascii="Calibri" w:eastAsia="Calibri" w:hAnsi="Calibri" w:cs="Calibri"/>
          <w:b/>
          <w:color w:val="2F5496"/>
          <w:sz w:val="30"/>
          <w:szCs w:val="30"/>
        </w:rPr>
        <w:t>pitre 3 : Analyse du financement du système de santé</w:t>
      </w:r>
      <w:bookmarkEnd w:id="21"/>
      <w:bookmarkEnd w:id="22"/>
    </w:p>
    <w:p w14:paraId="70AB8657" w14:textId="77777777" w:rsidR="006C2DA4" w:rsidRPr="007D1AF9" w:rsidRDefault="006C2DA4" w:rsidP="006C2DA4">
      <w:pPr>
        <w:pBdr>
          <w:top w:val="single" w:sz="4" w:space="1" w:color="auto"/>
          <w:left w:val="single" w:sz="4" w:space="4" w:color="auto"/>
          <w:bottom w:val="single" w:sz="4" w:space="1" w:color="auto"/>
          <w:right w:val="single" w:sz="4" w:space="4" w:color="auto"/>
        </w:pBdr>
        <w:rPr>
          <w:rFonts w:ascii="Calibri" w:eastAsia="Calibri" w:hAnsi="Calibri" w:cs="Calibri"/>
          <w:b/>
        </w:rPr>
      </w:pPr>
      <w:r w:rsidRPr="007D1AF9">
        <w:rPr>
          <w:rFonts w:ascii="Calibri" w:eastAsia="Calibri" w:hAnsi="Calibri" w:cs="Calibri"/>
          <w:b/>
        </w:rPr>
        <w:t xml:space="preserve">Encadré </w:t>
      </w:r>
      <w:r>
        <w:rPr>
          <w:rFonts w:ascii="Calibri" w:eastAsia="Calibri" w:hAnsi="Calibri" w:cs="Calibri"/>
          <w:b/>
        </w:rPr>
        <w:t>2</w:t>
      </w:r>
      <w:r w:rsidRPr="007D1AF9">
        <w:rPr>
          <w:rFonts w:ascii="Calibri" w:eastAsia="Calibri" w:hAnsi="Calibri" w:cs="Calibri"/>
          <w:b/>
        </w:rPr>
        <w:t xml:space="preserve"> : le financement de la santé vers la CSU</w:t>
      </w:r>
    </w:p>
    <w:p w14:paraId="7F4DA153" w14:textId="77777777" w:rsidR="006C2DA4" w:rsidRPr="007D1AF9" w:rsidRDefault="006C2DA4" w:rsidP="006C2DA4">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7D1AF9">
        <w:rPr>
          <w:rFonts w:ascii="Calibri" w:eastAsia="Calibri" w:hAnsi="Calibri" w:cs="Calibri"/>
        </w:rPr>
        <w:t>Le financement de la santé contribue à travers trois fonctions principales à la CSU  :</w:t>
      </w:r>
    </w:p>
    <w:p w14:paraId="6032F8BE" w14:textId="77777777" w:rsidR="006C2DA4" w:rsidRPr="007D1AF9" w:rsidRDefault="006C2DA4" w:rsidP="006C2DA4">
      <w:pPr>
        <w:numPr>
          <w:ilvl w:val="0"/>
          <w:numId w:val="26"/>
        </w:numPr>
        <w:pBdr>
          <w:top w:val="single" w:sz="4" w:space="1" w:color="auto"/>
          <w:left w:val="single" w:sz="4" w:space="4" w:color="auto"/>
          <w:bottom w:val="single" w:sz="4" w:space="1" w:color="auto"/>
          <w:right w:val="single" w:sz="4" w:space="4" w:color="auto"/>
        </w:pBdr>
        <w:ind w:left="360"/>
        <w:jc w:val="both"/>
        <w:rPr>
          <w:rFonts w:ascii="Calibri" w:eastAsia="Calibri" w:hAnsi="Calibri" w:cs="Calibri"/>
        </w:rPr>
      </w:pPr>
      <w:r w:rsidRPr="007D1AF9">
        <w:rPr>
          <w:rFonts w:ascii="Calibri" w:eastAsia="Calibri" w:hAnsi="Calibri" w:cs="Calibri"/>
          <w:b/>
        </w:rPr>
        <w:t>Mobilisation de fonds</w:t>
      </w:r>
      <w:r w:rsidRPr="007D1AF9">
        <w:rPr>
          <w:rFonts w:ascii="Calibri" w:eastAsia="Calibri" w:hAnsi="Calibri" w:cs="Calibri"/>
        </w:rPr>
        <w:t xml:space="preserve"> : la collecte de recettes (impôts, cotisations d'assurance, paiements directs des ménages, dons ou autres sources) utilisées pour payer la prestation des services de santé devrait principalement être fondée sur des financements publics et s’éloigner des paiements directs des ménages afin d’améliorer la progressivité de la collecte de fonds ;</w:t>
      </w:r>
    </w:p>
    <w:p w14:paraId="1E7D7A26" w14:textId="77777777" w:rsidR="006C2DA4" w:rsidRPr="007D1AF9" w:rsidRDefault="006C2DA4" w:rsidP="006C2DA4">
      <w:pPr>
        <w:numPr>
          <w:ilvl w:val="0"/>
          <w:numId w:val="26"/>
        </w:numPr>
        <w:pBdr>
          <w:top w:val="single" w:sz="4" w:space="1" w:color="auto"/>
          <w:left w:val="single" w:sz="4" w:space="4" w:color="auto"/>
          <w:bottom w:val="single" w:sz="4" w:space="1" w:color="auto"/>
          <w:right w:val="single" w:sz="4" w:space="4" w:color="auto"/>
        </w:pBdr>
        <w:ind w:left="360"/>
        <w:jc w:val="both"/>
        <w:rPr>
          <w:rFonts w:ascii="Calibri" w:eastAsia="Calibri" w:hAnsi="Calibri" w:cs="Calibri"/>
        </w:rPr>
      </w:pPr>
      <w:r w:rsidRPr="007D1AF9">
        <w:rPr>
          <w:rFonts w:ascii="Calibri" w:eastAsia="Calibri" w:hAnsi="Calibri" w:cs="Calibri"/>
          <w:b/>
        </w:rPr>
        <w:t>Mise en commun</w:t>
      </w:r>
      <w:r w:rsidRPr="007D1AF9">
        <w:rPr>
          <w:rFonts w:ascii="Calibri" w:eastAsia="Calibri" w:hAnsi="Calibri" w:cs="Calibri"/>
        </w:rPr>
        <w:t xml:space="preserve"> : accumulation de fonds prépayés (tels que les cotisations de sécurité sociale, les impôts ou primes d'assurance maladie) pour payer les services de santé. Cette mise en commun est primordiale pour le subventionnement entre populations riches et pauvres, malades et en bonne santé ;</w:t>
      </w:r>
    </w:p>
    <w:p w14:paraId="4EC3D793" w14:textId="77777777" w:rsidR="006C2DA4" w:rsidRPr="007D1AF9" w:rsidRDefault="006C2DA4" w:rsidP="006C2DA4">
      <w:pPr>
        <w:numPr>
          <w:ilvl w:val="0"/>
          <w:numId w:val="26"/>
        </w:numPr>
        <w:pBdr>
          <w:top w:val="single" w:sz="4" w:space="1" w:color="auto"/>
          <w:left w:val="single" w:sz="4" w:space="4" w:color="auto"/>
          <w:bottom w:val="single" w:sz="4" w:space="1" w:color="auto"/>
          <w:right w:val="single" w:sz="4" w:space="4" w:color="auto"/>
        </w:pBdr>
        <w:ind w:left="360"/>
        <w:jc w:val="both"/>
        <w:rPr>
          <w:rFonts w:ascii="Calibri" w:eastAsia="Calibri" w:hAnsi="Calibri" w:cs="Calibri"/>
        </w:rPr>
      </w:pPr>
      <w:r w:rsidRPr="007D1AF9">
        <w:rPr>
          <w:rFonts w:ascii="Calibri" w:eastAsia="Calibri" w:hAnsi="Calibri" w:cs="Calibri"/>
          <w:b/>
        </w:rPr>
        <w:t>Allocation des ressources et achats</w:t>
      </w:r>
      <w:r w:rsidRPr="007D1AF9">
        <w:rPr>
          <w:rFonts w:ascii="Calibri" w:eastAsia="Calibri" w:hAnsi="Calibri" w:cs="Calibri"/>
        </w:rPr>
        <w:t xml:space="preserve"> : les mécanismes par lesquels les fonds mobilisés et mutualisés sont transférés aux prestataires de services de santé. L'achat comporte trois éléments : la spécification des services achetés (ou panier de soins), l’identification des prestataires éligibles pour fournir ces services, et la définition de l’ensemble des dispositions à travers desquelles les prestataires sont engagés pour fournir les services (modalités d’accréditations, contractuelles, et de paiement).</w:t>
      </w:r>
    </w:p>
    <w:p w14:paraId="4A31FF17" w14:textId="77777777" w:rsidR="006C2DA4" w:rsidRDefault="006C2DA4" w:rsidP="006C2DA4">
      <w:pPr>
        <w:jc w:val="both"/>
        <w:rPr>
          <w:rFonts w:ascii="Calibri" w:eastAsia="Calibri" w:hAnsi="Calibri" w:cs="Calibri"/>
        </w:rPr>
      </w:pPr>
    </w:p>
    <w:p w14:paraId="7B13E347" w14:textId="77777777" w:rsidR="006C2DA4" w:rsidRDefault="006C2DA4" w:rsidP="006C2DA4">
      <w:pPr>
        <w:jc w:val="both"/>
        <w:rPr>
          <w:rFonts w:ascii="Calibri" w:eastAsia="Calibri" w:hAnsi="Calibri" w:cs="Calibri"/>
        </w:rPr>
      </w:pPr>
      <w:r w:rsidRPr="00D636C4">
        <w:rPr>
          <w:rFonts w:ascii="Calibri" w:eastAsia="Calibri" w:hAnsi="Calibri" w:cs="Calibri"/>
        </w:rPr>
        <w:t xml:space="preserve">Ce chapitre met en exergue les constats principaux ayant attraits aux trois fonctions du financement de la santé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{"citationItems":[{"id":"ITEM-1","itemData":{"ISBN":"9789242510119","ISSN":"09601481","abstract":"Computer simulation and analysis of a ground source heat pump system with horizontal ground heat exchangers operating in heating (max 5.5 kW) and cooling (max 3.3 kW) mode was carried out for a typical residential house, with 200 m 2 of living space, located in Sapporo (Japan). In spite of high electricity rate, the ground source heat pump system is more beneficial alternative for space heating than an oil furnace and an electric resistance system. Besides, the heat pump technology offers relatively low thermal degradation of the ground environment, lower cost of heating and cooling, higher operating efficiency than electric resistance heating or air-source heat pump and is environmentally clean, i.e. without greenhouse gas emission, if the electricity is generated from renewable energy resources, such as wind and solar. The use of the cooling mode can provide further benefits like a shorter investment payback and human thermal comfort in summer. As a result, application of horizontal loops for new and retrofit residential and commercial use in northern Japan is feasible particularly in farmland areas. Crown Copyright © 2008.","author":[{"dropping-particle":"","family":"Mcintyre","given":"Diane","non-dropping-particle":"","parse-names":false,"suffix":""},{"dropping-particle":"","family":"Kutzin","given":"Joseph","non-dropping-particle":"","parse-names":false,"suffix":""}],"id":"ITEM-1","issued":{"date-parts":[["2017"]]},"number-of-pages":"64","title":"Diagnostic pour le financement de la santé : les bases de l’élaboration d’une stratégie nationale","type":"book"},"uris":["http://www.mendeley.com/documents/?uuid=b05d4aed-d5d6-40da-95dc-e556da0cc953"]}],"mendeley":{"formattedCitation":"[20]","plainTextFormattedCitation":"[20]","previouslyFormattedCitation":"[20]"},"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[20]</w:t>
      </w:r>
      <w:r w:rsidR="009904FE" w:rsidRPr="00D636C4">
        <w:rPr>
          <w:rFonts w:ascii="Calibri" w:eastAsia="Calibri" w:hAnsi="Calibri" w:cs="Calibri"/>
        </w:rPr>
        <w:fldChar w:fldCharType="end"/>
      </w:r>
      <w:r w:rsidRPr="00D636C4">
        <w:rPr>
          <w:rFonts w:ascii="Calibri" w:eastAsia="Calibri" w:hAnsi="Calibri" w:cs="Calibri"/>
        </w:rPr>
        <w:t xml:space="preserve">: la mobilisation des ressources (soit comment les fonds sont collectés pour financer la santé), la mutualisation de ces ressources (soit la mise en commun des ressources récoltées, et des risques associés), et enfin la fonction achat (soit la façon dont </w:t>
      </w:r>
      <w:r>
        <w:rPr>
          <w:rFonts w:ascii="Calibri" w:eastAsia="Calibri" w:hAnsi="Calibri" w:cs="Calibri"/>
        </w:rPr>
        <w:t>ce</w:t>
      </w:r>
      <w:r w:rsidRPr="00D636C4">
        <w:rPr>
          <w:rFonts w:ascii="Calibri" w:eastAsia="Calibri" w:hAnsi="Calibri" w:cs="Calibri"/>
        </w:rPr>
        <w:t>s ressources mises en commun sont utilisées pour acheter les services de santé).</w:t>
      </w:r>
    </w:p>
    <w:p w14:paraId="45031766" w14:textId="77777777" w:rsidR="006C2DA4" w:rsidRDefault="006C2DA4" w:rsidP="006C2DA4">
      <w:pPr>
        <w:jc w:val="both"/>
        <w:rPr>
          <w:rFonts w:ascii="Calibri" w:eastAsia="Calibri" w:hAnsi="Calibri" w:cs="Calibri"/>
        </w:rPr>
      </w:pPr>
    </w:p>
    <w:p w14:paraId="22A58098" w14:textId="77777777" w:rsidR="006C2DA4" w:rsidRPr="007D1AF9" w:rsidRDefault="006C2DA4" w:rsidP="006C2DA4">
      <w:pPr>
        <w:pBdr>
          <w:top w:val="single" w:sz="4" w:space="1" w:color="auto"/>
          <w:left w:val="single" w:sz="4" w:space="4" w:color="auto"/>
          <w:bottom w:val="single" w:sz="4" w:space="1" w:color="auto"/>
          <w:right w:val="single" w:sz="4" w:space="4" w:color="auto"/>
        </w:pBdr>
        <w:jc w:val="both"/>
        <w:rPr>
          <w:rFonts w:ascii="Calibri" w:eastAsia="Calibri" w:hAnsi="Calibri" w:cs="Calibri"/>
          <w:b/>
        </w:rPr>
      </w:pPr>
      <w:r>
        <w:rPr>
          <w:rFonts w:ascii="Calibri" w:eastAsia="Calibri" w:hAnsi="Calibri" w:cs="Calibri"/>
          <w:b/>
        </w:rPr>
        <w:t xml:space="preserve">Encadre 3 : </w:t>
      </w:r>
      <w:r w:rsidRPr="007D1AF9">
        <w:rPr>
          <w:rFonts w:ascii="Calibri" w:eastAsia="Calibri" w:hAnsi="Calibri" w:cs="Calibri"/>
          <w:b/>
        </w:rPr>
        <w:t>Messages clefs</w:t>
      </w:r>
      <w:r>
        <w:rPr>
          <w:rFonts w:ascii="Calibri" w:eastAsia="Calibri" w:hAnsi="Calibri" w:cs="Calibri"/>
          <w:b/>
        </w:rPr>
        <w:t xml:space="preserve"> de l’analyse du financement de la santé en Mauritanie</w:t>
      </w:r>
    </w:p>
    <w:p w14:paraId="42430735" w14:textId="77777777" w:rsidR="006C2DA4" w:rsidRPr="002C32EE" w:rsidRDefault="006C2DA4" w:rsidP="006C2DA4">
      <w:pPr>
        <w:numPr>
          <w:ilvl w:val="0"/>
          <w:numId w:val="25"/>
        </w:numPr>
        <w:pBdr>
          <w:top w:val="single" w:sz="4" w:space="1" w:color="auto"/>
          <w:left w:val="single" w:sz="4" w:space="4" w:color="auto"/>
          <w:bottom w:val="single" w:sz="4" w:space="1" w:color="auto"/>
          <w:right w:val="single" w:sz="4" w:space="4" w:color="auto"/>
        </w:pBdr>
        <w:jc w:val="both"/>
        <w:rPr>
          <w:rFonts w:ascii="Calibri" w:eastAsia="Calibri" w:hAnsi="Calibri" w:cs="Calibri"/>
          <w:bCs/>
        </w:rPr>
      </w:pPr>
      <w:r w:rsidRPr="002C32EE">
        <w:rPr>
          <w:rFonts w:ascii="Calibri" w:eastAsia="Calibri" w:hAnsi="Calibri" w:cs="Calibri"/>
          <w:bCs/>
        </w:rPr>
        <w:t>Insuffisance dans l’allocation budgétaire au secteur de la santé</w:t>
      </w:r>
      <w:r>
        <w:rPr>
          <w:rFonts w:ascii="Calibri" w:eastAsia="Calibri" w:hAnsi="Calibri" w:cs="Calibri"/>
          <w:bCs/>
        </w:rPr>
        <w:t> ;</w:t>
      </w:r>
    </w:p>
    <w:p w14:paraId="20785ABE" w14:textId="77777777" w:rsidR="006C2DA4" w:rsidRPr="002C32EE" w:rsidRDefault="006C2DA4" w:rsidP="006C2DA4">
      <w:pPr>
        <w:numPr>
          <w:ilvl w:val="0"/>
          <w:numId w:val="25"/>
        </w:numPr>
        <w:pBdr>
          <w:top w:val="single" w:sz="4" w:space="1" w:color="auto"/>
          <w:left w:val="single" w:sz="4" w:space="4" w:color="auto"/>
          <w:bottom w:val="single" w:sz="4" w:space="1" w:color="auto"/>
          <w:right w:val="single" w:sz="4" w:space="4" w:color="auto"/>
        </w:pBdr>
        <w:jc w:val="both"/>
        <w:rPr>
          <w:rFonts w:ascii="Calibri" w:eastAsia="Calibri" w:hAnsi="Calibri" w:cs="Calibri"/>
          <w:bCs/>
        </w:rPr>
      </w:pPr>
      <w:r w:rsidRPr="002C32EE">
        <w:rPr>
          <w:rFonts w:ascii="Calibri" w:eastAsia="Calibri" w:hAnsi="Calibri" w:cs="Calibri"/>
          <w:bCs/>
        </w:rPr>
        <w:t>Les ménages soutiennent de façon excessive la santé</w:t>
      </w:r>
      <w:r>
        <w:rPr>
          <w:rFonts w:ascii="Calibri" w:eastAsia="Calibri" w:hAnsi="Calibri" w:cs="Calibri"/>
          <w:bCs/>
        </w:rPr>
        <w:t> ;</w:t>
      </w:r>
    </w:p>
    <w:p w14:paraId="443DE05F" w14:textId="77777777" w:rsidR="006C2DA4" w:rsidRPr="002C32EE" w:rsidRDefault="006C2DA4" w:rsidP="006C2DA4">
      <w:pPr>
        <w:numPr>
          <w:ilvl w:val="0"/>
          <w:numId w:val="25"/>
        </w:numPr>
        <w:pBdr>
          <w:top w:val="single" w:sz="4" w:space="1" w:color="auto"/>
          <w:left w:val="single" w:sz="4" w:space="4" w:color="auto"/>
          <w:bottom w:val="single" w:sz="4" w:space="1" w:color="auto"/>
          <w:right w:val="single" w:sz="4" w:space="4" w:color="auto"/>
        </w:pBdr>
        <w:jc w:val="both"/>
        <w:rPr>
          <w:rFonts w:ascii="Calibri" w:eastAsia="Calibri" w:hAnsi="Calibri" w:cs="Calibri"/>
          <w:bCs/>
        </w:rPr>
      </w:pPr>
      <w:r w:rsidRPr="002C32EE">
        <w:rPr>
          <w:rFonts w:ascii="Calibri" w:eastAsia="Calibri" w:hAnsi="Calibri" w:cs="Calibri"/>
          <w:bCs/>
        </w:rPr>
        <w:t>Fragmentation des financements du secteur santé</w:t>
      </w:r>
      <w:r>
        <w:rPr>
          <w:rFonts w:ascii="Calibri" w:eastAsia="Calibri" w:hAnsi="Calibri" w:cs="Calibri"/>
          <w:bCs/>
        </w:rPr>
        <w:t> ;</w:t>
      </w:r>
    </w:p>
    <w:p w14:paraId="14D582F1" w14:textId="77777777" w:rsidR="006C2DA4" w:rsidRPr="002C32EE" w:rsidRDefault="006C2DA4" w:rsidP="006C2DA4">
      <w:pPr>
        <w:numPr>
          <w:ilvl w:val="0"/>
          <w:numId w:val="25"/>
        </w:numPr>
        <w:pBdr>
          <w:top w:val="single" w:sz="4" w:space="1" w:color="auto"/>
          <w:left w:val="single" w:sz="4" w:space="4" w:color="auto"/>
          <w:bottom w:val="single" w:sz="4" w:space="1" w:color="auto"/>
          <w:right w:val="single" w:sz="4" w:space="4" w:color="auto"/>
        </w:pBdr>
        <w:jc w:val="both"/>
        <w:rPr>
          <w:rFonts w:ascii="Calibri" w:eastAsia="Calibri" w:hAnsi="Calibri" w:cs="Calibri"/>
          <w:bCs/>
        </w:rPr>
      </w:pPr>
      <w:r w:rsidRPr="002C32EE">
        <w:rPr>
          <w:rFonts w:ascii="Calibri" w:eastAsia="Calibri" w:hAnsi="Calibri" w:cs="Calibri"/>
          <w:bCs/>
        </w:rPr>
        <w:t>Nécessité d’augmenter les recettes fiscales progressives</w:t>
      </w:r>
      <w:r>
        <w:rPr>
          <w:rFonts w:ascii="Calibri" w:eastAsia="Calibri" w:hAnsi="Calibri" w:cs="Calibri"/>
          <w:bCs/>
        </w:rPr>
        <w:t> ;</w:t>
      </w:r>
    </w:p>
    <w:p w14:paraId="5E0D16A4" w14:textId="77777777" w:rsidR="006C2DA4" w:rsidRPr="002C32EE" w:rsidRDefault="006C2DA4" w:rsidP="006C2DA4">
      <w:pPr>
        <w:numPr>
          <w:ilvl w:val="0"/>
          <w:numId w:val="25"/>
        </w:numPr>
        <w:pBdr>
          <w:top w:val="single" w:sz="4" w:space="1" w:color="auto"/>
          <w:left w:val="single" w:sz="4" w:space="4" w:color="auto"/>
          <w:bottom w:val="single" w:sz="4" w:space="1" w:color="auto"/>
          <w:right w:val="single" w:sz="4" w:space="4" w:color="auto"/>
        </w:pBdr>
        <w:jc w:val="both"/>
        <w:rPr>
          <w:rFonts w:ascii="Calibri" w:eastAsia="Calibri" w:hAnsi="Calibri" w:cs="Calibri"/>
          <w:bCs/>
        </w:rPr>
      </w:pPr>
      <w:r w:rsidRPr="002C32EE">
        <w:rPr>
          <w:rFonts w:ascii="Calibri" w:eastAsia="Calibri" w:hAnsi="Calibri" w:cs="Calibri"/>
          <w:bCs/>
        </w:rPr>
        <w:t>Nécessité d'améliorer l'efficience des dépenses</w:t>
      </w:r>
      <w:r>
        <w:rPr>
          <w:rFonts w:ascii="Calibri" w:eastAsia="Calibri" w:hAnsi="Calibri" w:cs="Calibri"/>
          <w:bCs/>
        </w:rPr>
        <w:t> ;</w:t>
      </w:r>
    </w:p>
    <w:p w14:paraId="372A692C" w14:textId="77777777" w:rsidR="006C2DA4" w:rsidRPr="002C32EE" w:rsidRDefault="006C2DA4" w:rsidP="006C2DA4">
      <w:pPr>
        <w:numPr>
          <w:ilvl w:val="0"/>
          <w:numId w:val="25"/>
        </w:numPr>
        <w:pBdr>
          <w:top w:val="single" w:sz="4" w:space="1" w:color="auto"/>
          <w:left w:val="single" w:sz="4" w:space="4" w:color="auto"/>
          <w:bottom w:val="single" w:sz="4" w:space="1" w:color="auto"/>
          <w:right w:val="single" w:sz="4" w:space="4" w:color="auto"/>
        </w:pBdr>
        <w:jc w:val="both"/>
        <w:rPr>
          <w:rFonts w:ascii="Calibri" w:eastAsia="Calibri" w:hAnsi="Calibri" w:cs="Calibri"/>
          <w:bCs/>
        </w:rPr>
      </w:pPr>
      <w:r w:rsidRPr="002C32EE">
        <w:rPr>
          <w:rFonts w:ascii="Calibri" w:eastAsia="Calibri" w:hAnsi="Calibri" w:cs="Calibri"/>
          <w:bCs/>
        </w:rPr>
        <w:t>Nécessité d'œuvrer à l’harmonisation des pools existants</w:t>
      </w:r>
      <w:r>
        <w:rPr>
          <w:rFonts w:ascii="Calibri" w:eastAsia="Calibri" w:hAnsi="Calibri" w:cs="Calibri"/>
          <w:bCs/>
        </w:rPr>
        <w:t xml:space="preserve"> (assuranciels, budget de l’état et PTFs) ;</w:t>
      </w:r>
    </w:p>
    <w:p w14:paraId="71117D6C" w14:textId="77777777" w:rsidR="006C2DA4" w:rsidRPr="002C32EE" w:rsidRDefault="006C2DA4" w:rsidP="006C2DA4">
      <w:pPr>
        <w:numPr>
          <w:ilvl w:val="0"/>
          <w:numId w:val="25"/>
        </w:numPr>
        <w:pBdr>
          <w:top w:val="single" w:sz="4" w:space="1" w:color="auto"/>
          <w:left w:val="single" w:sz="4" w:space="4" w:color="auto"/>
          <w:bottom w:val="single" w:sz="4" w:space="1" w:color="auto"/>
          <w:right w:val="single" w:sz="4" w:space="4" w:color="auto"/>
        </w:pBdr>
        <w:jc w:val="both"/>
        <w:rPr>
          <w:rFonts w:ascii="Calibri" w:eastAsia="Calibri" w:hAnsi="Calibri" w:cs="Calibri"/>
          <w:bCs/>
        </w:rPr>
      </w:pPr>
      <w:r w:rsidRPr="002C32EE">
        <w:rPr>
          <w:rFonts w:ascii="Calibri" w:eastAsia="Calibri" w:hAnsi="Calibri" w:cs="Calibri"/>
          <w:bCs/>
        </w:rPr>
        <w:t>Nécessité d'œuvrer vers un alignement des paiements aux prestataires de soins pour un achat plus stratégique</w:t>
      </w:r>
      <w:r>
        <w:rPr>
          <w:rFonts w:ascii="Calibri" w:eastAsia="Calibri" w:hAnsi="Calibri" w:cs="Calibri"/>
          <w:bCs/>
        </w:rPr>
        <w:t> ;</w:t>
      </w:r>
    </w:p>
    <w:p w14:paraId="47057A2A" w14:textId="6BE6DBED" w:rsidR="006C2DA4" w:rsidRPr="002C32EE" w:rsidRDefault="006C2DA4" w:rsidP="006C2DA4">
      <w:pPr>
        <w:numPr>
          <w:ilvl w:val="0"/>
          <w:numId w:val="25"/>
        </w:numPr>
        <w:pBdr>
          <w:top w:val="single" w:sz="4" w:space="1" w:color="auto"/>
          <w:left w:val="single" w:sz="4" w:space="4" w:color="auto"/>
          <w:bottom w:val="single" w:sz="4" w:space="1" w:color="auto"/>
          <w:right w:val="single" w:sz="4" w:space="4" w:color="auto"/>
        </w:pBdr>
        <w:jc w:val="both"/>
        <w:rPr>
          <w:rFonts w:ascii="Calibri" w:eastAsia="Calibri" w:hAnsi="Calibri" w:cs="Calibri"/>
          <w:bCs/>
        </w:rPr>
      </w:pPr>
      <w:r w:rsidRPr="002C32EE">
        <w:rPr>
          <w:rFonts w:ascii="Calibri" w:eastAsia="Calibri" w:hAnsi="Calibri" w:cs="Calibri"/>
          <w:bCs/>
        </w:rPr>
        <w:lastRenderedPageBreak/>
        <w:t>Nécessité de renforcement et de réforme de la GFP (Approche Budget-</w:t>
      </w:r>
      <w:r w:rsidR="00DE51AE" w:rsidRPr="002C32EE">
        <w:rPr>
          <w:rFonts w:ascii="Calibri" w:eastAsia="Calibri" w:hAnsi="Calibri" w:cs="Calibri"/>
          <w:bCs/>
        </w:rPr>
        <w:t>Programme, Transparence</w:t>
      </w:r>
      <w:r w:rsidRPr="002C32EE">
        <w:rPr>
          <w:rFonts w:ascii="Calibri" w:eastAsia="Calibri" w:hAnsi="Calibri" w:cs="Calibri"/>
          <w:bCs/>
        </w:rPr>
        <w:t xml:space="preserve"> budgétaire</w:t>
      </w:r>
      <w:r>
        <w:rPr>
          <w:rFonts w:ascii="Calibri" w:eastAsia="Calibri" w:hAnsi="Calibri" w:cs="Calibri"/>
          <w:bCs/>
        </w:rPr>
        <w:t>).</w:t>
      </w:r>
    </w:p>
    <w:p w14:paraId="382C86AF" w14:textId="77777777" w:rsidR="006C2DA4" w:rsidRPr="00D636C4" w:rsidRDefault="006C2DA4" w:rsidP="006C2DA4">
      <w:pPr>
        <w:jc w:val="both"/>
        <w:rPr>
          <w:rFonts w:ascii="Calibri" w:eastAsia="Calibri" w:hAnsi="Calibri" w:cs="Calibri"/>
        </w:rPr>
      </w:pPr>
    </w:p>
    <w:p w14:paraId="1F37B0DB" w14:textId="77777777" w:rsidR="006C2DA4" w:rsidRPr="0016798D" w:rsidRDefault="006C2DA4" w:rsidP="006C2DA4">
      <w:pPr>
        <w:pStyle w:val="Heading2"/>
        <w:keepNext w:val="0"/>
        <w:keepLines w:val="0"/>
        <w:spacing w:after="80"/>
        <w:rPr>
          <w:rFonts w:ascii="Calibri" w:eastAsia="Calibri" w:hAnsi="Calibri" w:cs="Calibri"/>
          <w:b/>
          <w:sz w:val="22"/>
          <w:szCs w:val="22"/>
        </w:rPr>
      </w:pPr>
      <w:bookmarkStart w:id="23" w:name="_Toc137847491"/>
      <w:bookmarkStart w:id="24" w:name="_Toc140268439"/>
      <w:r w:rsidRPr="00D636C4">
        <w:rPr>
          <w:rFonts w:ascii="Calibri" w:eastAsia="Calibri" w:hAnsi="Calibri" w:cs="Calibri"/>
          <w:b/>
          <w:sz w:val="22"/>
          <w:szCs w:val="22"/>
        </w:rPr>
        <w:t>3.1. Mobilisation des ressources</w:t>
      </w:r>
      <w:bookmarkEnd w:id="23"/>
      <w:bookmarkEnd w:id="24"/>
    </w:p>
    <w:p w14:paraId="36888DC3" w14:textId="77777777" w:rsidR="006C2DA4" w:rsidRDefault="006C2DA4" w:rsidP="006C2DA4">
      <w:pPr>
        <w:jc w:val="both"/>
        <w:rPr>
          <w:rFonts w:ascii="Calibri" w:eastAsia="Calibri" w:hAnsi="Calibri" w:cs="Calibri"/>
        </w:rPr>
      </w:pPr>
      <w:r w:rsidRPr="00D636C4">
        <w:rPr>
          <w:rFonts w:ascii="Calibri" w:eastAsia="Calibri" w:hAnsi="Calibri" w:cs="Calibri"/>
          <w:b/>
        </w:rPr>
        <w:t>Les Dépenses Courantes de Santé (DCS) annuelles par habitant sont insuffi</w:t>
      </w:r>
      <w:r>
        <w:rPr>
          <w:rFonts w:ascii="Calibri" w:eastAsia="Calibri" w:hAnsi="Calibri" w:cs="Calibri"/>
          <w:b/>
        </w:rPr>
        <w:t>sante</w:t>
      </w:r>
      <w:r w:rsidRPr="00D636C4">
        <w:rPr>
          <w:rFonts w:ascii="Calibri" w:eastAsia="Calibri" w:hAnsi="Calibri" w:cs="Calibri"/>
          <w:b/>
        </w:rPr>
        <w:t>s.</w:t>
      </w:r>
      <w:r w:rsidRPr="00D636C4">
        <w:rPr>
          <w:rFonts w:ascii="Calibri" w:eastAsia="Calibri" w:hAnsi="Calibri" w:cs="Calibri"/>
        </w:rPr>
        <w:t xml:space="preserve"> En 202</w:t>
      </w:r>
      <w:r>
        <w:rPr>
          <w:rFonts w:ascii="Calibri" w:eastAsia="Calibri" w:hAnsi="Calibri" w:cs="Calibri"/>
        </w:rPr>
        <w:t>1</w:t>
      </w:r>
      <w:r w:rsidRPr="00D636C4">
        <w:rPr>
          <w:rFonts w:ascii="Calibri" w:eastAsia="Calibri" w:hAnsi="Calibri" w:cs="Calibri"/>
        </w:rPr>
        <w:t xml:space="preserve">, elles étaient de </w:t>
      </w:r>
      <w:r>
        <w:rPr>
          <w:rFonts w:ascii="Calibri" w:eastAsia="Calibri" w:hAnsi="Calibri" w:cs="Calibri"/>
        </w:rPr>
        <w:t>2.718 milliards MRU</w:t>
      </w:r>
      <w:r w:rsidRPr="00D636C4">
        <w:rPr>
          <w:rFonts w:ascii="Calibri" w:eastAsia="Calibri" w:hAnsi="Calibri" w:cs="Calibri"/>
        </w:rPr>
        <w:t>, soit 3.</w:t>
      </w:r>
      <w:r>
        <w:rPr>
          <w:rFonts w:ascii="Calibri" w:eastAsia="Calibri" w:hAnsi="Calibri" w:cs="Calibri"/>
        </w:rPr>
        <w:t>9</w:t>
      </w:r>
      <w:r w:rsidRPr="00D636C4">
        <w:rPr>
          <w:rFonts w:ascii="Calibri" w:eastAsia="Calibri" w:hAnsi="Calibri" w:cs="Calibri"/>
        </w:rPr>
        <w:t xml:space="preserve">% du PIB (voir </w:t>
      </w:r>
      <w:r>
        <w:rPr>
          <w:rFonts w:ascii="Calibri" w:eastAsia="Calibri" w:hAnsi="Calibri" w:cs="Calibri"/>
        </w:rPr>
        <w:t>Tableau 2</w:t>
      </w:r>
      <w:r w:rsidRPr="00D636C4">
        <w:rPr>
          <w:rFonts w:ascii="Calibri" w:eastAsia="Calibri" w:hAnsi="Calibri" w:cs="Calibri"/>
        </w:rPr>
        <w:t xml:space="preserve"> ci-dessous). Ces chiffres restent nettement inférieurs aux nombreux seuils internationaux proposés dans la littérature, qui recommandent par exemple aux pays à revenu intermédiaire de la tranche inférieure, tels que la Mauritanie, de dépenser $146 US par habitant</w:t>
      </w:r>
      <w:r>
        <w:rPr>
          <w:rFonts w:ascii="Calibri" w:eastAsia="Calibri" w:hAnsi="Calibri" w:cs="Calibri"/>
        </w:rPr>
        <w:t xml:space="preserve"> </w:t>
      </w:r>
      <w:r w:rsidRPr="00D636C4">
        <w:rPr>
          <w:rFonts w:ascii="Calibri" w:eastAsia="Calibri" w:hAnsi="Calibri" w:cs="Calibri"/>
        </w:rPr>
        <w:t>et par an afin d’atteindre l’ODD 3 à l’horizon 2030</w:t>
      </w:r>
      <w:r>
        <w:rPr>
          <w:rFonts w:ascii="Calibri" w:eastAsia="Calibri" w:hAnsi="Calibri" w:cs="Calibri"/>
        </w:rPr>
        <w:t>, soit le double de ce que dépense la Mauritanie.</w:t>
      </w:r>
      <w:r w:rsidRPr="00D636C4">
        <w:rPr>
          <w:rFonts w:ascii="Calibri" w:eastAsia="Calibri" w:hAnsi="Calibri" w:cs="Calibri"/>
        </w:rPr>
        <w:t xml:space="preserve"> </w:t>
      </w:r>
    </w:p>
    <w:p w14:paraId="2FB34144" w14:textId="77777777" w:rsidR="006C2DA4" w:rsidRPr="00D636C4" w:rsidRDefault="006C2DA4" w:rsidP="006C2DA4">
      <w:pPr>
        <w:rPr>
          <w:rFonts w:ascii="Calibri" w:eastAsia="Calibri" w:hAnsi="Calibri" w:cs="Calibri"/>
          <w:b/>
        </w:rPr>
      </w:pPr>
    </w:p>
    <w:p w14:paraId="0ADB95DD" w14:textId="77777777" w:rsidR="006C2DA4" w:rsidRDefault="006C2DA4" w:rsidP="006C2DA4">
      <w:pPr>
        <w:ind w:right="720"/>
        <w:rPr>
          <w:rFonts w:ascii="Calibri" w:eastAsia="Calibri" w:hAnsi="Calibri" w:cs="Calibri"/>
        </w:rPr>
      </w:pPr>
      <w:r>
        <w:rPr>
          <w:rFonts w:ascii="Calibri" w:eastAsia="Calibri" w:hAnsi="Calibri" w:cs="Calibri"/>
          <w:b/>
        </w:rPr>
        <w:t>Tableau 2</w:t>
      </w:r>
      <w:r w:rsidRPr="00D636C4">
        <w:rPr>
          <w:rFonts w:ascii="Calibri" w:eastAsia="Calibri" w:hAnsi="Calibri" w:cs="Calibri"/>
          <w:b/>
        </w:rPr>
        <w:t xml:space="preserve"> :</w:t>
      </w:r>
      <w:r w:rsidRPr="00D636C4">
        <w:rPr>
          <w:rFonts w:ascii="Calibri" w:eastAsia="Calibri" w:hAnsi="Calibri" w:cs="Calibri"/>
        </w:rPr>
        <w:t xml:space="preserve"> Dépenses de santé (DCS) par habitant en </w:t>
      </w:r>
      <w:r>
        <w:rPr>
          <w:rFonts w:ascii="Calibri" w:eastAsia="Calibri" w:hAnsi="Calibri" w:cs="Calibri"/>
        </w:rPr>
        <w:t>MRU</w:t>
      </w:r>
      <w:r w:rsidRPr="00D636C4">
        <w:rPr>
          <w:rFonts w:ascii="Calibri" w:eastAsia="Calibri" w:hAnsi="Calibri" w:cs="Calibri"/>
        </w:rPr>
        <w:t xml:space="preserve"> en Mauritanie (</w:t>
      </w:r>
      <w:r>
        <w:rPr>
          <w:rFonts w:ascii="Calibri" w:eastAsia="Calibri" w:hAnsi="Calibri" w:cs="Calibri"/>
        </w:rPr>
        <w:t>2016-2021</w:t>
      </w:r>
      <w:r w:rsidRPr="00D636C4">
        <w:rPr>
          <w:rFonts w:ascii="Calibri" w:eastAsia="Calibri" w:hAnsi="Calibri" w:cs="Calibri"/>
        </w:rPr>
        <w:t>)</w:t>
      </w:r>
    </w:p>
    <w:p w14:paraId="2510EFB1" w14:textId="77777777" w:rsidR="006C2DA4" w:rsidRDefault="006C2DA4" w:rsidP="006C2DA4">
      <w:pPr>
        <w:ind w:left="720" w:right="720"/>
        <w:jc w:val="center"/>
        <w:rPr>
          <w:rFonts w:ascii="Calibri" w:eastAsia="Calibri" w:hAnsi="Calibri" w:cs="Calibri"/>
        </w:rPr>
      </w:pPr>
    </w:p>
    <w:p w14:paraId="15C819D1" w14:textId="77777777" w:rsidR="006C2DA4" w:rsidRDefault="006C2DA4" w:rsidP="006C2DA4">
      <w:pPr>
        <w:ind w:left="90" w:right="720"/>
        <w:jc w:val="center"/>
        <w:rPr>
          <w:rFonts w:ascii="Calibri" w:eastAsia="Calibri" w:hAnsi="Calibri" w:cs="Calibri"/>
        </w:rPr>
      </w:pPr>
      <w:r>
        <w:rPr>
          <w:noProof/>
          <w:lang w:eastAsia="fr-FR"/>
        </w:rPr>
        <w:drawing>
          <wp:inline distT="0" distB="0" distL="0" distR="0" wp14:anchorId="0956A835" wp14:editId="5C7FBD5D">
            <wp:extent cx="5943600" cy="2704465"/>
            <wp:effectExtent l="0" t="0" r="0" b="635"/>
            <wp:docPr id="6"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2995" name="Picture 1" descr="A table with numbers and text&#10;&#10;Description automatically generated"/>
                    <pic:cNvPicPr/>
                  </pic:nvPicPr>
                  <pic:blipFill>
                    <a:blip r:embed="rId17" cstate="print"/>
                    <a:stretch>
                      <a:fillRect/>
                    </a:stretch>
                  </pic:blipFill>
                  <pic:spPr>
                    <a:xfrm>
                      <a:off x="0" y="0"/>
                      <a:ext cx="5943600" cy="2704465"/>
                    </a:xfrm>
                    <a:prstGeom prst="rect">
                      <a:avLst/>
                    </a:prstGeom>
                  </pic:spPr>
                </pic:pic>
              </a:graphicData>
            </a:graphic>
          </wp:inline>
        </w:drawing>
      </w:r>
    </w:p>
    <w:p w14:paraId="38932976" w14:textId="77777777" w:rsidR="006C2DA4" w:rsidRPr="00E6730B" w:rsidRDefault="006C2DA4" w:rsidP="006C2DA4">
      <w:pPr>
        <w:ind w:right="720"/>
        <w:rPr>
          <w:rFonts w:ascii="Calibri" w:eastAsia="Calibri" w:hAnsi="Calibri" w:cs="Calibri"/>
          <w:sz w:val="20"/>
          <w:szCs w:val="20"/>
        </w:rPr>
      </w:pPr>
      <w:r w:rsidRPr="00E6730B">
        <w:rPr>
          <w:rFonts w:ascii="Calibri" w:eastAsia="Calibri" w:hAnsi="Calibri" w:cs="Calibri"/>
          <w:sz w:val="20"/>
          <w:szCs w:val="20"/>
        </w:rPr>
        <w:t xml:space="preserve">Source : Ministère de la Santé (2023), Comptes Nationaux de la Santé 2018-2021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https://apps.who.int/nha/database","author":[{"dropping-particle":"","family":"WHO","given":"","non-dropping-particle":"","parse-names":false,"suffix":""}],"container-title":"https://apps.who.int/nha/database","id":"ITEM-1","issued":{"date-parts":[["2022"]]},"title":"WHO Global Health Expenditure Database (GHED) Update 2022","type":"webpage"},"uris":["http://www.mendeley.com/documents/?uuid=ede3eb76-7ebc-4e7d-98a5-f243982d6eb0"]}],"mendeley":{"formattedCitation":"[21]","plainTextFormattedCitation":"[21]","previouslyFormattedCitation":"[21]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w:t>
      </w:r>
      <w:r>
        <w:rPr>
          <w:rFonts w:ascii="Calibri" w:eastAsia="Calibri" w:hAnsi="Calibri" w:cs="Calibri"/>
          <w:noProof/>
        </w:rPr>
        <w:t>33</w:t>
      </w:r>
      <w:r w:rsidRPr="00D636C4">
        <w:rPr>
          <w:rFonts w:ascii="Calibri" w:eastAsia="Calibri" w:hAnsi="Calibri" w:cs="Calibri"/>
          <w:noProof/>
        </w:rPr>
        <w:t>]</w:t>
      </w:r>
      <w:r w:rsidR="009904FE" w:rsidRPr="00D636C4">
        <w:rPr>
          <w:rFonts w:ascii="Calibri" w:eastAsia="Calibri" w:hAnsi="Calibri" w:cs="Calibri"/>
        </w:rPr>
        <w:fldChar w:fldCharType="end"/>
      </w:r>
    </w:p>
    <w:p w14:paraId="00AA7919" w14:textId="77777777" w:rsidR="006C2DA4" w:rsidRPr="00E16227" w:rsidRDefault="006C2DA4" w:rsidP="006C2DA4">
      <w:pPr>
        <w:jc w:val="center"/>
        <w:rPr>
          <w:rFonts w:ascii="Calibri" w:eastAsia="Calibri" w:hAnsi="Calibri" w:cs="Calibri"/>
        </w:rPr>
      </w:pPr>
    </w:p>
    <w:p w14:paraId="26F476C5" w14:textId="77777777" w:rsidR="006C2DA4" w:rsidRDefault="006C2DA4" w:rsidP="006C2DA4">
      <w:pPr>
        <w:jc w:val="both"/>
        <w:rPr>
          <w:rFonts w:ascii="Calibri" w:eastAsia="Calibri" w:hAnsi="Calibri" w:cs="Calibri"/>
        </w:rPr>
      </w:pPr>
      <w:r w:rsidRPr="00D636C4">
        <w:rPr>
          <w:rFonts w:ascii="Calibri" w:eastAsia="Calibri" w:hAnsi="Calibri" w:cs="Calibri"/>
          <w:b/>
        </w:rPr>
        <w:t xml:space="preserve">Le financement de la santé </w:t>
      </w:r>
      <w:r>
        <w:rPr>
          <w:rFonts w:ascii="Calibri" w:eastAsia="Calibri" w:hAnsi="Calibri" w:cs="Calibri"/>
          <w:b/>
        </w:rPr>
        <w:t xml:space="preserve">continue de reposer </w:t>
      </w:r>
      <w:r w:rsidRPr="00D636C4">
        <w:rPr>
          <w:rFonts w:ascii="Calibri" w:eastAsia="Calibri" w:hAnsi="Calibri" w:cs="Calibri"/>
          <w:b/>
        </w:rPr>
        <w:t>de manière excessive sur les ménages</w:t>
      </w:r>
      <w:r>
        <w:rPr>
          <w:rFonts w:ascii="Calibri" w:eastAsia="Calibri" w:hAnsi="Calibri" w:cs="Calibri"/>
        </w:rPr>
        <w:t xml:space="preserve">. </w:t>
      </w:r>
      <w:r w:rsidRPr="00D636C4">
        <w:rPr>
          <w:rFonts w:ascii="Calibri" w:eastAsia="Calibri" w:hAnsi="Calibri" w:cs="Calibri"/>
        </w:rPr>
        <w:t xml:space="preserve">En effet, </w:t>
      </w:r>
      <w:r>
        <w:rPr>
          <w:rFonts w:ascii="Calibri" w:eastAsia="Calibri" w:hAnsi="Calibri" w:cs="Calibri"/>
        </w:rPr>
        <w:t>bien que la part des ménages soit en légère baisse, ceux-ci</w:t>
      </w:r>
      <w:r w:rsidRPr="00D636C4">
        <w:rPr>
          <w:rFonts w:ascii="Calibri" w:eastAsia="Calibri" w:hAnsi="Calibri" w:cs="Calibri"/>
        </w:rPr>
        <w:t xml:space="preserve"> restent les principaux financeurs des DCS (4</w:t>
      </w:r>
      <w:r>
        <w:rPr>
          <w:rFonts w:ascii="Calibri" w:eastAsia="Calibri" w:hAnsi="Calibri" w:cs="Calibri"/>
        </w:rPr>
        <w:t>5.1</w:t>
      </w:r>
      <w:r w:rsidRPr="00D636C4">
        <w:rPr>
          <w:rFonts w:ascii="Calibri" w:eastAsia="Calibri" w:hAnsi="Calibri" w:cs="Calibri"/>
        </w:rPr>
        <w:t>% des DCS en 202</w:t>
      </w:r>
      <w:r>
        <w:rPr>
          <w:rFonts w:ascii="Calibri" w:eastAsia="Calibri" w:hAnsi="Calibri" w:cs="Calibri"/>
        </w:rPr>
        <w:t>1</w:t>
      </w:r>
      <w:r w:rsidRPr="00D636C4">
        <w:rPr>
          <w:rFonts w:ascii="Calibri" w:eastAsia="Calibri" w:hAnsi="Calibri" w:cs="Calibri"/>
        </w:rPr>
        <w:t xml:space="preserve">), bien au-dessus des normes internationales et taux constatés dans des pays comparateurs </w:t>
      </w:r>
      <w:r w:rsidRPr="00E16227">
        <w:rPr>
          <w:rFonts w:ascii="Calibri" w:eastAsia="Calibri" w:hAnsi="Calibri" w:cs="Calibri"/>
        </w:rPr>
        <w:t xml:space="preserve">(voir tableau 3), soulignant le risque continu d’appauvrissement des ménages lié à la recherche de soins. </w:t>
      </w:r>
    </w:p>
    <w:p w14:paraId="0B7D305F" w14:textId="77777777" w:rsidR="006C2DA4" w:rsidRDefault="006C2DA4" w:rsidP="006C2DA4">
      <w:pPr>
        <w:jc w:val="both"/>
        <w:rPr>
          <w:rFonts w:ascii="Calibri" w:eastAsia="Calibri" w:hAnsi="Calibri" w:cs="Calibri"/>
        </w:rPr>
      </w:pPr>
    </w:p>
    <w:p w14:paraId="5CB57275" w14:textId="77777777" w:rsidR="006C2DA4" w:rsidRPr="008F12D0" w:rsidRDefault="006C2DA4" w:rsidP="006C2DA4">
      <w:pPr>
        <w:rPr>
          <w:rFonts w:ascii="Calibri" w:eastAsia="Calibri" w:hAnsi="Calibri" w:cs="Calibri"/>
        </w:rPr>
      </w:pPr>
      <w:r w:rsidRPr="00E16227">
        <w:rPr>
          <w:rFonts w:ascii="Calibri" w:eastAsia="Calibri" w:hAnsi="Calibri" w:cs="Calibri"/>
          <w:b/>
          <w:bCs/>
        </w:rPr>
        <w:t xml:space="preserve">Tableau 3 : </w:t>
      </w:r>
      <w:r w:rsidRPr="0016798D">
        <w:rPr>
          <w:rFonts w:ascii="Calibri" w:eastAsia="Calibri" w:hAnsi="Calibri" w:cs="Calibri"/>
        </w:rPr>
        <w:t>C</w:t>
      </w:r>
      <w:r w:rsidRPr="00E16227">
        <w:rPr>
          <w:rFonts w:ascii="Calibri" w:eastAsia="Calibri" w:hAnsi="Calibri" w:cs="Calibri"/>
        </w:rPr>
        <w:t>omparaison multi-pays de la proportion des dépenses</w:t>
      </w:r>
      <w:r w:rsidRPr="008F12D0">
        <w:rPr>
          <w:rFonts w:ascii="Calibri" w:eastAsia="Calibri" w:hAnsi="Calibri" w:cs="Calibri"/>
        </w:rPr>
        <w:t xml:space="preserve"> courantes en santé financés par les</w:t>
      </w:r>
      <w:r>
        <w:rPr>
          <w:rFonts w:ascii="Calibri" w:eastAsia="Calibri" w:hAnsi="Calibri" w:cs="Calibri"/>
        </w:rPr>
        <w:t xml:space="preserve"> </w:t>
      </w:r>
      <w:r w:rsidRPr="008F12D0">
        <w:rPr>
          <w:rFonts w:ascii="Calibri" w:eastAsia="Calibri" w:hAnsi="Calibri" w:cs="Calibri"/>
        </w:rPr>
        <w:t>ménages (2021)</w:t>
      </w:r>
    </w:p>
    <w:tbl>
      <w:tblPr>
        <w:tblStyle w:val="TableGrid"/>
        <w:tblW w:w="0" w:type="auto"/>
        <w:tblInd w:w="-5" w:type="dxa"/>
        <w:tblLook w:val="04A0" w:firstRow="1" w:lastRow="0" w:firstColumn="1" w:lastColumn="0" w:noHBand="0" w:noVBand="1"/>
      </w:tblPr>
      <w:tblGrid>
        <w:gridCol w:w="1975"/>
        <w:gridCol w:w="3330"/>
      </w:tblGrid>
      <w:tr w:rsidR="006C2DA4" w:rsidRPr="00D636C4" w14:paraId="3F396D76" w14:textId="77777777" w:rsidTr="00980A9B">
        <w:tc>
          <w:tcPr>
            <w:tcW w:w="1975" w:type="dxa"/>
          </w:tcPr>
          <w:p w14:paraId="37F4CEB4" w14:textId="77777777" w:rsidR="006C2DA4" w:rsidRPr="00D636C4" w:rsidRDefault="006C2DA4" w:rsidP="00980A9B">
            <w:pPr>
              <w:rPr>
                <w:rFonts w:ascii="Calibri" w:eastAsia="Calibri" w:hAnsi="Calibri" w:cs="Calibri"/>
                <w:b/>
                <w:bCs/>
              </w:rPr>
            </w:pPr>
            <w:r w:rsidRPr="00D636C4">
              <w:rPr>
                <w:rFonts w:ascii="Calibri" w:eastAsia="Calibri" w:hAnsi="Calibri" w:cs="Calibri"/>
                <w:b/>
                <w:bCs/>
              </w:rPr>
              <w:t>Pays</w:t>
            </w:r>
          </w:p>
        </w:tc>
        <w:tc>
          <w:tcPr>
            <w:tcW w:w="3330" w:type="dxa"/>
          </w:tcPr>
          <w:p w14:paraId="45AAA99B" w14:textId="77777777" w:rsidR="006C2DA4" w:rsidRPr="00D636C4" w:rsidRDefault="006C2DA4" w:rsidP="00980A9B">
            <w:pPr>
              <w:rPr>
                <w:rFonts w:ascii="Calibri" w:eastAsia="Calibri" w:hAnsi="Calibri" w:cs="Calibri"/>
                <w:b/>
                <w:bCs/>
              </w:rPr>
            </w:pPr>
            <w:r w:rsidRPr="00D636C4">
              <w:rPr>
                <w:rFonts w:ascii="Calibri" w:eastAsia="Calibri" w:hAnsi="Calibri" w:cs="Calibri"/>
                <w:b/>
                <w:bCs/>
              </w:rPr>
              <w:t>DCS financé par les ménages (% en 202</w:t>
            </w:r>
            <w:r>
              <w:rPr>
                <w:rFonts w:ascii="Calibri" w:eastAsia="Calibri" w:hAnsi="Calibri" w:cs="Calibri"/>
                <w:b/>
                <w:bCs/>
              </w:rPr>
              <w:t>1</w:t>
            </w:r>
            <w:r w:rsidRPr="00D636C4">
              <w:rPr>
                <w:rFonts w:ascii="Calibri" w:eastAsia="Calibri" w:hAnsi="Calibri" w:cs="Calibri"/>
                <w:b/>
                <w:bCs/>
              </w:rPr>
              <w:t>)</w:t>
            </w:r>
          </w:p>
        </w:tc>
      </w:tr>
      <w:tr w:rsidR="006C2DA4" w:rsidRPr="0016798D" w14:paraId="18C369B7" w14:textId="77777777" w:rsidTr="00980A9B">
        <w:tc>
          <w:tcPr>
            <w:tcW w:w="1975" w:type="dxa"/>
          </w:tcPr>
          <w:p w14:paraId="19290CA7" w14:textId="77777777" w:rsidR="006C2DA4" w:rsidRPr="0016798D" w:rsidRDefault="006C2DA4" w:rsidP="00980A9B">
            <w:pPr>
              <w:ind w:left="72"/>
              <w:rPr>
                <w:rFonts w:ascii="Calibri" w:eastAsia="Calibri" w:hAnsi="Calibri" w:cs="Calibri"/>
              </w:rPr>
            </w:pPr>
            <w:r w:rsidRPr="0016798D">
              <w:rPr>
                <w:rFonts w:ascii="Calibri" w:eastAsia="Calibri" w:hAnsi="Calibri" w:cs="Calibri"/>
              </w:rPr>
              <w:t>Mauritanie</w:t>
            </w:r>
          </w:p>
        </w:tc>
        <w:tc>
          <w:tcPr>
            <w:tcW w:w="3330" w:type="dxa"/>
          </w:tcPr>
          <w:p w14:paraId="56D732C4" w14:textId="77777777" w:rsidR="006C2DA4" w:rsidRPr="0016798D" w:rsidRDefault="006C2DA4" w:rsidP="00980A9B">
            <w:pPr>
              <w:rPr>
                <w:rFonts w:ascii="Calibri" w:eastAsia="Calibri" w:hAnsi="Calibri" w:cs="Calibri"/>
              </w:rPr>
            </w:pPr>
            <w:r w:rsidRPr="0016798D">
              <w:rPr>
                <w:rFonts w:ascii="Calibri" w:eastAsia="Calibri" w:hAnsi="Calibri" w:cs="Calibri"/>
              </w:rPr>
              <w:t>4</w:t>
            </w:r>
            <w:r>
              <w:rPr>
                <w:rFonts w:ascii="Calibri" w:eastAsia="Calibri" w:hAnsi="Calibri" w:cs="Calibri"/>
              </w:rPr>
              <w:t>5.1</w:t>
            </w:r>
            <w:r w:rsidRPr="0016798D">
              <w:rPr>
                <w:rFonts w:ascii="Calibri" w:eastAsia="Calibri" w:hAnsi="Calibri" w:cs="Calibri"/>
              </w:rPr>
              <w:t xml:space="preserve"> % </w:t>
            </w:r>
          </w:p>
        </w:tc>
      </w:tr>
      <w:tr w:rsidR="006C2DA4" w:rsidRPr="00324BCA" w14:paraId="42F7A4DD" w14:textId="77777777" w:rsidTr="00980A9B">
        <w:tc>
          <w:tcPr>
            <w:tcW w:w="1975" w:type="dxa"/>
          </w:tcPr>
          <w:p w14:paraId="1BBB4329" w14:textId="77777777" w:rsidR="006C2DA4" w:rsidRPr="00324BCA" w:rsidRDefault="006C2DA4" w:rsidP="00980A9B">
            <w:pPr>
              <w:rPr>
                <w:rFonts w:ascii="Calibri" w:eastAsia="Calibri" w:hAnsi="Calibri" w:cs="Calibri"/>
              </w:rPr>
            </w:pPr>
            <w:r w:rsidRPr="00324BCA">
              <w:rPr>
                <w:rFonts w:ascii="Calibri" w:eastAsia="Calibri" w:hAnsi="Calibri" w:cs="Calibri"/>
              </w:rPr>
              <w:lastRenderedPageBreak/>
              <w:t>Norme OMS</w:t>
            </w:r>
          </w:p>
        </w:tc>
        <w:tc>
          <w:tcPr>
            <w:tcW w:w="3330" w:type="dxa"/>
          </w:tcPr>
          <w:p w14:paraId="7A0C3FC7" w14:textId="77777777" w:rsidR="006C2DA4" w:rsidRPr="00324BCA" w:rsidRDefault="006C2DA4" w:rsidP="00980A9B">
            <w:pPr>
              <w:rPr>
                <w:rFonts w:ascii="Calibri" w:eastAsia="Calibri" w:hAnsi="Calibri" w:cs="Calibri"/>
              </w:rPr>
            </w:pPr>
            <w:r>
              <w:rPr>
                <w:rFonts w:ascii="Calibri" w:eastAsia="Calibri" w:hAnsi="Calibri" w:cs="Calibri"/>
              </w:rPr>
              <w:t xml:space="preserve">Moins de 20% </w:t>
            </w:r>
          </w:p>
        </w:tc>
      </w:tr>
      <w:tr w:rsidR="006C2DA4" w:rsidRPr="00D636C4" w14:paraId="4894DBF5" w14:textId="77777777" w:rsidTr="00980A9B">
        <w:tc>
          <w:tcPr>
            <w:tcW w:w="1975" w:type="dxa"/>
          </w:tcPr>
          <w:p w14:paraId="317C7798" w14:textId="77777777" w:rsidR="006C2DA4" w:rsidRPr="00D636C4" w:rsidRDefault="006C2DA4" w:rsidP="00980A9B">
            <w:pPr>
              <w:rPr>
                <w:rFonts w:ascii="Calibri" w:eastAsia="Calibri" w:hAnsi="Calibri" w:cs="Calibri"/>
              </w:rPr>
            </w:pPr>
            <w:r w:rsidRPr="00D636C4">
              <w:rPr>
                <w:rFonts w:ascii="Calibri" w:eastAsia="Calibri" w:hAnsi="Calibri" w:cs="Calibri"/>
              </w:rPr>
              <w:t>Tunisie</w:t>
            </w:r>
          </w:p>
        </w:tc>
        <w:tc>
          <w:tcPr>
            <w:tcW w:w="3330" w:type="dxa"/>
          </w:tcPr>
          <w:p w14:paraId="0F04DCBC" w14:textId="77777777" w:rsidR="006C2DA4" w:rsidRPr="00D636C4" w:rsidRDefault="006C2DA4" w:rsidP="00980A9B">
            <w:pPr>
              <w:rPr>
                <w:rFonts w:ascii="Calibri" w:eastAsia="Calibri" w:hAnsi="Calibri" w:cs="Calibri"/>
              </w:rPr>
            </w:pPr>
            <w:r w:rsidRPr="00D636C4">
              <w:rPr>
                <w:rFonts w:ascii="Calibri" w:eastAsia="Calibri" w:hAnsi="Calibri" w:cs="Calibri"/>
              </w:rPr>
              <w:t>36.4 %</w:t>
            </w:r>
          </w:p>
        </w:tc>
      </w:tr>
      <w:tr w:rsidR="006C2DA4" w:rsidRPr="00D636C4" w14:paraId="04DD9245" w14:textId="77777777" w:rsidTr="00980A9B">
        <w:tc>
          <w:tcPr>
            <w:tcW w:w="1975" w:type="dxa"/>
          </w:tcPr>
          <w:p w14:paraId="11C720AC" w14:textId="77777777" w:rsidR="006C2DA4" w:rsidRPr="00D636C4" w:rsidRDefault="006C2DA4" w:rsidP="00980A9B">
            <w:pPr>
              <w:rPr>
                <w:rFonts w:ascii="Calibri" w:eastAsia="Calibri" w:hAnsi="Calibri" w:cs="Calibri"/>
              </w:rPr>
            </w:pPr>
            <w:r w:rsidRPr="00D636C4">
              <w:rPr>
                <w:rFonts w:ascii="Calibri" w:eastAsia="Calibri" w:hAnsi="Calibri" w:cs="Calibri"/>
              </w:rPr>
              <w:t>Algérie</w:t>
            </w:r>
          </w:p>
        </w:tc>
        <w:tc>
          <w:tcPr>
            <w:tcW w:w="3330" w:type="dxa"/>
          </w:tcPr>
          <w:p w14:paraId="1F3D11B8" w14:textId="77777777" w:rsidR="006C2DA4" w:rsidRPr="00D636C4" w:rsidRDefault="006C2DA4" w:rsidP="00980A9B">
            <w:pPr>
              <w:rPr>
                <w:rFonts w:ascii="Calibri" w:eastAsia="Calibri" w:hAnsi="Calibri" w:cs="Calibri"/>
              </w:rPr>
            </w:pPr>
            <w:r w:rsidRPr="00D636C4">
              <w:rPr>
                <w:rFonts w:ascii="Calibri" w:eastAsia="Calibri" w:hAnsi="Calibri" w:cs="Calibri"/>
              </w:rPr>
              <w:t>35.8 %</w:t>
            </w:r>
          </w:p>
        </w:tc>
      </w:tr>
      <w:tr w:rsidR="006C2DA4" w:rsidRPr="00D636C4" w14:paraId="274BEFF2" w14:textId="77777777" w:rsidTr="00980A9B">
        <w:tc>
          <w:tcPr>
            <w:tcW w:w="1975" w:type="dxa"/>
          </w:tcPr>
          <w:p w14:paraId="43410D0D" w14:textId="77777777" w:rsidR="006C2DA4" w:rsidRPr="00D636C4" w:rsidRDefault="006C2DA4" w:rsidP="00980A9B">
            <w:pPr>
              <w:rPr>
                <w:rFonts w:ascii="Calibri" w:eastAsia="Calibri" w:hAnsi="Calibri" w:cs="Calibri"/>
              </w:rPr>
            </w:pPr>
            <w:r w:rsidRPr="00D636C4">
              <w:rPr>
                <w:rFonts w:ascii="Calibri" w:eastAsia="Calibri" w:hAnsi="Calibri" w:cs="Calibri"/>
              </w:rPr>
              <w:t>Burkina Faso</w:t>
            </w:r>
          </w:p>
        </w:tc>
        <w:tc>
          <w:tcPr>
            <w:tcW w:w="3330" w:type="dxa"/>
          </w:tcPr>
          <w:p w14:paraId="319E771A" w14:textId="77777777" w:rsidR="006C2DA4" w:rsidRPr="00D636C4" w:rsidRDefault="006C2DA4" w:rsidP="00980A9B">
            <w:pPr>
              <w:rPr>
                <w:rFonts w:ascii="Calibri" w:eastAsia="Calibri" w:hAnsi="Calibri" w:cs="Calibri"/>
              </w:rPr>
            </w:pPr>
            <w:r w:rsidRPr="00D636C4">
              <w:rPr>
                <w:rFonts w:ascii="Calibri" w:eastAsia="Calibri" w:hAnsi="Calibri" w:cs="Calibri"/>
              </w:rPr>
              <w:t>34.6 %</w:t>
            </w:r>
          </w:p>
        </w:tc>
      </w:tr>
      <w:tr w:rsidR="006C2DA4" w:rsidRPr="00324BCA" w14:paraId="6539EB0B" w14:textId="77777777" w:rsidTr="00980A9B">
        <w:tc>
          <w:tcPr>
            <w:tcW w:w="1975" w:type="dxa"/>
          </w:tcPr>
          <w:p w14:paraId="2740E60A" w14:textId="77777777" w:rsidR="006C2DA4" w:rsidRPr="00324BCA" w:rsidRDefault="006C2DA4" w:rsidP="00980A9B">
            <w:pPr>
              <w:rPr>
                <w:rFonts w:ascii="Calibri" w:eastAsia="Calibri" w:hAnsi="Calibri" w:cs="Calibri"/>
              </w:rPr>
            </w:pPr>
            <w:r w:rsidRPr="00324BCA">
              <w:rPr>
                <w:rFonts w:ascii="Calibri" w:eastAsia="Calibri" w:hAnsi="Calibri" w:cs="Calibri"/>
              </w:rPr>
              <w:t>Turquie</w:t>
            </w:r>
          </w:p>
        </w:tc>
        <w:tc>
          <w:tcPr>
            <w:tcW w:w="3330" w:type="dxa"/>
          </w:tcPr>
          <w:p w14:paraId="7FC5E046" w14:textId="77777777" w:rsidR="006C2DA4" w:rsidRPr="00324BCA" w:rsidRDefault="006C2DA4" w:rsidP="00980A9B">
            <w:pPr>
              <w:rPr>
                <w:rFonts w:ascii="Calibri" w:eastAsia="Calibri" w:hAnsi="Calibri" w:cs="Calibri"/>
              </w:rPr>
            </w:pPr>
            <w:r w:rsidRPr="00324BCA">
              <w:rPr>
                <w:rFonts w:ascii="Calibri" w:eastAsia="Calibri" w:hAnsi="Calibri" w:cs="Calibri"/>
              </w:rPr>
              <w:t>16.43%</w:t>
            </w:r>
          </w:p>
        </w:tc>
      </w:tr>
    </w:tbl>
    <w:p w14:paraId="79FAEA85" w14:textId="77777777" w:rsidR="006C2DA4" w:rsidRPr="00D636C4" w:rsidRDefault="006C2DA4" w:rsidP="006C2DA4">
      <w:pPr>
        <w:rPr>
          <w:rFonts w:ascii="Calibri" w:eastAsia="Calibri" w:hAnsi="Calibri" w:cs="Calibri"/>
        </w:rPr>
      </w:pPr>
      <w:r w:rsidRPr="00D636C4">
        <w:rPr>
          <w:rFonts w:ascii="Calibri" w:eastAsia="Calibri" w:hAnsi="Calibri" w:cs="Calibri"/>
        </w:rPr>
        <w:t xml:space="preserve">Sources : Données GHED de l’OMS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https://apps.who.int/nha/database","author":[{"dropping-particle":"","family":"WHO","given":"","non-dropping-particle":"","parse-names":false,"suffix":""}],"container-title":"https://apps.who.int/nha/database","id":"ITEM-1","issued":{"date-parts":[["2022"]]},"title":"WHO Global Health Expenditure Database (GHED) Update 2022","type":"webpage"},"uris":["http://www.mendeley.com/documents/?uuid=ede3eb76-7ebc-4e7d-98a5-f243982d6eb0"]}],"mendeley":{"formattedCitation":"[21]","plainTextFormattedCitation":"[21]","previouslyFormattedCitation":"[21]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[21]</w:t>
      </w:r>
      <w:r w:rsidR="009904FE" w:rsidRPr="00D636C4">
        <w:rPr>
          <w:rFonts w:ascii="Calibri" w:eastAsia="Calibri" w:hAnsi="Calibri" w:cs="Calibri"/>
        </w:rPr>
        <w:fldChar w:fldCharType="end"/>
      </w:r>
      <w:r>
        <w:rPr>
          <w:rFonts w:ascii="Calibri" w:eastAsia="Calibri" w:hAnsi="Calibri" w:cs="Calibri"/>
        </w:rPr>
        <w:t xml:space="preserve"> et MDS (2023)</w:t>
      </w:r>
    </w:p>
    <w:p w14:paraId="2A03F53E" w14:textId="77777777" w:rsidR="006C2DA4" w:rsidRDefault="006C2DA4" w:rsidP="006C2DA4">
      <w:pPr>
        <w:jc w:val="both"/>
        <w:rPr>
          <w:rFonts w:ascii="Calibri" w:eastAsia="Calibri" w:hAnsi="Calibri" w:cs="Calibri"/>
        </w:rPr>
      </w:pPr>
    </w:p>
    <w:p w14:paraId="74E407FD" w14:textId="77777777" w:rsidR="006C2DA4" w:rsidRPr="00D636C4" w:rsidRDefault="006C2DA4" w:rsidP="006C2DA4">
      <w:pPr>
        <w:jc w:val="both"/>
        <w:rPr>
          <w:rFonts w:ascii="Calibri" w:eastAsia="Calibri" w:hAnsi="Calibri" w:cs="Calibri"/>
        </w:rPr>
      </w:pPr>
      <w:r w:rsidRPr="00D636C4">
        <w:rPr>
          <w:rFonts w:ascii="Calibri" w:eastAsia="Calibri" w:hAnsi="Calibri" w:cs="Calibri"/>
          <w:b/>
        </w:rPr>
        <w:t>Malgré une augmentation significative au cours des dix dernières années, la contribution de l’état reste insuffi</w:t>
      </w:r>
      <w:r>
        <w:rPr>
          <w:rFonts w:ascii="Calibri" w:eastAsia="Calibri" w:hAnsi="Calibri" w:cs="Calibri"/>
          <w:b/>
        </w:rPr>
        <w:t xml:space="preserve">sante </w:t>
      </w:r>
      <w:r w:rsidRPr="00D636C4">
        <w:rPr>
          <w:rFonts w:ascii="Calibri" w:eastAsia="Calibri" w:hAnsi="Calibri" w:cs="Calibri"/>
          <w:b/>
        </w:rPr>
        <w:t xml:space="preserve"> :</w:t>
      </w:r>
      <w:r w:rsidRPr="00D636C4">
        <w:rPr>
          <w:rFonts w:ascii="Calibri" w:eastAsia="Calibri" w:hAnsi="Calibri" w:cs="Calibri"/>
        </w:rPr>
        <w:t xml:space="preserve"> l’état contribue environ </w:t>
      </w:r>
      <w:r>
        <w:rPr>
          <w:rFonts w:ascii="Calibri" w:eastAsia="Calibri" w:hAnsi="Calibri" w:cs="Calibri"/>
        </w:rPr>
        <w:t>40.7</w:t>
      </w:r>
      <w:r w:rsidRPr="00D636C4">
        <w:rPr>
          <w:rFonts w:ascii="Calibri" w:eastAsia="Calibri" w:hAnsi="Calibri" w:cs="Calibri"/>
        </w:rPr>
        <w:t>% des DCS (données 202</w:t>
      </w:r>
      <w:r>
        <w:rPr>
          <w:rFonts w:ascii="Calibri" w:eastAsia="Calibri" w:hAnsi="Calibri" w:cs="Calibri"/>
        </w:rPr>
        <w:t>1</w:t>
      </w:r>
      <w:r w:rsidRPr="00D636C4">
        <w:rPr>
          <w:rFonts w:ascii="Calibri" w:eastAsia="Calibri" w:hAnsi="Calibri" w:cs="Calibri"/>
        </w:rPr>
        <w:t>), soit 1.</w:t>
      </w:r>
      <w:r>
        <w:rPr>
          <w:rFonts w:ascii="Calibri" w:eastAsia="Calibri" w:hAnsi="Calibri" w:cs="Calibri"/>
        </w:rPr>
        <w:t>4</w:t>
      </w:r>
      <w:r w:rsidRPr="00D636C4">
        <w:rPr>
          <w:rFonts w:ascii="Calibri" w:eastAsia="Calibri" w:hAnsi="Calibri" w:cs="Calibri"/>
        </w:rPr>
        <w:t xml:space="preserve">% du PIB, bien en deçà des niveaux recommandés pour la CSU de 5% du PIB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{"citationItems":[{"id":"ITEM-1","itemData":{"DOI":"DOI: 10.1017/S1744133116000414","ISSN":"1744-1331","abstract":"Global discussions on universal health coverage (UHC) have focussed attention on the need for increased government funding for health care in many low- and middle-income countries. The objective of this paper is to explore potential targets for government spending on health to progress towards UHC. An explicit target for government expenditure on health care relative to gross domestic product (GDP) is a potentially powerful tool for holding governments to account in progressing to UHC, particularly in the context of UHC’s inclusion in the Sustainable Development Goals. It is likely to be more influential than the Abuja target, which requires decreases in budget allocations to other sectors and is opposed by finance ministries for undermining their autonomy in making sectoral budget allocation decisions. International Monetary Fund and World Health Organisation data sets were used to analyse the relationship between government health expenditure and proxy indicators for the UHC goals of financial protection and access to quality health care, and triangulated with available country case studies estimating the resource requirements for a universal health system. Our analyses point towards a target of government spending on health of at least 5% of GDP for progressing towards UHC. This can be supplemented by a per capita target of $86 to promote universal access to primary care services in low-income countries.","author":[{"dropping-particle":"","family":"Mcintyre","given":"D.","non-dropping-particle":"","parse-names":false,"suffix":""},{"dropping-particle":"","family":"Meheus","given":"Filip","non-dropping-particle":"","parse-names":false,"suffix":""},{"dropping-particle":"","family":"Røttingen","given":"John-Arne","non-dropping-particle":"","parse-names":false,"suffix":""}],"container-title":"Health Economics, Policy and Law","edition":"2017/03/23","id":"ITEM-1","issue":"2","issued":{"date-parts":[["2017"]]},"page":"125-137","publisher":"Cambridge University Press","title":"What level of domestic government health expenditure should we aspire to for universal health coverage?","type":"article-journal","volume":"12"},"uris":["http://www.mendeley.com/documents/?uuid=a680ab80-6939-4d7e-9f56-1fecc115424d"]}],"mendeley":{"formattedCitation":"[22]","plainTextFormattedCitation":"[22]","previouslyFormattedCitation":"[22]"},"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[22]</w:t>
      </w:r>
      <w:r w:rsidR="009904FE" w:rsidRPr="00D636C4">
        <w:rPr>
          <w:rFonts w:ascii="Calibri" w:eastAsia="Calibri" w:hAnsi="Calibri" w:cs="Calibri"/>
        </w:rPr>
        <w:fldChar w:fldCharType="end"/>
      </w:r>
      <w:r w:rsidRPr="00D636C4">
        <w:rPr>
          <w:rFonts w:ascii="Calibri" w:eastAsia="Calibri" w:hAnsi="Calibri" w:cs="Calibri"/>
        </w:rPr>
        <w:t xml:space="preserve">, et la moyenne des pays à revenu similaire (2.6%)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https://apps.who.int/nha/database","author":[{"dropping-particle":"","family":"WHO","given":"","non-dropping-particle":"","parse-names":false,"suffix":""}],"container-title":"https://apps.who.int/nha/database","id":"ITEM-1","issued":{"date-parts":[["2022"]]},"title":"WHO Global Health Expenditure Database (GHED) Update 2022","type":"webpage"},"uris":["http://www.mendeley.com/documents/?uuid=ede3eb76-7ebc-4e7d-98a5-f243982d6eb0"]}],"mendeley":{"formattedCitation":"[21]","plainTextFormattedCitation":"[21]","previouslyFormattedCitation":"[21]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[21]</w:t>
      </w:r>
      <w:r w:rsidR="009904FE" w:rsidRPr="00D636C4">
        <w:rPr>
          <w:rFonts w:ascii="Calibri" w:eastAsia="Calibri" w:hAnsi="Calibri" w:cs="Calibri"/>
        </w:rPr>
        <w:fldChar w:fldCharType="end"/>
      </w:r>
      <w:r w:rsidRPr="00D636C4">
        <w:rPr>
          <w:rFonts w:ascii="Calibri" w:eastAsia="Calibri" w:hAnsi="Calibri" w:cs="Calibri"/>
          <w:b/>
        </w:rPr>
        <w:t xml:space="preserve">. </w:t>
      </w:r>
      <w:r w:rsidRPr="00D636C4">
        <w:rPr>
          <w:rFonts w:ascii="Calibri" w:eastAsia="Calibri" w:hAnsi="Calibri" w:cs="Calibri"/>
        </w:rPr>
        <w:t xml:space="preserve">Cette allocation correspond à </w:t>
      </w:r>
      <w:r>
        <w:rPr>
          <w:rFonts w:ascii="Calibri" w:eastAsia="Calibri" w:hAnsi="Calibri" w:cs="Calibri"/>
        </w:rPr>
        <w:t>5.9</w:t>
      </w:r>
      <w:r w:rsidRPr="00D636C4">
        <w:rPr>
          <w:rFonts w:ascii="Calibri" w:eastAsia="Calibri" w:hAnsi="Calibri" w:cs="Calibri"/>
        </w:rPr>
        <w:t xml:space="preserve">% du budget de l'état, loin des 15% d'Abuja établis en 2015. </w:t>
      </w:r>
    </w:p>
    <w:p w14:paraId="6B136527" w14:textId="77777777" w:rsidR="006C2DA4" w:rsidRPr="00D636C4" w:rsidRDefault="006C2DA4" w:rsidP="006C2DA4">
      <w:pPr>
        <w:jc w:val="both"/>
        <w:rPr>
          <w:rFonts w:ascii="Calibri" w:eastAsia="Calibri" w:hAnsi="Calibri" w:cs="Calibri"/>
        </w:rPr>
      </w:pPr>
    </w:p>
    <w:p w14:paraId="621C66E7" w14:textId="77777777" w:rsidR="006C2DA4" w:rsidRPr="00D636C4" w:rsidRDefault="006C2DA4" w:rsidP="006C2DA4">
      <w:pPr>
        <w:jc w:val="both"/>
        <w:rPr>
          <w:rFonts w:ascii="Calibri" w:eastAsia="Calibri" w:hAnsi="Calibri" w:cs="Calibri"/>
        </w:rPr>
      </w:pPr>
      <w:r w:rsidRPr="00D636C4">
        <w:rPr>
          <w:rFonts w:ascii="Calibri" w:eastAsia="Calibri" w:hAnsi="Calibri" w:cs="Calibri"/>
          <w:b/>
        </w:rPr>
        <w:t xml:space="preserve">Les cotisations aux caisses d'assurance </w:t>
      </w:r>
      <w:r>
        <w:rPr>
          <w:rFonts w:ascii="Calibri" w:eastAsia="Calibri" w:hAnsi="Calibri" w:cs="Calibri"/>
          <w:b/>
        </w:rPr>
        <w:t>augmentent</w:t>
      </w:r>
      <w:r w:rsidRPr="00D636C4">
        <w:rPr>
          <w:rFonts w:ascii="Calibri" w:eastAsia="Calibri" w:hAnsi="Calibri" w:cs="Calibri"/>
          <w:b/>
        </w:rPr>
        <w:t xml:space="preserve"> </w:t>
      </w:r>
      <w:r w:rsidRPr="00D636C4">
        <w:rPr>
          <w:rFonts w:ascii="Calibri" w:eastAsia="Calibri" w:hAnsi="Calibri" w:cs="Calibri"/>
          <w:bCs/>
        </w:rPr>
        <w:t>(CNAM et CN</w:t>
      </w:r>
      <w:r>
        <w:rPr>
          <w:rFonts w:ascii="Calibri" w:eastAsia="Calibri" w:hAnsi="Calibri" w:cs="Calibri"/>
          <w:bCs/>
        </w:rPr>
        <w:t>A</w:t>
      </w:r>
      <w:r w:rsidRPr="00D636C4">
        <w:rPr>
          <w:rFonts w:ascii="Calibri" w:eastAsia="Calibri" w:hAnsi="Calibri" w:cs="Calibri"/>
          <w:bCs/>
        </w:rPr>
        <w:t>SS)</w:t>
      </w:r>
      <w:r w:rsidRPr="00D636C4">
        <w:rPr>
          <w:rFonts w:ascii="Calibri" w:eastAsia="Calibri" w:hAnsi="Calibri" w:cs="Calibri"/>
        </w:rPr>
        <w:t xml:space="preserve"> e</w:t>
      </w:r>
      <w:r>
        <w:rPr>
          <w:rFonts w:ascii="Calibri" w:eastAsia="Calibri" w:hAnsi="Calibri" w:cs="Calibri"/>
        </w:rPr>
        <w:t>t</w:t>
      </w:r>
      <w:r w:rsidRPr="00D636C4">
        <w:rPr>
          <w:rFonts w:ascii="Calibri" w:eastAsia="Calibri" w:hAnsi="Calibri" w:cs="Calibri"/>
        </w:rPr>
        <w:t xml:space="preserve"> </w:t>
      </w:r>
      <w:r>
        <w:rPr>
          <w:rFonts w:ascii="Calibri" w:eastAsia="Calibri" w:hAnsi="Calibri" w:cs="Calibri"/>
        </w:rPr>
        <w:t>atteignaient en 2021 environ 17% des DTS</w:t>
      </w:r>
      <w:r w:rsidRPr="00D636C4">
        <w:rPr>
          <w:rFonts w:ascii="Calibri" w:eastAsia="Calibri" w:hAnsi="Calibri" w:cs="Calibri"/>
        </w:rPr>
        <w:t xml:space="preserve"> </w:t>
      </w:r>
      <w:r>
        <w:rPr>
          <w:rFonts w:ascii="Calibri" w:eastAsia="Calibri" w:hAnsi="Calibri" w:cs="Calibri"/>
        </w:rPr>
        <w:t xml:space="preserve">. </w:t>
      </w:r>
      <w:r w:rsidRPr="00D636C4">
        <w:rPr>
          <w:rFonts w:ascii="Calibri" w:eastAsia="Calibri" w:hAnsi="Calibri" w:cs="Calibri"/>
        </w:rPr>
        <w:t xml:space="preserve">Les fonds provenant des PTFs fluctuent depuis plusieurs années (environ </w:t>
      </w:r>
      <w:r>
        <w:rPr>
          <w:rFonts w:ascii="Calibri" w:eastAsia="Calibri" w:hAnsi="Calibri" w:cs="Calibri"/>
        </w:rPr>
        <w:t>8.4</w:t>
      </w:r>
      <w:r w:rsidRPr="00D636C4">
        <w:rPr>
          <w:rFonts w:ascii="Calibri" w:eastAsia="Calibri" w:hAnsi="Calibri" w:cs="Calibri"/>
        </w:rPr>
        <w:t>% des DCS en 20</w:t>
      </w:r>
      <w:r>
        <w:rPr>
          <w:rFonts w:ascii="Calibri" w:eastAsia="Calibri" w:hAnsi="Calibri" w:cs="Calibri"/>
        </w:rPr>
        <w:t>21</w:t>
      </w:r>
      <w:r w:rsidRPr="00D636C4">
        <w:rPr>
          <w:rFonts w:ascii="Calibri" w:eastAsia="Calibri" w:hAnsi="Calibri" w:cs="Calibri"/>
        </w:rPr>
        <w:t>), restant toutefois bien en dessous de la moyenne des pays de la sous-région (21%).</w:t>
      </w:r>
    </w:p>
    <w:p w14:paraId="76A48EBF" w14:textId="77777777" w:rsidR="006C2DA4" w:rsidRPr="00D636C4" w:rsidRDefault="006C2DA4" w:rsidP="006C2DA4">
      <w:pPr>
        <w:rPr>
          <w:rFonts w:ascii="Calibri" w:eastAsia="Calibri" w:hAnsi="Calibri" w:cs="Calibri"/>
          <w:b/>
        </w:rPr>
      </w:pPr>
      <w:r w:rsidRPr="00D636C4">
        <w:rPr>
          <w:rFonts w:ascii="Calibri" w:eastAsia="Calibri" w:hAnsi="Calibri" w:cs="Calibri"/>
          <w:b/>
        </w:rPr>
        <w:t xml:space="preserve"> </w:t>
      </w:r>
    </w:p>
    <w:p w14:paraId="220525A2" w14:textId="77777777" w:rsidR="006C2DA4" w:rsidRDefault="006C2DA4" w:rsidP="006C2DA4">
      <w:pPr>
        <w:jc w:val="both"/>
        <w:rPr>
          <w:rFonts w:ascii="Calibri" w:eastAsia="Calibri" w:hAnsi="Calibri" w:cs="Calibri"/>
        </w:rPr>
      </w:pPr>
      <w:r w:rsidRPr="00D636C4">
        <w:rPr>
          <w:rFonts w:ascii="Calibri" w:eastAsia="Calibri" w:hAnsi="Calibri" w:cs="Calibri"/>
        </w:rPr>
        <w:t>Les sources disponibles sont donc insuffi</w:t>
      </w:r>
      <w:r>
        <w:rPr>
          <w:rFonts w:ascii="Calibri" w:eastAsia="Calibri" w:hAnsi="Calibri" w:cs="Calibri"/>
        </w:rPr>
        <w:t>sante</w:t>
      </w:r>
      <w:r w:rsidRPr="00D636C4">
        <w:rPr>
          <w:rFonts w:ascii="Calibri" w:eastAsia="Calibri" w:hAnsi="Calibri" w:cs="Calibri"/>
        </w:rPr>
        <w:t xml:space="preserve">s, et majoritairement régressives. Des travaux précédents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Tapsoba","given":"Yann","non-dropping-particle":"","parse-names":false,"suffix":""}],"id":"ITEM-1","issued":{"date-parts":[["2020"]]},"number-of-pages":"1-89","publisher-place":"Nouakchott","title":"Analyse de l’espace budgétaire pour la santé et la vaccination en République Islamique de Mauritanie","type":"report"},"uris":["http://www.mendeley.com/documents/?uuid=ea115ac2-be33-4ec5-917b-24bc3b031b72"]}],"mendeley":{"formattedCitation":"[23]","plainTextFormattedCitation":"[23]","previouslyFormattedCitation":"[23]"},"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[23]</w:t>
      </w:r>
      <w:r w:rsidR="009904FE" w:rsidRPr="00D636C4">
        <w:rPr>
          <w:rFonts w:ascii="Calibri" w:eastAsia="Calibri" w:hAnsi="Calibri" w:cs="Calibri"/>
        </w:rPr>
        <w:fldChar w:fldCharType="end"/>
      </w:r>
      <w:r w:rsidRPr="00D636C4">
        <w:rPr>
          <w:rFonts w:ascii="Calibri" w:eastAsia="Calibri" w:hAnsi="Calibri" w:cs="Calibri"/>
        </w:rPr>
        <w:t xml:space="preserve"> ont identifié plusieurs sources potentielles d’espace budgétaire pour la santé pour combler le déficit financier : (1) une augmentation de l’allocation budgétaire à la santé, (2) une amélioration des conditions économiques du pays, (3) une taxe sur le tabac affectée à la santé, et (4) des gains d’efficience dans la façon dont les ressources sont utilisées. Cette dernière approche générerait le plus grand espace budgétaire pour la santé. </w:t>
      </w:r>
      <w:bookmarkStart w:id="25" w:name="_Toc137847492"/>
      <w:bookmarkStart w:id="26" w:name="_Toc140268440"/>
    </w:p>
    <w:p w14:paraId="3A816F39" w14:textId="77777777" w:rsidR="006C2DA4" w:rsidRDefault="006C2DA4" w:rsidP="006C2DA4">
      <w:pPr>
        <w:jc w:val="both"/>
        <w:rPr>
          <w:rFonts w:ascii="Calibri" w:eastAsia="Calibri" w:hAnsi="Calibri" w:cs="Calibri"/>
        </w:rPr>
      </w:pPr>
    </w:p>
    <w:p w14:paraId="1294C077" w14:textId="77777777" w:rsidR="006C2DA4" w:rsidRDefault="006C2DA4" w:rsidP="006C2DA4">
      <w:pPr>
        <w:jc w:val="both"/>
        <w:rPr>
          <w:rFonts w:ascii="Calibri" w:eastAsia="Calibri" w:hAnsi="Calibri" w:cs="Calibri"/>
          <w:b/>
        </w:rPr>
      </w:pPr>
      <w:r w:rsidRPr="00D636C4">
        <w:rPr>
          <w:rFonts w:ascii="Calibri" w:eastAsia="Calibri" w:hAnsi="Calibri" w:cs="Calibri"/>
          <w:b/>
        </w:rPr>
        <w:t>3.2. Mise en commun des ressources</w:t>
      </w:r>
      <w:bookmarkEnd w:id="25"/>
      <w:bookmarkEnd w:id="26"/>
    </w:p>
    <w:p w14:paraId="6FA85824" w14:textId="77777777" w:rsidR="006C2DA4" w:rsidRPr="0016798D" w:rsidRDefault="006C2DA4" w:rsidP="006C2DA4">
      <w:pPr>
        <w:jc w:val="both"/>
        <w:rPr>
          <w:rFonts w:ascii="Calibri" w:eastAsia="Calibri" w:hAnsi="Calibri" w:cs="Calibri"/>
          <w:b/>
        </w:rPr>
      </w:pPr>
    </w:p>
    <w:p w14:paraId="284A3EC9" w14:textId="77777777" w:rsidR="006C2DA4" w:rsidRPr="00D636C4" w:rsidRDefault="006C2DA4" w:rsidP="006C2DA4">
      <w:pPr>
        <w:rPr>
          <w:rFonts w:ascii="Calibri" w:eastAsia="Calibri" w:hAnsi="Calibri" w:cs="Calibri"/>
        </w:rPr>
      </w:pPr>
      <w:r w:rsidRPr="00D636C4">
        <w:rPr>
          <w:rFonts w:ascii="Calibri" w:eastAsia="Calibri" w:hAnsi="Calibri" w:cs="Calibri"/>
          <w:b/>
        </w:rPr>
        <w:t>La mise en commun des ressources est limitée, réduisant le subventionnement entre populations et la protection financière</w:t>
      </w:r>
      <w:r w:rsidRPr="00D636C4">
        <w:rPr>
          <w:rFonts w:ascii="Calibri" w:eastAsia="Calibri" w:hAnsi="Calibri" w:cs="Calibri"/>
        </w:rPr>
        <w:t xml:space="preserve"> (voir Graph </w:t>
      </w:r>
      <w:r>
        <w:rPr>
          <w:rFonts w:ascii="Calibri" w:eastAsia="Calibri" w:hAnsi="Calibri" w:cs="Calibri"/>
        </w:rPr>
        <w:t>4</w:t>
      </w:r>
      <w:r w:rsidRPr="00D636C4">
        <w:rPr>
          <w:rFonts w:ascii="Calibri" w:eastAsia="Calibri" w:hAnsi="Calibri" w:cs="Calibri"/>
        </w:rPr>
        <w:t xml:space="preserve"> ci-dessous).</w:t>
      </w:r>
    </w:p>
    <w:p w14:paraId="43577977" w14:textId="77777777" w:rsidR="006C2DA4" w:rsidRPr="00D636C4" w:rsidRDefault="006C2DA4" w:rsidP="006C2DA4">
      <w:pPr>
        <w:ind w:left="720"/>
        <w:rPr>
          <w:rFonts w:ascii="Calibri" w:eastAsia="Calibri" w:hAnsi="Calibri" w:cs="Calibri"/>
        </w:rPr>
      </w:pPr>
      <w:r w:rsidRPr="00D636C4">
        <w:rPr>
          <w:rFonts w:ascii="Calibri" w:eastAsia="Calibri" w:hAnsi="Calibri" w:cs="Calibri"/>
        </w:rPr>
        <w:t xml:space="preserve"> </w:t>
      </w:r>
    </w:p>
    <w:p w14:paraId="0DDB98E9" w14:textId="77777777" w:rsidR="006C2DA4" w:rsidRPr="00D636C4" w:rsidRDefault="006C2DA4" w:rsidP="006C2DA4">
      <w:pPr>
        <w:ind w:right="720"/>
        <w:rPr>
          <w:rFonts w:ascii="Calibri" w:eastAsia="Calibri" w:hAnsi="Calibri" w:cs="Calibri"/>
        </w:rPr>
      </w:pPr>
      <w:r w:rsidRPr="00D636C4">
        <w:rPr>
          <w:rFonts w:ascii="Calibri" w:eastAsia="Calibri" w:hAnsi="Calibri" w:cs="Calibri"/>
          <w:b/>
        </w:rPr>
        <w:t xml:space="preserve">Graph </w:t>
      </w:r>
      <w:r>
        <w:rPr>
          <w:rFonts w:ascii="Calibri" w:eastAsia="Calibri" w:hAnsi="Calibri" w:cs="Calibri"/>
          <w:b/>
        </w:rPr>
        <w:t>4</w:t>
      </w:r>
      <w:r w:rsidRPr="00D636C4">
        <w:rPr>
          <w:rFonts w:ascii="Calibri" w:eastAsia="Calibri" w:hAnsi="Calibri" w:cs="Calibri"/>
        </w:rPr>
        <w:t xml:space="preserve"> : Proportion de la population couverte par un régime d’assurance maladie en 202</w:t>
      </w:r>
      <w:r>
        <w:rPr>
          <w:rFonts w:ascii="Calibri" w:eastAsia="Calibri" w:hAnsi="Calibri" w:cs="Calibri"/>
        </w:rPr>
        <w:t>3</w:t>
      </w:r>
    </w:p>
    <w:p w14:paraId="3C85CB7B" w14:textId="77777777" w:rsidR="006C2DA4" w:rsidRPr="00D636C4" w:rsidRDefault="006C2DA4" w:rsidP="006C2DA4">
      <w:pPr>
        <w:ind w:right="720"/>
        <w:rPr>
          <w:rFonts w:ascii="Calibri" w:eastAsia="Calibri" w:hAnsi="Calibri" w:cs="Calibri"/>
        </w:rPr>
      </w:pPr>
      <w:r w:rsidRPr="00D636C4">
        <w:rPr>
          <w:noProof/>
          <w:lang w:eastAsia="fr-FR"/>
        </w:rPr>
        <w:drawing>
          <wp:inline distT="0" distB="0" distL="0" distR="0" wp14:anchorId="2B9076E6" wp14:editId="602E0E6C">
            <wp:extent cx="4754880" cy="2295525"/>
            <wp:effectExtent l="19050" t="0" r="26670" b="0"/>
            <wp:docPr id="7" name="Chart 1">
              <a:extLst xmlns:a="http://schemas.openxmlformats.org/drawingml/2006/main">
                <a:ext uri="{FF2B5EF4-FFF2-40B4-BE49-F238E27FC236}">
                  <a16:creationId xmlns:a16="http://schemas.microsoft.com/office/drawing/2014/main" id="{A091726F-0EDD-C44A-9931-76ACFEE9A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DC074C" w14:textId="77777777" w:rsidR="006C2DA4" w:rsidRPr="00D636C4" w:rsidRDefault="006C2DA4" w:rsidP="006C2DA4">
      <w:pPr>
        <w:ind w:left="720"/>
        <w:jc w:val="both"/>
        <w:rPr>
          <w:rFonts w:ascii="Calibri" w:eastAsia="Calibri" w:hAnsi="Calibri" w:cs="Calibri"/>
        </w:rPr>
      </w:pPr>
      <w:r w:rsidRPr="00D636C4">
        <w:rPr>
          <w:rFonts w:ascii="Calibri" w:eastAsia="Calibri" w:hAnsi="Calibri" w:cs="Calibri"/>
        </w:rPr>
        <w:t xml:space="preserve"> </w:t>
      </w:r>
    </w:p>
    <w:p w14:paraId="5B10D1BD"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lastRenderedPageBreak/>
        <w:t>Une forte proportion de la population (7</w:t>
      </w:r>
      <w:r>
        <w:rPr>
          <w:rFonts w:ascii="Calibri" w:eastAsia="Calibri" w:hAnsi="Calibri" w:cs="Calibri"/>
        </w:rPr>
        <w:t>0</w:t>
      </w:r>
      <w:r w:rsidRPr="00D636C4">
        <w:rPr>
          <w:rFonts w:ascii="Calibri" w:eastAsia="Calibri" w:hAnsi="Calibri" w:cs="Calibri"/>
        </w:rPr>
        <w:t>%) ne bénéficie d’aucune protection financière :</w:t>
      </w:r>
    </w:p>
    <w:p w14:paraId="2F4B257D" w14:textId="77777777" w:rsidR="006C2DA4" w:rsidRPr="00D636C4" w:rsidRDefault="006C2DA4" w:rsidP="006C2DA4">
      <w:pPr>
        <w:numPr>
          <w:ilvl w:val="0"/>
          <w:numId w:val="8"/>
        </w:numPr>
        <w:jc w:val="both"/>
        <w:rPr>
          <w:rFonts w:ascii="Calibri" w:eastAsia="Calibri" w:hAnsi="Calibri" w:cs="Calibri"/>
        </w:rPr>
      </w:pPr>
      <w:r w:rsidRPr="00D636C4">
        <w:rPr>
          <w:rFonts w:ascii="Calibri" w:eastAsia="Calibri" w:hAnsi="Calibri" w:cs="Calibri"/>
        </w:rPr>
        <w:t xml:space="preserve">Le régime d’assurance maladie obligatoire pour les fonctionnaires et le secteur privé (CNAM) existe depuis 2007, mais ne concerne qu’une </w:t>
      </w:r>
      <w:r>
        <w:rPr>
          <w:rFonts w:ascii="Calibri" w:eastAsia="Calibri" w:hAnsi="Calibri" w:cs="Calibri"/>
        </w:rPr>
        <w:t>faible</w:t>
      </w:r>
      <w:r w:rsidRPr="00D636C4">
        <w:rPr>
          <w:rFonts w:ascii="Calibri" w:eastAsia="Calibri" w:hAnsi="Calibri" w:cs="Calibri"/>
        </w:rPr>
        <w:t xml:space="preserve"> part de la population nationale - environ 1</w:t>
      </w:r>
      <w:r>
        <w:rPr>
          <w:rFonts w:ascii="Calibri" w:eastAsia="Calibri" w:hAnsi="Calibri" w:cs="Calibri"/>
        </w:rPr>
        <w:t>6</w:t>
      </w:r>
      <w:r w:rsidRPr="00D636C4">
        <w:rPr>
          <w:rFonts w:ascii="Calibri" w:eastAsia="Calibri" w:hAnsi="Calibri" w:cs="Calibri"/>
        </w:rPr>
        <w:t xml:space="preserve">%. Le budget de l’état subventionne également l’assurance maladie pour 100,000 </w:t>
      </w:r>
      <w:r w:rsidRPr="00D636C4">
        <w:rPr>
          <w:rFonts w:ascii="Calibri" w:hAnsi="Calibri" w:cs="Calibri"/>
          <w:color w:val="000000"/>
        </w:rPr>
        <w:t xml:space="preserve">ménages de personnes en situation d’indigence </w:t>
      </w:r>
      <w:r w:rsidRPr="00D636C4">
        <w:rPr>
          <w:rFonts w:ascii="Calibri" w:eastAsia="Calibri" w:hAnsi="Calibri" w:cs="Calibri"/>
        </w:rPr>
        <w:t xml:space="preserve">à travers la CNAM depuis 2020. Le programme </w:t>
      </w:r>
      <w:proofErr w:type="spellStart"/>
      <w:r w:rsidRPr="00D636C4">
        <w:rPr>
          <w:rFonts w:ascii="Calibri" w:eastAsia="Calibri" w:hAnsi="Calibri" w:cs="Calibri"/>
        </w:rPr>
        <w:t>Taazour</w:t>
      </w:r>
      <w:proofErr w:type="spellEnd"/>
      <w:r w:rsidRPr="00D636C4">
        <w:rPr>
          <w:rFonts w:ascii="Calibri" w:eastAsia="Calibri" w:hAnsi="Calibri" w:cs="Calibri"/>
        </w:rPr>
        <w:t xml:space="preserve"> a permis d’identifier les ménages vulnérables dans le Registre Social Unifié pour bénéficier d’une couverture sans frais, ce qui représente approximativement 640,000 individus, ou 14% de la population totale.</w:t>
      </w:r>
    </w:p>
    <w:p w14:paraId="70EA007A" w14:textId="77777777" w:rsidR="006C2DA4" w:rsidRPr="00D636C4" w:rsidRDefault="006C2DA4" w:rsidP="006C2DA4">
      <w:pPr>
        <w:numPr>
          <w:ilvl w:val="0"/>
          <w:numId w:val="8"/>
        </w:numPr>
        <w:jc w:val="both"/>
        <w:rPr>
          <w:rFonts w:ascii="Calibri" w:eastAsia="Calibri" w:hAnsi="Calibri" w:cs="Calibri"/>
        </w:rPr>
      </w:pPr>
      <w:r w:rsidRPr="00D636C4">
        <w:rPr>
          <w:rFonts w:ascii="Calibri" w:eastAsia="Calibri" w:hAnsi="Calibri" w:cs="Calibri"/>
        </w:rPr>
        <w:t xml:space="preserve">La création de la CNASS en 2022, une nouvelle assurance volontaire contributive nationale, est censée combler ce gap, mais les dispositifs volontaires existants et l’expérience internationale suggèrent un potentiel limité (risque de sélection adverse et faible taux d’adhésion).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{"citationItems":[{"id":"ITEM-1","itemData":{"DOI":"10.1186/s12913-017-2419-5","ISSN":"14726963","PMID":"28784123","abstract":"Background: Persistent low membership is observed in many community-based health insurance (CBHI) schemes in Africa. Causes for low membership have been identified and solutions suggested, but this did not result in increased membership. In this case study of the mutual health organisation of Dar Naïm in Mauritania we explore the underlying drivers that may explain why membership continued to stagnate although several plans for change had been designed. Methods: We used a systems approach focussed on processes, underlying dynamics and complex interactions that produce the outcomes, to delve into 10 years of data collected between 2003 and 2012. We used qualitative research methods to analyse the data and interpret patterns. Results: Direct causes of stagnation and possible solutions had been identified in the early years of operations, but most of the possible solutions were not implemented. A combination of reasons explains why consecutive action plans were not put into practice, showing the complexity of implementation and the considerable management capacity required, as well as the challenges of integrating a novel organisational structure into exiting social structures. Conclusions: For any CBHI project aiming at high membership, skilled professional management seems essential, with capacity to question and adapt routine procedures and interpret interactions within the wider society. Countries that include community-based health insurance in their strategic plan towards universal coverage will have to pay more attention to management capacity and the minutiae of implementation.","author":[{"dropping-particle":"","family":"Waelkens","given":"Maria Pia","non-dropping-particle":"","parse-names":false,"suffix":""},{"dropping-particle":"","family":"Coppieters","given":"Yves","non-dropping-particle":"","parse-names":false,"suffix":""},{"dropping-particle":"","family":"Laokri","given":"Samia","non-dropping-particle":"","parse-names":false,"suffix":""},{"dropping-particle":"","family":"Criel","given":"Bart","non-dropping-particle":"","parse-names":false,"suffix":""}],"container-title":"BMC Health Services Research","id":"ITEM-1","issue":"1","issued":{"date-parts":[["2017"]]},"page":"1-18","publisher":"BMC Health Services Research","title":"An in-depth investigation of the causes of persistent low membership of community-based health insurance: A case study of the mutual health organisation of Dar Naïm, Mauritania","type":"article-journal","volume":"17"},"uris":["http://www.mendeley.com/documents/?uuid=acd84e3d-beef-4600-b324-3acd740cfa8f"]},{"id":"ITEM-2","itemData":{"ISBN":"9789242510119","ISSN":"09601481","abstract":"Computer simulation and analysis of a ground source heat pump system with horizontal ground heat exchangers operating in heating (max 5.5 kW) and cooling (max 3.3 kW) mode was carried out for a typical residential house, with 200 m 2 of living space, located in Sapporo (Japan). In spite of high electricity rate, the ground source heat pump system is more beneficial alternative for space heating than an oil furnace and an electric resistance system. Besides, the heat pump technology offers relatively low thermal degradation of the ground environment, lower cost of heating and cooling, higher operating efficiency than electric resistance heating or air-source heat pump and is environmentally clean, i.e. without greenhouse gas emission, if the electricity is generated from renewable energy resources, such as wind and solar. The use of the cooling mode can provide further benefits like a shorter investment payback and human thermal comfort in summer. As a result, application of horizontal loops for new and retrofit residential and commercial use in northern Japan is feasible particularly in farmland areas. Crown Copyright © 2008.","author":[{"dropping-particle":"","family":"Mcintyre","given":"Diane","non-dropping-particle":"","parse-names":false,"suffix":""},{"dropping-particle":"","family":"Kutzin","given":"Joseph","non-dropping-particle":"","parse-names":false,"suffix":""}],"id":"ITEM-2","issued":{"date-parts":[["2017"]]},"number-of-pages":"64","title":"Diagnostic pour le financement de la santé : les bases de l’élaboration d’une stratégie nationale","type":"book"},"uris":["http://www.mendeley.com/documents/?uuid=b05d4aed-d5d6-40da-95dc-e556da0cc953"]}],"mendeley":{"formattedCitation":"[20], [24]","plainTextFormattedCitation":"[20], [24]","previouslyFormattedCitation":"[20], [24]"},"properties":{"noteIndex":0},"schema":"https://github.com/citation-style-language/schema/raw/master/csl-citation.json"}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[20], [24]</w:t>
      </w:r>
      <w:r w:rsidR="009904FE" w:rsidRPr="00D636C4">
        <w:rPr>
          <w:rFonts w:ascii="Calibri" w:eastAsia="Calibri" w:hAnsi="Calibri" w:cs="Calibri"/>
        </w:rPr>
        <w:fldChar w:fldCharType="end"/>
      </w:r>
      <w:r>
        <w:rPr>
          <w:rFonts w:ascii="Calibri" w:eastAsia="Calibri" w:hAnsi="Calibri" w:cs="Calibri"/>
        </w:rPr>
        <w:t xml:space="preserve">. En Décembre 2023, la CNASS bénéficiait de 43,333 adhérents, soit 1% de la population. </w:t>
      </w:r>
    </w:p>
    <w:p w14:paraId="5C2140E1" w14:textId="77777777" w:rsidR="006C2DA4" w:rsidRPr="00D636C4" w:rsidRDefault="006C2DA4" w:rsidP="006C2DA4">
      <w:pPr>
        <w:jc w:val="both"/>
        <w:rPr>
          <w:rFonts w:ascii="Calibri" w:eastAsia="Calibri" w:hAnsi="Calibri" w:cs="Calibri"/>
        </w:rPr>
      </w:pPr>
    </w:p>
    <w:p w14:paraId="02C2DB9F" w14:textId="77777777" w:rsidR="006C2DA4" w:rsidRPr="00D636C4" w:rsidRDefault="006C2DA4" w:rsidP="006C2DA4">
      <w:pPr>
        <w:jc w:val="both"/>
        <w:rPr>
          <w:rFonts w:ascii="Calibri" w:eastAsia="Calibri" w:hAnsi="Calibri" w:cs="Calibri"/>
        </w:rPr>
      </w:pPr>
      <w:r w:rsidRPr="00D636C4">
        <w:rPr>
          <w:rFonts w:ascii="Calibri" w:eastAsia="Calibri" w:hAnsi="Calibri" w:cs="Calibri"/>
          <w:b/>
        </w:rPr>
        <w:t>Fragmentation importante entre les différents dispositifs de mise en commun :</w:t>
      </w:r>
      <w:r w:rsidRPr="00D636C4">
        <w:rPr>
          <w:rFonts w:ascii="Calibri" w:eastAsia="Calibri" w:hAnsi="Calibri" w:cs="Calibri"/>
        </w:rPr>
        <w:t xml:space="preserve"> la CNAM, la CNASS et le budget de l'état ne sont pas mis en commun, donc ne permettent pas une mutualisation des risques et des ressources. </w:t>
      </w:r>
    </w:p>
    <w:p w14:paraId="08701B1D" w14:textId="77777777" w:rsidR="006C2DA4" w:rsidRPr="00D636C4" w:rsidRDefault="006C2DA4" w:rsidP="006C2DA4">
      <w:pPr>
        <w:jc w:val="both"/>
        <w:rPr>
          <w:rFonts w:ascii="Calibri" w:eastAsia="Calibri" w:hAnsi="Calibri" w:cs="Calibri"/>
          <w:b/>
        </w:rPr>
      </w:pPr>
    </w:p>
    <w:p w14:paraId="4FCCCB6D" w14:textId="77777777" w:rsidR="006C2DA4" w:rsidRPr="0016798D" w:rsidRDefault="006C2DA4" w:rsidP="006C2DA4">
      <w:pPr>
        <w:jc w:val="both"/>
        <w:rPr>
          <w:rFonts w:ascii="Calibri" w:eastAsia="Calibri" w:hAnsi="Calibri" w:cs="Calibri"/>
        </w:rPr>
      </w:pPr>
      <w:r w:rsidRPr="00D636C4">
        <w:rPr>
          <w:rFonts w:ascii="Calibri" w:eastAsia="Calibri" w:hAnsi="Calibri" w:cs="Calibri"/>
          <w:b/>
        </w:rPr>
        <w:t>Il existe en parallèle une multitude de programmes de gratuité ciblée des soins pour des pathologies prioritaire</w:t>
      </w:r>
      <w:r w:rsidRPr="00D636C4">
        <w:rPr>
          <w:rFonts w:ascii="Calibri" w:eastAsia="Calibri" w:hAnsi="Calibri" w:cs="Calibri"/>
        </w:rPr>
        <w:t xml:space="preserve">s (VIH, paludisme, soins maternels, etc.) – mais l'exhaustivité de ce qui est couvert par ces programmes et leur efficacité au niveau opérationnel restent mitigées, particulièrement au niveau des </w:t>
      </w:r>
      <w:r>
        <w:rPr>
          <w:rFonts w:ascii="Calibri" w:eastAsia="Calibri" w:hAnsi="Calibri" w:cs="Calibri"/>
        </w:rPr>
        <w:t>soins de santé primaire (</w:t>
      </w:r>
      <w:r w:rsidRPr="00D636C4">
        <w:rPr>
          <w:rFonts w:ascii="Calibri" w:eastAsia="Calibri" w:hAnsi="Calibri" w:cs="Calibri"/>
        </w:rPr>
        <w:t>SSP</w:t>
      </w:r>
      <w:r>
        <w:rPr>
          <w:rFonts w:ascii="Calibri" w:eastAsia="Calibri" w:hAnsi="Calibri" w:cs="Calibri"/>
        </w:rPr>
        <w:t>)</w:t>
      </w:r>
      <w:r w:rsidRPr="00D636C4">
        <w:rPr>
          <w:rFonts w:ascii="Calibri" w:eastAsia="Calibri" w:hAnsi="Calibri" w:cs="Calibri"/>
        </w:rPr>
        <w:t>, faute d’une insuffisance de financement, des fondements juridiques peu clairs, et d’un manque d’intégration dans le système de santé national.</w:t>
      </w:r>
      <w:r w:rsidRPr="00D636C4">
        <w:rPr>
          <w:rFonts w:ascii="Calibri" w:eastAsia="Calibri" w:hAnsi="Calibri" w:cs="Calibri"/>
          <w:b/>
          <w:color w:val="2F5496"/>
        </w:rPr>
        <w:t xml:space="preserve"> </w:t>
      </w:r>
    </w:p>
    <w:p w14:paraId="7EA505A7" w14:textId="77777777" w:rsidR="006C2DA4" w:rsidRPr="0016798D" w:rsidRDefault="006C2DA4" w:rsidP="006C2DA4">
      <w:pPr>
        <w:pStyle w:val="Heading2"/>
        <w:keepNext w:val="0"/>
        <w:keepLines w:val="0"/>
        <w:spacing w:after="80"/>
        <w:rPr>
          <w:rFonts w:ascii="Calibri" w:eastAsia="Calibri" w:hAnsi="Calibri" w:cs="Calibri"/>
          <w:b/>
          <w:sz w:val="22"/>
          <w:szCs w:val="22"/>
        </w:rPr>
      </w:pPr>
      <w:bookmarkStart w:id="27" w:name="_Toc137847493"/>
      <w:bookmarkStart w:id="28" w:name="_Toc140268441"/>
      <w:r w:rsidRPr="00D636C4">
        <w:rPr>
          <w:rFonts w:ascii="Calibri" w:eastAsia="Calibri" w:hAnsi="Calibri" w:cs="Calibri"/>
          <w:b/>
          <w:sz w:val="22"/>
          <w:szCs w:val="22"/>
        </w:rPr>
        <w:t>3.3. Analyse de l’allocation de ressources et l’achat de services</w:t>
      </w:r>
      <w:bookmarkEnd w:id="27"/>
      <w:bookmarkEnd w:id="28"/>
    </w:p>
    <w:p w14:paraId="1BD6CC42" w14:textId="77777777" w:rsidR="006C2DA4" w:rsidRPr="00D636C4" w:rsidRDefault="006C2DA4" w:rsidP="006C2DA4">
      <w:pPr>
        <w:jc w:val="both"/>
        <w:rPr>
          <w:rFonts w:ascii="Calibri" w:eastAsia="Calibri" w:hAnsi="Calibri" w:cs="Calibri"/>
          <w:b/>
        </w:rPr>
      </w:pPr>
      <w:r w:rsidRPr="00D636C4">
        <w:rPr>
          <w:rFonts w:ascii="Calibri" w:eastAsia="Calibri" w:hAnsi="Calibri" w:cs="Calibri"/>
          <w:b/>
        </w:rPr>
        <w:t>Les ressources disponibles au secteur de la santé vont en priorité aux hôpitaux, avec une part insuffi</w:t>
      </w:r>
      <w:r>
        <w:rPr>
          <w:rFonts w:ascii="Calibri" w:eastAsia="Calibri" w:hAnsi="Calibri" w:cs="Calibri"/>
          <w:b/>
        </w:rPr>
        <w:t xml:space="preserve">sante </w:t>
      </w:r>
      <w:r w:rsidRPr="00D636C4">
        <w:rPr>
          <w:rFonts w:ascii="Calibri" w:eastAsia="Calibri" w:hAnsi="Calibri" w:cs="Calibri"/>
          <w:b/>
        </w:rPr>
        <w:t xml:space="preserve"> dédiée aux </w:t>
      </w:r>
      <w:r>
        <w:rPr>
          <w:rFonts w:ascii="Calibri" w:eastAsia="Calibri" w:hAnsi="Calibri" w:cs="Calibri"/>
          <w:b/>
        </w:rPr>
        <w:t>SSP</w:t>
      </w:r>
      <w:r w:rsidRPr="00D636C4">
        <w:rPr>
          <w:rFonts w:ascii="Calibri" w:eastAsia="Calibri" w:hAnsi="Calibri" w:cs="Calibri"/>
          <w:b/>
        </w:rPr>
        <w:t>. De plus, le manque d’alignement entre les différents dispositifs de paiement sont peu propices à un achat stratégique.</w:t>
      </w:r>
    </w:p>
    <w:p w14:paraId="1A66CBBB" w14:textId="77777777" w:rsidR="006C2DA4" w:rsidRPr="00D636C4" w:rsidRDefault="006C2DA4" w:rsidP="006C2DA4">
      <w:pPr>
        <w:jc w:val="both"/>
        <w:rPr>
          <w:rFonts w:ascii="Calibri" w:eastAsia="Calibri" w:hAnsi="Calibri" w:cs="Calibri"/>
          <w:b/>
        </w:rPr>
      </w:pPr>
      <w:r w:rsidRPr="00D636C4">
        <w:rPr>
          <w:rFonts w:ascii="Calibri" w:eastAsia="Calibri" w:hAnsi="Calibri" w:cs="Calibri"/>
          <w:b/>
        </w:rPr>
        <w:t xml:space="preserve"> </w:t>
      </w:r>
    </w:p>
    <w:p w14:paraId="74A290E8" w14:textId="77777777" w:rsidR="006C2DA4" w:rsidRPr="00D636C4" w:rsidRDefault="006C2DA4" w:rsidP="006C2DA4">
      <w:pPr>
        <w:jc w:val="both"/>
        <w:rPr>
          <w:rFonts w:ascii="Calibri" w:eastAsia="Calibri" w:hAnsi="Calibri" w:cs="Calibri"/>
          <w:b/>
        </w:rPr>
      </w:pPr>
      <w:r w:rsidRPr="00D636C4">
        <w:rPr>
          <w:rFonts w:ascii="Calibri" w:eastAsia="Calibri" w:hAnsi="Calibri" w:cs="Calibri"/>
          <w:b/>
        </w:rPr>
        <w:t>Allocation des ressources de la santé</w:t>
      </w:r>
    </w:p>
    <w:p w14:paraId="1B9E1B88" w14:textId="77777777" w:rsidR="006C2DA4" w:rsidRPr="00D636C4" w:rsidRDefault="006C2DA4" w:rsidP="006C2DA4">
      <w:pPr>
        <w:numPr>
          <w:ilvl w:val="0"/>
          <w:numId w:val="19"/>
        </w:numPr>
        <w:jc w:val="both"/>
        <w:rPr>
          <w:rFonts w:ascii="Calibri" w:eastAsia="Calibri" w:hAnsi="Calibri" w:cs="Calibri"/>
        </w:rPr>
      </w:pPr>
      <w:r w:rsidRPr="00D636C4">
        <w:rPr>
          <w:rFonts w:ascii="Calibri" w:eastAsia="Calibri" w:hAnsi="Calibri" w:cs="Calibri"/>
        </w:rPr>
        <w:t>Les allocations du budget du ministère de la santé sont principalement basées sur les intrants (salaires</w:t>
      </w:r>
      <w:r>
        <w:rPr>
          <w:rFonts w:ascii="Calibri" w:eastAsia="Calibri" w:hAnsi="Calibri" w:cs="Calibri"/>
        </w:rPr>
        <w:t xml:space="preserve"> et</w:t>
      </w:r>
      <w:r w:rsidRPr="00D636C4">
        <w:rPr>
          <w:rFonts w:ascii="Calibri" w:eastAsia="Calibri" w:hAnsi="Calibri" w:cs="Calibri"/>
        </w:rPr>
        <w:t xml:space="preserve"> crédits délégués pour fonctionnement), suivant une logique historique. Il n’existe pas de formule de répartition des fonds publics pour la santé intégrant par exemple des critères d’équité. La transition vers un budget par programme est en cours, décrite ci-dessous.</w:t>
      </w:r>
    </w:p>
    <w:p w14:paraId="1B92DEA4" w14:textId="77777777" w:rsidR="006C2DA4" w:rsidRDefault="006C2DA4" w:rsidP="006C2DA4">
      <w:pPr>
        <w:numPr>
          <w:ilvl w:val="0"/>
          <w:numId w:val="19"/>
        </w:numPr>
        <w:jc w:val="both"/>
        <w:rPr>
          <w:rFonts w:ascii="Calibri" w:eastAsia="Calibri" w:hAnsi="Calibri" w:cs="Calibri"/>
        </w:rPr>
      </w:pPr>
      <w:r w:rsidRPr="00D636C4">
        <w:rPr>
          <w:rFonts w:ascii="Calibri" w:eastAsia="Calibri" w:hAnsi="Calibri" w:cs="Calibri"/>
        </w:rPr>
        <w:t>Les crédits délégués n’arrivent pas directement au niveau des P</w:t>
      </w:r>
      <w:r>
        <w:rPr>
          <w:rFonts w:ascii="Calibri" w:eastAsia="Calibri" w:hAnsi="Calibri" w:cs="Calibri"/>
        </w:rPr>
        <w:t>S</w:t>
      </w:r>
      <w:r w:rsidRPr="00D636C4">
        <w:rPr>
          <w:rFonts w:ascii="Calibri" w:eastAsia="Calibri" w:hAnsi="Calibri" w:cs="Calibri"/>
        </w:rPr>
        <w:t>. En effet, les fonds du niveau central devraient leur être acheminés à travers la Moughataa pour couvrir la fourniture de matériel et d'équipement et leurs frais de fonctionnement. Bien qu’il y ait peu d’information sur l’allocation de ces ressources, celles-ci ne semblent pas toujours atteindre les FOSA. La majorité des recettes des FOSA au niveau des SSP proviennent du recouvrement de coûts, avec une pénétration limitée des autres payeurs (assurances et budget de l'État).</w:t>
      </w:r>
    </w:p>
    <w:p w14:paraId="6C73EFD3" w14:textId="77777777" w:rsidR="006C2DA4" w:rsidRPr="00005B28" w:rsidRDefault="006C2DA4" w:rsidP="006C2DA4">
      <w:pPr>
        <w:numPr>
          <w:ilvl w:val="0"/>
          <w:numId w:val="19"/>
        </w:numPr>
        <w:jc w:val="both"/>
        <w:rPr>
          <w:rFonts w:ascii="Calibri" w:eastAsia="Calibri" w:hAnsi="Calibri" w:cs="Calibri"/>
        </w:rPr>
      </w:pPr>
      <w:r>
        <w:rPr>
          <w:rFonts w:ascii="Calibri" w:eastAsia="Calibri" w:hAnsi="Calibri" w:cs="Calibri"/>
        </w:rPr>
        <w:t>Les</w:t>
      </w:r>
      <w:r w:rsidRPr="00005B28">
        <w:rPr>
          <w:rFonts w:ascii="Calibri" w:eastAsia="Calibri" w:hAnsi="Calibri" w:cs="Calibri"/>
        </w:rPr>
        <w:t xml:space="preserve"> crédits délégués </w:t>
      </w:r>
      <w:r>
        <w:rPr>
          <w:rFonts w:ascii="Calibri" w:eastAsia="Calibri" w:hAnsi="Calibri" w:cs="Calibri"/>
        </w:rPr>
        <w:t>sont</w:t>
      </w:r>
      <w:r w:rsidRPr="00005B28">
        <w:rPr>
          <w:rFonts w:ascii="Calibri" w:eastAsia="Calibri" w:hAnsi="Calibri" w:cs="Calibri"/>
        </w:rPr>
        <w:t xml:space="preserve"> majoritairement attribués aux hôpitaux (82%), contre 18% alloué aux circonscriptions sanitaires. Dans la région de Nouakchott, la part des hôpitaux est </w:t>
      </w:r>
      <w:r>
        <w:rPr>
          <w:rFonts w:ascii="Calibri" w:eastAsia="Calibri" w:hAnsi="Calibri" w:cs="Calibri"/>
        </w:rPr>
        <w:t xml:space="preserve">de </w:t>
      </w:r>
      <w:r w:rsidRPr="00005B28">
        <w:rPr>
          <w:rFonts w:ascii="Calibri" w:eastAsia="Calibri" w:hAnsi="Calibri" w:cs="Calibri"/>
        </w:rPr>
        <w:t xml:space="preserve">96%, et est </w:t>
      </w:r>
      <w:r w:rsidRPr="00005B28">
        <w:rPr>
          <w:rFonts w:ascii="Calibri" w:eastAsia="Calibri" w:hAnsi="Calibri" w:cs="Calibri"/>
        </w:rPr>
        <w:lastRenderedPageBreak/>
        <w:t xml:space="preserve">consommée par 9 structures tertiaires et spécialisées (voir Graph </w:t>
      </w:r>
      <w:r>
        <w:rPr>
          <w:rFonts w:ascii="Calibri" w:eastAsia="Calibri" w:hAnsi="Calibri" w:cs="Calibri"/>
        </w:rPr>
        <w:t>5</w:t>
      </w:r>
      <w:r w:rsidRPr="00005B28">
        <w:rPr>
          <w:rFonts w:ascii="Calibri" w:eastAsia="Calibri" w:hAnsi="Calibri" w:cs="Calibri"/>
        </w:rPr>
        <w:t xml:space="preserve"> ci-dessous)</w:t>
      </w:r>
      <w:r>
        <w:rPr>
          <w:rFonts w:ascii="Calibri" w:eastAsia="Calibri" w:hAnsi="Calibri" w:cs="Calibri"/>
        </w:rPr>
        <w:t xml:space="preserve">. </w:t>
      </w:r>
      <w:r w:rsidRPr="00005B28">
        <w:rPr>
          <w:rFonts w:ascii="Calibri" w:eastAsia="Calibri" w:hAnsi="Calibri" w:cs="Calibri"/>
        </w:rPr>
        <w:t>La somme allouée à ces structures en 2019 s'élève à plus de 265 millions de MRU, ce qui équivaut à presque la moitié (46%) de tout ce type de financement au niveau du pays.</w:t>
      </w:r>
      <w:r w:rsidRPr="00005B28">
        <w:rPr>
          <w:rFonts w:ascii="Calibri" w:eastAsia="Calibri" w:hAnsi="Calibri" w:cs="Calibri"/>
        </w:rPr>
        <w:tab/>
      </w:r>
    </w:p>
    <w:p w14:paraId="36C45EF9" w14:textId="77777777" w:rsidR="006C2DA4" w:rsidRPr="00D636C4" w:rsidRDefault="006C2DA4" w:rsidP="006C2DA4">
      <w:pPr>
        <w:jc w:val="both"/>
        <w:rPr>
          <w:rFonts w:ascii="Calibri" w:eastAsia="Calibri" w:hAnsi="Calibri" w:cs="Calibri"/>
        </w:rPr>
      </w:pPr>
    </w:p>
    <w:p w14:paraId="267C50E6" w14:textId="77777777" w:rsidR="006C2DA4" w:rsidRPr="00D636C4" w:rsidRDefault="006C2DA4" w:rsidP="006C2DA4">
      <w:pPr>
        <w:rPr>
          <w:rFonts w:ascii="Calibri" w:eastAsia="Calibri" w:hAnsi="Calibri" w:cs="Calibri"/>
        </w:rPr>
      </w:pPr>
      <w:r w:rsidRPr="00D636C4">
        <w:rPr>
          <w:rFonts w:ascii="Calibri" w:eastAsia="Calibri" w:hAnsi="Calibri" w:cs="Calibri"/>
          <w:b/>
        </w:rPr>
        <w:t xml:space="preserve">Graph </w:t>
      </w:r>
      <w:r>
        <w:rPr>
          <w:rFonts w:ascii="Calibri" w:eastAsia="Calibri" w:hAnsi="Calibri" w:cs="Calibri"/>
          <w:b/>
        </w:rPr>
        <w:t>5</w:t>
      </w:r>
      <w:r w:rsidRPr="00D636C4">
        <w:rPr>
          <w:rFonts w:ascii="Calibri" w:eastAsia="Calibri" w:hAnsi="Calibri" w:cs="Calibri"/>
          <w:b/>
        </w:rPr>
        <w:t xml:space="preserve"> </w:t>
      </w:r>
      <w:r w:rsidRPr="00D636C4">
        <w:rPr>
          <w:rFonts w:ascii="Calibri" w:eastAsia="Calibri" w:hAnsi="Calibri" w:cs="Calibri"/>
        </w:rPr>
        <w:t xml:space="preserve">: Dépenses publiques du ministère de la Santé en 2019 alloués au niveau régional (CS et Circonscriptions Sanitaires versus centres hospitaliers) </w:t>
      </w:r>
    </w:p>
    <w:p w14:paraId="0A384440" w14:textId="77777777" w:rsidR="006C2DA4" w:rsidRPr="00D636C4" w:rsidRDefault="006C2DA4" w:rsidP="006C2DA4">
      <w:pPr>
        <w:jc w:val="both"/>
        <w:rPr>
          <w:rFonts w:ascii="Calibri" w:eastAsia="Calibri" w:hAnsi="Calibri" w:cs="Calibri"/>
        </w:rPr>
      </w:pPr>
      <w:r w:rsidRPr="00D636C4">
        <w:rPr>
          <w:noProof/>
          <w:lang w:eastAsia="fr-FR"/>
        </w:rPr>
        <w:drawing>
          <wp:inline distT="0" distB="0" distL="0" distR="0" wp14:anchorId="61EC4044" wp14:editId="3F6A5448">
            <wp:extent cx="5943600" cy="3385820"/>
            <wp:effectExtent l="0" t="0" r="12700" b="17780"/>
            <wp:docPr id="8" name="Chart 1">
              <a:extLst xmlns:a="http://schemas.openxmlformats.org/drawingml/2006/main">
                <a:ext uri="{FF2B5EF4-FFF2-40B4-BE49-F238E27FC236}">
                  <a16:creationId xmlns:a16="http://schemas.microsoft.com/office/drawing/2014/main" id="{0711D5EC-B81B-6FB2-3CDB-BEE3CAED6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9F03AC"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Source : Données Boost pour la Mauritanie (2019)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{"citationItems":[{"id":"ITEM-1","itemData":{"author":[{"dropping-particle":"","family":"World Bank Group","given":"","non-dropping-particle":"","parse-names":false,"suffix":""}],"container-title":"datacatalog.worldbank.org","id":"ITEM-1","issued":{"date-parts":[["2023"]]},"title":"Mauritania BOOST Public Expenditure Database","type":"webpage"},"uris":["http://www.mendeley.com/documents/?uuid=a4714b34-f749-4957-b971-e12dd3e0de71"]}],"mendeley":{"formattedCitation":"[25]","plainTextFormattedCitation":"[25]","previouslyFormattedCitation":"[25]"},"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[25]</w:t>
      </w:r>
      <w:r w:rsidR="009904FE" w:rsidRPr="00D636C4">
        <w:rPr>
          <w:rFonts w:ascii="Calibri" w:eastAsia="Calibri" w:hAnsi="Calibri" w:cs="Calibri"/>
        </w:rPr>
        <w:fldChar w:fldCharType="end"/>
      </w:r>
    </w:p>
    <w:p w14:paraId="0E5CAEB6" w14:textId="77777777" w:rsidR="006C2DA4" w:rsidRPr="00D636C4" w:rsidRDefault="006C2DA4" w:rsidP="006C2DA4">
      <w:pPr>
        <w:jc w:val="both"/>
        <w:rPr>
          <w:rFonts w:ascii="Calibri" w:eastAsia="Calibri" w:hAnsi="Calibri" w:cs="Calibri"/>
        </w:rPr>
      </w:pPr>
    </w:p>
    <w:p w14:paraId="14A72BB3" w14:textId="77777777" w:rsidR="006C2DA4" w:rsidRPr="00D636C4" w:rsidRDefault="006C2DA4" w:rsidP="006C2DA4">
      <w:pPr>
        <w:numPr>
          <w:ilvl w:val="0"/>
          <w:numId w:val="19"/>
        </w:numPr>
        <w:jc w:val="both"/>
        <w:rPr>
          <w:rFonts w:ascii="Calibri" w:eastAsia="Calibri" w:hAnsi="Calibri" w:cs="Calibri"/>
        </w:rPr>
      </w:pPr>
      <w:r w:rsidRPr="00D636C4">
        <w:rPr>
          <w:rFonts w:ascii="Calibri" w:eastAsia="Calibri" w:hAnsi="Calibri" w:cs="Calibri"/>
        </w:rPr>
        <w:t>La proportion du financement extérieur dédiée aux SSP augmente et représente la quasi-totalité (97.4 %) de leurs dépenses en santé.</w:t>
      </w:r>
    </w:p>
    <w:p w14:paraId="6C44329D" w14:textId="77777777" w:rsidR="006C2DA4" w:rsidRPr="0016798D" w:rsidRDefault="006C2DA4" w:rsidP="006C2DA4">
      <w:pPr>
        <w:jc w:val="both"/>
        <w:rPr>
          <w:rFonts w:ascii="Calibri" w:eastAsia="Calibri" w:hAnsi="Calibri" w:cs="Calibri"/>
          <w:b/>
        </w:rPr>
      </w:pPr>
      <w:r w:rsidRPr="00D636C4">
        <w:rPr>
          <w:rFonts w:ascii="Calibri" w:eastAsia="Calibri" w:hAnsi="Calibri" w:cs="Calibri"/>
        </w:rPr>
        <w:t xml:space="preserve"> </w:t>
      </w:r>
    </w:p>
    <w:p w14:paraId="0F56A0E8" w14:textId="77777777" w:rsidR="006C2DA4" w:rsidRPr="00D636C4" w:rsidRDefault="006C2DA4" w:rsidP="006C2DA4">
      <w:pPr>
        <w:rPr>
          <w:rFonts w:ascii="Calibri" w:eastAsia="Calibri" w:hAnsi="Calibri" w:cs="Calibri"/>
          <w:b/>
        </w:rPr>
      </w:pPr>
      <w:r w:rsidRPr="00D636C4">
        <w:rPr>
          <w:rFonts w:ascii="Calibri" w:eastAsia="Calibri" w:hAnsi="Calibri" w:cs="Calibri"/>
          <w:b/>
        </w:rPr>
        <w:t>Il existe des faiblesses dans la Gestion des Finances Publique</w:t>
      </w:r>
      <w:r>
        <w:rPr>
          <w:rFonts w:ascii="Calibri" w:eastAsia="Calibri" w:hAnsi="Calibri" w:cs="Calibri"/>
          <w:b/>
        </w:rPr>
        <w:t>s</w:t>
      </w:r>
      <w:r w:rsidRPr="00D636C4">
        <w:rPr>
          <w:rFonts w:ascii="Calibri" w:eastAsia="Calibri" w:hAnsi="Calibri" w:cs="Calibri"/>
          <w:b/>
        </w:rPr>
        <w:t xml:space="preserve"> (GFP) au niveau national, touchant particulièrement le secteur de la santé.</w:t>
      </w:r>
    </w:p>
    <w:p w14:paraId="09679F1B" w14:textId="77777777" w:rsidR="006C2DA4" w:rsidRPr="00D636C4" w:rsidRDefault="006C2DA4" w:rsidP="006C2DA4">
      <w:pPr>
        <w:numPr>
          <w:ilvl w:val="0"/>
          <w:numId w:val="11"/>
        </w:numPr>
        <w:jc w:val="both"/>
        <w:rPr>
          <w:rFonts w:ascii="Calibri" w:eastAsia="Calibri" w:hAnsi="Calibri" w:cs="Calibri"/>
        </w:rPr>
      </w:pPr>
      <w:r w:rsidRPr="00D636C4">
        <w:rPr>
          <w:rFonts w:ascii="Calibri" w:eastAsia="Calibri" w:hAnsi="Calibri" w:cs="Calibri"/>
        </w:rPr>
        <w:t xml:space="preserve">Selon une analyse récente de la GFP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{"citationItems":[{"id":"ITEM-1","itemData":{"author":[{"dropping-particle":"","family":"Banque Mondiale","given":"","non-dropping-particle":"","parse-names":false,"suffix":""},{"dropping-particle":"","family":"Ministère de la santé de la République Islamique de Mauritanie","given":"","non-dropping-particle":"","parse-names":false,"suffix":""}],"id":"ITEM-1","issued":{"date-parts":[["2023"]]},"publisher-place":"Nouakchott","title":"Conditions propices à l'intégration du financement basé sur la performance dans les systèmes de gestion des finances publiques de la santé en Mauritanie - Conclusions préliminaires – Analyse de la situation (Draft Avril 2023)","type":"article"},"uris":["http://www.mendeley.com/documents/?uuid=3cf9c53f-7b84-4dd4-9011-797f2ccf0d75"]}],"mendeley":{"formattedCitation":"[26]","plainTextFormattedCitation":"[26]","previouslyFormattedCitation":"[26]"},"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[26]</w:t>
      </w:r>
      <w:r w:rsidR="009904FE" w:rsidRPr="00D636C4">
        <w:rPr>
          <w:rFonts w:ascii="Calibri" w:eastAsia="Calibri" w:hAnsi="Calibri" w:cs="Calibri"/>
        </w:rPr>
        <w:fldChar w:fldCharType="end"/>
      </w:r>
      <w:r w:rsidRPr="00D636C4">
        <w:rPr>
          <w:rFonts w:ascii="Calibri" w:eastAsia="Calibri" w:hAnsi="Calibri" w:cs="Calibri"/>
        </w:rPr>
        <w:t xml:space="preserve">, le lien entre la planification stratégique de la santé et la préparation du budget est actuellement faible – l’estimation des coûts du plan stratégique du secteur est faite avec l’outil </w:t>
      </w:r>
      <w:proofErr w:type="spellStart"/>
      <w:r w:rsidRPr="00D636C4">
        <w:rPr>
          <w:rFonts w:ascii="Calibri" w:eastAsia="Calibri" w:hAnsi="Calibri" w:cs="Calibri"/>
        </w:rPr>
        <w:t>OneHealth</w:t>
      </w:r>
      <w:proofErr w:type="spellEnd"/>
      <w:r w:rsidRPr="00D636C4">
        <w:rPr>
          <w:rFonts w:ascii="Calibri" w:eastAsia="Calibri" w:hAnsi="Calibri" w:cs="Calibri"/>
        </w:rPr>
        <w:t xml:space="preserve"> et n'est pas directement liée à la structure existante du budget national.</w:t>
      </w:r>
    </w:p>
    <w:p w14:paraId="674F7279" w14:textId="77777777" w:rsidR="006C2DA4" w:rsidRPr="00D636C4" w:rsidRDefault="006C2DA4" w:rsidP="006C2DA4">
      <w:pPr>
        <w:numPr>
          <w:ilvl w:val="0"/>
          <w:numId w:val="11"/>
        </w:numPr>
        <w:jc w:val="both"/>
        <w:rPr>
          <w:rFonts w:ascii="Calibri" w:eastAsia="Calibri" w:hAnsi="Calibri" w:cs="Calibri"/>
        </w:rPr>
      </w:pPr>
      <w:r w:rsidRPr="00D636C4">
        <w:rPr>
          <w:rFonts w:ascii="Calibri" w:eastAsia="Calibri" w:hAnsi="Calibri" w:cs="Calibri"/>
        </w:rPr>
        <w:t>En ce qui concerne les fonds externes attribués au secteur, leur intégration dans les systèmes de GFP de l'État demeure limitée, malgré des efforts en cours pour encourager cette pratique. Le Compact National Santé 2018-20, signé par plus de 20 institutions gouvernementales et PTF, a été évalué en 2023. Plusieurs faiblesses ont été signalé</w:t>
      </w:r>
      <w:r>
        <w:rPr>
          <w:rFonts w:ascii="Calibri" w:eastAsia="Calibri" w:hAnsi="Calibri" w:cs="Calibri"/>
        </w:rPr>
        <w:t>e</w:t>
      </w:r>
      <w:r w:rsidRPr="00D636C4">
        <w:rPr>
          <w:rFonts w:ascii="Calibri" w:eastAsia="Calibri" w:hAnsi="Calibri" w:cs="Calibri"/>
        </w:rPr>
        <w:t xml:space="preserve">s, dont le niveau trop faible de leadership et d’appropriation du côté du gouvernement pour mener les processus d’harmonisation, d’alignement et de coordination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{"citationItems":[{"id":"ITEM-1","itemData":{"author":[{"dropping-particle":"","family":"KADDAR","given":"Miloud","non-dropping-particle":"","parse-names":false,"suffix":""},{"dropping-particle":"","family":"VALLY","given":"Abdallah Ould","non-dropping-particle":"EL","parse-names":false,"suffix":""}],"id":"ITEM-1","issued":{"date-parts":[["2023"]]},"publisher-place":"Nouakchott","title":"Évaluation Rapide du Compact National Santé 2018-2020 en République Islamique de Mauritanie","type":"report"},"uris":["http://www.mendeley.com/documents/?uuid=acd5a85a-fc4f-4152-834d-fce56de21ee0"]}],"mendeley":{"formattedCitation":"[27]","plainTextFormattedCitation":"[27]","previouslyFormattedCitation":"[27]"},"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[27]</w:t>
      </w:r>
      <w:r w:rsidR="009904FE" w:rsidRPr="00D636C4">
        <w:rPr>
          <w:rFonts w:ascii="Calibri" w:eastAsia="Calibri" w:hAnsi="Calibri" w:cs="Calibri"/>
        </w:rPr>
        <w:fldChar w:fldCharType="end"/>
      </w:r>
      <w:r w:rsidRPr="00D636C4">
        <w:rPr>
          <w:rFonts w:ascii="Calibri" w:eastAsia="Calibri" w:hAnsi="Calibri" w:cs="Calibri"/>
        </w:rPr>
        <w:t>. Les recommandations devront être intégré</w:t>
      </w:r>
      <w:r>
        <w:rPr>
          <w:rFonts w:ascii="Calibri" w:eastAsia="Calibri" w:hAnsi="Calibri" w:cs="Calibri"/>
        </w:rPr>
        <w:t>es</w:t>
      </w:r>
      <w:r w:rsidRPr="00D636C4">
        <w:rPr>
          <w:rFonts w:ascii="Calibri" w:eastAsia="Calibri" w:hAnsi="Calibri" w:cs="Calibri"/>
        </w:rPr>
        <w:t xml:space="preserve"> à la prochaine itération Compact 2023-2026 en cours de développement.</w:t>
      </w:r>
    </w:p>
    <w:p w14:paraId="6DE7777A" w14:textId="77777777" w:rsidR="006C2DA4" w:rsidRPr="00D636C4" w:rsidRDefault="006C2DA4" w:rsidP="006C2DA4">
      <w:pPr>
        <w:numPr>
          <w:ilvl w:val="0"/>
          <w:numId w:val="11"/>
        </w:numPr>
        <w:jc w:val="both"/>
        <w:rPr>
          <w:rFonts w:ascii="Calibri" w:eastAsia="Calibri" w:hAnsi="Calibri" w:cs="Calibri"/>
        </w:rPr>
      </w:pPr>
      <w:r w:rsidRPr="00D636C4">
        <w:rPr>
          <w:rFonts w:ascii="Calibri" w:eastAsia="Calibri" w:hAnsi="Calibri" w:cs="Calibri"/>
        </w:rPr>
        <w:lastRenderedPageBreak/>
        <w:t>La prévisibilité des flux de financement public pour le secteur de la santé a été faible ces dernières années, exacerbée par la dépendance du budget national global à l'égard de la volatilité des prix des produits de base et par les difficultés à rendre pleinement opérationnel le fonds pétrolier national.</w:t>
      </w:r>
    </w:p>
    <w:p w14:paraId="63DF7642" w14:textId="77777777" w:rsidR="006C2DA4" w:rsidRPr="00D636C4" w:rsidRDefault="006C2DA4" w:rsidP="006C2DA4">
      <w:pPr>
        <w:numPr>
          <w:ilvl w:val="0"/>
          <w:numId w:val="11"/>
        </w:numPr>
        <w:jc w:val="both"/>
        <w:rPr>
          <w:rFonts w:ascii="Calibri" w:eastAsia="Calibri" w:hAnsi="Calibri" w:cs="Calibri"/>
        </w:rPr>
      </w:pPr>
      <w:r w:rsidRPr="00D636C4">
        <w:rPr>
          <w:rFonts w:ascii="Calibri" w:eastAsia="Calibri" w:hAnsi="Calibri" w:cs="Calibri"/>
        </w:rPr>
        <w:t xml:space="preserve">L'exécution du budget de la santé en Mauritanie manque de clarté, </w:t>
      </w:r>
      <w:r>
        <w:rPr>
          <w:rFonts w:ascii="Calibri" w:eastAsia="Calibri" w:hAnsi="Calibri" w:cs="Calibri"/>
        </w:rPr>
        <w:t>selon</w:t>
      </w:r>
      <w:r w:rsidRPr="00D636C4">
        <w:rPr>
          <w:rFonts w:ascii="Calibri" w:eastAsia="Calibri" w:hAnsi="Calibri" w:cs="Calibri"/>
        </w:rPr>
        <w:t xml:space="preserve"> la dernière revue des dépenses publiques nationales pour le secteur datant de 2014.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Santé","given":"","non-dropping-particle":"","parse-names":false,"suffix":""}],"id":"ITEM-1","issued":{"date-parts":[["2014"]]},"number-of-pages":"17-19","publisher-place":"Nouakchott","title":"Revue des dépenses publique de santé (RDPS) 2010-2013","type":"report"},"uris":["http://www.mendeley.com/documents/?uuid=088b8509-ca7e-4c6b-bc38-cf713946ecf2"]}],"mendeley":{"formattedCitation":"[28]","plainTextFormattedCitation":"[28]","previouslyFormattedCitation":"[28]"},"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[28]</w:t>
      </w:r>
      <w:r w:rsidR="009904FE" w:rsidRPr="00D636C4">
        <w:rPr>
          <w:rFonts w:ascii="Calibri" w:eastAsia="Calibri" w:hAnsi="Calibri" w:cs="Calibri"/>
        </w:rPr>
        <w:fldChar w:fldCharType="end"/>
      </w:r>
      <w:r w:rsidRPr="00D636C4">
        <w:rPr>
          <w:rFonts w:ascii="Calibri" w:eastAsia="Calibri" w:hAnsi="Calibri" w:cs="Calibri"/>
        </w:rPr>
        <w:t xml:space="preserve"> La performance en termes d'exécution démontrait une tendance dégradée selon les indicateurs PEFA, </w:t>
      </w:r>
      <w:r>
        <w:rPr>
          <w:rFonts w:ascii="Calibri" w:eastAsia="Calibri" w:hAnsi="Calibri" w:cs="Calibri"/>
        </w:rPr>
        <w:t xml:space="preserve">et </w:t>
      </w:r>
      <w:r w:rsidRPr="00D636C4">
        <w:rPr>
          <w:rFonts w:ascii="Calibri" w:eastAsia="Calibri" w:hAnsi="Calibri" w:cs="Calibri"/>
        </w:rPr>
        <w:t xml:space="preserve">a été encore affaiblie par les effets de la pandémie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{"citationItems":[{"id":"ITEM-1","itemData":{"author":[{"dropping-particle":"","family":"République Islamique de Mauritanie","given":"","non-dropping-particle":"","parse-names":false,"suffix":""}],"id":"ITEM-1","issued":{"date-parts":[["2020"]]},"title":"Évaluation de la performance du système de gestion des finances publiques de la Mauritanie selon la méthodologie PEFA 2016 - Rapport Final","type":"report"},"uris":["http://www.mendeley.com/documents/?uuid=7a661a9f-2c1d-43c6-ab8f-fc0c22545a2c"]},{"id":"ITEM-2","itemData":{"author":[{"dropping-particle":"","family":"Banque Mondiale","given":"","non-dropping-particle":"","parse-names":false,"suffix":""}],"id":"ITEM-2","issued":{"date-parts":[["2021"]]},"publisher-place":"Nouakchott","title":"Revue des dépenses publiques - Mauritanie (2021) Pistes pour maintenir la viabilité budgétaire et soutenir une reprise économique plus inclusive après la COVID-19","type":"report"},"uris":["http://www.mendeley.com/documents/?uuid=28330d42-356e-41c2-9dd7-acbc99cafd24"]}],"mendeley":{"formattedCitation":"[5], [29]","plainTextFormattedCitation":"[5], [29]","previouslyFormattedCitation":"[5], [29]"},"properties":{"noteIndex":0},"schema":"https://github.com/citation-style-language/schema/raw/master/csl-citation.json"}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[5], [29]</w:t>
      </w:r>
      <w:r w:rsidR="009904FE" w:rsidRPr="00D636C4">
        <w:rPr>
          <w:rFonts w:ascii="Calibri" w:eastAsia="Calibri" w:hAnsi="Calibri" w:cs="Calibri"/>
        </w:rPr>
        <w:fldChar w:fldCharType="end"/>
      </w:r>
      <w:r w:rsidRPr="00D636C4">
        <w:rPr>
          <w:rFonts w:ascii="Calibri" w:eastAsia="Calibri" w:hAnsi="Calibri" w:cs="Calibri"/>
        </w:rPr>
        <w:t>.</w:t>
      </w:r>
      <w:r w:rsidRPr="00B44CA8">
        <w:rPr>
          <w:color w:val="4D5156"/>
          <w:sz w:val="16"/>
          <w:szCs w:val="16"/>
          <w:shd w:val="clear" w:color="auto" w:fill="FFFFFF"/>
        </w:rPr>
        <w:t xml:space="preserve"> </w:t>
      </w:r>
      <w:r>
        <w:rPr>
          <w:color w:val="4D5156"/>
          <w:sz w:val="16"/>
          <w:szCs w:val="16"/>
          <w:shd w:val="clear" w:color="auto" w:fill="FFFFFF"/>
        </w:rPr>
        <w:t>Le PEFA est un </w:t>
      </w:r>
      <w:r>
        <w:rPr>
          <w:color w:val="040C28"/>
          <w:sz w:val="16"/>
          <w:szCs w:val="16"/>
        </w:rPr>
        <w:t>outil d'évaluation de la gestion des finances publiques</w:t>
      </w:r>
      <w:r>
        <w:rPr>
          <w:color w:val="4D5156"/>
          <w:sz w:val="16"/>
          <w:szCs w:val="16"/>
          <w:shd w:val="clear" w:color="auto" w:fill="FFFFFF"/>
        </w:rPr>
        <w:t>. L'évaluation PEFA permet de disposer d'une analyse détaillée, systématique et factuelle de la performance de la G</w:t>
      </w:r>
      <w:r w:rsidR="006E35C7">
        <w:rPr>
          <w:color w:val="4D5156"/>
          <w:sz w:val="16"/>
          <w:szCs w:val="16"/>
          <w:shd w:val="clear" w:color="auto" w:fill="FFFFFF"/>
        </w:rPr>
        <w:t xml:space="preserve">ESTION DES </w:t>
      </w:r>
      <w:r>
        <w:rPr>
          <w:color w:val="4D5156"/>
          <w:sz w:val="16"/>
          <w:szCs w:val="16"/>
          <w:shd w:val="clear" w:color="auto" w:fill="FFFFFF"/>
        </w:rPr>
        <w:t>F</w:t>
      </w:r>
      <w:r w:rsidR="006E35C7">
        <w:rPr>
          <w:color w:val="4D5156"/>
          <w:sz w:val="16"/>
          <w:szCs w:val="16"/>
          <w:shd w:val="clear" w:color="auto" w:fill="FFFFFF"/>
        </w:rPr>
        <w:t xml:space="preserve">INANCES </w:t>
      </w:r>
      <w:r>
        <w:rPr>
          <w:color w:val="4D5156"/>
          <w:sz w:val="16"/>
          <w:szCs w:val="16"/>
          <w:shd w:val="clear" w:color="auto" w:fill="FFFFFF"/>
        </w:rPr>
        <w:t>P</w:t>
      </w:r>
      <w:r w:rsidR="006E35C7">
        <w:rPr>
          <w:color w:val="4D5156"/>
          <w:sz w:val="16"/>
          <w:szCs w:val="16"/>
          <w:shd w:val="clear" w:color="auto" w:fill="FFFFFF"/>
        </w:rPr>
        <w:t>UBLIQUES</w:t>
      </w:r>
      <w:r>
        <w:rPr>
          <w:color w:val="4D5156"/>
          <w:sz w:val="16"/>
          <w:szCs w:val="16"/>
          <w:shd w:val="clear" w:color="auto" w:fill="FFFFFF"/>
        </w:rPr>
        <w:t xml:space="preserve"> à un moment donné </w:t>
      </w:r>
      <w:r>
        <w:rPr>
          <w:color w:val="4D5156"/>
          <w:sz w:val="14"/>
          <w:szCs w:val="14"/>
          <w:shd w:val="clear" w:color="auto" w:fill="FFFFFF"/>
        </w:rPr>
        <w:t>au moyen de 31 </w:t>
      </w:r>
      <w:r>
        <w:rPr>
          <w:rStyle w:val="Emphasis"/>
          <w:b/>
          <w:bCs/>
          <w:i w:val="0"/>
          <w:iCs w:val="0"/>
          <w:color w:val="5F6368"/>
          <w:sz w:val="14"/>
          <w:szCs w:val="14"/>
          <w:shd w:val="clear" w:color="auto" w:fill="FFFFFF"/>
        </w:rPr>
        <w:t>indicateurs</w:t>
      </w:r>
      <w:r>
        <w:rPr>
          <w:color w:val="4D5156"/>
          <w:sz w:val="14"/>
          <w:szCs w:val="14"/>
          <w:shd w:val="clear" w:color="auto" w:fill="FFFFFF"/>
        </w:rPr>
        <w:t> de performance.</w:t>
      </w:r>
    </w:p>
    <w:p w14:paraId="0EC8B465" w14:textId="77777777" w:rsidR="006C2DA4" w:rsidRPr="00B44CA8" w:rsidRDefault="006C2DA4" w:rsidP="006C2DA4">
      <w:pPr>
        <w:numPr>
          <w:ilvl w:val="0"/>
          <w:numId w:val="11"/>
        </w:numPr>
        <w:jc w:val="both"/>
        <w:rPr>
          <w:rFonts w:ascii="Calibri" w:eastAsia="Calibri" w:hAnsi="Calibri" w:cs="Calibri"/>
          <w:lang w:val="en-US"/>
        </w:rPr>
      </w:pPr>
      <w:r w:rsidRPr="00D636C4">
        <w:rPr>
          <w:rFonts w:ascii="Calibri" w:eastAsia="Calibri" w:hAnsi="Calibri" w:cs="Calibri"/>
        </w:rPr>
        <w:t>Le système FMIS</w:t>
      </w:r>
      <w:r>
        <w:rPr>
          <w:rFonts w:ascii="Calibri" w:eastAsia="Calibri" w:hAnsi="Calibri" w:cs="Calibri"/>
        </w:rPr>
        <w:t>,</w:t>
      </w:r>
      <w:r w:rsidRPr="00D636C4">
        <w:rPr>
          <w:rFonts w:ascii="Calibri" w:eastAsia="Calibri" w:hAnsi="Calibri" w:cs="Calibri"/>
        </w:rPr>
        <w:t xml:space="preserve"> saisie les dépenses de santé publique financées par le budget national, c'est-à-dire les coûts d'exploitation. Toutefois, la législation Mauritanienne de finances publiques ne permet pas d'effectuer des virements bancaires du niveau central aux postes de santé, leur allocation passant plutôt par les Moughataa, donc les dépenses de ces structures ne sont pas identifiées dans le budget.</w:t>
      </w:r>
      <w:r>
        <w:rPr>
          <w:rFonts w:ascii="Calibri" w:eastAsia="Calibri" w:hAnsi="Calibri" w:cs="Calibri"/>
        </w:rPr>
        <w:t xml:space="preserve"> </w:t>
      </w:r>
      <w:r w:rsidRPr="00B44CA8">
        <w:rPr>
          <w:rFonts w:ascii="Calibri" w:eastAsia="Calibri" w:hAnsi="Calibri" w:cs="Calibri"/>
          <w:lang w:val="en-US"/>
        </w:rPr>
        <w:t>(</w:t>
      </w:r>
      <w:r w:rsidRPr="00B44CA8">
        <w:rPr>
          <w:color w:val="4D5156"/>
          <w:sz w:val="14"/>
          <w:szCs w:val="14"/>
          <w:lang w:val="en-US"/>
        </w:rPr>
        <w:t>Financial Management Information </w:t>
      </w:r>
      <w:r w:rsidRPr="00B44CA8">
        <w:rPr>
          <w:rStyle w:val="Emphasis"/>
          <w:b/>
          <w:bCs/>
          <w:i w:val="0"/>
          <w:iCs w:val="0"/>
          <w:color w:val="5F6368"/>
          <w:sz w:val="14"/>
          <w:szCs w:val="14"/>
          <w:lang w:val="en-US"/>
        </w:rPr>
        <w:t>Systems</w:t>
      </w:r>
      <w:r w:rsidRPr="00B44CA8">
        <w:rPr>
          <w:color w:val="4D5156"/>
          <w:sz w:val="14"/>
          <w:szCs w:val="14"/>
          <w:lang w:val="en-US"/>
        </w:rPr>
        <w:t> (</w:t>
      </w:r>
      <w:r w:rsidRPr="00B44CA8">
        <w:rPr>
          <w:rStyle w:val="Emphasis"/>
          <w:b/>
          <w:bCs/>
          <w:i w:val="0"/>
          <w:iCs w:val="0"/>
          <w:color w:val="5F6368"/>
          <w:sz w:val="14"/>
          <w:szCs w:val="14"/>
          <w:lang w:val="en-US"/>
        </w:rPr>
        <w:t>FMIS</w:t>
      </w:r>
      <w:r w:rsidRPr="00B44CA8">
        <w:rPr>
          <w:color w:val="4D5156"/>
          <w:sz w:val="14"/>
          <w:szCs w:val="14"/>
          <w:lang w:val="en-US"/>
        </w:rPr>
        <w:t>) support the automation and integration of public financial management processes including budget formulation ...</w:t>
      </w:r>
      <w:r>
        <w:rPr>
          <w:color w:val="4D5156"/>
          <w:sz w:val="14"/>
          <w:szCs w:val="14"/>
          <w:lang w:val="en-US"/>
        </w:rPr>
        <w:t>)</w:t>
      </w:r>
    </w:p>
    <w:p w14:paraId="44BD482E" w14:textId="77777777" w:rsidR="006C2DA4" w:rsidRPr="00B44CA8" w:rsidRDefault="006C2DA4" w:rsidP="006C2DA4">
      <w:pPr>
        <w:shd w:val="clear" w:color="auto" w:fill="FFFFFF"/>
        <w:ind w:left="360"/>
        <w:rPr>
          <w:color w:val="70757A"/>
          <w:sz w:val="14"/>
          <w:szCs w:val="14"/>
          <w:lang w:val="en-US"/>
        </w:rPr>
      </w:pPr>
    </w:p>
    <w:p w14:paraId="2C86DD1C" w14:textId="77777777" w:rsidR="006C2DA4" w:rsidRPr="00B44CA8" w:rsidRDefault="006C2DA4" w:rsidP="006C2DA4">
      <w:pPr>
        <w:ind w:left="720"/>
        <w:jc w:val="both"/>
        <w:rPr>
          <w:rFonts w:ascii="Calibri" w:eastAsia="Calibri" w:hAnsi="Calibri" w:cs="Calibri"/>
          <w:lang w:val="en-US"/>
        </w:rPr>
      </w:pPr>
    </w:p>
    <w:p w14:paraId="4CDD5130" w14:textId="77777777" w:rsidR="006C2DA4" w:rsidRPr="00B44CA8" w:rsidRDefault="006C2DA4" w:rsidP="006C2DA4">
      <w:pPr>
        <w:ind w:left="720"/>
        <w:jc w:val="both"/>
        <w:rPr>
          <w:rFonts w:ascii="Calibri" w:eastAsia="Calibri" w:hAnsi="Calibri" w:cs="Calibri"/>
          <w:lang w:val="en-US"/>
        </w:rPr>
      </w:pPr>
      <w:r w:rsidRPr="00B44CA8">
        <w:rPr>
          <w:rFonts w:ascii="Calibri" w:eastAsia="Calibri" w:hAnsi="Calibri" w:cs="Calibri"/>
          <w:lang w:val="en-US"/>
        </w:rPr>
        <w:t xml:space="preserve"> </w:t>
      </w:r>
    </w:p>
    <w:p w14:paraId="61808C5B" w14:textId="77777777" w:rsidR="006C2DA4" w:rsidRPr="00D636C4" w:rsidRDefault="006C2DA4" w:rsidP="006C2DA4">
      <w:pPr>
        <w:jc w:val="both"/>
        <w:rPr>
          <w:rFonts w:ascii="Calibri" w:eastAsia="Calibri" w:hAnsi="Calibri" w:cs="Calibri"/>
          <w:b/>
        </w:rPr>
      </w:pPr>
      <w:r w:rsidRPr="00D636C4">
        <w:rPr>
          <w:rFonts w:ascii="Calibri" w:eastAsia="Calibri" w:hAnsi="Calibri" w:cs="Calibri"/>
          <w:b/>
        </w:rPr>
        <w:t>La réforme du budget par programme est en cours, malgré des délais dans la mise en œuvre</w:t>
      </w:r>
      <w:r>
        <w:rPr>
          <w:rFonts w:ascii="Calibri" w:eastAsia="Calibri" w:hAnsi="Calibri" w:cs="Calibri"/>
          <w:b/>
        </w:rPr>
        <w:t> :</w:t>
      </w:r>
    </w:p>
    <w:p w14:paraId="1B956ACF" w14:textId="77777777" w:rsidR="006C2DA4" w:rsidRPr="00D636C4" w:rsidRDefault="006C2DA4" w:rsidP="006C2DA4">
      <w:pPr>
        <w:numPr>
          <w:ilvl w:val="0"/>
          <w:numId w:val="21"/>
        </w:numPr>
        <w:jc w:val="both"/>
        <w:rPr>
          <w:rFonts w:ascii="Calibri" w:eastAsia="Calibri" w:hAnsi="Calibri" w:cs="Calibri"/>
        </w:rPr>
      </w:pPr>
      <w:r w:rsidRPr="00D636C4">
        <w:rPr>
          <w:rFonts w:ascii="Calibri" w:eastAsia="Calibri" w:hAnsi="Calibri" w:cs="Calibri"/>
        </w:rPr>
        <w:t>Le pays utilise des classifications budgétaires basées sur les intrants avec des postes rigides et détaillés qui permettent peu de réaffectation entre les lignes budgétaires dans la pratique. Une réforme du Budget Basé sur les Programmes (BBP) est en cours qui organisera le budget du secteur d</w:t>
      </w:r>
      <w:r>
        <w:rPr>
          <w:rFonts w:ascii="Calibri" w:eastAsia="Calibri" w:hAnsi="Calibri" w:cs="Calibri"/>
        </w:rPr>
        <w:t>e</w:t>
      </w:r>
      <w:r w:rsidRPr="00D636C4">
        <w:rPr>
          <w:rFonts w:ascii="Calibri" w:eastAsia="Calibri" w:hAnsi="Calibri" w:cs="Calibri"/>
        </w:rPr>
        <w:t xml:space="preserve"> </w:t>
      </w:r>
      <w:r>
        <w:rPr>
          <w:rFonts w:ascii="Calibri" w:eastAsia="Calibri" w:hAnsi="Calibri" w:cs="Calibri"/>
        </w:rPr>
        <w:t>façon à</w:t>
      </w:r>
      <w:r w:rsidRPr="00D636C4">
        <w:rPr>
          <w:rFonts w:ascii="Calibri" w:eastAsia="Calibri" w:hAnsi="Calibri" w:cs="Calibri"/>
        </w:rPr>
        <w:t xml:space="preserve"> lier plus clairement le financement à des priorités spécifiques et à des résultats ciblés, ainsi qu'au plan stratégique du secteur.</w:t>
      </w:r>
    </w:p>
    <w:p w14:paraId="4E2F4251" w14:textId="77777777" w:rsidR="006C2DA4" w:rsidRPr="00D636C4" w:rsidRDefault="006C2DA4" w:rsidP="006C2DA4">
      <w:pPr>
        <w:numPr>
          <w:ilvl w:val="0"/>
          <w:numId w:val="21"/>
        </w:numPr>
        <w:jc w:val="both"/>
        <w:rPr>
          <w:rFonts w:ascii="Calibri" w:eastAsia="Calibri" w:hAnsi="Calibri" w:cs="Calibri"/>
        </w:rPr>
      </w:pPr>
      <w:r w:rsidRPr="00D636C4">
        <w:rPr>
          <w:rFonts w:ascii="Calibri" w:eastAsia="Calibri" w:hAnsi="Calibri" w:cs="Calibri"/>
        </w:rPr>
        <w:t xml:space="preserve">La capacité des gestionnaires de programme et de sous-programme devra être renforcée afin de leur permettre de bénéficier d'une plus grande flexibilité pour réaffecter les finances </w:t>
      </w:r>
      <w:r>
        <w:rPr>
          <w:rFonts w:ascii="Calibri" w:eastAsia="Calibri" w:hAnsi="Calibri" w:cs="Calibri"/>
        </w:rPr>
        <w:t>au sein</w:t>
      </w:r>
      <w:r w:rsidRPr="00D636C4">
        <w:rPr>
          <w:rFonts w:ascii="Calibri" w:eastAsia="Calibri" w:hAnsi="Calibri" w:cs="Calibri"/>
        </w:rPr>
        <w:t xml:space="preserve"> des programmes.</w:t>
      </w:r>
    </w:p>
    <w:p w14:paraId="06100355" w14:textId="77777777" w:rsidR="006C2DA4" w:rsidRPr="00D636C4" w:rsidRDefault="006C2DA4" w:rsidP="006C2DA4">
      <w:pPr>
        <w:rPr>
          <w:rFonts w:ascii="Calibri" w:eastAsia="Calibri" w:hAnsi="Calibri" w:cs="Calibri"/>
        </w:rPr>
      </w:pPr>
      <w:r w:rsidRPr="00D636C4">
        <w:rPr>
          <w:rFonts w:ascii="Calibri" w:eastAsia="Calibri" w:hAnsi="Calibri" w:cs="Calibri"/>
          <w:color w:val="FF0000"/>
        </w:rPr>
        <w:t xml:space="preserve"> </w:t>
      </w:r>
    </w:p>
    <w:p w14:paraId="2F5C888E"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En termes de dépenses par fonction du système de santé, les dépenses de l'État pour la santé vont en priorité à la gouvernance et l’administration du système de soins (51%) puis aux soins curatifs (28%)</w:t>
      </w:r>
      <w:r>
        <w:rPr>
          <w:rFonts w:ascii="Calibri" w:eastAsia="Calibri" w:hAnsi="Calibri" w:cs="Calibri"/>
        </w:rPr>
        <w:t>. L</w:t>
      </w:r>
      <w:r w:rsidRPr="00D636C4">
        <w:rPr>
          <w:rFonts w:ascii="Calibri" w:eastAsia="Calibri" w:hAnsi="Calibri" w:cs="Calibri"/>
        </w:rPr>
        <w:t xml:space="preserve">es soins préventifs </w:t>
      </w:r>
      <w:r>
        <w:rPr>
          <w:rFonts w:ascii="Calibri" w:eastAsia="Calibri" w:hAnsi="Calibri" w:cs="Calibri"/>
        </w:rPr>
        <w:t xml:space="preserve">quant à eux </w:t>
      </w:r>
      <w:r w:rsidRPr="00D636C4">
        <w:rPr>
          <w:rFonts w:ascii="Calibri" w:eastAsia="Calibri" w:hAnsi="Calibri" w:cs="Calibri"/>
        </w:rPr>
        <w:t xml:space="preserve">souffrent de sous-investissement (2%). Les partenaires extérieures en revanche investissent la majorité de leurs financement (86%) dans les soins préventifs, et les ménages dépensent le plus sur les biens médicaux (e.g. médicaments) (43%) (voir Graph </w:t>
      </w:r>
      <w:r>
        <w:rPr>
          <w:rFonts w:ascii="Calibri" w:eastAsia="Calibri" w:hAnsi="Calibri" w:cs="Calibri"/>
        </w:rPr>
        <w:t>8</w:t>
      </w:r>
      <w:r w:rsidRPr="00D636C4">
        <w:rPr>
          <w:rFonts w:ascii="Calibri" w:eastAsia="Calibri" w:hAnsi="Calibri" w:cs="Calibri"/>
        </w:rPr>
        <w:t xml:space="preserve"> ci-dessous).</w:t>
      </w:r>
    </w:p>
    <w:p w14:paraId="0BEF7DAA" w14:textId="77777777" w:rsidR="006C2DA4" w:rsidRPr="00D636C4" w:rsidRDefault="006C2DA4" w:rsidP="006C2DA4">
      <w:pPr>
        <w:jc w:val="both"/>
        <w:rPr>
          <w:rFonts w:ascii="Calibri" w:eastAsia="Calibri" w:hAnsi="Calibri" w:cs="Calibri"/>
          <w:b/>
        </w:rPr>
      </w:pPr>
    </w:p>
    <w:p w14:paraId="7DB4A092" w14:textId="77777777" w:rsidR="006C2DA4" w:rsidRPr="00D636C4" w:rsidRDefault="006C2DA4" w:rsidP="006C2DA4">
      <w:pPr>
        <w:ind w:left="720" w:right="720"/>
        <w:jc w:val="center"/>
        <w:rPr>
          <w:rFonts w:ascii="Calibri" w:eastAsia="Calibri" w:hAnsi="Calibri" w:cs="Calibri"/>
        </w:rPr>
      </w:pPr>
      <w:r w:rsidRPr="00D636C4">
        <w:rPr>
          <w:rFonts w:ascii="Calibri" w:eastAsia="Calibri" w:hAnsi="Calibri" w:cs="Calibri"/>
          <w:b/>
        </w:rPr>
        <w:t>Graph 8</w:t>
      </w:r>
      <w:r w:rsidRPr="00D636C4">
        <w:rPr>
          <w:rFonts w:ascii="Calibri" w:eastAsia="Calibri" w:hAnsi="Calibri" w:cs="Calibri"/>
        </w:rPr>
        <w:t xml:space="preserve"> : Part de chaque fonction du système de santé dans les dépenses de l'état, privé, extérieur en 2019</w:t>
      </w:r>
    </w:p>
    <w:p w14:paraId="1580FBA0" w14:textId="77777777" w:rsidR="006C2DA4" w:rsidRPr="00D636C4" w:rsidRDefault="006C2DA4" w:rsidP="006C2DA4">
      <w:pPr>
        <w:jc w:val="center"/>
        <w:rPr>
          <w:rFonts w:ascii="Calibri" w:eastAsia="Calibri" w:hAnsi="Calibri" w:cs="Calibri"/>
        </w:rPr>
      </w:pPr>
      <w:r w:rsidRPr="00D636C4">
        <w:rPr>
          <w:noProof/>
          <w:lang w:eastAsia="fr-FR"/>
        </w:rPr>
        <w:lastRenderedPageBreak/>
        <w:drawing>
          <wp:inline distT="0" distB="0" distL="0" distR="0" wp14:anchorId="6D30375A" wp14:editId="6DC878CB">
            <wp:extent cx="5943600" cy="2419350"/>
            <wp:effectExtent l="0" t="0" r="12700" b="6350"/>
            <wp:docPr id="9" name="Chart 1">
              <a:extLst xmlns:a="http://schemas.openxmlformats.org/drawingml/2006/main">
                <a:ext uri="{FF2B5EF4-FFF2-40B4-BE49-F238E27FC236}">
                  <a16:creationId xmlns:a16="http://schemas.microsoft.com/office/drawing/2014/main" id="{570FA16E-E1E8-22E8-C45D-285CF2A67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41E2E6" w14:textId="77777777" w:rsidR="006C2DA4" w:rsidRPr="00D636C4" w:rsidRDefault="006C2DA4" w:rsidP="006C2DA4">
      <w:pPr>
        <w:jc w:val="center"/>
        <w:rPr>
          <w:rFonts w:ascii="Calibri" w:eastAsia="Calibri" w:hAnsi="Calibri" w:cs="Calibri"/>
        </w:rPr>
      </w:pPr>
      <w:r w:rsidRPr="00D636C4">
        <w:rPr>
          <w:rFonts w:ascii="Calibri" w:eastAsia="Calibri" w:hAnsi="Calibri" w:cs="Calibri"/>
        </w:rPr>
        <w:t xml:space="preserve">Source : Données GHED de l’OMS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URL":"https://apps.who.int/nha/database","author":[{"dropping-particle":"","family":"WHO","given":"","non-dropping-particle":"","parse-names":false,"suffix":""}],"container-title":"https://apps.who.int/nha/database","id":"ITEM-1","issued":{"date-parts":[["2022"]]},"title":"WHO Global Health Expenditure Database (GHED) Update 2022","type":"webpage"},"uris":["http://www.mendeley.com/documents/?uuid=ede3eb76-7ebc-4e7d-98a5-f243982d6eb0"]}],"mendeley":{"formattedCitation":"[21]","plainTextFormattedCitation":"[21]","previouslyFormattedCitation":"[21]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[21]</w:t>
      </w:r>
      <w:r w:rsidR="009904FE" w:rsidRPr="00D636C4">
        <w:rPr>
          <w:rFonts w:ascii="Calibri" w:eastAsia="Calibri" w:hAnsi="Calibri" w:cs="Calibri"/>
        </w:rPr>
        <w:fldChar w:fldCharType="end"/>
      </w:r>
    </w:p>
    <w:p w14:paraId="4AAA46C1" w14:textId="77777777" w:rsidR="006C2DA4" w:rsidRPr="00D636C4" w:rsidRDefault="006C2DA4" w:rsidP="006C2DA4">
      <w:pPr>
        <w:jc w:val="both"/>
        <w:rPr>
          <w:rFonts w:ascii="Calibri" w:eastAsia="Calibri" w:hAnsi="Calibri" w:cs="Calibri"/>
          <w:b/>
        </w:rPr>
      </w:pPr>
      <w:r w:rsidRPr="00D636C4">
        <w:rPr>
          <w:rFonts w:ascii="Calibri" w:eastAsia="Calibri" w:hAnsi="Calibri" w:cs="Calibri"/>
          <w:b/>
        </w:rPr>
        <w:t xml:space="preserve"> </w:t>
      </w:r>
    </w:p>
    <w:p w14:paraId="0169329C" w14:textId="77777777" w:rsidR="006C2DA4" w:rsidRPr="00D636C4" w:rsidRDefault="006C2DA4" w:rsidP="006C2DA4">
      <w:pPr>
        <w:jc w:val="both"/>
        <w:rPr>
          <w:rFonts w:ascii="Calibri" w:eastAsia="Calibri" w:hAnsi="Calibri" w:cs="Calibri"/>
          <w:b/>
        </w:rPr>
      </w:pPr>
      <w:r w:rsidRPr="00D636C4">
        <w:rPr>
          <w:rFonts w:ascii="Calibri" w:eastAsia="Calibri" w:hAnsi="Calibri" w:cs="Calibri"/>
          <w:b/>
        </w:rPr>
        <w:t>Il existe plusieurs entités responsables de l’achat de service qui interviennent parallèlement au niveau des établissements de santé</w:t>
      </w:r>
      <w:r>
        <w:rPr>
          <w:rFonts w:ascii="Calibri" w:eastAsia="Calibri" w:hAnsi="Calibri" w:cs="Calibri"/>
          <w:b/>
        </w:rPr>
        <w:t>. C</w:t>
      </w:r>
      <w:r w:rsidRPr="00D636C4">
        <w:rPr>
          <w:rFonts w:ascii="Calibri" w:eastAsia="Calibri" w:hAnsi="Calibri" w:cs="Calibri"/>
          <w:b/>
        </w:rPr>
        <w:t xml:space="preserve">hacun utilise des modalités de paiement différents, qui ne sont pas coordonnées </w:t>
      </w:r>
      <w:r>
        <w:rPr>
          <w:rFonts w:ascii="Calibri" w:eastAsia="Calibri" w:hAnsi="Calibri" w:cs="Calibri"/>
          <w:b/>
        </w:rPr>
        <w:t>ni</w:t>
      </w:r>
      <w:r w:rsidRPr="00D636C4">
        <w:rPr>
          <w:rFonts w:ascii="Calibri" w:eastAsia="Calibri" w:hAnsi="Calibri" w:cs="Calibri"/>
          <w:b/>
        </w:rPr>
        <w:t xml:space="preserve"> harmonisées en termes de tarifs ou paniers de soins.</w:t>
      </w:r>
    </w:p>
    <w:p w14:paraId="3BC72BA4" w14:textId="77777777" w:rsidR="006C2DA4" w:rsidRPr="00D636C4" w:rsidRDefault="006C2DA4" w:rsidP="006C2DA4">
      <w:pPr>
        <w:numPr>
          <w:ilvl w:val="0"/>
          <w:numId w:val="12"/>
        </w:numPr>
        <w:jc w:val="both"/>
        <w:rPr>
          <w:rFonts w:ascii="Calibri" w:eastAsia="Calibri" w:hAnsi="Calibri" w:cs="Calibri"/>
        </w:rPr>
      </w:pPr>
      <w:r w:rsidRPr="00D636C4">
        <w:rPr>
          <w:rFonts w:ascii="Calibri" w:eastAsia="Calibri" w:hAnsi="Calibri" w:cs="Calibri"/>
        </w:rPr>
        <w:t xml:space="preserve">L’état assure le paiement automatique des salaires des prestataires de soins à travers la </w:t>
      </w:r>
      <w:r>
        <w:rPr>
          <w:rFonts w:ascii="Calibri" w:eastAsia="Calibri" w:hAnsi="Calibri" w:cs="Calibri"/>
        </w:rPr>
        <w:t xml:space="preserve">Direction de la Solde du ministère des finances </w:t>
      </w:r>
      <w:r w:rsidRPr="00D636C4">
        <w:rPr>
          <w:rFonts w:ascii="Calibri" w:eastAsia="Calibri" w:hAnsi="Calibri" w:cs="Calibri"/>
        </w:rPr>
        <w:t>, avec des "primes" possibles payées à priori (parfois en retard), en fonction de la garde, l'ancienneté, l'éloignement, les primes de zone et technicité, etc. sans rapport avec la performance.</w:t>
      </w:r>
    </w:p>
    <w:p w14:paraId="62E2096B" w14:textId="77777777" w:rsidR="006C2DA4" w:rsidRPr="00D636C4" w:rsidRDefault="006C2DA4" w:rsidP="006C2DA4">
      <w:pPr>
        <w:numPr>
          <w:ilvl w:val="0"/>
          <w:numId w:val="12"/>
        </w:numPr>
        <w:jc w:val="both"/>
        <w:rPr>
          <w:rFonts w:ascii="Calibri" w:eastAsia="Calibri" w:hAnsi="Calibri" w:cs="Calibri"/>
        </w:rPr>
      </w:pPr>
      <w:r w:rsidRPr="00D636C4">
        <w:rPr>
          <w:rFonts w:ascii="Calibri" w:eastAsia="Calibri" w:hAnsi="Calibri" w:cs="Calibri"/>
        </w:rPr>
        <w:t xml:space="preserve">Les autres entités ou programmes payeurs (CNAM, ProPEP, gratuités) fonctionnent par remboursement, selon différentes procédures forfaitaires ou à l’acte, avec des tarifs variés (voir tableau </w:t>
      </w:r>
      <w:r>
        <w:rPr>
          <w:rFonts w:ascii="Calibri" w:eastAsia="Calibri" w:hAnsi="Calibri" w:cs="Calibri"/>
        </w:rPr>
        <w:t>4</w:t>
      </w:r>
      <w:r w:rsidRPr="00D636C4">
        <w:rPr>
          <w:rFonts w:ascii="Calibri" w:eastAsia="Calibri" w:hAnsi="Calibri" w:cs="Calibri"/>
        </w:rPr>
        <w:t xml:space="preserve"> ci -dessous). Plusieurs de ces dispositifs accusent des retards de paiements importants, dont le forfait obstétrical, </w:t>
      </w:r>
      <w:r>
        <w:rPr>
          <w:rFonts w:ascii="Calibri" w:eastAsia="Calibri" w:hAnsi="Calibri" w:cs="Calibri"/>
        </w:rPr>
        <w:t xml:space="preserve">bien qu’il </w:t>
      </w:r>
      <w:r w:rsidRPr="00D636C4">
        <w:rPr>
          <w:rFonts w:ascii="Calibri" w:eastAsia="Calibri" w:hAnsi="Calibri" w:cs="Calibri"/>
        </w:rPr>
        <w:t>est difficile d'obtenir des données complètes sur ces retards de paiement.</w:t>
      </w:r>
    </w:p>
    <w:p w14:paraId="1490472F" w14:textId="77777777" w:rsidR="006C2DA4" w:rsidRPr="00D636C4" w:rsidRDefault="006C2DA4" w:rsidP="006C2DA4">
      <w:pPr>
        <w:rPr>
          <w:rFonts w:ascii="Calibri" w:eastAsia="Calibri" w:hAnsi="Calibri" w:cs="Calibri"/>
          <w:b/>
        </w:rPr>
      </w:pPr>
      <w:r w:rsidRPr="00D636C4">
        <w:rPr>
          <w:rFonts w:ascii="Calibri" w:eastAsia="Calibri" w:hAnsi="Calibri" w:cs="Calibri"/>
          <w:b/>
        </w:rPr>
        <w:t xml:space="preserve"> </w:t>
      </w:r>
    </w:p>
    <w:p w14:paraId="7E078C78" w14:textId="77777777" w:rsidR="006C2DA4" w:rsidRPr="00D636C4" w:rsidRDefault="006C2DA4" w:rsidP="006C2DA4">
      <w:pPr>
        <w:jc w:val="center"/>
        <w:rPr>
          <w:rFonts w:ascii="Calibri" w:eastAsia="Calibri" w:hAnsi="Calibri" w:cs="Calibri"/>
        </w:rPr>
      </w:pPr>
      <w:r w:rsidRPr="00D636C4">
        <w:rPr>
          <w:rFonts w:ascii="Calibri" w:eastAsia="Calibri" w:hAnsi="Calibri" w:cs="Calibri"/>
          <w:b/>
        </w:rPr>
        <w:t xml:space="preserve">Tableau </w:t>
      </w:r>
      <w:r>
        <w:rPr>
          <w:rFonts w:ascii="Calibri" w:eastAsia="Calibri" w:hAnsi="Calibri" w:cs="Calibri"/>
          <w:b/>
        </w:rPr>
        <w:t>4</w:t>
      </w:r>
      <w:r w:rsidRPr="00D636C4">
        <w:rPr>
          <w:rFonts w:ascii="Calibri" w:eastAsia="Calibri" w:hAnsi="Calibri" w:cs="Calibri"/>
          <w:b/>
        </w:rPr>
        <w:t xml:space="preserve"> : </w:t>
      </w:r>
      <w:r w:rsidRPr="00D636C4">
        <w:rPr>
          <w:rFonts w:ascii="Calibri" w:eastAsia="Calibri" w:hAnsi="Calibri" w:cs="Calibri"/>
        </w:rPr>
        <w:t>Modalités de paiements des prestataires de soins</w:t>
      </w:r>
      <w:r w:rsidRPr="00D636C4">
        <w:rPr>
          <w:rFonts w:ascii="Calibri" w:eastAsia="Calibri" w:hAnsi="Calibri" w:cs="Calibri"/>
          <w:vertAlign w:val="superscript"/>
        </w:rPr>
        <w:footnoteReference w:id="1"/>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2340"/>
        <w:gridCol w:w="6780"/>
      </w:tblGrid>
      <w:tr w:rsidR="006C2DA4" w:rsidRPr="00D636C4" w14:paraId="2BA32B23" w14:textId="77777777" w:rsidTr="00980A9B">
        <w:trPr>
          <w:trHeight w:val="105"/>
          <w:tblHeader/>
        </w:trPr>
        <w:tc>
          <w:tcPr>
            <w:tcW w:w="234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2A4D2DB" w14:textId="77777777" w:rsidR="006C2DA4" w:rsidRPr="00D636C4" w:rsidRDefault="006C2DA4" w:rsidP="00980A9B">
            <w:pPr>
              <w:rPr>
                <w:rFonts w:ascii="Calibri" w:eastAsia="Calibri" w:hAnsi="Calibri" w:cs="Calibri"/>
                <w:b/>
                <w:sz w:val="21"/>
                <w:szCs w:val="21"/>
              </w:rPr>
            </w:pPr>
            <w:r w:rsidRPr="00D636C4">
              <w:rPr>
                <w:rFonts w:ascii="Calibri" w:eastAsia="Calibri" w:hAnsi="Calibri" w:cs="Calibri"/>
                <w:b/>
                <w:sz w:val="21"/>
                <w:szCs w:val="21"/>
              </w:rPr>
              <w:t>Agence ou programme</w:t>
            </w:r>
          </w:p>
        </w:tc>
        <w:tc>
          <w:tcPr>
            <w:tcW w:w="678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839C765" w14:textId="77777777" w:rsidR="006C2DA4" w:rsidRPr="00D636C4" w:rsidRDefault="006C2DA4" w:rsidP="00980A9B">
            <w:pPr>
              <w:rPr>
                <w:rFonts w:ascii="Calibri" w:eastAsia="Calibri" w:hAnsi="Calibri" w:cs="Calibri"/>
                <w:b/>
                <w:sz w:val="21"/>
                <w:szCs w:val="21"/>
              </w:rPr>
            </w:pPr>
            <w:r w:rsidRPr="00D636C4">
              <w:rPr>
                <w:rFonts w:ascii="Calibri" w:eastAsia="Calibri" w:hAnsi="Calibri" w:cs="Calibri"/>
                <w:b/>
                <w:sz w:val="21"/>
                <w:szCs w:val="21"/>
              </w:rPr>
              <w:t>Modalité de paiement</w:t>
            </w:r>
          </w:p>
        </w:tc>
      </w:tr>
      <w:tr w:rsidR="006C2DA4" w:rsidRPr="00D636C4" w14:paraId="6405AF96" w14:textId="77777777" w:rsidTr="00980A9B">
        <w:trPr>
          <w:trHeight w:val="611"/>
        </w:trPr>
        <w:tc>
          <w:tcPr>
            <w:tcW w:w="23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AA616" w14:textId="77777777" w:rsidR="006C2DA4" w:rsidRPr="00D636C4" w:rsidRDefault="006C2DA4" w:rsidP="00980A9B">
            <w:pPr>
              <w:rPr>
                <w:rFonts w:ascii="Calibri" w:eastAsia="Calibri" w:hAnsi="Calibri" w:cs="Calibri"/>
                <w:b/>
                <w:sz w:val="21"/>
                <w:szCs w:val="21"/>
              </w:rPr>
            </w:pPr>
            <w:r w:rsidRPr="00D636C4">
              <w:rPr>
                <w:rFonts w:ascii="Calibri" w:eastAsia="Calibri" w:hAnsi="Calibri" w:cs="Calibri"/>
                <w:b/>
                <w:sz w:val="21"/>
                <w:szCs w:val="21"/>
              </w:rPr>
              <w:t xml:space="preserve">CNAM (AMO et </w:t>
            </w:r>
            <w:proofErr w:type="spellStart"/>
            <w:r w:rsidRPr="00D636C4">
              <w:rPr>
                <w:rFonts w:ascii="Calibri" w:eastAsia="Calibri" w:hAnsi="Calibri" w:cs="Calibri"/>
                <w:b/>
                <w:sz w:val="21"/>
                <w:szCs w:val="21"/>
              </w:rPr>
              <w:t>Taazour</w:t>
            </w:r>
            <w:proofErr w:type="spellEnd"/>
            <w:r w:rsidRPr="00D636C4">
              <w:rPr>
                <w:rFonts w:ascii="Calibri" w:eastAsia="Calibri" w:hAnsi="Calibri" w:cs="Calibri"/>
                <w:b/>
                <w:sz w:val="21"/>
                <w:szCs w:val="21"/>
              </w:rPr>
              <w:t>)</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82766A" w14:textId="77777777" w:rsidR="006C2DA4" w:rsidRPr="00D636C4" w:rsidRDefault="006C2DA4" w:rsidP="00980A9B">
            <w:pPr>
              <w:rPr>
                <w:rFonts w:ascii="Calibri" w:eastAsia="Calibri" w:hAnsi="Calibri" w:cs="Calibri"/>
                <w:sz w:val="21"/>
                <w:szCs w:val="21"/>
              </w:rPr>
            </w:pPr>
            <w:r w:rsidRPr="00D636C4">
              <w:rPr>
                <w:rFonts w:ascii="Calibri" w:eastAsia="Calibri" w:hAnsi="Calibri" w:cs="Calibri"/>
                <w:sz w:val="21"/>
                <w:szCs w:val="21"/>
              </w:rPr>
              <w:t>Paiements faits par groupes diagnostiques (DRG) et à l’acte au niveau des hôpitaux, paiement à l’acte au niveau SSP, selon une grille de tarifs. Remboursements rétrospectifs pour ce qui est réclamé aux FOSA ou aux malades.</w:t>
            </w:r>
          </w:p>
        </w:tc>
      </w:tr>
      <w:tr w:rsidR="006C2DA4" w:rsidRPr="00D636C4" w14:paraId="1AA637A9" w14:textId="77777777" w:rsidTr="00980A9B">
        <w:trPr>
          <w:trHeight w:val="620"/>
        </w:trPr>
        <w:tc>
          <w:tcPr>
            <w:tcW w:w="23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E0574" w14:textId="77777777" w:rsidR="006C2DA4" w:rsidRPr="00D636C4" w:rsidRDefault="006C2DA4" w:rsidP="00980A9B">
            <w:pPr>
              <w:rPr>
                <w:rFonts w:ascii="Calibri" w:eastAsia="Calibri" w:hAnsi="Calibri" w:cs="Calibri"/>
                <w:b/>
                <w:sz w:val="21"/>
                <w:szCs w:val="21"/>
              </w:rPr>
            </w:pPr>
            <w:r w:rsidRPr="00D636C4">
              <w:rPr>
                <w:rFonts w:ascii="Calibri" w:eastAsia="Calibri" w:hAnsi="Calibri" w:cs="Calibri"/>
                <w:b/>
                <w:sz w:val="21"/>
                <w:szCs w:val="21"/>
              </w:rPr>
              <w:t>CNASS</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940591" w14:textId="77777777" w:rsidR="006C2DA4" w:rsidRPr="00D636C4" w:rsidRDefault="006C2DA4" w:rsidP="00980A9B">
            <w:pPr>
              <w:rPr>
                <w:rFonts w:ascii="Calibri" w:eastAsia="Calibri" w:hAnsi="Calibri" w:cs="Calibri"/>
                <w:sz w:val="21"/>
                <w:szCs w:val="21"/>
              </w:rPr>
            </w:pPr>
            <w:r w:rsidRPr="00D636C4">
              <w:rPr>
                <w:rFonts w:ascii="Calibri" w:eastAsia="Calibri" w:hAnsi="Calibri" w:cs="Calibri"/>
                <w:sz w:val="21"/>
                <w:szCs w:val="21"/>
              </w:rPr>
              <w:t>Les paiements se feront par groupes diagnostiques au niveau des hôpitaux, par forfaits au niveau SSP. Remboursements rétrospectifs mensuels pour ce qui est réclamé par les FOSA suivant une vérification et double signature.</w:t>
            </w:r>
          </w:p>
        </w:tc>
      </w:tr>
      <w:tr w:rsidR="006C2DA4" w:rsidRPr="00D636C4" w14:paraId="54189B29" w14:textId="77777777" w:rsidTr="00980A9B">
        <w:trPr>
          <w:trHeight w:val="27"/>
        </w:trPr>
        <w:tc>
          <w:tcPr>
            <w:tcW w:w="23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219C5" w14:textId="77777777" w:rsidR="006C2DA4" w:rsidRPr="00D636C4" w:rsidRDefault="006C2DA4" w:rsidP="00980A9B">
            <w:pPr>
              <w:rPr>
                <w:rFonts w:ascii="Calibri" w:eastAsia="Calibri" w:hAnsi="Calibri" w:cs="Calibri"/>
                <w:sz w:val="21"/>
                <w:szCs w:val="21"/>
              </w:rPr>
            </w:pPr>
            <w:r w:rsidRPr="00D636C4">
              <w:rPr>
                <w:rFonts w:ascii="Calibri" w:eastAsia="Calibri" w:hAnsi="Calibri" w:cs="Calibri"/>
                <w:b/>
                <w:sz w:val="21"/>
                <w:szCs w:val="21"/>
              </w:rPr>
              <w:lastRenderedPageBreak/>
              <w:t xml:space="preserve">Forfait obstétrical </w:t>
            </w:r>
            <w:r w:rsidRPr="00D636C4">
              <w:rPr>
                <w:rFonts w:ascii="Calibri" w:eastAsia="Calibri" w:hAnsi="Calibri" w:cs="Calibri"/>
                <w:sz w:val="21"/>
                <w:szCs w:val="21"/>
              </w:rPr>
              <w:t>(Budget de l’état)</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3906E" w14:textId="77777777" w:rsidR="006C2DA4" w:rsidRPr="00D636C4" w:rsidRDefault="006C2DA4" w:rsidP="00980A9B">
            <w:pPr>
              <w:rPr>
                <w:rFonts w:ascii="Calibri" w:eastAsia="Calibri" w:hAnsi="Calibri" w:cs="Calibri"/>
                <w:sz w:val="21"/>
                <w:szCs w:val="21"/>
              </w:rPr>
            </w:pPr>
            <w:r w:rsidRPr="00D636C4">
              <w:rPr>
                <w:rFonts w:ascii="Calibri" w:eastAsia="Calibri" w:hAnsi="Calibri" w:cs="Calibri"/>
                <w:sz w:val="21"/>
                <w:szCs w:val="21"/>
              </w:rPr>
              <w:t xml:space="preserve">Paiement </w:t>
            </w:r>
            <w:r>
              <w:rPr>
                <w:rFonts w:ascii="Calibri" w:eastAsia="Calibri" w:hAnsi="Calibri" w:cs="Calibri"/>
                <w:sz w:val="21"/>
                <w:szCs w:val="21"/>
              </w:rPr>
              <w:t xml:space="preserve">à l’acte de </w:t>
            </w:r>
            <w:r w:rsidRPr="00D636C4">
              <w:rPr>
                <w:rFonts w:ascii="Calibri" w:eastAsia="Calibri" w:hAnsi="Calibri" w:cs="Calibri"/>
                <w:sz w:val="21"/>
                <w:szCs w:val="21"/>
              </w:rPr>
              <w:t xml:space="preserve">2020 jusqu’en 2022 aux FOSA sur tout le parcours de soins de la parturiente, avec une centralisation des paiements des patientes et rompu </w:t>
            </w:r>
            <w:r>
              <w:rPr>
                <w:rFonts w:ascii="Calibri" w:eastAsia="Calibri" w:hAnsi="Calibri" w:cs="Calibri"/>
                <w:sz w:val="21"/>
                <w:szCs w:val="21"/>
              </w:rPr>
              <w:t xml:space="preserve">en 2023,  pour devenir </w:t>
            </w:r>
            <w:r w:rsidRPr="00D636C4">
              <w:rPr>
                <w:rFonts w:ascii="Calibri" w:eastAsia="Calibri" w:hAnsi="Calibri" w:cs="Calibri"/>
                <w:sz w:val="21"/>
                <w:szCs w:val="21"/>
              </w:rPr>
              <w:t xml:space="preserve">forfaitaire </w:t>
            </w:r>
            <w:r>
              <w:rPr>
                <w:rFonts w:ascii="Calibri" w:eastAsia="Calibri" w:hAnsi="Calibri" w:cs="Calibri"/>
                <w:sz w:val="21"/>
                <w:szCs w:val="21"/>
              </w:rPr>
              <w:t>(</w:t>
            </w:r>
            <w:r w:rsidRPr="00D636C4">
              <w:rPr>
                <w:rFonts w:ascii="Calibri" w:eastAsia="Calibri" w:hAnsi="Calibri" w:cs="Calibri"/>
                <w:sz w:val="21"/>
                <w:szCs w:val="21"/>
              </w:rPr>
              <w:t>remboursement en forfaits multiples selon l’étape de la grossesse ).</w:t>
            </w:r>
          </w:p>
        </w:tc>
      </w:tr>
      <w:tr w:rsidR="006C2DA4" w:rsidRPr="00D636C4" w14:paraId="2BD323D0" w14:textId="77777777" w:rsidTr="00980A9B">
        <w:trPr>
          <w:trHeight w:val="27"/>
        </w:trPr>
        <w:tc>
          <w:tcPr>
            <w:tcW w:w="23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54D82" w14:textId="77777777" w:rsidR="006C2DA4" w:rsidRPr="00D636C4" w:rsidRDefault="006C2DA4" w:rsidP="00980A9B">
            <w:pPr>
              <w:rPr>
                <w:rFonts w:ascii="Calibri" w:eastAsia="Calibri" w:hAnsi="Calibri" w:cs="Calibri"/>
                <w:b/>
                <w:sz w:val="21"/>
                <w:szCs w:val="21"/>
              </w:rPr>
            </w:pPr>
            <w:r w:rsidRPr="00D636C4">
              <w:rPr>
                <w:rFonts w:ascii="Calibri" w:eastAsia="Calibri" w:hAnsi="Calibri" w:cs="Calibri"/>
                <w:b/>
                <w:sz w:val="21"/>
                <w:szCs w:val="21"/>
              </w:rPr>
              <w:t xml:space="preserve">Projet INAYA </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7B575C" w14:textId="77777777" w:rsidR="006C2DA4" w:rsidRPr="00D636C4" w:rsidRDefault="006C2DA4" w:rsidP="00980A9B">
            <w:pPr>
              <w:rPr>
                <w:rFonts w:ascii="Calibri" w:eastAsia="Calibri" w:hAnsi="Calibri" w:cs="Calibri"/>
                <w:sz w:val="21"/>
                <w:szCs w:val="21"/>
              </w:rPr>
            </w:pPr>
            <w:r w:rsidRPr="00D636C4">
              <w:rPr>
                <w:rFonts w:ascii="Calibri" w:eastAsia="Calibri" w:hAnsi="Calibri" w:cs="Calibri"/>
                <w:sz w:val="21"/>
                <w:szCs w:val="21"/>
              </w:rPr>
              <w:t>Fonds FBR payés trimestriellement suivant un processus d’évaluation qualitatif et quantitatif spécifique au projet.</w:t>
            </w:r>
          </w:p>
        </w:tc>
      </w:tr>
      <w:tr w:rsidR="006C2DA4" w:rsidRPr="00D636C4" w14:paraId="73EE1F24" w14:textId="77777777" w:rsidTr="00980A9B">
        <w:trPr>
          <w:trHeight w:val="27"/>
        </w:trPr>
        <w:tc>
          <w:tcPr>
            <w:tcW w:w="23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1AFAA" w14:textId="77777777" w:rsidR="006C2DA4" w:rsidRPr="00D636C4" w:rsidRDefault="006C2DA4" w:rsidP="00980A9B">
            <w:pPr>
              <w:rPr>
                <w:rFonts w:ascii="Calibri" w:eastAsia="Calibri" w:hAnsi="Calibri" w:cs="Calibri"/>
                <w:b/>
                <w:sz w:val="21"/>
                <w:szCs w:val="21"/>
              </w:rPr>
            </w:pPr>
            <w:r w:rsidRPr="00D636C4">
              <w:rPr>
                <w:rFonts w:ascii="Calibri" w:eastAsia="Calibri" w:hAnsi="Calibri" w:cs="Calibri"/>
                <w:b/>
                <w:sz w:val="21"/>
                <w:szCs w:val="21"/>
              </w:rPr>
              <w:t>Gratuités pathologiques</w:t>
            </w:r>
          </w:p>
          <w:p w14:paraId="678CE313" w14:textId="77777777" w:rsidR="006C2DA4" w:rsidRPr="00D636C4" w:rsidRDefault="006C2DA4" w:rsidP="00980A9B">
            <w:pPr>
              <w:rPr>
                <w:rFonts w:ascii="Calibri" w:eastAsia="Calibri" w:hAnsi="Calibri" w:cs="Calibri"/>
                <w:sz w:val="21"/>
                <w:szCs w:val="21"/>
              </w:rPr>
            </w:pPr>
            <w:r w:rsidRPr="00D636C4">
              <w:rPr>
                <w:rFonts w:ascii="Calibri" w:eastAsia="Calibri" w:hAnsi="Calibri" w:cs="Calibri"/>
                <w:sz w:val="21"/>
                <w:szCs w:val="21"/>
              </w:rPr>
              <w:t>(Budget de l’état et PTF)</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03356" w14:textId="77777777" w:rsidR="006C2DA4" w:rsidRPr="00D636C4" w:rsidRDefault="006C2DA4" w:rsidP="00980A9B">
            <w:pPr>
              <w:rPr>
                <w:rFonts w:ascii="Calibri" w:eastAsia="Calibri" w:hAnsi="Calibri" w:cs="Calibri"/>
                <w:sz w:val="21"/>
                <w:szCs w:val="21"/>
              </w:rPr>
            </w:pPr>
            <w:r w:rsidRPr="00D636C4">
              <w:rPr>
                <w:rFonts w:ascii="Calibri" w:eastAsia="Calibri" w:hAnsi="Calibri" w:cs="Calibri"/>
                <w:sz w:val="21"/>
                <w:szCs w:val="21"/>
              </w:rPr>
              <w:t>Mélange de formules d’achat d’intrants et/ou de remboursement par acte.</w:t>
            </w:r>
          </w:p>
        </w:tc>
      </w:tr>
      <w:tr w:rsidR="006C2DA4" w:rsidRPr="00D636C4" w14:paraId="7E6063EA" w14:textId="77777777" w:rsidTr="00980A9B">
        <w:trPr>
          <w:trHeight w:val="27"/>
        </w:trPr>
        <w:tc>
          <w:tcPr>
            <w:tcW w:w="23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D8B10" w14:textId="77777777" w:rsidR="006C2DA4" w:rsidRPr="00D636C4" w:rsidRDefault="006C2DA4" w:rsidP="00980A9B">
            <w:pPr>
              <w:rPr>
                <w:rFonts w:ascii="Calibri" w:eastAsia="Calibri" w:hAnsi="Calibri" w:cs="Calibri"/>
                <w:b/>
                <w:sz w:val="21"/>
                <w:szCs w:val="21"/>
              </w:rPr>
            </w:pPr>
            <w:r w:rsidRPr="00D636C4">
              <w:rPr>
                <w:rFonts w:ascii="Calibri" w:eastAsia="Calibri" w:hAnsi="Calibri" w:cs="Calibri"/>
                <w:b/>
                <w:sz w:val="21"/>
                <w:szCs w:val="21"/>
              </w:rPr>
              <w:t>Paiements directs des malades</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C9658" w14:textId="77777777" w:rsidR="006C2DA4" w:rsidRPr="00D636C4" w:rsidRDefault="006C2DA4" w:rsidP="00980A9B">
            <w:pPr>
              <w:rPr>
                <w:rFonts w:ascii="Calibri" w:eastAsia="Calibri" w:hAnsi="Calibri" w:cs="Calibri"/>
                <w:sz w:val="21"/>
                <w:szCs w:val="21"/>
              </w:rPr>
            </w:pPr>
            <w:r w:rsidRPr="00D636C4">
              <w:rPr>
                <w:rFonts w:ascii="Calibri" w:eastAsia="Calibri" w:hAnsi="Calibri" w:cs="Calibri"/>
                <w:sz w:val="21"/>
                <w:szCs w:val="21"/>
              </w:rPr>
              <w:t>Paiement à l’acte lors de l’épisode de soins selon des tarifs non-harmonisés d’une structure à une autre.</w:t>
            </w:r>
          </w:p>
        </w:tc>
      </w:tr>
    </w:tbl>
    <w:p w14:paraId="52E5FFD1"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5C93DFD9" w14:textId="77777777" w:rsidR="006C2DA4" w:rsidRPr="00D636C4" w:rsidRDefault="006C2DA4" w:rsidP="006C2DA4">
      <w:pPr>
        <w:jc w:val="both"/>
        <w:rPr>
          <w:rFonts w:ascii="Calibri" w:eastAsia="Calibri" w:hAnsi="Calibri" w:cs="Calibri"/>
          <w:b/>
        </w:rPr>
      </w:pPr>
      <w:r w:rsidRPr="00D636C4">
        <w:rPr>
          <w:rFonts w:ascii="Calibri" w:eastAsia="Calibri" w:hAnsi="Calibri" w:cs="Calibri"/>
          <w:b/>
        </w:rPr>
        <w:t>Prestataires de soins</w:t>
      </w:r>
    </w:p>
    <w:p w14:paraId="2FFF6964" w14:textId="77777777" w:rsidR="006C2DA4" w:rsidRPr="00D636C4" w:rsidRDefault="006C2DA4" w:rsidP="006C2DA4">
      <w:pPr>
        <w:numPr>
          <w:ilvl w:val="0"/>
          <w:numId w:val="10"/>
        </w:numPr>
        <w:jc w:val="both"/>
        <w:rPr>
          <w:rFonts w:ascii="Calibri" w:eastAsia="Calibri" w:hAnsi="Calibri" w:cs="Calibri"/>
        </w:rPr>
      </w:pPr>
      <w:r w:rsidRPr="00D636C4">
        <w:rPr>
          <w:rFonts w:ascii="Calibri" w:eastAsia="Calibri" w:hAnsi="Calibri" w:cs="Calibri"/>
        </w:rPr>
        <w:t>Aucun système national d’accréditation cohér</w:t>
      </w:r>
      <w:r>
        <w:rPr>
          <w:rFonts w:ascii="Calibri" w:eastAsia="Calibri" w:hAnsi="Calibri" w:cs="Calibri"/>
        </w:rPr>
        <w:t>ent n’existe pour les FOSA, qu’elles soient publique</w:t>
      </w:r>
      <w:r w:rsidRPr="00D636C4">
        <w:rPr>
          <w:rFonts w:ascii="Calibri" w:eastAsia="Calibri" w:hAnsi="Calibri" w:cs="Calibri"/>
        </w:rPr>
        <w:t>s ou privés, engendrant des procédures de conventionnement et de vérification des normes minimales parallèles.</w:t>
      </w:r>
    </w:p>
    <w:p w14:paraId="747AE7D5" w14:textId="77777777" w:rsidR="006C2DA4" w:rsidRPr="00D636C4" w:rsidRDefault="006C2DA4" w:rsidP="006C2DA4">
      <w:pPr>
        <w:numPr>
          <w:ilvl w:val="0"/>
          <w:numId w:val="10"/>
        </w:numPr>
        <w:jc w:val="both"/>
        <w:rPr>
          <w:rFonts w:ascii="Calibri" w:eastAsia="Calibri" w:hAnsi="Calibri" w:cs="Calibri"/>
        </w:rPr>
      </w:pPr>
      <w:r w:rsidRPr="00D636C4">
        <w:rPr>
          <w:rFonts w:ascii="Calibri" w:eastAsia="Calibri" w:hAnsi="Calibri" w:cs="Calibri"/>
        </w:rPr>
        <w:t xml:space="preserve">Secteur privé est en croissance importante dans l’offre des soins de santé et la vente de médicaments, mais le secteur demeure peu documenté et réglementé, et concentré dans les villes de Nouakchott et Nouadhibou. La double pratique, particulièrement chez les médecins Mauritaniens, est omniprésente.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santé","given":"","non-dropping-particle":"","parse-names":false,"suffix":""}],"id":"ITEM-1","issued":{"date-parts":[["2021"]]},"publisher-place":"Nouakchott","title":"Plan National de Développement Sanitaire Volume I : Analyse situationnelle et Plan","type":"article","volume":"I"},"uris":["http://www.mendeley.com/documents/?uuid=df856792-65f3-40a5-8ad8-42456c8dbff3"]}],"mendeley":{"formattedCitation":"[1]","plainTextFormattedCitation":"[1]","previouslyFormattedCitation":"[1]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w:t>
      </w:r>
      <w:r w:rsidR="009904FE" w:rsidRPr="00D636C4">
        <w:rPr>
          <w:rFonts w:ascii="Calibri" w:eastAsia="Calibri" w:hAnsi="Calibri" w:cs="Calibri"/>
        </w:rPr>
        <w:fldChar w:fldCharType="end"/>
      </w:r>
    </w:p>
    <w:p w14:paraId="2A1CD3A9" w14:textId="77777777" w:rsidR="006C2DA4" w:rsidRPr="00D636C4" w:rsidRDefault="006C2DA4" w:rsidP="006C2DA4">
      <w:pPr>
        <w:numPr>
          <w:ilvl w:val="0"/>
          <w:numId w:val="10"/>
        </w:numPr>
        <w:jc w:val="both"/>
        <w:rPr>
          <w:rFonts w:ascii="Calibri" w:eastAsia="Calibri" w:hAnsi="Calibri" w:cs="Calibri"/>
        </w:rPr>
      </w:pPr>
      <w:r w:rsidRPr="00D636C4">
        <w:rPr>
          <w:rFonts w:ascii="Calibri" w:eastAsia="Calibri" w:hAnsi="Calibri" w:cs="Calibri"/>
        </w:rPr>
        <w:t xml:space="preserve">Les Centre de Santé et Poste de Santé n’ont pas de statut juridique </w:t>
      </w:r>
      <w:r>
        <w:rPr>
          <w:rFonts w:ascii="Calibri" w:eastAsia="Calibri" w:hAnsi="Calibri" w:cs="Calibri"/>
        </w:rPr>
        <w:t>ni d’</w:t>
      </w:r>
      <w:r w:rsidRPr="00D636C4">
        <w:rPr>
          <w:rFonts w:ascii="Calibri" w:eastAsia="Calibri" w:hAnsi="Calibri" w:cs="Calibri"/>
        </w:rPr>
        <w:t xml:space="preserve">autonomie. Ils ne peuvent donc ni recruter directement du personnel, ni acquérir des équipements ou des consommables (sauf les médicaments et uniquement auprès de la CAMEC), ni contracter des tâches indispensables à leur fonctionnement au quotidien (e.g., collecte et gestion des déchets ou maintenance)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Santé","given":"","non-dropping-particle":"","parse-names":false,"suffix":""}],"id":"ITEM-1","issued":{"date-parts":[["2015"]]},"title":"Strategie nationale du financement base sur les resultats dans le secteur de la sante","type":"report"},"uris":["http://www.mendeley.com/documents/?uuid=db7edf9e-7c6c-4d25-a42d-496ebad2046e"]}],"mendeley":{"formattedCitation":"[30]","plainTextFormattedCitation":"[30]","previouslyFormattedCitation":"[30]"},"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[30]</w:t>
      </w:r>
      <w:r w:rsidR="009904FE" w:rsidRPr="00D636C4">
        <w:rPr>
          <w:rFonts w:ascii="Calibri" w:eastAsia="Calibri" w:hAnsi="Calibri" w:cs="Calibri"/>
        </w:rPr>
        <w:fldChar w:fldCharType="end"/>
      </w:r>
      <w:r w:rsidRPr="00D636C4">
        <w:rPr>
          <w:rFonts w:ascii="Calibri" w:eastAsia="Calibri" w:hAnsi="Calibri" w:cs="Calibri"/>
        </w:rPr>
        <w:t>.</w:t>
      </w:r>
    </w:p>
    <w:p w14:paraId="2EF0C8D9" w14:textId="77777777" w:rsidR="006C2DA4" w:rsidRPr="00D636C4" w:rsidRDefault="006C2DA4" w:rsidP="006C2DA4">
      <w:pPr>
        <w:numPr>
          <w:ilvl w:val="0"/>
          <w:numId w:val="10"/>
        </w:numPr>
        <w:jc w:val="both"/>
        <w:rPr>
          <w:rFonts w:ascii="Calibri" w:eastAsia="Calibri" w:hAnsi="Calibri" w:cs="Calibri"/>
        </w:rPr>
      </w:pPr>
      <w:r w:rsidRPr="00D636C4">
        <w:rPr>
          <w:rFonts w:ascii="Calibri" w:eastAsia="Calibri" w:hAnsi="Calibri" w:cs="Calibri"/>
        </w:rPr>
        <w:t xml:space="preserve">En revanche, les FOSA ont beaucoup d’autonomie en termes de ce qu’ils peuvent faire avec leur recettes fiscales (crédits délégués et recouvrement de coûts). Toutefois, la capacité de gestion des finances des FOSA au niveau périphérique </w:t>
      </w:r>
      <w:r>
        <w:rPr>
          <w:rFonts w:ascii="Calibri" w:eastAsia="Calibri" w:hAnsi="Calibri" w:cs="Calibri"/>
        </w:rPr>
        <w:t xml:space="preserve">est </w:t>
      </w:r>
      <w:r w:rsidRPr="00D636C4">
        <w:rPr>
          <w:rFonts w:ascii="Calibri" w:eastAsia="Calibri" w:hAnsi="Calibri" w:cs="Calibri"/>
        </w:rPr>
        <w:t xml:space="preserve">limité, sans outil national standardisé mis en place et la présence irrégulière de gestionnaires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{"citationItems":[{"id":"ITEM-1","itemData":{"author":[{"dropping-particle":"","family":"Tamga Magne","given":"Denise","non-dropping-particle":"","parse-names":false,"suffix":""},{"dropping-particle":"","family":"Unité Technique du Financement Basé sur les Performances","given":"","non-dropping-particle":"","parse-names":false,"suffix":""}],"id":"ITEM-1","issued":{"date-parts":[["2022"]]},"title":"Rapport de la Mission d'Évaluation du Dispositif du Financement Basé sur les Performances (mars 2022)","type":"report"},"uris":["http://www.mendeley.com/documents/?uuid=d4aec24b-1304-4228-a4ff-1ca65c5db9c3"]},{"id":"ITEM-2","itemData":{"author":[{"dropping-particle":"","family":"Bureau Mauritanien d'Études en Santé Publique (BUMESP)","given":"","non-dropping-particle":"","parse-names":false,"suffix":""}],"id":"ITEM-2","issued":{"date-parts":[["2020"]]},"publisher-place":"Nouakchott","title":"Carte Sanitaire Nationale de la Mauritanie - 2020","type":"report"},"uris":["http://www.mendeley.com/documents/?uuid=45fc5921-59c7-48e0-9148-0186f2caf93f"]}],"mendeley":{"formattedCitation":"[18], [31]","plainTextFormattedCitation":"[18], [31]","previouslyFormattedCitation":"[18], [31]"},"properties":{"noteIndex":0},"schema":"https://github.com/citation-style-language/schema/raw/master/csl-citation.json"}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[18], [31]</w:t>
      </w:r>
      <w:r w:rsidR="009904FE" w:rsidRPr="00D636C4">
        <w:rPr>
          <w:rFonts w:ascii="Calibri" w:eastAsia="Calibri" w:hAnsi="Calibri" w:cs="Calibri"/>
        </w:rPr>
        <w:fldChar w:fldCharType="end"/>
      </w:r>
      <w:r w:rsidRPr="00D636C4">
        <w:rPr>
          <w:rFonts w:ascii="Calibri" w:eastAsia="Calibri" w:hAnsi="Calibri" w:cs="Calibri"/>
        </w:rPr>
        <w:t xml:space="preserve">. </w:t>
      </w:r>
    </w:p>
    <w:p w14:paraId="6655E720" w14:textId="77777777" w:rsidR="006C2DA4" w:rsidRPr="00D636C4" w:rsidRDefault="006C2DA4" w:rsidP="006C2DA4">
      <w:pPr>
        <w:numPr>
          <w:ilvl w:val="0"/>
          <w:numId w:val="10"/>
        </w:numPr>
        <w:jc w:val="both"/>
        <w:rPr>
          <w:rFonts w:ascii="Calibri" w:eastAsia="Calibri" w:hAnsi="Calibri" w:cs="Calibri"/>
        </w:rPr>
      </w:pPr>
      <w:r w:rsidRPr="00D636C4">
        <w:rPr>
          <w:rFonts w:ascii="Calibri" w:eastAsia="Calibri" w:hAnsi="Calibri" w:cs="Calibri"/>
        </w:rPr>
        <w:t xml:space="preserve">La stratégie de déploiement des Agents de Santé Communautaire (ASC) reste peu définie et l’achat des soins à ce niveau ne se fait pas de façon systématique. Une nouvelle Stratégie de Santé Communautaire est en cours de développement, qui vise </w:t>
      </w:r>
      <w:r>
        <w:rPr>
          <w:rFonts w:ascii="Calibri" w:eastAsia="Calibri" w:hAnsi="Calibri" w:cs="Calibri"/>
        </w:rPr>
        <w:t xml:space="preserve">à </w:t>
      </w:r>
      <w:r w:rsidRPr="00D636C4">
        <w:rPr>
          <w:rFonts w:ascii="Calibri" w:eastAsia="Calibri" w:hAnsi="Calibri" w:cs="Calibri"/>
        </w:rPr>
        <w:t xml:space="preserve">une redynamisation de ce dispositif – ce qui pourrait avoir des conséquences financières importantes pour le système de santé </w:t>
      </w:r>
      <w:r w:rsidRPr="00D636C4">
        <w:rPr>
          <w:rFonts w:ascii="Calibri" w:eastAsia="Calibri" w:hAnsi="Calibri" w:cs="Calibri"/>
          <w:color w:val="222222"/>
          <w:highlight w:val="white"/>
        </w:rPr>
        <w:t xml:space="preserve">reliés à </w:t>
      </w:r>
      <w:r w:rsidRPr="00D636C4">
        <w:rPr>
          <w:rFonts w:ascii="Calibri" w:eastAsia="Calibri" w:hAnsi="Calibri" w:cs="Calibri"/>
        </w:rPr>
        <w:t xml:space="preserve">leur formation, paiement, approvisionnement en intrants et supervision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{"citationItems":[{"id":"ITEM-1","itemData":{"author":[{"dropping-particle":"","family":"Ministère de la santé","given":"","non-dropping-particle":"","parse-names":false,"suffix":""},{"dropping-particle":"","family":"ICHESS","given":"","non-dropping-particle":"","parse-names":false,"suffix":""}],"id":"ITEM-1","issued":{"date-parts":[["2023"]]},"publisher-place":"Nouakchott","title":"Analyse situationnelle du système de santé communautaire en République Islamique de Mauritanie - Rapport final (Draft)","type":"report"},"uris":["http://www.mendeley.com/documents/?uuid=fc8ce3e3-6ce4-40ef-b2c1-5abf807e2806"]}],"mendeley":{"formattedCitation":"[32]","plainTextFormattedCitation":"[32]","previouslyFormattedCitation":"[32]"},"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[32]</w:t>
      </w:r>
      <w:r w:rsidR="009904FE" w:rsidRPr="00D636C4">
        <w:rPr>
          <w:rFonts w:ascii="Calibri" w:eastAsia="Calibri" w:hAnsi="Calibri" w:cs="Calibri"/>
        </w:rPr>
        <w:fldChar w:fldCharType="end"/>
      </w:r>
      <w:r w:rsidRPr="00D636C4">
        <w:rPr>
          <w:rFonts w:ascii="Calibri" w:eastAsia="Calibri" w:hAnsi="Calibri" w:cs="Calibri"/>
        </w:rPr>
        <w:t>.</w:t>
      </w:r>
    </w:p>
    <w:p w14:paraId="08909C9B" w14:textId="77777777" w:rsidR="006C2DA4" w:rsidRPr="00D636C4" w:rsidRDefault="006C2DA4" w:rsidP="006C2DA4">
      <w:pPr>
        <w:ind w:left="720"/>
        <w:jc w:val="both"/>
        <w:rPr>
          <w:rFonts w:ascii="Calibri" w:eastAsia="Calibri" w:hAnsi="Calibri" w:cs="Calibri"/>
        </w:rPr>
      </w:pPr>
      <w:r w:rsidRPr="00D636C4">
        <w:rPr>
          <w:rFonts w:ascii="Calibri" w:eastAsia="Calibri" w:hAnsi="Calibri" w:cs="Calibri"/>
        </w:rPr>
        <w:t xml:space="preserve"> </w:t>
      </w:r>
    </w:p>
    <w:p w14:paraId="2ED4A1F4" w14:textId="77777777" w:rsidR="006C2DA4" w:rsidRPr="002D54D8" w:rsidRDefault="006C2DA4" w:rsidP="006C2DA4">
      <w:pPr>
        <w:jc w:val="both"/>
        <w:rPr>
          <w:rFonts w:ascii="Calibri" w:eastAsia="Calibri" w:hAnsi="Calibri" w:cs="Calibri"/>
          <w:b/>
        </w:rPr>
      </w:pPr>
      <w:r w:rsidRPr="00D636C4">
        <w:rPr>
          <w:rFonts w:ascii="Calibri" w:eastAsia="Calibri" w:hAnsi="Calibri" w:cs="Calibri"/>
          <w:b/>
        </w:rPr>
        <w:t>Les mécanismes de redevabilité des structures envers la population sont insuffisants.</w:t>
      </w:r>
      <w:r>
        <w:rPr>
          <w:rFonts w:ascii="Calibri" w:eastAsia="Calibri" w:hAnsi="Calibri" w:cs="Calibri"/>
          <w:b/>
        </w:rPr>
        <w:t xml:space="preserve"> </w:t>
      </w:r>
      <w:r w:rsidRPr="00D636C4">
        <w:rPr>
          <w:rFonts w:ascii="Calibri" w:eastAsia="Calibri" w:hAnsi="Calibri" w:cs="Calibri"/>
        </w:rPr>
        <w:t xml:space="preserve">Les Comités de Gestion (COGES) sont peu fonctionnels hors des zones soutenues par les partenaires (e.g., projet INAYA) </w:t>
      </w:r>
      <w:r w:rsidR="009904FE" w:rsidRPr="00D636C4">
        <w:rPr>
          <w:rFonts w:ascii="Calibri" w:eastAsia="Calibri" w:hAnsi="Calibri" w:cs="Calibri"/>
        </w:rPr>
        <w:fldChar w:fldCharType="begin" w:fldLock="1"/>
      </w:r>
      <w:r w:rsidRPr="00D636C4">
        <w:rPr>
          <w:rFonts w:ascii="Calibri" w:eastAsia="Calibri" w:hAnsi="Calibri" w:cs="Calibri"/>
        </w:rPr>
        <w:instrText>ADDIN CSL_CITATION {"citationItems":[{"id":"ITEM-1","itemData":{"author":[{"dropping-particle":"","family":"Tamga Magne","given":"Denise","non-dropping-particle":"","parse-names":false,"suffix":""},{"dropping-particle":"","family":"Unité Technique du Financement Basé sur les Performances","given":"","non-dropping-particle":"","parse-names":false,"suffix":""}],"id":"ITEM-1","issued":{"date-parts":[["2022"]]},"title":"Rapport de la Mission d'Évaluation du Dispositif du Financement Basé sur les Performances (mars 2022)","type":"report"},"uris":["http://www.mendeley.com/documents/?uuid=d4aec24b-1304-4228-a4ff-1ca65c5db9c3"]}],"mendeley":{"formattedCitation":"[31]","plainTextFormattedCitation":"[31]","previouslyFormattedCitation":"[31]"},"properties":{"noteIndex":0},"schema":"https://github.com/citation-style-language/schema/raw/master/csl-citation.json"}</w:instrText>
      </w:r>
      <w:r w:rsidR="009904FE" w:rsidRPr="00D636C4">
        <w:rPr>
          <w:rFonts w:ascii="Calibri" w:eastAsia="Calibri" w:hAnsi="Calibri" w:cs="Calibri"/>
        </w:rPr>
        <w:fldChar w:fldCharType="separate"/>
      </w:r>
      <w:r w:rsidRPr="00D636C4">
        <w:rPr>
          <w:rFonts w:ascii="Calibri" w:eastAsia="Calibri" w:hAnsi="Calibri" w:cs="Calibri"/>
          <w:noProof/>
        </w:rPr>
        <w:t>[31]</w:t>
      </w:r>
      <w:r w:rsidR="009904FE" w:rsidRPr="00D636C4">
        <w:rPr>
          <w:rFonts w:ascii="Calibri" w:eastAsia="Calibri" w:hAnsi="Calibri" w:cs="Calibri"/>
        </w:rPr>
        <w:fldChar w:fldCharType="end"/>
      </w:r>
      <w:r w:rsidRPr="00D636C4">
        <w:rPr>
          <w:rFonts w:ascii="Calibri" w:eastAsia="Calibri" w:hAnsi="Calibri" w:cs="Calibri"/>
        </w:rPr>
        <w:t xml:space="preserve">. Ces comités – s’ils sont fonctionnels - appliquent rarement les normes établies sur la bonne gestion </w:t>
      </w:r>
      <w:r w:rsidRPr="00D636C4">
        <w:rPr>
          <w:rFonts w:ascii="Calibri" w:eastAsia="Calibri" w:hAnsi="Calibri" w:cs="Calibri"/>
        </w:rPr>
        <w:lastRenderedPageBreak/>
        <w:t>des recettes du recouvrement de coûts et les règles nationales en termes de tarifs pour les actes médicaux ou de marge de profits sur la vente des médicaments.</w:t>
      </w:r>
    </w:p>
    <w:p w14:paraId="2E55D799"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 </w:t>
      </w:r>
    </w:p>
    <w:p w14:paraId="2E3CC6C6" w14:textId="77777777" w:rsidR="006C2DA4" w:rsidRPr="002D54D8" w:rsidRDefault="006C2DA4" w:rsidP="006C2DA4">
      <w:pPr>
        <w:jc w:val="both"/>
        <w:rPr>
          <w:rFonts w:ascii="Calibri" w:eastAsia="Calibri" w:hAnsi="Calibri" w:cs="Calibri"/>
          <w:b/>
        </w:rPr>
      </w:pPr>
      <w:r w:rsidRPr="00D636C4">
        <w:rPr>
          <w:rFonts w:ascii="Calibri" w:eastAsia="Calibri" w:hAnsi="Calibri" w:cs="Calibri"/>
          <w:b/>
        </w:rPr>
        <w:t>L’utilisation de systèmes d’information non-intégrés par les différentes agences et programmes rend difficile l'établissement d’une image claire de ce qui est acheté par qui, pour qui, et comment.</w:t>
      </w:r>
      <w:r>
        <w:rPr>
          <w:rFonts w:ascii="Calibri" w:eastAsia="Calibri" w:hAnsi="Calibri" w:cs="Calibri"/>
          <w:b/>
        </w:rPr>
        <w:t xml:space="preserve"> </w:t>
      </w:r>
      <w:r w:rsidRPr="00D636C4">
        <w:rPr>
          <w:rFonts w:ascii="Calibri" w:eastAsia="Calibri" w:hAnsi="Calibri" w:cs="Calibri"/>
        </w:rPr>
        <w:t xml:space="preserve">Aucun programme n’utilise exclusivement le DHIS-2 pour la collecte de ces données et plusieurs outils de gestion parallèle existent. Des données sur les activités et la performance des programmes sont difficiles à </w:t>
      </w:r>
      <w:r>
        <w:rPr>
          <w:rFonts w:ascii="Calibri" w:eastAsia="Calibri" w:hAnsi="Calibri" w:cs="Calibri"/>
        </w:rPr>
        <w:t>obtenir</w:t>
      </w:r>
      <w:r w:rsidRPr="00D636C4">
        <w:rPr>
          <w:rFonts w:ascii="Calibri" w:eastAsia="Calibri" w:hAnsi="Calibri" w:cs="Calibri"/>
        </w:rPr>
        <w:t>.</w:t>
      </w:r>
    </w:p>
    <w:p w14:paraId="6CA26AA0" w14:textId="77777777" w:rsidR="006C2DA4" w:rsidRPr="00D636C4" w:rsidRDefault="006C2DA4" w:rsidP="006C2DA4">
      <w:pPr>
        <w:pStyle w:val="Heading1"/>
        <w:rPr>
          <w:rFonts w:ascii="Calibri" w:eastAsia="Calibri" w:hAnsi="Calibri" w:cs="Calibri"/>
        </w:rPr>
      </w:pPr>
      <w:bookmarkStart w:id="29" w:name="_Toc137847494"/>
      <w:bookmarkStart w:id="30" w:name="_Toc140268442"/>
      <w:r w:rsidRPr="00D636C4">
        <w:rPr>
          <w:rFonts w:ascii="Calibri" w:eastAsia="Calibri" w:hAnsi="Calibri" w:cs="Calibri"/>
          <w:b/>
          <w:color w:val="2F5496"/>
          <w:sz w:val="30"/>
          <w:szCs w:val="30"/>
        </w:rPr>
        <w:t>Chapitre 4 : Stratégie de financement de la santé</w:t>
      </w:r>
      <w:bookmarkEnd w:id="29"/>
      <w:bookmarkEnd w:id="30"/>
    </w:p>
    <w:p w14:paraId="2DE16E04" w14:textId="77777777" w:rsidR="006C2DA4" w:rsidRPr="00D636C4" w:rsidRDefault="006C2DA4" w:rsidP="006C2DA4">
      <w:pPr>
        <w:pStyle w:val="Heading2"/>
        <w:keepNext w:val="0"/>
        <w:keepLines w:val="0"/>
        <w:spacing w:before="240" w:after="80"/>
        <w:jc w:val="both"/>
        <w:rPr>
          <w:rFonts w:ascii="Calibri" w:eastAsia="Calibri" w:hAnsi="Calibri" w:cs="Calibri"/>
          <w:b/>
          <w:sz w:val="22"/>
          <w:szCs w:val="22"/>
        </w:rPr>
      </w:pPr>
      <w:bookmarkStart w:id="31" w:name="_Toc137847495"/>
      <w:bookmarkStart w:id="32" w:name="_Toc140268443"/>
      <w:r w:rsidRPr="00D636C4">
        <w:rPr>
          <w:rFonts w:ascii="Calibri" w:eastAsia="Calibri" w:hAnsi="Calibri" w:cs="Calibri"/>
          <w:b/>
          <w:sz w:val="22"/>
          <w:szCs w:val="22"/>
        </w:rPr>
        <w:t>4.1.  Vision</w:t>
      </w:r>
      <w:bookmarkEnd w:id="31"/>
      <w:bookmarkEnd w:id="32"/>
    </w:p>
    <w:p w14:paraId="3C466CE4" w14:textId="77777777" w:rsidR="006C2DA4" w:rsidRPr="00D636C4" w:rsidRDefault="006C2DA4" w:rsidP="006C2DA4">
      <w:pPr>
        <w:jc w:val="both"/>
        <w:rPr>
          <w:rFonts w:ascii="Calibri" w:eastAsia="Calibri" w:hAnsi="Calibri" w:cs="Calibri"/>
        </w:rPr>
      </w:pPr>
      <w:bookmarkStart w:id="33" w:name="_Hlk147240835"/>
      <w:r w:rsidRPr="00D636C4">
        <w:rPr>
          <w:rFonts w:ascii="Calibri" w:eastAsia="Calibri" w:hAnsi="Calibri" w:cs="Calibri"/>
        </w:rPr>
        <w:t xml:space="preserve">Cette stratégie de financement a pour vision de soutenir les progrès vers </w:t>
      </w:r>
      <w:r>
        <w:rPr>
          <w:rFonts w:ascii="Calibri" w:eastAsia="Calibri" w:hAnsi="Calibri" w:cs="Calibri"/>
        </w:rPr>
        <w:t>la</w:t>
      </w:r>
      <w:r w:rsidRPr="00D636C4">
        <w:rPr>
          <w:rFonts w:ascii="Calibri" w:eastAsia="Calibri" w:hAnsi="Calibri" w:cs="Calibri"/>
        </w:rPr>
        <w:t xml:space="preserve"> CSU</w:t>
      </w:r>
      <w:r>
        <w:rPr>
          <w:rFonts w:ascii="Calibri" w:eastAsia="Calibri" w:hAnsi="Calibri" w:cs="Calibri"/>
        </w:rPr>
        <w:t xml:space="preserve">, </w:t>
      </w:r>
      <w:r w:rsidRPr="00D636C4">
        <w:rPr>
          <w:rFonts w:ascii="Calibri" w:eastAsia="Calibri" w:hAnsi="Calibri" w:cs="Calibri"/>
        </w:rPr>
        <w:t>à</w:t>
      </w:r>
      <w:r>
        <w:rPr>
          <w:rFonts w:ascii="Calibri" w:eastAsia="Calibri" w:hAnsi="Calibri" w:cs="Calibri"/>
        </w:rPr>
        <w:t xml:space="preserve"> travers</w:t>
      </w:r>
      <w:r w:rsidRPr="00D636C4">
        <w:rPr>
          <w:rFonts w:ascii="Calibri" w:eastAsia="Calibri" w:hAnsi="Calibri" w:cs="Calibri"/>
        </w:rPr>
        <w:t xml:space="preserve"> (a) une réorganisation de la mobilisation de ressources visant à réduire les paiements directs des ménages et à augmenter la contribution des recettes fiscales progressives pour la santé, (b) une augmentation significative de la mutualisation des risques et la mise en commun des ressources, afin d'améliorer la protection financière de la population et (c) une utilisation plus stratégique des ressources disponibles pour la santé, visant à améliorer l’efficience et l'équité des dépenses, en particulier à travers une plus grande priorité donnée aux SSP.</w:t>
      </w:r>
      <w:r>
        <w:rPr>
          <w:rFonts w:ascii="Calibri" w:eastAsia="Calibri" w:hAnsi="Calibri" w:cs="Calibri"/>
        </w:rPr>
        <w:t xml:space="preserve"> Les valeurs clefs défendues par cette stratégie sont l’équité dans la mobilisation et l’allocation des ressources, l’efficience dans les dépenses </w:t>
      </w:r>
      <w:r w:rsidRPr="00D636C4">
        <w:rPr>
          <w:rFonts w:ascii="Calibri" w:eastAsia="Calibri" w:hAnsi="Calibri" w:cs="Calibri"/>
        </w:rPr>
        <w:t>à</w:t>
      </w:r>
      <w:r>
        <w:rPr>
          <w:rFonts w:ascii="Calibri" w:eastAsia="Calibri" w:hAnsi="Calibri" w:cs="Calibri"/>
        </w:rPr>
        <w:t xml:space="preserve"> travers une plus grande coordination entre acteurs, et une priorisation des SSP.</w:t>
      </w:r>
    </w:p>
    <w:bookmarkEnd w:id="33"/>
    <w:p w14:paraId="74CC2DB5" w14:textId="77777777" w:rsidR="006C2DA4" w:rsidRPr="00D636C4" w:rsidRDefault="006C2DA4" w:rsidP="006C2DA4">
      <w:pPr>
        <w:jc w:val="both"/>
        <w:rPr>
          <w:rFonts w:ascii="Calibri" w:eastAsia="Calibri" w:hAnsi="Calibri" w:cs="Calibri"/>
        </w:rPr>
      </w:pPr>
    </w:p>
    <w:p w14:paraId="58027283" w14:textId="77777777" w:rsidR="006C2DA4" w:rsidRPr="004C4CFE" w:rsidRDefault="006C2DA4" w:rsidP="006C2DA4">
      <w:pPr>
        <w:pStyle w:val="Heading2"/>
        <w:keepNext w:val="0"/>
        <w:keepLines w:val="0"/>
        <w:spacing w:before="240" w:after="80"/>
        <w:jc w:val="both"/>
        <w:rPr>
          <w:rFonts w:ascii="Calibri" w:eastAsia="Calibri" w:hAnsi="Calibri" w:cs="Calibri"/>
          <w:b/>
          <w:sz w:val="22"/>
          <w:szCs w:val="22"/>
        </w:rPr>
      </w:pPr>
      <w:bookmarkStart w:id="34" w:name="_Toc137847496"/>
      <w:bookmarkStart w:id="35" w:name="_Toc140268444"/>
      <w:r w:rsidRPr="00D636C4">
        <w:rPr>
          <w:rFonts w:ascii="Calibri" w:eastAsia="Calibri" w:hAnsi="Calibri" w:cs="Calibri"/>
          <w:b/>
          <w:sz w:val="22"/>
          <w:szCs w:val="22"/>
        </w:rPr>
        <w:t>4.2.</w:t>
      </w:r>
      <w:r>
        <w:rPr>
          <w:rFonts w:ascii="Calibri" w:eastAsia="Calibri" w:hAnsi="Calibri" w:cs="Calibri"/>
          <w:b/>
          <w:sz w:val="22"/>
          <w:szCs w:val="22"/>
        </w:rPr>
        <w:t xml:space="preserve"> </w:t>
      </w:r>
      <w:r w:rsidRPr="00D636C4">
        <w:rPr>
          <w:rFonts w:ascii="Calibri" w:eastAsia="Calibri" w:hAnsi="Calibri" w:cs="Calibri"/>
          <w:b/>
          <w:sz w:val="22"/>
          <w:szCs w:val="22"/>
        </w:rPr>
        <w:t>Objectifs</w:t>
      </w:r>
      <w:bookmarkEnd w:id="34"/>
      <w:bookmarkEnd w:id="35"/>
    </w:p>
    <w:p w14:paraId="70EFEBDF" w14:textId="77777777" w:rsidR="006C2DA4" w:rsidRPr="00D636C4" w:rsidRDefault="006C2DA4" w:rsidP="006C2DA4">
      <w:pPr>
        <w:jc w:val="both"/>
        <w:rPr>
          <w:rFonts w:ascii="Calibri" w:eastAsia="Calibri" w:hAnsi="Calibri" w:cs="Calibri"/>
        </w:rPr>
      </w:pPr>
      <w:r w:rsidRPr="00D636C4">
        <w:rPr>
          <w:rFonts w:ascii="Calibri" w:eastAsia="Calibri" w:hAnsi="Calibri" w:cs="Calibri"/>
        </w:rPr>
        <w:t xml:space="preserve">La Stratégie Nationale de Financement de la Santé </w:t>
      </w:r>
      <w:r>
        <w:rPr>
          <w:rFonts w:ascii="Calibri" w:eastAsia="Calibri" w:hAnsi="Calibri" w:cs="Calibri"/>
        </w:rPr>
        <w:t>a pour objectifs de</w:t>
      </w:r>
      <w:r w:rsidRPr="00D636C4">
        <w:rPr>
          <w:rFonts w:ascii="Calibri" w:eastAsia="Calibri" w:hAnsi="Calibri" w:cs="Calibri"/>
        </w:rPr>
        <w:t>:</w:t>
      </w:r>
    </w:p>
    <w:p w14:paraId="3F38B383" w14:textId="77777777" w:rsidR="006C2DA4" w:rsidRPr="00D636C4" w:rsidRDefault="006C2DA4" w:rsidP="006C2DA4">
      <w:pPr>
        <w:numPr>
          <w:ilvl w:val="0"/>
          <w:numId w:val="5"/>
        </w:numPr>
      </w:pPr>
      <w:r w:rsidRPr="00D636C4">
        <w:rPr>
          <w:rFonts w:ascii="Calibri" w:eastAsia="Calibri" w:hAnsi="Calibri" w:cs="Calibri"/>
        </w:rPr>
        <w:t>Assurer la mobilisation des ressources financières progressives nécessaires à une couverture sanitaire universelle à l’horizon 2030</w:t>
      </w:r>
      <w:r>
        <w:rPr>
          <w:rFonts w:ascii="Calibri" w:eastAsia="Calibri" w:hAnsi="Calibri" w:cs="Calibri"/>
        </w:rPr>
        <w:t> ;</w:t>
      </w:r>
    </w:p>
    <w:p w14:paraId="7D4B78D6" w14:textId="77777777" w:rsidR="006C2DA4" w:rsidRPr="00D636C4" w:rsidRDefault="006C2DA4" w:rsidP="006C2DA4">
      <w:pPr>
        <w:numPr>
          <w:ilvl w:val="0"/>
          <w:numId w:val="5"/>
        </w:numPr>
      </w:pPr>
      <w:r w:rsidRPr="00D636C4">
        <w:rPr>
          <w:rFonts w:ascii="Calibri" w:eastAsia="Calibri" w:hAnsi="Calibri" w:cs="Calibri"/>
        </w:rPr>
        <w:t>Améliorer la mise en commun et mutualisation des ressources pour renforcer la protection financière de la population</w:t>
      </w:r>
      <w:r>
        <w:rPr>
          <w:rFonts w:ascii="Calibri" w:eastAsia="Calibri" w:hAnsi="Calibri" w:cs="Calibri"/>
        </w:rPr>
        <w:t> ;</w:t>
      </w:r>
    </w:p>
    <w:p w14:paraId="53679830" w14:textId="77777777" w:rsidR="006C2DA4" w:rsidRPr="00D636C4" w:rsidRDefault="006C2DA4" w:rsidP="006C2DA4">
      <w:pPr>
        <w:numPr>
          <w:ilvl w:val="0"/>
          <w:numId w:val="5"/>
        </w:numPr>
      </w:pPr>
      <w:r w:rsidRPr="00D636C4">
        <w:rPr>
          <w:rFonts w:ascii="Calibri" w:eastAsia="Calibri" w:hAnsi="Calibri" w:cs="Calibri"/>
        </w:rPr>
        <w:t xml:space="preserve">Améliorer le processus d'allocation des ressources de la santé, en </w:t>
      </w:r>
      <w:r>
        <w:rPr>
          <w:rFonts w:ascii="Calibri" w:eastAsia="Calibri" w:hAnsi="Calibri" w:cs="Calibri"/>
        </w:rPr>
        <w:t>privilégiant</w:t>
      </w:r>
      <w:r w:rsidRPr="00D636C4">
        <w:rPr>
          <w:rFonts w:ascii="Calibri" w:eastAsia="Calibri" w:hAnsi="Calibri" w:cs="Calibri"/>
        </w:rPr>
        <w:t xml:space="preserve"> les SSP, et rendre l’achat plus stratégique</w:t>
      </w:r>
      <w:r>
        <w:rPr>
          <w:rFonts w:ascii="Calibri" w:eastAsia="Calibri" w:hAnsi="Calibri" w:cs="Calibri"/>
        </w:rPr>
        <w:t> ;</w:t>
      </w:r>
    </w:p>
    <w:p w14:paraId="48463963" w14:textId="77777777" w:rsidR="00FC3632" w:rsidRPr="006C2DA4" w:rsidRDefault="006C2DA4" w:rsidP="006C2DA4">
      <w:pPr>
        <w:numPr>
          <w:ilvl w:val="0"/>
          <w:numId w:val="5"/>
        </w:numPr>
        <w:rPr>
          <w:b/>
        </w:rPr>
      </w:pPr>
      <w:r w:rsidRPr="00D636C4">
        <w:rPr>
          <w:rFonts w:ascii="Calibri" w:eastAsia="Calibri" w:hAnsi="Calibri" w:cs="Calibri"/>
        </w:rPr>
        <w:t xml:space="preserve">Renforcer des fonctions sous-jacentes au système de financement de la santé : </w:t>
      </w:r>
      <w:r>
        <w:rPr>
          <w:rFonts w:ascii="Calibri" w:eastAsia="Calibri" w:hAnsi="Calibri" w:cs="Calibri"/>
        </w:rPr>
        <w:t xml:space="preserve">gouvernance, </w:t>
      </w:r>
      <w:r w:rsidRPr="00D636C4">
        <w:rPr>
          <w:rFonts w:ascii="Calibri" w:eastAsia="Calibri" w:hAnsi="Calibri" w:cs="Calibri"/>
        </w:rPr>
        <w:t>données</w:t>
      </w:r>
      <w:r>
        <w:rPr>
          <w:rFonts w:ascii="Calibri" w:eastAsia="Calibri" w:hAnsi="Calibri" w:cs="Calibri"/>
        </w:rPr>
        <w:t xml:space="preserve"> et gestion des finances publiques (GFP)</w:t>
      </w:r>
      <w:bookmarkStart w:id="36" w:name="_nu6wodrv3ieb" w:colFirst="0" w:colLast="0"/>
      <w:bookmarkEnd w:id="36"/>
      <w:r>
        <w:rPr>
          <w:rFonts w:ascii="Calibri" w:eastAsia="Calibri" w:hAnsi="Calibri" w:cs="Calibri"/>
        </w:rPr>
        <w:t>.</w:t>
      </w:r>
    </w:p>
    <w:p w14:paraId="49145D89" w14:textId="77777777" w:rsidR="00C17FDB" w:rsidRPr="00D636C4" w:rsidRDefault="00C17FDB">
      <w:pPr>
        <w:pStyle w:val="Heading2"/>
        <w:keepNext w:val="0"/>
        <w:keepLines w:val="0"/>
        <w:spacing w:after="80"/>
        <w:rPr>
          <w:rFonts w:ascii="Calibri" w:eastAsia="Calibri" w:hAnsi="Calibri" w:cs="Calibri"/>
          <w:b/>
          <w:sz w:val="22"/>
          <w:szCs w:val="22"/>
        </w:rPr>
        <w:sectPr w:rsidR="00C17FDB" w:rsidRPr="00D636C4" w:rsidSect="00C365A6">
          <w:headerReference w:type="even" r:id="rId21"/>
          <w:headerReference w:type="default" r:id="rId22"/>
          <w:footerReference w:type="even" r:id="rId23"/>
          <w:footerReference w:type="default" r:id="rId24"/>
          <w:headerReference w:type="first" r:id="rId25"/>
          <w:pgSz w:w="12240" w:h="15840"/>
          <w:pgMar w:top="1440" w:right="1440" w:bottom="1440" w:left="1440" w:header="720" w:footer="720" w:gutter="0"/>
          <w:cols w:space="720"/>
        </w:sectPr>
      </w:pPr>
    </w:p>
    <w:p w14:paraId="2D55310E" w14:textId="77777777" w:rsidR="00FC3632" w:rsidRPr="00D636C4" w:rsidRDefault="002E43B8">
      <w:pPr>
        <w:pStyle w:val="Heading2"/>
        <w:keepNext w:val="0"/>
        <w:keepLines w:val="0"/>
        <w:spacing w:after="80"/>
        <w:rPr>
          <w:rFonts w:ascii="Calibri" w:eastAsia="Calibri" w:hAnsi="Calibri" w:cs="Calibri"/>
          <w:b/>
          <w:sz w:val="22"/>
          <w:szCs w:val="22"/>
        </w:rPr>
      </w:pPr>
      <w:bookmarkStart w:id="37" w:name="_Toc137847497"/>
      <w:bookmarkStart w:id="38" w:name="_Toc140268445"/>
      <w:r w:rsidRPr="00D636C4">
        <w:rPr>
          <w:rFonts w:ascii="Calibri" w:eastAsia="Calibri" w:hAnsi="Calibri" w:cs="Calibri"/>
          <w:b/>
          <w:sz w:val="22"/>
          <w:szCs w:val="22"/>
        </w:rPr>
        <w:lastRenderedPageBreak/>
        <w:t>4.3. Axes stratégiques et principales actions</w:t>
      </w:r>
      <w:bookmarkEnd w:id="37"/>
      <w:bookmarkEnd w:id="38"/>
    </w:p>
    <w:p w14:paraId="3847A939" w14:textId="77777777" w:rsidR="00FC3632" w:rsidRPr="00D636C4" w:rsidRDefault="002E43B8">
      <w:pPr>
        <w:rPr>
          <w:rFonts w:ascii="Calibri" w:eastAsia="Calibri" w:hAnsi="Calibri" w:cs="Calibri"/>
        </w:rPr>
      </w:pPr>
      <w:r w:rsidRPr="00D636C4">
        <w:rPr>
          <w:rFonts w:ascii="Calibri" w:eastAsia="Calibri" w:hAnsi="Calibri" w:cs="Calibri"/>
        </w:rPr>
        <w:t xml:space="preserve"> </w:t>
      </w:r>
    </w:p>
    <w:p w14:paraId="3033BFF5" w14:textId="77777777" w:rsidR="00FC3632" w:rsidRPr="00D636C4" w:rsidRDefault="002E43B8">
      <w:pPr>
        <w:rPr>
          <w:rFonts w:ascii="Calibri" w:eastAsia="Calibri" w:hAnsi="Calibri" w:cs="Calibri"/>
          <w:b/>
        </w:rPr>
      </w:pPr>
      <w:r w:rsidRPr="00D636C4">
        <w:rPr>
          <w:rFonts w:ascii="Calibri" w:eastAsia="Calibri" w:hAnsi="Calibri" w:cs="Calibri"/>
          <w:b/>
        </w:rPr>
        <w:t xml:space="preserve">Tableau </w:t>
      </w:r>
      <w:r w:rsidR="008F12D0">
        <w:rPr>
          <w:rFonts w:ascii="Calibri" w:eastAsia="Calibri" w:hAnsi="Calibri" w:cs="Calibri"/>
          <w:b/>
        </w:rPr>
        <w:t>5</w:t>
      </w:r>
      <w:r w:rsidR="00C17FDB" w:rsidRPr="00D636C4">
        <w:rPr>
          <w:rFonts w:ascii="Calibri" w:eastAsia="Calibri" w:hAnsi="Calibri" w:cs="Calibri"/>
          <w:b/>
        </w:rPr>
        <w:t xml:space="preserve"> </w:t>
      </w:r>
      <w:r w:rsidRPr="00D636C4">
        <w:rPr>
          <w:rFonts w:ascii="Calibri" w:eastAsia="Calibri" w:hAnsi="Calibri" w:cs="Calibri"/>
          <w:b/>
        </w:rPr>
        <w:t xml:space="preserve">: </w:t>
      </w:r>
      <w:r w:rsidRPr="00D636C4">
        <w:rPr>
          <w:rFonts w:ascii="Calibri" w:eastAsia="Calibri" w:hAnsi="Calibri" w:cs="Calibri"/>
          <w:bCs/>
        </w:rPr>
        <w:t>Actions par Objectif Stratégique</w:t>
      </w:r>
      <w:r w:rsidRPr="00D636C4">
        <w:rPr>
          <w:rFonts w:ascii="Calibri" w:eastAsia="Calibri" w:hAnsi="Calibri" w:cs="Calibri"/>
          <w:b/>
        </w:rPr>
        <w:t xml:space="preserve"> </w:t>
      </w:r>
    </w:p>
    <w:p w14:paraId="4C57E216" w14:textId="77777777" w:rsidR="00FC3632" w:rsidRPr="00D636C4" w:rsidRDefault="00FC3632">
      <w:pPr>
        <w:rPr>
          <w:rFonts w:ascii="Calibri" w:eastAsia="Calibri" w:hAnsi="Calibri" w:cs="Calibri"/>
        </w:rPr>
      </w:pPr>
    </w:p>
    <w:tbl>
      <w:tblPr>
        <w:tblW w:w="1374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4499"/>
        <w:gridCol w:w="1350"/>
        <w:gridCol w:w="2611"/>
        <w:gridCol w:w="2408"/>
        <w:gridCol w:w="360"/>
        <w:gridCol w:w="360"/>
        <w:gridCol w:w="360"/>
        <w:gridCol w:w="360"/>
        <w:gridCol w:w="360"/>
        <w:gridCol w:w="360"/>
        <w:gridCol w:w="360"/>
        <w:gridCol w:w="360"/>
      </w:tblGrid>
      <w:tr w:rsidR="005C7D89" w:rsidRPr="00D636C4" w14:paraId="738B73BB" w14:textId="77777777" w:rsidTr="005C7D89">
        <w:trPr>
          <w:trHeight w:val="340"/>
          <w:tblHeader/>
        </w:trPr>
        <w:tc>
          <w:tcPr>
            <w:tcW w:w="4499" w:type="dxa"/>
            <w:vMerge w:val="restart"/>
            <w:shd w:val="clear" w:color="595959" w:fill="595959"/>
          </w:tcPr>
          <w:p w14:paraId="628935CA" w14:textId="77777777" w:rsidR="00C17FDB" w:rsidRPr="00D636C4" w:rsidRDefault="00C17FDB" w:rsidP="005C7D89">
            <w:pPr>
              <w:spacing w:line="240" w:lineRule="auto"/>
              <w:rPr>
                <w:rFonts w:ascii="Calibri" w:eastAsia="Times New Roman" w:hAnsi="Calibri" w:cs="Calibri"/>
                <w:b/>
                <w:bCs/>
                <w:color w:val="FFFFFF"/>
                <w:sz w:val="20"/>
                <w:szCs w:val="20"/>
              </w:rPr>
            </w:pPr>
            <w:r w:rsidRPr="00D636C4">
              <w:rPr>
                <w:rFonts w:ascii="Calibri" w:eastAsia="Times New Roman" w:hAnsi="Calibri" w:cs="Calibri"/>
                <w:b/>
                <w:bCs/>
                <w:color w:val="FFFFFF"/>
                <w:sz w:val="20"/>
                <w:szCs w:val="20"/>
              </w:rPr>
              <w:t xml:space="preserve">Chantiers d’action </w:t>
            </w:r>
            <w:r w:rsidR="00381EE6">
              <w:rPr>
                <w:rFonts w:ascii="Calibri" w:eastAsia="Times New Roman" w:hAnsi="Calibri" w:cs="Calibri"/>
                <w:b/>
                <w:bCs/>
                <w:color w:val="FFFFFF"/>
                <w:sz w:val="20"/>
                <w:szCs w:val="20"/>
              </w:rPr>
              <w:t>–</w:t>
            </w:r>
            <w:r w:rsidRPr="00D636C4">
              <w:rPr>
                <w:rFonts w:ascii="Calibri" w:eastAsia="Times New Roman" w:hAnsi="Calibri" w:cs="Calibri"/>
                <w:b/>
                <w:bCs/>
                <w:color w:val="FFFFFF"/>
                <w:sz w:val="20"/>
                <w:szCs w:val="20"/>
              </w:rPr>
              <w:t xml:space="preserve"> Activités</w:t>
            </w:r>
          </w:p>
        </w:tc>
        <w:tc>
          <w:tcPr>
            <w:tcW w:w="1350" w:type="dxa"/>
            <w:vMerge w:val="restart"/>
            <w:shd w:val="clear" w:color="595959" w:fill="595959"/>
            <w:noWrap/>
          </w:tcPr>
          <w:p w14:paraId="44E17161" w14:textId="77777777" w:rsidR="00C17FDB" w:rsidRPr="00D636C4" w:rsidRDefault="00C17FDB" w:rsidP="005C7D89">
            <w:pPr>
              <w:spacing w:line="240" w:lineRule="auto"/>
              <w:rPr>
                <w:rFonts w:ascii="Calibri" w:eastAsia="Times New Roman" w:hAnsi="Calibri" w:cs="Calibri"/>
                <w:b/>
                <w:bCs/>
                <w:color w:val="FFFFFF"/>
                <w:sz w:val="20"/>
                <w:szCs w:val="20"/>
              </w:rPr>
            </w:pPr>
            <w:r w:rsidRPr="00D636C4">
              <w:rPr>
                <w:rFonts w:ascii="Calibri" w:eastAsia="Times New Roman" w:hAnsi="Calibri" w:cs="Calibri"/>
                <w:b/>
                <w:bCs/>
                <w:color w:val="FFFFFF"/>
                <w:sz w:val="20"/>
                <w:szCs w:val="20"/>
              </w:rPr>
              <w:t>Responsable</w:t>
            </w:r>
          </w:p>
        </w:tc>
        <w:tc>
          <w:tcPr>
            <w:tcW w:w="2611" w:type="dxa"/>
            <w:vMerge w:val="restart"/>
            <w:shd w:val="clear" w:color="595959" w:fill="595959"/>
            <w:noWrap/>
          </w:tcPr>
          <w:p w14:paraId="17C77EC4" w14:textId="77777777" w:rsidR="00C17FDB" w:rsidRPr="00D636C4" w:rsidRDefault="00C17FDB" w:rsidP="005C7D89">
            <w:pPr>
              <w:spacing w:line="240" w:lineRule="auto"/>
              <w:rPr>
                <w:rFonts w:ascii="Calibri" w:eastAsia="Times New Roman" w:hAnsi="Calibri" w:cs="Calibri"/>
                <w:b/>
                <w:bCs/>
                <w:color w:val="FFFFFF"/>
                <w:sz w:val="20"/>
                <w:szCs w:val="20"/>
              </w:rPr>
            </w:pPr>
            <w:r w:rsidRPr="00D636C4">
              <w:rPr>
                <w:rFonts w:ascii="Calibri" w:eastAsia="Times New Roman" w:hAnsi="Calibri" w:cs="Calibri"/>
                <w:b/>
                <w:bCs/>
                <w:color w:val="FFFFFF"/>
                <w:sz w:val="20"/>
                <w:szCs w:val="20"/>
              </w:rPr>
              <w:t>Indicateurs de performance</w:t>
            </w:r>
          </w:p>
        </w:tc>
        <w:tc>
          <w:tcPr>
            <w:tcW w:w="2408" w:type="dxa"/>
            <w:vMerge w:val="restart"/>
            <w:shd w:val="clear" w:color="595959" w:fill="595959"/>
            <w:noWrap/>
          </w:tcPr>
          <w:p w14:paraId="5B56E797" w14:textId="77777777" w:rsidR="00C17FDB" w:rsidRPr="00D636C4" w:rsidRDefault="00C17FDB" w:rsidP="005C7D89">
            <w:pPr>
              <w:spacing w:line="240" w:lineRule="auto"/>
              <w:rPr>
                <w:rFonts w:ascii="Calibri" w:eastAsia="Times New Roman" w:hAnsi="Calibri" w:cs="Calibri"/>
                <w:b/>
                <w:bCs/>
                <w:color w:val="FFFFFF"/>
                <w:sz w:val="20"/>
                <w:szCs w:val="20"/>
              </w:rPr>
            </w:pPr>
            <w:r w:rsidRPr="00D636C4">
              <w:rPr>
                <w:rFonts w:ascii="Calibri" w:eastAsia="Times New Roman" w:hAnsi="Calibri" w:cs="Calibri"/>
                <w:b/>
                <w:bCs/>
                <w:color w:val="FFFFFF"/>
                <w:sz w:val="20"/>
                <w:szCs w:val="20"/>
              </w:rPr>
              <w:t>Risques identifiés</w:t>
            </w:r>
          </w:p>
        </w:tc>
        <w:tc>
          <w:tcPr>
            <w:tcW w:w="2880" w:type="dxa"/>
            <w:gridSpan w:val="8"/>
            <w:shd w:val="clear" w:color="auto" w:fill="auto"/>
          </w:tcPr>
          <w:p w14:paraId="2FFF6326" w14:textId="77777777" w:rsidR="00C17FDB" w:rsidRPr="00D636C4" w:rsidRDefault="00C17FDB" w:rsidP="005C7D89">
            <w:pPr>
              <w:spacing w:line="240" w:lineRule="auto"/>
              <w:jc w:val="center"/>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xml:space="preserve">Année de démarrage </w:t>
            </w:r>
          </w:p>
        </w:tc>
      </w:tr>
      <w:tr w:rsidR="005C7D89" w:rsidRPr="00D636C4" w14:paraId="1495BE73" w14:textId="77777777" w:rsidTr="005C7D89">
        <w:trPr>
          <w:cantSplit/>
          <w:trHeight w:val="656"/>
        </w:trPr>
        <w:tc>
          <w:tcPr>
            <w:tcW w:w="4499" w:type="dxa"/>
            <w:vMerge/>
            <w:shd w:val="clear" w:color="595959" w:fill="595959"/>
            <w:hideMark/>
          </w:tcPr>
          <w:p w14:paraId="47E3BF59" w14:textId="77777777" w:rsidR="00C17FDB" w:rsidRPr="00D636C4" w:rsidRDefault="00C17FDB" w:rsidP="005C7D89">
            <w:pPr>
              <w:spacing w:line="240" w:lineRule="auto"/>
              <w:rPr>
                <w:rFonts w:ascii="Calibri" w:eastAsia="Times New Roman" w:hAnsi="Calibri" w:cs="Calibri"/>
                <w:b/>
                <w:bCs/>
                <w:color w:val="FFFFFF"/>
                <w:sz w:val="20"/>
                <w:szCs w:val="20"/>
              </w:rPr>
            </w:pPr>
          </w:p>
        </w:tc>
        <w:tc>
          <w:tcPr>
            <w:tcW w:w="1350" w:type="dxa"/>
            <w:vMerge/>
            <w:shd w:val="clear" w:color="595959" w:fill="595959"/>
            <w:noWrap/>
            <w:hideMark/>
          </w:tcPr>
          <w:p w14:paraId="0730A143" w14:textId="77777777" w:rsidR="00C17FDB" w:rsidRPr="00D636C4" w:rsidRDefault="00C17FDB" w:rsidP="005C7D89">
            <w:pPr>
              <w:spacing w:line="240" w:lineRule="auto"/>
              <w:rPr>
                <w:rFonts w:ascii="Calibri" w:eastAsia="Times New Roman" w:hAnsi="Calibri" w:cs="Calibri"/>
                <w:b/>
                <w:bCs/>
                <w:color w:val="FFFFFF"/>
                <w:sz w:val="20"/>
                <w:szCs w:val="20"/>
              </w:rPr>
            </w:pPr>
          </w:p>
        </w:tc>
        <w:tc>
          <w:tcPr>
            <w:tcW w:w="2611" w:type="dxa"/>
            <w:vMerge/>
            <w:shd w:val="clear" w:color="595959" w:fill="595959"/>
            <w:noWrap/>
            <w:hideMark/>
          </w:tcPr>
          <w:p w14:paraId="6FA73857" w14:textId="77777777" w:rsidR="00C17FDB" w:rsidRPr="00D636C4" w:rsidRDefault="00C17FDB" w:rsidP="005C7D89">
            <w:pPr>
              <w:spacing w:line="240" w:lineRule="auto"/>
              <w:rPr>
                <w:rFonts w:ascii="Calibri" w:eastAsia="Times New Roman" w:hAnsi="Calibri" w:cs="Calibri"/>
                <w:b/>
                <w:bCs/>
                <w:color w:val="FFFFFF"/>
                <w:sz w:val="20"/>
                <w:szCs w:val="20"/>
              </w:rPr>
            </w:pPr>
          </w:p>
        </w:tc>
        <w:tc>
          <w:tcPr>
            <w:tcW w:w="2408" w:type="dxa"/>
            <w:vMerge/>
            <w:shd w:val="clear" w:color="595959" w:fill="595959"/>
            <w:noWrap/>
            <w:hideMark/>
          </w:tcPr>
          <w:p w14:paraId="7D2959DD" w14:textId="77777777" w:rsidR="00C17FDB" w:rsidRPr="00D636C4" w:rsidRDefault="00C17FDB" w:rsidP="005C7D89">
            <w:pPr>
              <w:spacing w:line="240" w:lineRule="auto"/>
              <w:rPr>
                <w:rFonts w:ascii="Calibri" w:eastAsia="Times New Roman" w:hAnsi="Calibri" w:cs="Calibri"/>
                <w:b/>
                <w:bCs/>
                <w:color w:val="FFFFFF"/>
                <w:sz w:val="20"/>
                <w:szCs w:val="20"/>
              </w:rPr>
            </w:pPr>
          </w:p>
        </w:tc>
        <w:tc>
          <w:tcPr>
            <w:tcW w:w="360" w:type="dxa"/>
            <w:shd w:val="clear" w:color="auto" w:fill="auto"/>
            <w:textDirection w:val="tbRl"/>
            <w:hideMark/>
          </w:tcPr>
          <w:p w14:paraId="366961A8" w14:textId="77777777" w:rsidR="00C17FDB" w:rsidRPr="00D636C4" w:rsidRDefault="00C17FDB" w:rsidP="005C7D89">
            <w:pPr>
              <w:spacing w:line="240" w:lineRule="auto"/>
              <w:ind w:left="113" w:right="113"/>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2023</w:t>
            </w:r>
          </w:p>
        </w:tc>
        <w:tc>
          <w:tcPr>
            <w:tcW w:w="360" w:type="dxa"/>
            <w:shd w:val="clear" w:color="auto" w:fill="auto"/>
            <w:noWrap/>
            <w:textDirection w:val="tbRl"/>
            <w:hideMark/>
          </w:tcPr>
          <w:p w14:paraId="03D432F1" w14:textId="77777777" w:rsidR="00C17FDB" w:rsidRPr="00D636C4" w:rsidRDefault="00C17FDB" w:rsidP="005C7D89">
            <w:pPr>
              <w:spacing w:line="240" w:lineRule="auto"/>
              <w:ind w:left="113" w:right="113"/>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2024</w:t>
            </w:r>
          </w:p>
        </w:tc>
        <w:tc>
          <w:tcPr>
            <w:tcW w:w="360" w:type="dxa"/>
            <w:shd w:val="clear" w:color="auto" w:fill="auto"/>
            <w:noWrap/>
            <w:textDirection w:val="tbRl"/>
            <w:hideMark/>
          </w:tcPr>
          <w:p w14:paraId="7EB2F0E8" w14:textId="77777777" w:rsidR="00C17FDB" w:rsidRPr="00D636C4" w:rsidRDefault="00C17FDB" w:rsidP="005C7D89">
            <w:pPr>
              <w:spacing w:line="240" w:lineRule="auto"/>
              <w:ind w:left="113" w:right="113"/>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2025</w:t>
            </w:r>
          </w:p>
        </w:tc>
        <w:tc>
          <w:tcPr>
            <w:tcW w:w="360" w:type="dxa"/>
            <w:shd w:val="clear" w:color="auto" w:fill="auto"/>
            <w:noWrap/>
            <w:textDirection w:val="tbRl"/>
            <w:hideMark/>
          </w:tcPr>
          <w:p w14:paraId="31D0FEAD" w14:textId="77777777" w:rsidR="00C17FDB" w:rsidRPr="00D636C4" w:rsidRDefault="00C17FDB" w:rsidP="005C7D89">
            <w:pPr>
              <w:spacing w:line="240" w:lineRule="auto"/>
              <w:ind w:left="113" w:right="113"/>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2026</w:t>
            </w:r>
          </w:p>
        </w:tc>
        <w:tc>
          <w:tcPr>
            <w:tcW w:w="360" w:type="dxa"/>
            <w:shd w:val="clear" w:color="auto" w:fill="auto"/>
            <w:noWrap/>
            <w:textDirection w:val="tbRl"/>
            <w:hideMark/>
          </w:tcPr>
          <w:p w14:paraId="39C6F935" w14:textId="77777777" w:rsidR="00C17FDB" w:rsidRPr="00D636C4" w:rsidRDefault="00C17FDB" w:rsidP="005C7D89">
            <w:pPr>
              <w:spacing w:line="240" w:lineRule="auto"/>
              <w:ind w:left="113" w:right="113"/>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2027</w:t>
            </w:r>
          </w:p>
        </w:tc>
        <w:tc>
          <w:tcPr>
            <w:tcW w:w="360" w:type="dxa"/>
            <w:shd w:val="clear" w:color="auto" w:fill="auto"/>
            <w:noWrap/>
            <w:textDirection w:val="tbRl"/>
            <w:hideMark/>
          </w:tcPr>
          <w:p w14:paraId="21532F3C" w14:textId="77777777" w:rsidR="00C17FDB" w:rsidRPr="00D636C4" w:rsidRDefault="00C17FDB" w:rsidP="005C7D89">
            <w:pPr>
              <w:spacing w:line="240" w:lineRule="auto"/>
              <w:ind w:left="113" w:right="113"/>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2028</w:t>
            </w:r>
          </w:p>
        </w:tc>
        <w:tc>
          <w:tcPr>
            <w:tcW w:w="360" w:type="dxa"/>
            <w:shd w:val="clear" w:color="auto" w:fill="auto"/>
            <w:noWrap/>
            <w:textDirection w:val="tbRl"/>
            <w:hideMark/>
          </w:tcPr>
          <w:p w14:paraId="0F47E77E" w14:textId="77777777" w:rsidR="00C17FDB" w:rsidRPr="00D636C4" w:rsidRDefault="00C17FDB" w:rsidP="005C7D89">
            <w:pPr>
              <w:spacing w:line="240" w:lineRule="auto"/>
              <w:ind w:left="113" w:right="113"/>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2029</w:t>
            </w:r>
          </w:p>
        </w:tc>
        <w:tc>
          <w:tcPr>
            <w:tcW w:w="360" w:type="dxa"/>
            <w:shd w:val="clear" w:color="auto" w:fill="auto"/>
            <w:noWrap/>
            <w:textDirection w:val="tbRl"/>
            <w:hideMark/>
          </w:tcPr>
          <w:p w14:paraId="54888651" w14:textId="77777777" w:rsidR="00C17FDB" w:rsidRPr="00D636C4" w:rsidRDefault="00C17FDB" w:rsidP="005C7D89">
            <w:pPr>
              <w:spacing w:line="240" w:lineRule="auto"/>
              <w:ind w:left="113" w:right="113"/>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2030</w:t>
            </w:r>
          </w:p>
        </w:tc>
      </w:tr>
      <w:tr w:rsidR="005C7D89" w:rsidRPr="00D636C4" w14:paraId="60EF1D46" w14:textId="77777777" w:rsidTr="005C7D89">
        <w:trPr>
          <w:trHeight w:val="600"/>
        </w:trPr>
        <w:tc>
          <w:tcPr>
            <w:tcW w:w="13748" w:type="dxa"/>
            <w:gridSpan w:val="12"/>
            <w:shd w:val="clear" w:color="B7B7B7" w:fill="B7B7B7"/>
            <w:hideMark/>
          </w:tcPr>
          <w:p w14:paraId="4FB80044"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OS1 : Assurer la mobilisation des ressources financières nécessaires à une couverture sanitaire universelle à l’horizon 2030</w:t>
            </w:r>
          </w:p>
        </w:tc>
      </w:tr>
      <w:tr w:rsidR="005C7D89" w:rsidRPr="00D636C4" w14:paraId="31C4DBAD" w14:textId="77777777" w:rsidTr="005C7D89">
        <w:trPr>
          <w:trHeight w:val="320"/>
        </w:trPr>
        <w:tc>
          <w:tcPr>
            <w:tcW w:w="13748" w:type="dxa"/>
            <w:gridSpan w:val="12"/>
            <w:shd w:val="clear" w:color="F3F3F3" w:fill="F3F3F3"/>
            <w:hideMark/>
          </w:tcPr>
          <w:p w14:paraId="5042E7D6"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1.1. Augmenter l'allocation budgétaire à la santé</w:t>
            </w:r>
          </w:p>
        </w:tc>
      </w:tr>
      <w:tr w:rsidR="00FB13EB" w:rsidRPr="00D636C4" w14:paraId="0C39AF10" w14:textId="77777777" w:rsidTr="00C54A4B">
        <w:trPr>
          <w:trHeight w:val="773"/>
        </w:trPr>
        <w:tc>
          <w:tcPr>
            <w:tcW w:w="4499" w:type="dxa"/>
            <w:shd w:val="clear" w:color="auto" w:fill="auto"/>
            <w:hideMark/>
          </w:tcPr>
          <w:p w14:paraId="682C5B01" w14:textId="77777777" w:rsidR="00FB13EB" w:rsidRPr="00451738" w:rsidRDefault="00FB13EB" w:rsidP="00C54A4B">
            <w:pPr>
              <w:spacing w:line="240" w:lineRule="auto"/>
              <w:rPr>
                <w:rFonts w:ascii="Calibri" w:eastAsia="Times New Roman" w:hAnsi="Calibri" w:cs="Calibri"/>
                <w:color w:val="000000"/>
                <w:sz w:val="20"/>
                <w:szCs w:val="20"/>
                <w:highlight w:val="yellow"/>
              </w:rPr>
            </w:pPr>
            <w:r w:rsidRPr="00451738">
              <w:rPr>
                <w:rFonts w:ascii="Calibri" w:eastAsia="Times New Roman" w:hAnsi="Calibri" w:cs="Calibri"/>
                <w:color w:val="000000"/>
                <w:sz w:val="20"/>
                <w:szCs w:val="20"/>
                <w:highlight w:val="yellow"/>
              </w:rPr>
              <w:t>Définir les soins de santé primaire.</w:t>
            </w:r>
          </w:p>
        </w:tc>
        <w:tc>
          <w:tcPr>
            <w:tcW w:w="1350" w:type="dxa"/>
            <w:shd w:val="clear" w:color="auto" w:fill="auto"/>
            <w:hideMark/>
          </w:tcPr>
          <w:p w14:paraId="08AC296E" w14:textId="77777777" w:rsidR="00FB13EB" w:rsidRPr="00451738" w:rsidRDefault="00FB13EB" w:rsidP="00C54A4B">
            <w:pPr>
              <w:spacing w:line="240" w:lineRule="auto"/>
              <w:rPr>
                <w:rFonts w:ascii="Calibri" w:eastAsia="Times New Roman" w:hAnsi="Calibri" w:cs="Calibri"/>
                <w:color w:val="000000"/>
                <w:sz w:val="20"/>
                <w:szCs w:val="20"/>
                <w:highlight w:val="yellow"/>
              </w:rPr>
            </w:pPr>
            <w:r w:rsidRPr="00451738">
              <w:rPr>
                <w:rFonts w:ascii="Calibri" w:eastAsia="Times New Roman" w:hAnsi="Calibri" w:cs="Calibri"/>
                <w:sz w:val="20"/>
                <w:szCs w:val="20"/>
                <w:highlight w:val="yellow"/>
              </w:rPr>
              <w:t>MDS</w:t>
            </w:r>
          </w:p>
        </w:tc>
        <w:tc>
          <w:tcPr>
            <w:tcW w:w="2611" w:type="dxa"/>
            <w:shd w:val="clear" w:color="auto" w:fill="auto"/>
            <w:hideMark/>
          </w:tcPr>
          <w:p w14:paraId="4FBE224C" w14:textId="77777777" w:rsidR="00FB13EB" w:rsidRPr="00451738" w:rsidRDefault="00FB13EB" w:rsidP="00C54A4B">
            <w:pPr>
              <w:spacing w:line="240" w:lineRule="auto"/>
              <w:rPr>
                <w:rFonts w:ascii="Calibri" w:eastAsia="Times New Roman" w:hAnsi="Calibri" w:cs="Calibri"/>
                <w:color w:val="000000"/>
                <w:sz w:val="20"/>
                <w:szCs w:val="20"/>
                <w:highlight w:val="yellow"/>
              </w:rPr>
            </w:pPr>
            <w:r w:rsidRPr="00451738">
              <w:rPr>
                <w:rFonts w:ascii="Calibri" w:eastAsia="Times New Roman" w:hAnsi="Calibri" w:cs="Calibri"/>
                <w:color w:val="000000"/>
                <w:sz w:val="20"/>
                <w:szCs w:val="20"/>
                <w:highlight w:val="yellow"/>
              </w:rPr>
              <w:t xml:space="preserve">Définition claire et opérationnelle adoptée. </w:t>
            </w:r>
          </w:p>
        </w:tc>
        <w:tc>
          <w:tcPr>
            <w:tcW w:w="2408" w:type="dxa"/>
            <w:shd w:val="clear" w:color="auto" w:fill="auto"/>
            <w:hideMark/>
          </w:tcPr>
          <w:p w14:paraId="4C36A66F" w14:textId="77777777" w:rsidR="00FB13EB" w:rsidRPr="00451738" w:rsidRDefault="00FB13EB" w:rsidP="00C54A4B">
            <w:pPr>
              <w:spacing w:line="240" w:lineRule="auto"/>
              <w:rPr>
                <w:rFonts w:ascii="Calibri" w:eastAsia="Times New Roman" w:hAnsi="Calibri" w:cs="Calibri"/>
                <w:color w:val="000000"/>
                <w:sz w:val="20"/>
                <w:szCs w:val="20"/>
                <w:highlight w:val="yellow"/>
              </w:rPr>
            </w:pPr>
            <w:r w:rsidRPr="00451738">
              <w:rPr>
                <w:rFonts w:ascii="Calibri" w:eastAsia="Times New Roman" w:hAnsi="Calibri" w:cs="Calibri"/>
                <w:color w:val="000000"/>
                <w:sz w:val="20"/>
                <w:szCs w:val="20"/>
                <w:highlight w:val="yellow"/>
              </w:rPr>
              <w:t xml:space="preserve">Difficulté d'appliquer la définition dans toutes les activités du secteur </w:t>
            </w:r>
          </w:p>
        </w:tc>
        <w:tc>
          <w:tcPr>
            <w:tcW w:w="360" w:type="dxa"/>
            <w:shd w:val="clear" w:color="D9D9D9" w:fill="D9D9D9"/>
          </w:tcPr>
          <w:p w14:paraId="679BCE95" w14:textId="77777777" w:rsidR="00FB13EB" w:rsidRPr="00D636C4" w:rsidRDefault="00FB13EB" w:rsidP="00C54A4B">
            <w:pPr>
              <w:spacing w:line="240" w:lineRule="auto"/>
              <w:rPr>
                <w:rFonts w:ascii="Calibri" w:eastAsia="Times New Roman" w:hAnsi="Calibri" w:cs="Calibri"/>
                <w:b/>
                <w:bCs/>
                <w:color w:val="000000"/>
                <w:sz w:val="20"/>
                <w:szCs w:val="20"/>
              </w:rPr>
            </w:pPr>
          </w:p>
        </w:tc>
        <w:tc>
          <w:tcPr>
            <w:tcW w:w="360" w:type="dxa"/>
            <w:shd w:val="clear" w:color="auto" w:fill="F2F2F2" w:themeFill="background1" w:themeFillShade="F2"/>
            <w:noWrap/>
          </w:tcPr>
          <w:p w14:paraId="5F51174C" w14:textId="77777777" w:rsidR="00FB13EB" w:rsidRPr="00D636C4" w:rsidRDefault="00FB13EB" w:rsidP="00C54A4B">
            <w:pPr>
              <w:spacing w:line="240" w:lineRule="auto"/>
              <w:rPr>
                <w:rFonts w:ascii="Calibri" w:eastAsia="Times New Roman" w:hAnsi="Calibri" w:cs="Calibri"/>
                <w:b/>
                <w:bCs/>
                <w:color w:val="000000"/>
                <w:sz w:val="20"/>
                <w:szCs w:val="20"/>
              </w:rPr>
            </w:pPr>
          </w:p>
        </w:tc>
        <w:tc>
          <w:tcPr>
            <w:tcW w:w="360" w:type="dxa"/>
            <w:shd w:val="clear" w:color="auto" w:fill="auto"/>
            <w:noWrap/>
          </w:tcPr>
          <w:p w14:paraId="44F7B166" w14:textId="77777777" w:rsidR="00FB13EB" w:rsidRPr="00D636C4" w:rsidRDefault="00FB13EB" w:rsidP="00C54A4B">
            <w:pPr>
              <w:spacing w:line="240" w:lineRule="auto"/>
              <w:rPr>
                <w:rFonts w:ascii="Calibri" w:eastAsia="Times New Roman" w:hAnsi="Calibri" w:cs="Calibri"/>
                <w:b/>
                <w:bCs/>
                <w:color w:val="000000"/>
                <w:sz w:val="20"/>
                <w:szCs w:val="20"/>
              </w:rPr>
            </w:pPr>
          </w:p>
        </w:tc>
        <w:tc>
          <w:tcPr>
            <w:tcW w:w="360" w:type="dxa"/>
            <w:shd w:val="clear" w:color="auto" w:fill="auto"/>
            <w:noWrap/>
          </w:tcPr>
          <w:p w14:paraId="6D5D7A62" w14:textId="77777777" w:rsidR="00FB13EB" w:rsidRPr="00D636C4" w:rsidRDefault="00FB13EB" w:rsidP="00C54A4B">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362CE3C2" w14:textId="77777777" w:rsidR="00FB13EB" w:rsidRPr="00D636C4" w:rsidRDefault="00FB13EB"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732A6184" w14:textId="77777777" w:rsidR="00FB13EB" w:rsidRPr="00D636C4" w:rsidRDefault="00FB13EB"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BEBEF34" w14:textId="77777777" w:rsidR="00FB13EB" w:rsidRPr="00D636C4" w:rsidRDefault="00FB13EB"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6544673E" w14:textId="77777777" w:rsidR="00FB13EB" w:rsidRPr="00D636C4" w:rsidRDefault="00FB13EB"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52545BE3" w14:textId="77777777" w:rsidTr="005C7D89">
        <w:trPr>
          <w:trHeight w:val="1700"/>
        </w:trPr>
        <w:tc>
          <w:tcPr>
            <w:tcW w:w="4499" w:type="dxa"/>
            <w:shd w:val="clear" w:color="auto" w:fill="auto"/>
            <w:hideMark/>
          </w:tcPr>
          <w:p w14:paraId="1BFD9DC1"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Mettre en place un cadre de dialogue sur l’élargissement de l’espace </w:t>
            </w:r>
            <w:r w:rsidR="005C7D89" w:rsidRPr="00D636C4">
              <w:rPr>
                <w:rFonts w:ascii="Calibri" w:eastAsia="Times New Roman" w:hAnsi="Calibri" w:cs="Calibri"/>
                <w:color w:val="000000"/>
                <w:sz w:val="20"/>
                <w:szCs w:val="20"/>
              </w:rPr>
              <w:t>budgétaire</w:t>
            </w:r>
            <w:r w:rsidRPr="00D636C4">
              <w:rPr>
                <w:rFonts w:ascii="Calibri" w:eastAsia="Times New Roman" w:hAnsi="Calibri" w:cs="Calibri"/>
                <w:color w:val="000000"/>
                <w:sz w:val="20"/>
                <w:szCs w:val="20"/>
              </w:rPr>
              <w:t xml:space="preserve"> et l'augmentation des ressources allouées à la sant</w:t>
            </w:r>
            <w:r w:rsidR="004C4CFE" w:rsidRPr="00D636C4">
              <w:rPr>
                <w:rFonts w:ascii="Calibri" w:eastAsia="Times New Roman" w:hAnsi="Calibri" w:cs="Calibri"/>
                <w:color w:val="000000"/>
                <w:sz w:val="20"/>
                <w:szCs w:val="20"/>
              </w:rPr>
              <w:t>é</w:t>
            </w:r>
            <w:r w:rsidRPr="00D636C4">
              <w:rPr>
                <w:rFonts w:ascii="Calibri" w:eastAsia="Times New Roman" w:hAnsi="Calibri" w:cs="Calibri"/>
                <w:color w:val="000000"/>
                <w:sz w:val="20"/>
                <w:szCs w:val="20"/>
              </w:rPr>
              <w:t xml:space="preserve"> à travers des sessions entre Primature, </w:t>
            </w:r>
            <w:r w:rsidR="009048F1">
              <w:rPr>
                <w:rFonts w:ascii="Calibri" w:eastAsia="Times New Roman" w:hAnsi="Calibri" w:cs="Calibri"/>
                <w:color w:val="000000"/>
                <w:sz w:val="20"/>
                <w:szCs w:val="20"/>
              </w:rPr>
              <w:t>ministère</w:t>
            </w:r>
            <w:r w:rsidR="009048F1"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 xml:space="preserve">des Finances et </w:t>
            </w:r>
            <w:r w:rsidR="009048F1">
              <w:rPr>
                <w:rFonts w:ascii="Calibri" w:eastAsia="Times New Roman" w:hAnsi="Calibri" w:cs="Calibri"/>
                <w:color w:val="000000"/>
                <w:sz w:val="20"/>
                <w:szCs w:val="20"/>
              </w:rPr>
              <w:t>ministère</w:t>
            </w:r>
            <w:r w:rsidR="009048F1"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 xml:space="preserve">des </w:t>
            </w:r>
            <w:r w:rsidR="0073712E">
              <w:rPr>
                <w:rFonts w:ascii="Calibri" w:eastAsia="Times New Roman" w:hAnsi="Calibri" w:cs="Calibri"/>
                <w:color w:val="000000"/>
                <w:sz w:val="20"/>
                <w:szCs w:val="20"/>
              </w:rPr>
              <w:t>A</w:t>
            </w:r>
            <w:r w:rsidR="0073712E" w:rsidRPr="00D636C4">
              <w:rPr>
                <w:rFonts w:ascii="Calibri" w:eastAsia="Times New Roman" w:hAnsi="Calibri" w:cs="Calibri"/>
                <w:color w:val="000000"/>
                <w:sz w:val="20"/>
                <w:szCs w:val="20"/>
              </w:rPr>
              <w:t xml:space="preserve">ffaires </w:t>
            </w:r>
            <w:r w:rsidRPr="00D636C4">
              <w:rPr>
                <w:rFonts w:ascii="Calibri" w:eastAsia="Times New Roman" w:hAnsi="Calibri" w:cs="Calibri"/>
                <w:color w:val="000000"/>
                <w:sz w:val="20"/>
                <w:szCs w:val="20"/>
              </w:rPr>
              <w:t xml:space="preserve">économiques, </w:t>
            </w:r>
            <w:r w:rsidR="009048F1">
              <w:rPr>
                <w:rFonts w:ascii="Calibri" w:eastAsia="Times New Roman" w:hAnsi="Calibri" w:cs="Calibri"/>
                <w:color w:val="000000"/>
                <w:sz w:val="20"/>
                <w:szCs w:val="20"/>
              </w:rPr>
              <w:t>ministère</w:t>
            </w:r>
            <w:r w:rsidR="009048F1"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 xml:space="preserve">de la </w:t>
            </w:r>
            <w:r w:rsidR="004C4CFE">
              <w:rPr>
                <w:rFonts w:ascii="Calibri" w:eastAsia="Times New Roman" w:hAnsi="Calibri" w:cs="Calibri"/>
                <w:color w:val="000000"/>
                <w:sz w:val="20"/>
                <w:szCs w:val="20"/>
              </w:rPr>
              <w:t>Santé</w:t>
            </w:r>
            <w:r w:rsidRPr="00D636C4">
              <w:rPr>
                <w:rFonts w:ascii="Calibri" w:eastAsia="Times New Roman" w:hAnsi="Calibri" w:cs="Calibri"/>
                <w:color w:val="000000"/>
                <w:sz w:val="20"/>
                <w:szCs w:val="20"/>
              </w:rPr>
              <w:t xml:space="preserve"> et les parlementaires - </w:t>
            </w:r>
            <w:r w:rsidR="009048F1" w:rsidRPr="00D636C4">
              <w:rPr>
                <w:rFonts w:ascii="Calibri" w:eastAsia="Times New Roman" w:hAnsi="Calibri" w:cs="Calibri"/>
                <w:color w:val="000000"/>
                <w:sz w:val="20"/>
                <w:szCs w:val="20"/>
              </w:rPr>
              <w:t>à</w:t>
            </w:r>
            <w:r w:rsidRPr="00D636C4">
              <w:rPr>
                <w:rFonts w:ascii="Calibri" w:eastAsia="Times New Roman" w:hAnsi="Calibri" w:cs="Calibri"/>
                <w:color w:val="000000"/>
                <w:sz w:val="20"/>
                <w:szCs w:val="20"/>
              </w:rPr>
              <w:t xml:space="preserve"> minima semestriel</w:t>
            </w:r>
            <w:r w:rsidR="00DC3264">
              <w:rPr>
                <w:rFonts w:ascii="Calibri" w:eastAsia="Times New Roman" w:hAnsi="Calibri" w:cs="Calibri"/>
                <w:color w:val="000000"/>
                <w:sz w:val="20"/>
                <w:szCs w:val="20"/>
              </w:rPr>
              <w:t>les</w:t>
            </w:r>
            <w:r w:rsidRPr="00D636C4">
              <w:rPr>
                <w:rFonts w:ascii="Calibri" w:eastAsia="Times New Roman" w:hAnsi="Calibri" w:cs="Calibri"/>
                <w:color w:val="000000"/>
                <w:sz w:val="20"/>
                <w:szCs w:val="20"/>
              </w:rPr>
              <w:t xml:space="preserve"> (pour alignement avec CMDT).</w:t>
            </w:r>
          </w:p>
        </w:tc>
        <w:tc>
          <w:tcPr>
            <w:tcW w:w="1350" w:type="dxa"/>
            <w:shd w:val="clear" w:color="auto" w:fill="auto"/>
            <w:hideMark/>
          </w:tcPr>
          <w:p w14:paraId="6B99BDA4" w14:textId="77777777" w:rsidR="00C17FDB" w:rsidRPr="00D636C4" w:rsidRDefault="005C7D89"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Comité</w:t>
            </w:r>
            <w:r w:rsidR="00C17FDB"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interministériel</w:t>
            </w:r>
            <w:r w:rsidR="00C17FDB" w:rsidRPr="00D636C4">
              <w:rPr>
                <w:rFonts w:ascii="Calibri" w:eastAsia="Times New Roman" w:hAnsi="Calibri" w:cs="Calibri"/>
                <w:color w:val="000000"/>
                <w:sz w:val="20"/>
                <w:szCs w:val="20"/>
              </w:rPr>
              <w:t xml:space="preserve"> pour la CSU</w:t>
            </w:r>
            <w:r w:rsidR="00EC5FBE" w:rsidRPr="00D636C4">
              <w:rPr>
                <w:rFonts w:ascii="Calibri" w:eastAsia="Times New Roman" w:hAnsi="Calibri" w:cs="Calibri"/>
                <w:color w:val="000000"/>
                <w:sz w:val="20"/>
                <w:szCs w:val="20"/>
              </w:rPr>
              <w:t>.</w:t>
            </w:r>
          </w:p>
        </w:tc>
        <w:tc>
          <w:tcPr>
            <w:tcW w:w="2611" w:type="dxa"/>
            <w:shd w:val="clear" w:color="auto" w:fill="auto"/>
            <w:hideMark/>
          </w:tcPr>
          <w:p w14:paraId="040D3631" w14:textId="77777777" w:rsidR="00C17FDB"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Calendrier de réunions prédéfini respecté, PV des réunions suivent le contenu programmé, </w:t>
            </w:r>
            <w:r w:rsidR="005C7D89" w:rsidRPr="00D636C4">
              <w:rPr>
                <w:rFonts w:ascii="Calibri" w:eastAsia="Times New Roman" w:hAnsi="Calibri" w:cs="Calibri"/>
                <w:color w:val="000000"/>
                <w:sz w:val="20"/>
                <w:szCs w:val="20"/>
              </w:rPr>
              <w:t>plaidoyer</w:t>
            </w:r>
            <w:r w:rsidRPr="00D636C4">
              <w:rPr>
                <w:rFonts w:ascii="Calibri" w:eastAsia="Times New Roman" w:hAnsi="Calibri" w:cs="Calibri"/>
                <w:color w:val="000000"/>
                <w:sz w:val="20"/>
                <w:szCs w:val="20"/>
              </w:rPr>
              <w:t xml:space="preserve"> mène à des engagements clairs pris pour investir plus dans la santé, et les SSP en particulier</w:t>
            </w:r>
            <w:r w:rsidR="00D636C4" w:rsidRPr="00D636C4">
              <w:rPr>
                <w:rFonts w:ascii="Calibri" w:eastAsia="Times New Roman" w:hAnsi="Calibri" w:cs="Calibri"/>
                <w:color w:val="000000"/>
                <w:sz w:val="20"/>
                <w:szCs w:val="20"/>
              </w:rPr>
              <w:t>, augmentation de la part du budget de l’état pour la santé à 15%</w:t>
            </w:r>
            <w:r w:rsidR="00381EE6">
              <w:rPr>
                <w:rFonts w:ascii="Calibri" w:eastAsia="Times New Roman" w:hAnsi="Calibri" w:cs="Calibri"/>
                <w:color w:val="000000"/>
                <w:sz w:val="20"/>
                <w:szCs w:val="20"/>
              </w:rPr>
              <w:t xml:space="preserve"> d’ici 2030.</w:t>
            </w:r>
          </w:p>
          <w:p w14:paraId="09E4A1CA" w14:textId="77777777" w:rsidR="00E607A0" w:rsidRDefault="00E607A0" w:rsidP="005C7D89">
            <w:pPr>
              <w:spacing w:line="240" w:lineRule="auto"/>
              <w:rPr>
                <w:rFonts w:ascii="Calibri" w:eastAsia="Calibri" w:hAnsi="Calibri" w:cs="Calibri"/>
              </w:rPr>
            </w:pPr>
            <w:r>
              <w:rPr>
                <w:rFonts w:ascii="Calibri" w:eastAsia="Calibri" w:hAnsi="Calibri" w:cs="Calibri"/>
              </w:rPr>
              <w:t>Nombre de séances de travail impliquant les cadres du MS lors de la préparation de la loi budgétaire</w:t>
            </w:r>
          </w:p>
          <w:p w14:paraId="231F6766" w14:textId="77777777" w:rsidR="00E607A0" w:rsidRPr="00D636C4" w:rsidRDefault="00E607A0" w:rsidP="005C7D89">
            <w:pPr>
              <w:spacing w:line="240" w:lineRule="auto"/>
              <w:rPr>
                <w:rFonts w:ascii="Calibri" w:eastAsia="Times New Roman" w:hAnsi="Calibri" w:cs="Calibri"/>
                <w:color w:val="000000"/>
                <w:sz w:val="20"/>
                <w:szCs w:val="20"/>
              </w:rPr>
            </w:pPr>
            <w:r>
              <w:rPr>
                <w:rFonts w:ascii="Calibri" w:eastAsia="Calibri" w:hAnsi="Calibri" w:cs="Calibri"/>
              </w:rPr>
              <w:t>Un espace budgétaire santé soigneusement étudié et adopté</w:t>
            </w:r>
          </w:p>
        </w:tc>
        <w:tc>
          <w:tcPr>
            <w:tcW w:w="2408" w:type="dxa"/>
            <w:shd w:val="clear" w:color="auto" w:fill="auto"/>
            <w:hideMark/>
          </w:tcPr>
          <w:p w14:paraId="06CE838F"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Alignement des horaires difficiles, manque de leadership ou de soutien logistique, expertise nécessaire non-disponible.</w:t>
            </w:r>
          </w:p>
        </w:tc>
        <w:tc>
          <w:tcPr>
            <w:tcW w:w="360" w:type="dxa"/>
            <w:shd w:val="clear" w:color="D9D9D9" w:fill="D9D9D9"/>
          </w:tcPr>
          <w:p w14:paraId="3B99ADB6"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tcPr>
          <w:p w14:paraId="11A9F1C4"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tcPr>
          <w:p w14:paraId="3FACAD17"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5E7930BB"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6A4F6CEB"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04125E4C"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4FB844CD"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6B345957"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BD1899" w:rsidRPr="00D636C4" w14:paraId="3C87CC14" w14:textId="77777777" w:rsidTr="00E6730B">
        <w:trPr>
          <w:trHeight w:val="953"/>
        </w:trPr>
        <w:tc>
          <w:tcPr>
            <w:tcW w:w="4499" w:type="dxa"/>
            <w:shd w:val="clear" w:color="auto" w:fill="auto"/>
          </w:tcPr>
          <w:p w14:paraId="0955E1EB" w14:textId="77777777" w:rsidR="00BD1899" w:rsidRPr="00F7695E" w:rsidRDefault="00BD5CB2" w:rsidP="005C7D89">
            <w:pPr>
              <w:spacing w:line="240" w:lineRule="auto"/>
              <w:rPr>
                <w:rFonts w:ascii="Calibri" w:eastAsia="Times New Roman" w:hAnsi="Calibri" w:cs="Calibri"/>
                <w:color w:val="000000"/>
                <w:sz w:val="20"/>
                <w:szCs w:val="20"/>
                <w:highlight w:val="yellow"/>
              </w:rPr>
            </w:pPr>
            <w:r w:rsidRPr="00F7695E">
              <w:rPr>
                <w:rFonts w:ascii="Calibri" w:eastAsia="Times New Roman" w:hAnsi="Calibri" w:cs="Calibri"/>
                <w:color w:val="000000"/>
                <w:sz w:val="20"/>
                <w:szCs w:val="20"/>
                <w:highlight w:val="yellow"/>
              </w:rPr>
              <w:lastRenderedPageBreak/>
              <w:t>Réalisation d’une cartographie des ressources allouées aux SSP et dégager le GAP par rapport à la stratégie budgétisée</w:t>
            </w:r>
          </w:p>
        </w:tc>
        <w:tc>
          <w:tcPr>
            <w:tcW w:w="1350" w:type="dxa"/>
            <w:shd w:val="clear" w:color="auto" w:fill="auto"/>
          </w:tcPr>
          <w:p w14:paraId="3EC8AEAA" w14:textId="77777777" w:rsidR="00BD1899" w:rsidRPr="00F7695E" w:rsidRDefault="00BD5CB2" w:rsidP="005C7D89">
            <w:pPr>
              <w:spacing w:line="240" w:lineRule="auto"/>
              <w:rPr>
                <w:rFonts w:ascii="Calibri" w:eastAsia="Times New Roman" w:hAnsi="Calibri" w:cs="Calibri"/>
                <w:color w:val="000000"/>
                <w:sz w:val="20"/>
                <w:szCs w:val="20"/>
                <w:highlight w:val="yellow"/>
              </w:rPr>
            </w:pPr>
            <w:r w:rsidRPr="00F7695E">
              <w:rPr>
                <w:rFonts w:ascii="Calibri" w:eastAsia="Times New Roman" w:hAnsi="Calibri" w:cs="Calibri"/>
                <w:color w:val="000000"/>
                <w:sz w:val="20"/>
                <w:szCs w:val="20"/>
                <w:highlight w:val="yellow"/>
              </w:rPr>
              <w:t>MS/MF/PTF</w:t>
            </w:r>
          </w:p>
          <w:p w14:paraId="33E195BC" w14:textId="77777777" w:rsidR="00980A9B" w:rsidRPr="00F7695E" w:rsidRDefault="00980A9B" w:rsidP="005C7D89">
            <w:pPr>
              <w:spacing w:line="240" w:lineRule="auto"/>
              <w:rPr>
                <w:rFonts w:ascii="Calibri" w:eastAsia="Times New Roman" w:hAnsi="Calibri" w:cs="Calibri"/>
                <w:color w:val="000000"/>
                <w:sz w:val="20"/>
                <w:szCs w:val="20"/>
                <w:highlight w:val="yellow"/>
              </w:rPr>
            </w:pPr>
          </w:p>
        </w:tc>
        <w:tc>
          <w:tcPr>
            <w:tcW w:w="2611" w:type="dxa"/>
            <w:shd w:val="clear" w:color="auto" w:fill="auto"/>
          </w:tcPr>
          <w:p w14:paraId="703A2F4D" w14:textId="77777777" w:rsidR="00BD1899" w:rsidRPr="00F7695E" w:rsidRDefault="009048F1" w:rsidP="005C7D89">
            <w:pPr>
              <w:spacing w:line="240" w:lineRule="auto"/>
              <w:rPr>
                <w:rFonts w:ascii="Calibri" w:eastAsia="Times New Roman" w:hAnsi="Calibri" w:cs="Calibri"/>
                <w:color w:val="000000"/>
                <w:sz w:val="20"/>
                <w:szCs w:val="20"/>
                <w:highlight w:val="yellow"/>
              </w:rPr>
            </w:pPr>
            <w:r w:rsidRPr="00F7695E">
              <w:rPr>
                <w:rFonts w:ascii="Calibri" w:eastAsia="Times New Roman" w:hAnsi="Calibri" w:cs="Calibri"/>
                <w:color w:val="000000"/>
                <w:sz w:val="20"/>
                <w:szCs w:val="20"/>
                <w:highlight w:val="yellow"/>
              </w:rPr>
              <w:t>Cartographie réalisée. Gap financier identifié</w:t>
            </w:r>
          </w:p>
        </w:tc>
        <w:tc>
          <w:tcPr>
            <w:tcW w:w="2408" w:type="dxa"/>
            <w:shd w:val="clear" w:color="auto" w:fill="auto"/>
          </w:tcPr>
          <w:p w14:paraId="03358D4B" w14:textId="77777777" w:rsidR="00BD1899" w:rsidRPr="00F7695E" w:rsidRDefault="009048F1" w:rsidP="005C7D89">
            <w:pPr>
              <w:spacing w:line="240" w:lineRule="auto"/>
              <w:rPr>
                <w:rFonts w:ascii="Calibri" w:eastAsia="Times New Roman" w:hAnsi="Calibri" w:cs="Calibri"/>
                <w:color w:val="000000"/>
                <w:sz w:val="20"/>
                <w:szCs w:val="20"/>
                <w:highlight w:val="yellow"/>
              </w:rPr>
            </w:pPr>
            <w:r w:rsidRPr="00F7695E">
              <w:rPr>
                <w:rFonts w:ascii="Calibri" w:eastAsia="Times New Roman" w:hAnsi="Calibri" w:cs="Calibri"/>
                <w:color w:val="000000"/>
                <w:sz w:val="20"/>
                <w:szCs w:val="20"/>
                <w:highlight w:val="yellow"/>
              </w:rPr>
              <w:t>Manque de soutien technique et politique</w:t>
            </w:r>
          </w:p>
        </w:tc>
        <w:tc>
          <w:tcPr>
            <w:tcW w:w="360" w:type="dxa"/>
            <w:shd w:val="clear" w:color="D9D9D9" w:fill="D9D9D9"/>
          </w:tcPr>
          <w:p w14:paraId="387A3483" w14:textId="77777777" w:rsidR="00BD1899" w:rsidRPr="00325D8C" w:rsidRDefault="00BD1899" w:rsidP="005C7D89">
            <w:pPr>
              <w:spacing w:line="240" w:lineRule="auto"/>
              <w:rPr>
                <w:rFonts w:ascii="Calibri" w:eastAsia="Times New Roman" w:hAnsi="Calibri" w:cs="Calibri"/>
                <w:color w:val="000000"/>
                <w:sz w:val="20"/>
                <w:szCs w:val="20"/>
              </w:rPr>
            </w:pPr>
          </w:p>
        </w:tc>
        <w:tc>
          <w:tcPr>
            <w:tcW w:w="360" w:type="dxa"/>
            <w:shd w:val="clear" w:color="auto" w:fill="D9D9D9" w:themeFill="background1" w:themeFillShade="D9"/>
            <w:noWrap/>
          </w:tcPr>
          <w:p w14:paraId="433D5D42" w14:textId="77777777" w:rsidR="00BD1899" w:rsidRPr="00325D8C" w:rsidRDefault="00BD1899" w:rsidP="005C7D89">
            <w:pPr>
              <w:spacing w:line="240" w:lineRule="auto"/>
              <w:rPr>
                <w:rFonts w:ascii="Calibri" w:eastAsia="Times New Roman" w:hAnsi="Calibri" w:cs="Calibri"/>
                <w:color w:val="000000"/>
                <w:sz w:val="20"/>
                <w:szCs w:val="20"/>
              </w:rPr>
            </w:pPr>
          </w:p>
        </w:tc>
        <w:tc>
          <w:tcPr>
            <w:tcW w:w="360" w:type="dxa"/>
            <w:shd w:val="clear" w:color="EFEFEF" w:fill="EFEFEF"/>
            <w:noWrap/>
          </w:tcPr>
          <w:p w14:paraId="242F8B63" w14:textId="77777777" w:rsidR="00BD1899" w:rsidRPr="00325D8C" w:rsidRDefault="00BD1899" w:rsidP="005C7D89">
            <w:pPr>
              <w:spacing w:line="240" w:lineRule="auto"/>
              <w:rPr>
                <w:rFonts w:ascii="Calibri" w:eastAsia="Times New Roman" w:hAnsi="Calibri" w:cs="Calibri"/>
                <w:color w:val="000000"/>
                <w:sz w:val="20"/>
                <w:szCs w:val="20"/>
              </w:rPr>
            </w:pPr>
          </w:p>
        </w:tc>
        <w:tc>
          <w:tcPr>
            <w:tcW w:w="360" w:type="dxa"/>
            <w:shd w:val="clear" w:color="EFEFEF" w:fill="EFEFEF"/>
            <w:noWrap/>
          </w:tcPr>
          <w:p w14:paraId="4F0329B5" w14:textId="77777777" w:rsidR="00BD1899" w:rsidRPr="00325D8C" w:rsidRDefault="00BD1899" w:rsidP="005C7D89">
            <w:pPr>
              <w:spacing w:line="240" w:lineRule="auto"/>
              <w:rPr>
                <w:rFonts w:ascii="Calibri" w:eastAsia="Times New Roman" w:hAnsi="Calibri" w:cs="Calibri"/>
                <w:color w:val="000000"/>
                <w:sz w:val="20"/>
                <w:szCs w:val="20"/>
              </w:rPr>
            </w:pPr>
          </w:p>
        </w:tc>
        <w:tc>
          <w:tcPr>
            <w:tcW w:w="360" w:type="dxa"/>
            <w:shd w:val="clear" w:color="EFEFEF" w:fill="EFEFEF"/>
            <w:noWrap/>
          </w:tcPr>
          <w:p w14:paraId="4763EF4D" w14:textId="77777777" w:rsidR="00BD1899" w:rsidRPr="00325D8C" w:rsidRDefault="00BD1899" w:rsidP="005C7D89">
            <w:pPr>
              <w:spacing w:line="240" w:lineRule="auto"/>
              <w:rPr>
                <w:rFonts w:ascii="Calibri" w:eastAsia="Times New Roman" w:hAnsi="Calibri" w:cs="Calibri"/>
                <w:color w:val="000000"/>
                <w:sz w:val="20"/>
                <w:szCs w:val="20"/>
              </w:rPr>
            </w:pPr>
          </w:p>
        </w:tc>
        <w:tc>
          <w:tcPr>
            <w:tcW w:w="360" w:type="dxa"/>
            <w:shd w:val="clear" w:color="EFEFEF" w:fill="EFEFEF"/>
            <w:noWrap/>
          </w:tcPr>
          <w:p w14:paraId="5FE0420D" w14:textId="77777777" w:rsidR="00BD1899" w:rsidRPr="00325D8C" w:rsidRDefault="00BD1899" w:rsidP="005C7D89">
            <w:pPr>
              <w:spacing w:line="240" w:lineRule="auto"/>
              <w:rPr>
                <w:rFonts w:ascii="Calibri" w:eastAsia="Times New Roman" w:hAnsi="Calibri" w:cs="Calibri"/>
                <w:color w:val="000000"/>
                <w:sz w:val="20"/>
                <w:szCs w:val="20"/>
              </w:rPr>
            </w:pPr>
          </w:p>
        </w:tc>
        <w:tc>
          <w:tcPr>
            <w:tcW w:w="360" w:type="dxa"/>
            <w:shd w:val="clear" w:color="EFEFEF" w:fill="EFEFEF"/>
            <w:noWrap/>
          </w:tcPr>
          <w:p w14:paraId="3952C7D6" w14:textId="77777777" w:rsidR="00BD1899" w:rsidRPr="00325D8C" w:rsidRDefault="00BD1899" w:rsidP="005C7D89">
            <w:pPr>
              <w:spacing w:line="240" w:lineRule="auto"/>
              <w:rPr>
                <w:rFonts w:ascii="Calibri" w:eastAsia="Times New Roman" w:hAnsi="Calibri" w:cs="Calibri"/>
                <w:color w:val="000000"/>
                <w:sz w:val="20"/>
                <w:szCs w:val="20"/>
              </w:rPr>
            </w:pPr>
          </w:p>
        </w:tc>
        <w:tc>
          <w:tcPr>
            <w:tcW w:w="360" w:type="dxa"/>
            <w:shd w:val="clear" w:color="EFEFEF" w:fill="EFEFEF"/>
            <w:noWrap/>
          </w:tcPr>
          <w:p w14:paraId="37C931C9" w14:textId="77777777" w:rsidR="00BD1899" w:rsidRPr="00D636C4" w:rsidRDefault="00BD1899" w:rsidP="005C7D89">
            <w:pPr>
              <w:spacing w:line="240" w:lineRule="auto"/>
              <w:rPr>
                <w:rFonts w:ascii="Calibri" w:eastAsia="Times New Roman" w:hAnsi="Calibri" w:cs="Calibri"/>
                <w:b/>
                <w:bCs/>
                <w:color w:val="000000"/>
                <w:sz w:val="20"/>
                <w:szCs w:val="20"/>
              </w:rPr>
            </w:pPr>
          </w:p>
        </w:tc>
      </w:tr>
      <w:tr w:rsidR="006867A3" w:rsidRPr="00D636C4" w14:paraId="27BEED46" w14:textId="77777777" w:rsidTr="00C54A4B">
        <w:trPr>
          <w:trHeight w:val="1034"/>
        </w:trPr>
        <w:tc>
          <w:tcPr>
            <w:tcW w:w="4499" w:type="dxa"/>
            <w:shd w:val="clear" w:color="auto" w:fill="auto"/>
            <w:hideMark/>
          </w:tcPr>
          <w:p w14:paraId="40ACEFDC" w14:textId="77777777" w:rsidR="006867A3" w:rsidRPr="00D636C4" w:rsidRDefault="006867A3"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Renforcer les capacités du </w:t>
            </w:r>
            <w:proofErr w:type="spellStart"/>
            <w:r w:rsidRPr="00D636C4">
              <w:rPr>
                <w:rFonts w:ascii="Calibri" w:eastAsia="Times New Roman" w:hAnsi="Calibri" w:cs="Calibri"/>
                <w:color w:val="000000"/>
                <w:sz w:val="20"/>
                <w:szCs w:val="20"/>
              </w:rPr>
              <w:t>MdS</w:t>
            </w:r>
            <w:proofErr w:type="spellEnd"/>
            <w:r w:rsidRPr="00D636C4">
              <w:rPr>
                <w:rFonts w:ascii="Calibri" w:eastAsia="Times New Roman" w:hAnsi="Calibri" w:cs="Calibri"/>
                <w:color w:val="000000"/>
                <w:sz w:val="20"/>
                <w:szCs w:val="20"/>
              </w:rPr>
              <w:t xml:space="preserve"> dans l’estimation des besoins financiers du secteur, et ses sous-programmes, y compris SSP.</w:t>
            </w:r>
          </w:p>
        </w:tc>
        <w:tc>
          <w:tcPr>
            <w:tcW w:w="1350" w:type="dxa"/>
            <w:shd w:val="clear" w:color="auto" w:fill="auto"/>
            <w:hideMark/>
          </w:tcPr>
          <w:p w14:paraId="457AA789" w14:textId="77777777" w:rsidR="006867A3" w:rsidRPr="00325D8C" w:rsidRDefault="00D90A1D"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Comité interministériel pour la CSU.</w:t>
            </w:r>
          </w:p>
        </w:tc>
        <w:tc>
          <w:tcPr>
            <w:tcW w:w="2611" w:type="dxa"/>
            <w:shd w:val="clear" w:color="auto" w:fill="auto"/>
            <w:hideMark/>
          </w:tcPr>
          <w:p w14:paraId="0D79F9BB" w14:textId="77777777" w:rsidR="006867A3" w:rsidRPr="00D636C4" w:rsidRDefault="006867A3"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Besoins identifiés, activités de renforcement programmées sont menées, exercices d'estimation de budget plus rigoureux et fondés sur des données contextuelles.</w:t>
            </w:r>
          </w:p>
        </w:tc>
        <w:tc>
          <w:tcPr>
            <w:tcW w:w="2408" w:type="dxa"/>
            <w:shd w:val="clear" w:color="auto" w:fill="auto"/>
            <w:hideMark/>
          </w:tcPr>
          <w:p w14:paraId="1B6E2EF0" w14:textId="77777777" w:rsidR="006867A3" w:rsidRPr="00D636C4" w:rsidRDefault="006867A3"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Appui technique pour renforcement de capacité non-disponible.</w:t>
            </w:r>
          </w:p>
        </w:tc>
        <w:tc>
          <w:tcPr>
            <w:tcW w:w="360" w:type="dxa"/>
            <w:shd w:val="clear" w:color="auto" w:fill="auto"/>
          </w:tcPr>
          <w:p w14:paraId="6D0B62E9" w14:textId="77777777" w:rsidR="006867A3" w:rsidRPr="00D636C4" w:rsidRDefault="006867A3" w:rsidP="00C54A4B">
            <w:pPr>
              <w:spacing w:line="240" w:lineRule="auto"/>
              <w:rPr>
                <w:rFonts w:ascii="Calibri" w:eastAsia="Times New Roman" w:hAnsi="Calibri" w:cs="Calibri"/>
                <w:b/>
                <w:bCs/>
                <w:color w:val="000000"/>
                <w:sz w:val="20"/>
                <w:szCs w:val="20"/>
              </w:rPr>
            </w:pPr>
          </w:p>
        </w:tc>
        <w:tc>
          <w:tcPr>
            <w:tcW w:w="360" w:type="dxa"/>
            <w:shd w:val="clear" w:color="CCCCCC" w:fill="CCCCCC"/>
            <w:noWrap/>
          </w:tcPr>
          <w:p w14:paraId="68DE678C" w14:textId="77777777" w:rsidR="006867A3" w:rsidRPr="00D636C4" w:rsidRDefault="006867A3" w:rsidP="00C54A4B">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37375D12" w14:textId="77777777" w:rsidR="006867A3" w:rsidRPr="00D636C4" w:rsidRDefault="006867A3" w:rsidP="00C54A4B">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61FA5500" w14:textId="77777777" w:rsidR="006867A3" w:rsidRPr="00D636C4" w:rsidRDefault="006867A3"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5B9BDC8E" w14:textId="77777777" w:rsidR="006867A3" w:rsidRPr="00D636C4" w:rsidRDefault="006867A3"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05692196" w14:textId="77777777" w:rsidR="006867A3" w:rsidRPr="00D636C4" w:rsidRDefault="006867A3"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2D3A1D7B" w14:textId="77777777" w:rsidR="006867A3" w:rsidRPr="00D636C4" w:rsidRDefault="006867A3"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2989D50C" w14:textId="77777777" w:rsidR="006867A3" w:rsidRPr="00D636C4" w:rsidRDefault="006867A3"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11DD9" w:rsidRPr="00D636C4" w14:paraId="41ACA9C8" w14:textId="77777777" w:rsidTr="00325D8C">
        <w:trPr>
          <w:trHeight w:val="584"/>
        </w:trPr>
        <w:tc>
          <w:tcPr>
            <w:tcW w:w="4499" w:type="dxa"/>
            <w:shd w:val="clear" w:color="auto" w:fill="auto"/>
          </w:tcPr>
          <w:p w14:paraId="62A16DF2" w14:textId="77777777" w:rsidR="00111DD9" w:rsidRPr="00325D8C" w:rsidRDefault="00111DD9" w:rsidP="00C54A4B">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Analyse de l’espace budgétaire pour identifier les possibilités offertes pour le financement de la santé</w:t>
            </w:r>
          </w:p>
        </w:tc>
        <w:tc>
          <w:tcPr>
            <w:tcW w:w="1350" w:type="dxa"/>
            <w:shd w:val="clear" w:color="auto" w:fill="auto"/>
          </w:tcPr>
          <w:p w14:paraId="6603BCBF" w14:textId="77777777" w:rsidR="00111DD9" w:rsidRPr="00325D8C" w:rsidRDefault="00111DD9" w:rsidP="00C54A4B">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MF/PTF/ MS</w:t>
            </w:r>
          </w:p>
        </w:tc>
        <w:tc>
          <w:tcPr>
            <w:tcW w:w="2611" w:type="dxa"/>
            <w:shd w:val="clear" w:color="auto" w:fill="auto"/>
          </w:tcPr>
          <w:p w14:paraId="386CD171" w14:textId="77777777" w:rsidR="00111DD9" w:rsidRPr="00325D8C" w:rsidRDefault="00111DD9" w:rsidP="00C54A4B">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Analyse finalisée et partagée avec décideurs</w:t>
            </w:r>
          </w:p>
        </w:tc>
        <w:tc>
          <w:tcPr>
            <w:tcW w:w="2408" w:type="dxa"/>
            <w:shd w:val="clear" w:color="auto" w:fill="auto"/>
          </w:tcPr>
          <w:p w14:paraId="41AB9EAA" w14:textId="77777777" w:rsidR="00111DD9" w:rsidRPr="00325D8C" w:rsidRDefault="00111DD9" w:rsidP="00C54A4B">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Manque de soutien technique et politique</w:t>
            </w:r>
          </w:p>
        </w:tc>
        <w:tc>
          <w:tcPr>
            <w:tcW w:w="360" w:type="dxa"/>
            <w:shd w:val="clear" w:color="D9D9D9" w:fill="D9D9D9"/>
          </w:tcPr>
          <w:p w14:paraId="6FF2A597" w14:textId="77777777" w:rsidR="00111DD9" w:rsidRPr="00D636C4" w:rsidRDefault="00111DD9" w:rsidP="00C54A4B">
            <w:pPr>
              <w:spacing w:line="240" w:lineRule="auto"/>
              <w:rPr>
                <w:rFonts w:ascii="Calibri" w:eastAsia="Times New Roman" w:hAnsi="Calibri" w:cs="Calibri"/>
                <w:b/>
                <w:bCs/>
                <w:color w:val="000000"/>
                <w:sz w:val="20"/>
                <w:szCs w:val="20"/>
              </w:rPr>
            </w:pPr>
          </w:p>
        </w:tc>
        <w:tc>
          <w:tcPr>
            <w:tcW w:w="360" w:type="dxa"/>
            <w:shd w:val="clear" w:color="auto" w:fill="D9D9D9" w:themeFill="background1" w:themeFillShade="D9"/>
            <w:noWrap/>
          </w:tcPr>
          <w:p w14:paraId="4AC776C9" w14:textId="77777777" w:rsidR="00111DD9" w:rsidRPr="00D636C4" w:rsidRDefault="00111DD9"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6124CA45" w14:textId="77777777" w:rsidR="00111DD9" w:rsidRPr="00D636C4" w:rsidRDefault="00111DD9"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5B709D52" w14:textId="77777777" w:rsidR="00111DD9" w:rsidRPr="00D636C4" w:rsidRDefault="00111DD9"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0A502DFB" w14:textId="77777777" w:rsidR="00111DD9" w:rsidRPr="00D636C4" w:rsidRDefault="00111DD9"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4100ABD5" w14:textId="77777777" w:rsidR="00111DD9" w:rsidRPr="00D636C4" w:rsidRDefault="00111DD9"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51CCE651" w14:textId="77777777" w:rsidR="00111DD9" w:rsidRPr="00D636C4" w:rsidRDefault="00111DD9"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3CAC8665" w14:textId="77777777" w:rsidR="00111DD9" w:rsidRPr="00D636C4" w:rsidRDefault="00111DD9" w:rsidP="00C54A4B">
            <w:pPr>
              <w:spacing w:line="240" w:lineRule="auto"/>
              <w:rPr>
                <w:rFonts w:ascii="Calibri" w:eastAsia="Times New Roman" w:hAnsi="Calibri" w:cs="Calibri"/>
                <w:b/>
                <w:bCs/>
                <w:color w:val="000000"/>
                <w:sz w:val="20"/>
                <w:szCs w:val="20"/>
              </w:rPr>
            </w:pPr>
          </w:p>
        </w:tc>
      </w:tr>
      <w:tr w:rsidR="00BD5CB2" w:rsidRPr="00D636C4" w14:paraId="0B8A1F5B" w14:textId="77777777" w:rsidTr="00E6730B">
        <w:trPr>
          <w:trHeight w:val="800"/>
        </w:trPr>
        <w:tc>
          <w:tcPr>
            <w:tcW w:w="4499" w:type="dxa"/>
            <w:shd w:val="clear" w:color="FFFFFF" w:fill="FFFFFF"/>
          </w:tcPr>
          <w:p w14:paraId="17FA3660" w14:textId="77777777" w:rsidR="00BD5CB2" w:rsidRPr="00325D8C" w:rsidRDefault="00BD5CB2" w:rsidP="00C54A4B">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 xml:space="preserve">Plaidoyer pour la mobilisation des ressources </w:t>
            </w:r>
            <w:r w:rsidR="00DC3264">
              <w:rPr>
                <w:rFonts w:ascii="Calibri" w:eastAsia="Times New Roman" w:hAnsi="Calibri" w:cs="Calibri"/>
                <w:color w:val="000000"/>
                <w:sz w:val="20"/>
                <w:szCs w:val="20"/>
              </w:rPr>
              <w:t xml:space="preserve">afin de </w:t>
            </w:r>
            <w:r w:rsidRPr="00325D8C">
              <w:rPr>
                <w:rFonts w:ascii="Calibri" w:eastAsia="Times New Roman" w:hAnsi="Calibri" w:cs="Calibri"/>
                <w:color w:val="000000"/>
                <w:sz w:val="20"/>
                <w:szCs w:val="20"/>
              </w:rPr>
              <w:t xml:space="preserve">combler le Gap financier pour atteindre CSU et ambitions SSP </w:t>
            </w:r>
          </w:p>
        </w:tc>
        <w:tc>
          <w:tcPr>
            <w:tcW w:w="1350" w:type="dxa"/>
            <w:shd w:val="clear" w:color="auto" w:fill="auto"/>
          </w:tcPr>
          <w:p w14:paraId="7504B6BF" w14:textId="77777777" w:rsidR="00BD5CB2" w:rsidRPr="00325D8C" w:rsidRDefault="00DC3264" w:rsidP="00C54A4B">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Sous-comité</w:t>
            </w:r>
            <w:r w:rsidR="0073712E">
              <w:rPr>
                <w:rFonts w:ascii="Calibri" w:eastAsia="Times New Roman" w:hAnsi="Calibri" w:cs="Calibri"/>
                <w:color w:val="000000"/>
                <w:sz w:val="20"/>
                <w:szCs w:val="20"/>
              </w:rPr>
              <w:t xml:space="preserve"> </w:t>
            </w:r>
            <w:r w:rsidR="00FB13EB" w:rsidRPr="00325D8C">
              <w:rPr>
                <w:rFonts w:ascii="Calibri" w:eastAsia="Times New Roman" w:hAnsi="Calibri" w:cs="Calibri"/>
                <w:color w:val="000000"/>
                <w:sz w:val="20"/>
                <w:szCs w:val="20"/>
              </w:rPr>
              <w:t>plaidoyer CSU et SSP</w:t>
            </w:r>
          </w:p>
        </w:tc>
        <w:tc>
          <w:tcPr>
            <w:tcW w:w="2611" w:type="dxa"/>
            <w:shd w:val="clear" w:color="auto" w:fill="auto"/>
          </w:tcPr>
          <w:p w14:paraId="50E3AE3A" w14:textId="77777777" w:rsidR="00BD5CB2" w:rsidRPr="00325D8C" w:rsidRDefault="009048F1" w:rsidP="00C54A4B">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Document de plaidoyer réalisé et partag</w:t>
            </w:r>
            <w:r w:rsidR="00111DD9" w:rsidRPr="00325D8C">
              <w:rPr>
                <w:rFonts w:ascii="Calibri" w:eastAsia="Times New Roman" w:hAnsi="Calibri" w:cs="Calibri"/>
                <w:color w:val="000000"/>
                <w:sz w:val="20"/>
                <w:szCs w:val="20"/>
              </w:rPr>
              <w:t>é</w:t>
            </w:r>
            <w:r w:rsidRPr="00325D8C">
              <w:rPr>
                <w:rFonts w:ascii="Calibri" w:eastAsia="Times New Roman" w:hAnsi="Calibri" w:cs="Calibri"/>
                <w:color w:val="000000"/>
                <w:sz w:val="20"/>
                <w:szCs w:val="20"/>
              </w:rPr>
              <w:t xml:space="preserve"> avec décideurs et population</w:t>
            </w:r>
          </w:p>
        </w:tc>
        <w:tc>
          <w:tcPr>
            <w:tcW w:w="2408" w:type="dxa"/>
            <w:shd w:val="clear" w:color="auto" w:fill="auto"/>
          </w:tcPr>
          <w:p w14:paraId="499FD630" w14:textId="77777777" w:rsidR="00BD5CB2" w:rsidRPr="00325D8C" w:rsidRDefault="009048F1" w:rsidP="00C54A4B">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Manque de soutien technique et politique</w:t>
            </w:r>
          </w:p>
        </w:tc>
        <w:tc>
          <w:tcPr>
            <w:tcW w:w="360" w:type="dxa"/>
            <w:shd w:val="clear" w:color="D9D9D9" w:fill="D9D9D9"/>
          </w:tcPr>
          <w:p w14:paraId="13E8D797" w14:textId="77777777" w:rsidR="00BD5CB2" w:rsidRPr="00D636C4" w:rsidRDefault="00BD5CB2" w:rsidP="00C54A4B">
            <w:pPr>
              <w:spacing w:line="240" w:lineRule="auto"/>
              <w:rPr>
                <w:rFonts w:ascii="Calibri" w:eastAsia="Times New Roman" w:hAnsi="Calibri" w:cs="Calibri"/>
                <w:b/>
                <w:bCs/>
                <w:color w:val="000000"/>
                <w:sz w:val="20"/>
                <w:szCs w:val="20"/>
              </w:rPr>
            </w:pPr>
          </w:p>
        </w:tc>
        <w:tc>
          <w:tcPr>
            <w:tcW w:w="360" w:type="dxa"/>
            <w:shd w:val="clear" w:color="auto" w:fill="D9D9D9" w:themeFill="background1" w:themeFillShade="D9"/>
            <w:noWrap/>
          </w:tcPr>
          <w:p w14:paraId="66A381C3" w14:textId="77777777" w:rsidR="00BD5CB2" w:rsidRPr="00D636C4" w:rsidRDefault="00BD5CB2"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29B601BD" w14:textId="77777777" w:rsidR="00BD5CB2" w:rsidRPr="00D636C4" w:rsidRDefault="00BD5CB2"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466D78B7" w14:textId="77777777" w:rsidR="00BD5CB2" w:rsidRPr="00D636C4" w:rsidRDefault="00BD5CB2"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70BCE223" w14:textId="77777777" w:rsidR="00BD5CB2" w:rsidRPr="00D636C4" w:rsidRDefault="00BD5CB2"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193C5ADE" w14:textId="77777777" w:rsidR="00BD5CB2" w:rsidRPr="00D636C4" w:rsidRDefault="00BD5CB2"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3B76BDC2" w14:textId="77777777" w:rsidR="00BD5CB2" w:rsidRPr="00D636C4" w:rsidRDefault="00BD5CB2" w:rsidP="00C54A4B">
            <w:pPr>
              <w:spacing w:line="240" w:lineRule="auto"/>
              <w:rPr>
                <w:rFonts w:ascii="Calibri" w:eastAsia="Times New Roman" w:hAnsi="Calibri" w:cs="Calibri"/>
                <w:b/>
                <w:bCs/>
                <w:color w:val="000000"/>
                <w:sz w:val="20"/>
                <w:szCs w:val="20"/>
              </w:rPr>
            </w:pPr>
          </w:p>
        </w:tc>
        <w:tc>
          <w:tcPr>
            <w:tcW w:w="360" w:type="dxa"/>
            <w:shd w:val="clear" w:color="EFEFEF" w:fill="EFEFEF"/>
            <w:noWrap/>
          </w:tcPr>
          <w:p w14:paraId="555A7D6A" w14:textId="77777777" w:rsidR="00BD5CB2" w:rsidRPr="00D636C4" w:rsidRDefault="00BD5CB2" w:rsidP="00C54A4B">
            <w:pPr>
              <w:spacing w:line="240" w:lineRule="auto"/>
              <w:rPr>
                <w:rFonts w:ascii="Calibri" w:eastAsia="Times New Roman" w:hAnsi="Calibri" w:cs="Calibri"/>
                <w:b/>
                <w:bCs/>
                <w:color w:val="000000"/>
                <w:sz w:val="20"/>
                <w:szCs w:val="20"/>
              </w:rPr>
            </w:pPr>
          </w:p>
        </w:tc>
      </w:tr>
      <w:tr w:rsidR="005C7D89" w:rsidRPr="00D636C4" w14:paraId="38166942" w14:textId="77777777" w:rsidTr="00E6730B">
        <w:trPr>
          <w:trHeight w:val="1360"/>
        </w:trPr>
        <w:tc>
          <w:tcPr>
            <w:tcW w:w="4499" w:type="dxa"/>
            <w:shd w:val="clear" w:color="auto" w:fill="auto"/>
            <w:hideMark/>
          </w:tcPr>
          <w:p w14:paraId="4CE1A359" w14:textId="77777777" w:rsidR="00C17FDB" w:rsidRPr="00325D8C" w:rsidRDefault="00C17FDB" w:rsidP="005C7D89">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 xml:space="preserve">Faire la demande </w:t>
            </w:r>
            <w:r w:rsidR="00CA524B" w:rsidRPr="00325D8C">
              <w:rPr>
                <w:rFonts w:ascii="Calibri" w:eastAsia="Times New Roman" w:hAnsi="Calibri" w:cs="Calibri"/>
                <w:color w:val="000000"/>
                <w:sz w:val="20"/>
                <w:szCs w:val="20"/>
              </w:rPr>
              <w:t xml:space="preserve">de l’élargissement </w:t>
            </w:r>
            <w:r w:rsidR="0073712E" w:rsidRPr="00325D8C">
              <w:rPr>
                <w:rFonts w:ascii="Calibri" w:eastAsia="Times New Roman" w:hAnsi="Calibri" w:cs="Calibri"/>
                <w:color w:val="000000"/>
                <w:sz w:val="20"/>
                <w:szCs w:val="20"/>
              </w:rPr>
              <w:t xml:space="preserve">à la santé en général </w:t>
            </w:r>
            <w:r w:rsidR="00DC3264" w:rsidRPr="00325D8C">
              <w:rPr>
                <w:rFonts w:ascii="Calibri" w:eastAsia="Times New Roman" w:hAnsi="Calibri" w:cs="Calibri"/>
                <w:color w:val="000000"/>
                <w:sz w:val="20"/>
                <w:szCs w:val="20"/>
              </w:rPr>
              <w:t>du CAS</w:t>
            </w:r>
            <w:r w:rsidRPr="00325D8C">
              <w:rPr>
                <w:rFonts w:ascii="Calibri" w:eastAsia="Times New Roman" w:hAnsi="Calibri" w:cs="Calibri"/>
                <w:color w:val="000000"/>
                <w:sz w:val="20"/>
                <w:szCs w:val="20"/>
              </w:rPr>
              <w:t xml:space="preserve"> (compte affectation spécial) </w:t>
            </w:r>
            <w:r w:rsidR="00CA524B" w:rsidRPr="00325D8C">
              <w:rPr>
                <w:rFonts w:ascii="Calibri" w:eastAsia="Times New Roman" w:hAnsi="Calibri" w:cs="Calibri"/>
                <w:color w:val="000000"/>
                <w:sz w:val="20"/>
                <w:szCs w:val="20"/>
              </w:rPr>
              <w:t xml:space="preserve">existant pour le cancer </w:t>
            </w:r>
            <w:r w:rsidRPr="00325D8C">
              <w:rPr>
                <w:rFonts w:ascii="Calibri" w:eastAsia="Times New Roman" w:hAnsi="Calibri" w:cs="Calibri"/>
                <w:color w:val="000000"/>
                <w:sz w:val="20"/>
                <w:szCs w:val="20"/>
              </w:rPr>
              <w:t xml:space="preserve">auprès du </w:t>
            </w:r>
            <w:proofErr w:type="spellStart"/>
            <w:r w:rsidRPr="00325D8C">
              <w:rPr>
                <w:rFonts w:ascii="Calibri" w:eastAsia="Times New Roman" w:hAnsi="Calibri" w:cs="Calibri"/>
                <w:color w:val="000000"/>
                <w:sz w:val="20"/>
                <w:szCs w:val="20"/>
              </w:rPr>
              <w:t>MdF</w:t>
            </w:r>
            <w:proofErr w:type="spellEnd"/>
            <w:r w:rsidRPr="00325D8C">
              <w:rPr>
                <w:rFonts w:ascii="Calibri" w:eastAsia="Times New Roman" w:hAnsi="Calibri" w:cs="Calibri"/>
                <w:color w:val="000000"/>
                <w:sz w:val="20"/>
                <w:szCs w:val="20"/>
              </w:rPr>
              <w:t>.</w:t>
            </w:r>
          </w:p>
        </w:tc>
        <w:tc>
          <w:tcPr>
            <w:tcW w:w="1350" w:type="dxa"/>
            <w:shd w:val="clear" w:color="auto" w:fill="auto"/>
            <w:hideMark/>
          </w:tcPr>
          <w:p w14:paraId="07447D81" w14:textId="77777777" w:rsidR="00C17FDB" w:rsidRPr="00325D8C" w:rsidRDefault="005D6C85" w:rsidP="005C7D89">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MDF</w:t>
            </w:r>
            <w:r w:rsidR="00FB13EB" w:rsidRPr="00325D8C">
              <w:rPr>
                <w:rFonts w:ascii="Calibri" w:eastAsia="Times New Roman" w:hAnsi="Calibri" w:cs="Calibri"/>
                <w:color w:val="000000"/>
                <w:sz w:val="20"/>
                <w:szCs w:val="20"/>
              </w:rPr>
              <w:t xml:space="preserve"> et MDS</w:t>
            </w:r>
          </w:p>
        </w:tc>
        <w:tc>
          <w:tcPr>
            <w:tcW w:w="2611" w:type="dxa"/>
            <w:shd w:val="clear" w:color="auto" w:fill="auto"/>
            <w:hideMark/>
          </w:tcPr>
          <w:p w14:paraId="698F6E1D" w14:textId="77777777" w:rsidR="00C17FDB" w:rsidRPr="00325D8C" w:rsidRDefault="00C17FDB" w:rsidP="005C7D89">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Demande préparée sur la base d'évidences et soumise.</w:t>
            </w:r>
          </w:p>
        </w:tc>
        <w:tc>
          <w:tcPr>
            <w:tcW w:w="2408" w:type="dxa"/>
            <w:shd w:val="clear" w:color="auto" w:fill="auto"/>
            <w:hideMark/>
          </w:tcPr>
          <w:p w14:paraId="3E804DD7" w14:textId="77777777" w:rsidR="00C17FDB" w:rsidRPr="00325D8C" w:rsidRDefault="00C17FDB" w:rsidP="005C7D89">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 xml:space="preserve">Absence de données ou de contenu pour une demande de qualité, expertise technique non-disponible, refus du </w:t>
            </w:r>
            <w:proofErr w:type="spellStart"/>
            <w:r w:rsidRPr="00325D8C">
              <w:rPr>
                <w:rFonts w:ascii="Calibri" w:eastAsia="Times New Roman" w:hAnsi="Calibri" w:cs="Calibri"/>
                <w:color w:val="000000"/>
                <w:sz w:val="20"/>
                <w:szCs w:val="20"/>
              </w:rPr>
              <w:t>MdF</w:t>
            </w:r>
            <w:proofErr w:type="spellEnd"/>
            <w:r w:rsidRPr="00325D8C">
              <w:rPr>
                <w:rFonts w:ascii="Calibri" w:eastAsia="Times New Roman" w:hAnsi="Calibri" w:cs="Calibri"/>
                <w:color w:val="000000"/>
                <w:sz w:val="20"/>
                <w:szCs w:val="20"/>
              </w:rPr>
              <w:t xml:space="preserve"> </w:t>
            </w:r>
            <w:r w:rsidR="005C7D89" w:rsidRPr="00325D8C">
              <w:rPr>
                <w:rFonts w:ascii="Calibri" w:eastAsia="Times New Roman" w:hAnsi="Calibri" w:cs="Calibri"/>
                <w:color w:val="000000"/>
                <w:sz w:val="20"/>
                <w:szCs w:val="20"/>
              </w:rPr>
              <w:t>à</w:t>
            </w:r>
            <w:r w:rsidRPr="00325D8C">
              <w:rPr>
                <w:rFonts w:ascii="Calibri" w:eastAsia="Times New Roman" w:hAnsi="Calibri" w:cs="Calibri"/>
                <w:color w:val="000000"/>
                <w:sz w:val="20"/>
                <w:szCs w:val="20"/>
              </w:rPr>
              <w:t xml:space="preserve"> </w:t>
            </w:r>
            <w:r w:rsidR="00111DD9" w:rsidRPr="00325D8C">
              <w:rPr>
                <w:rFonts w:ascii="Calibri" w:eastAsia="Times New Roman" w:hAnsi="Calibri" w:cs="Calibri"/>
                <w:color w:val="000000"/>
                <w:sz w:val="20"/>
                <w:szCs w:val="20"/>
              </w:rPr>
              <w:t>élargir le</w:t>
            </w:r>
            <w:r w:rsidRPr="00325D8C">
              <w:rPr>
                <w:rFonts w:ascii="Calibri" w:eastAsia="Times New Roman" w:hAnsi="Calibri" w:cs="Calibri"/>
                <w:color w:val="000000"/>
                <w:sz w:val="20"/>
                <w:szCs w:val="20"/>
              </w:rPr>
              <w:t xml:space="preserve"> CAS, </w:t>
            </w:r>
            <w:r w:rsidR="005C7D89" w:rsidRPr="00325D8C">
              <w:rPr>
                <w:rFonts w:ascii="Calibri" w:eastAsia="Times New Roman" w:hAnsi="Calibri" w:cs="Calibri"/>
                <w:color w:val="000000"/>
                <w:sz w:val="20"/>
                <w:szCs w:val="20"/>
              </w:rPr>
              <w:t>rigidités</w:t>
            </w:r>
            <w:r w:rsidRPr="00325D8C">
              <w:rPr>
                <w:rFonts w:ascii="Calibri" w:eastAsia="Times New Roman" w:hAnsi="Calibri" w:cs="Calibri"/>
                <w:color w:val="000000"/>
                <w:sz w:val="20"/>
                <w:szCs w:val="20"/>
              </w:rPr>
              <w:t xml:space="preserve"> du </w:t>
            </w:r>
            <w:r w:rsidR="005C7D89" w:rsidRPr="00325D8C">
              <w:rPr>
                <w:rFonts w:ascii="Calibri" w:eastAsia="Times New Roman" w:hAnsi="Calibri" w:cs="Calibri"/>
                <w:color w:val="000000"/>
                <w:sz w:val="20"/>
                <w:szCs w:val="20"/>
              </w:rPr>
              <w:t>système</w:t>
            </w:r>
            <w:r w:rsidRPr="00325D8C">
              <w:rPr>
                <w:rFonts w:ascii="Calibri" w:eastAsia="Times New Roman" w:hAnsi="Calibri" w:cs="Calibri"/>
                <w:color w:val="000000"/>
                <w:sz w:val="20"/>
                <w:szCs w:val="20"/>
              </w:rPr>
              <w:t xml:space="preserve"> de GFP.</w:t>
            </w:r>
          </w:p>
        </w:tc>
        <w:tc>
          <w:tcPr>
            <w:tcW w:w="360" w:type="dxa"/>
            <w:shd w:val="clear" w:color="D9D9D9" w:fill="D9D9D9"/>
          </w:tcPr>
          <w:p w14:paraId="5B36FBE2"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D9D9D9" w:themeFill="background1" w:themeFillShade="D9"/>
            <w:noWrap/>
          </w:tcPr>
          <w:p w14:paraId="6769F194"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6665AADB"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65588992"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10A2831A"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458C46D9"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186DAD5"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1D85FBB7"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6ECF77F1" w14:textId="77777777" w:rsidTr="00325D8C">
        <w:trPr>
          <w:trHeight w:val="53"/>
        </w:trPr>
        <w:tc>
          <w:tcPr>
            <w:tcW w:w="4499" w:type="dxa"/>
            <w:shd w:val="clear" w:color="FFFFFF" w:fill="FFFFFF"/>
            <w:hideMark/>
          </w:tcPr>
          <w:p w14:paraId="4ED0D148" w14:textId="77777777" w:rsidR="00C17FDB" w:rsidRPr="00325D8C" w:rsidRDefault="00C17FDB" w:rsidP="005C7D89">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 xml:space="preserve">Engager un dialogue avec le </w:t>
            </w:r>
            <w:proofErr w:type="spellStart"/>
            <w:r w:rsidRPr="00325D8C">
              <w:rPr>
                <w:rFonts w:ascii="Calibri" w:eastAsia="Times New Roman" w:hAnsi="Calibri" w:cs="Calibri"/>
                <w:color w:val="000000"/>
                <w:sz w:val="20"/>
                <w:szCs w:val="20"/>
              </w:rPr>
              <w:t>MdF</w:t>
            </w:r>
            <w:proofErr w:type="spellEnd"/>
            <w:r w:rsidRPr="00325D8C">
              <w:rPr>
                <w:rFonts w:ascii="Calibri" w:eastAsia="Times New Roman" w:hAnsi="Calibri" w:cs="Calibri"/>
                <w:color w:val="000000"/>
                <w:sz w:val="20"/>
                <w:szCs w:val="20"/>
              </w:rPr>
              <w:t xml:space="preserve"> pour la mise en place de taxes progressives pour augmenter l'assiette fiscale, dont une partie serait allouée au CAS.</w:t>
            </w:r>
          </w:p>
        </w:tc>
        <w:tc>
          <w:tcPr>
            <w:tcW w:w="1350" w:type="dxa"/>
            <w:shd w:val="clear" w:color="auto" w:fill="auto"/>
            <w:hideMark/>
          </w:tcPr>
          <w:p w14:paraId="3BF99BDC" w14:textId="77777777" w:rsidR="00C17FDB" w:rsidRPr="00325D8C" w:rsidRDefault="00C17FDB" w:rsidP="005C7D89">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 </w:t>
            </w:r>
            <w:r w:rsidR="005D6C85" w:rsidRPr="00325D8C">
              <w:rPr>
                <w:rFonts w:ascii="Calibri" w:eastAsia="Times New Roman" w:hAnsi="Calibri" w:cs="Calibri"/>
                <w:color w:val="000000"/>
                <w:sz w:val="20"/>
                <w:szCs w:val="20"/>
              </w:rPr>
              <w:t>MDF et MDS</w:t>
            </w:r>
          </w:p>
        </w:tc>
        <w:tc>
          <w:tcPr>
            <w:tcW w:w="2611" w:type="dxa"/>
            <w:shd w:val="clear" w:color="auto" w:fill="auto"/>
            <w:hideMark/>
          </w:tcPr>
          <w:p w14:paraId="71DD258E" w14:textId="77777777" w:rsidR="00C17FDB" w:rsidRPr="00325D8C" w:rsidRDefault="00C17FDB" w:rsidP="005C7D89">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Calendrier de réunions prédéfini respecté, PV des réunions suivent le contenu programmé, plaidoyer mène à des engagements clairs pris pour investir plus dans la santé.</w:t>
            </w:r>
          </w:p>
          <w:p w14:paraId="4BF6A23C" w14:textId="77777777" w:rsidR="00C35BBD" w:rsidRPr="00325D8C" w:rsidRDefault="00C35BBD" w:rsidP="00325D8C">
            <w:pPr>
              <w:rPr>
                <w:rFonts w:ascii="Calibri" w:eastAsia="Times New Roman" w:hAnsi="Calibri" w:cs="Calibri"/>
                <w:color w:val="000000"/>
                <w:sz w:val="20"/>
                <w:szCs w:val="20"/>
              </w:rPr>
            </w:pPr>
            <w:r w:rsidRPr="00325D8C">
              <w:rPr>
                <w:rFonts w:ascii="Calibri" w:eastAsia="Times New Roman" w:hAnsi="Calibri" w:cs="Calibri"/>
                <w:color w:val="000000"/>
                <w:sz w:val="20"/>
                <w:szCs w:val="20"/>
              </w:rPr>
              <w:t>Plan de financement d’ici 2030 atteignant 15% du budget pour la sante défini</w:t>
            </w:r>
          </w:p>
        </w:tc>
        <w:tc>
          <w:tcPr>
            <w:tcW w:w="2408" w:type="dxa"/>
            <w:shd w:val="clear" w:color="auto" w:fill="auto"/>
            <w:hideMark/>
          </w:tcPr>
          <w:p w14:paraId="4FBAB622" w14:textId="77777777" w:rsidR="00C17FDB" w:rsidRPr="00325D8C" w:rsidRDefault="00C17FDB" w:rsidP="005C7D89">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Alignement des horaires difficiles, manque de leadership ou de soutien logistique, expertise nécessaire non-disponible.</w:t>
            </w:r>
          </w:p>
          <w:p w14:paraId="48EA0420" w14:textId="77777777" w:rsidR="00E607A0" w:rsidRPr="00325D8C" w:rsidRDefault="00E607A0" w:rsidP="00E607A0">
            <w:pPr>
              <w:widowControl w:val="0"/>
              <w:pBdr>
                <w:top w:val="nil"/>
                <w:left w:val="nil"/>
                <w:bottom w:val="nil"/>
                <w:right w:val="nil"/>
                <w:between w:val="nil"/>
              </w:pBd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 xml:space="preserve">Faiblesses des mécanismes de MEO </w:t>
            </w:r>
          </w:p>
          <w:p w14:paraId="54AD2E4B" w14:textId="77777777" w:rsidR="00E607A0" w:rsidRPr="00325D8C" w:rsidRDefault="00E607A0" w:rsidP="00E607A0">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t>Réaffectation des recettes dans d’autres domaines jugés prioritaires</w:t>
            </w:r>
          </w:p>
        </w:tc>
        <w:tc>
          <w:tcPr>
            <w:tcW w:w="360" w:type="dxa"/>
            <w:shd w:val="clear" w:color="D9D9D9" w:fill="D9D9D9"/>
          </w:tcPr>
          <w:p w14:paraId="12D5D7F4"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tcPr>
          <w:p w14:paraId="30CA63EA"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tcPr>
          <w:p w14:paraId="5F67CB4B"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2BEEDA6F"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053E942B"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4CC6DFCE"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0484C5CB"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74A4BC0F"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3B25B4D3" w14:textId="77777777" w:rsidTr="005C7D89">
        <w:trPr>
          <w:trHeight w:val="320"/>
        </w:trPr>
        <w:tc>
          <w:tcPr>
            <w:tcW w:w="13748" w:type="dxa"/>
            <w:gridSpan w:val="12"/>
            <w:shd w:val="clear" w:color="F3F3F3" w:fill="F3F3F3"/>
          </w:tcPr>
          <w:p w14:paraId="2839595B" w14:textId="77777777" w:rsidR="00C17FDB" w:rsidRPr="00D636C4" w:rsidRDefault="004C4CFE" w:rsidP="005C7D8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lastRenderedPageBreak/>
              <w:t xml:space="preserve">1.2. Augmenter les autres sources de financement pour la santé </w:t>
            </w:r>
          </w:p>
        </w:tc>
      </w:tr>
      <w:tr w:rsidR="005C7D89" w:rsidRPr="00D636C4" w14:paraId="53565ACD" w14:textId="77777777" w:rsidTr="00E6730B">
        <w:trPr>
          <w:trHeight w:val="1700"/>
        </w:trPr>
        <w:tc>
          <w:tcPr>
            <w:tcW w:w="4499" w:type="dxa"/>
            <w:shd w:val="clear" w:color="auto" w:fill="auto"/>
            <w:hideMark/>
          </w:tcPr>
          <w:p w14:paraId="3096E868"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Travailler avec les PTFs pour leur respect des modalités définies dans le Compact pour l'apport et la gestion de l’aide extérieure au secteur</w:t>
            </w:r>
          </w:p>
        </w:tc>
        <w:tc>
          <w:tcPr>
            <w:tcW w:w="1350" w:type="dxa"/>
            <w:shd w:val="clear" w:color="auto" w:fill="auto"/>
            <w:hideMark/>
          </w:tcPr>
          <w:p w14:paraId="285EAAE2" w14:textId="77777777" w:rsidR="00C17FDB" w:rsidRPr="00D636C4" w:rsidRDefault="005D6C85" w:rsidP="005C7D89">
            <w:pPr>
              <w:spacing w:line="240" w:lineRule="auto"/>
              <w:rPr>
                <w:rFonts w:ascii="Calibri" w:eastAsia="Times New Roman" w:hAnsi="Calibri" w:cs="Calibri"/>
                <w:color w:val="FF0000"/>
                <w:sz w:val="20"/>
                <w:szCs w:val="20"/>
              </w:rPr>
            </w:pPr>
            <w:r w:rsidRPr="005D6C85">
              <w:rPr>
                <w:rFonts w:ascii="Calibri" w:eastAsia="Times New Roman" w:hAnsi="Calibri" w:cs="Calibri"/>
                <w:sz w:val="20"/>
                <w:szCs w:val="20"/>
              </w:rPr>
              <w:t>MDS et PTF</w:t>
            </w:r>
          </w:p>
        </w:tc>
        <w:tc>
          <w:tcPr>
            <w:tcW w:w="2611" w:type="dxa"/>
            <w:shd w:val="clear" w:color="auto" w:fill="auto"/>
            <w:hideMark/>
          </w:tcPr>
          <w:p w14:paraId="52CE766B"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Ressources PTFs </w:t>
            </w:r>
            <w:r w:rsidR="005C7D89" w:rsidRPr="00D636C4">
              <w:rPr>
                <w:rFonts w:ascii="Calibri" w:eastAsia="Times New Roman" w:hAnsi="Calibri" w:cs="Calibri"/>
                <w:color w:val="000000"/>
                <w:sz w:val="20"/>
                <w:szCs w:val="20"/>
              </w:rPr>
              <w:t>intégrées</w:t>
            </w:r>
            <w:r w:rsidRPr="00D636C4">
              <w:rPr>
                <w:rFonts w:ascii="Calibri" w:eastAsia="Times New Roman" w:hAnsi="Calibri" w:cs="Calibri"/>
                <w:color w:val="000000"/>
                <w:sz w:val="20"/>
                <w:szCs w:val="20"/>
              </w:rPr>
              <w:t xml:space="preserve"> dans le CDMT</w:t>
            </w:r>
          </w:p>
        </w:tc>
        <w:tc>
          <w:tcPr>
            <w:tcW w:w="2408" w:type="dxa"/>
            <w:shd w:val="clear" w:color="auto" w:fill="auto"/>
            <w:hideMark/>
          </w:tcPr>
          <w:p w14:paraId="55A1CA4D" w14:textId="77777777" w:rsidR="00C17FDB" w:rsidRPr="00D636C4" w:rsidRDefault="00C17FDB" w:rsidP="005C7D89">
            <w:pPr>
              <w:spacing w:line="240" w:lineRule="auto"/>
              <w:ind w:right="-80"/>
              <w:rPr>
                <w:rFonts w:ascii="Calibri" w:eastAsia="Times New Roman" w:hAnsi="Calibri" w:cs="Calibri"/>
                <w:color w:val="000000"/>
                <w:sz w:val="20"/>
                <w:szCs w:val="20"/>
              </w:rPr>
            </w:pPr>
            <w:r w:rsidRPr="00D636C4">
              <w:rPr>
                <w:rFonts w:ascii="Calibri" w:eastAsia="Times New Roman" w:hAnsi="Calibri" w:cs="Calibri"/>
                <w:color w:val="000000"/>
                <w:sz w:val="20"/>
                <w:szCs w:val="20"/>
              </w:rPr>
              <w:t>Manque de transparence des PTFs, manque de visibilit</w:t>
            </w:r>
            <w:r w:rsidR="005C7D89" w:rsidRPr="00D636C4">
              <w:rPr>
                <w:rFonts w:ascii="Calibri" w:eastAsia="Times New Roman" w:hAnsi="Calibri" w:cs="Calibri"/>
                <w:color w:val="000000"/>
                <w:sz w:val="20"/>
                <w:szCs w:val="20"/>
              </w:rPr>
              <w:t>é</w:t>
            </w:r>
            <w:r w:rsidRPr="00D636C4">
              <w:rPr>
                <w:rFonts w:ascii="Calibri" w:eastAsia="Times New Roman" w:hAnsi="Calibri" w:cs="Calibri"/>
                <w:color w:val="000000"/>
                <w:sz w:val="20"/>
                <w:szCs w:val="20"/>
              </w:rPr>
              <w:t xml:space="preserve"> </w:t>
            </w:r>
            <w:r w:rsidR="005C7D89" w:rsidRPr="00D636C4">
              <w:rPr>
                <w:rFonts w:ascii="Calibri" w:eastAsia="Times New Roman" w:hAnsi="Calibri" w:cs="Calibri"/>
                <w:color w:val="000000"/>
                <w:sz w:val="20"/>
                <w:szCs w:val="20"/>
              </w:rPr>
              <w:t>pluriannuelle</w:t>
            </w:r>
            <w:r w:rsidRPr="00D636C4">
              <w:rPr>
                <w:rFonts w:ascii="Calibri" w:eastAsia="Times New Roman" w:hAnsi="Calibri" w:cs="Calibri"/>
                <w:color w:val="000000"/>
                <w:sz w:val="20"/>
                <w:szCs w:val="20"/>
              </w:rPr>
              <w:t xml:space="preserve"> sur les engagements </w:t>
            </w:r>
            <w:r w:rsidR="005C7D89" w:rsidRPr="00D636C4">
              <w:rPr>
                <w:rFonts w:ascii="Calibri" w:eastAsia="Times New Roman" w:hAnsi="Calibri" w:cs="Calibri"/>
                <w:color w:val="000000"/>
                <w:sz w:val="20"/>
                <w:szCs w:val="20"/>
              </w:rPr>
              <w:t>budgétaires</w:t>
            </w:r>
            <w:r w:rsidRPr="00D636C4">
              <w:rPr>
                <w:rFonts w:ascii="Calibri" w:eastAsia="Times New Roman" w:hAnsi="Calibri" w:cs="Calibri"/>
                <w:color w:val="000000"/>
                <w:sz w:val="20"/>
                <w:szCs w:val="20"/>
              </w:rPr>
              <w:t xml:space="preserve"> des PTFs, non alignement au CDMT</w:t>
            </w:r>
            <w:r w:rsidR="00EC5FBE" w:rsidRPr="00D636C4">
              <w:rPr>
                <w:rFonts w:ascii="Calibri" w:eastAsia="Times New Roman" w:hAnsi="Calibri" w:cs="Calibri"/>
                <w:color w:val="000000"/>
                <w:sz w:val="20"/>
                <w:szCs w:val="20"/>
              </w:rPr>
              <w:t>.</w:t>
            </w:r>
          </w:p>
        </w:tc>
        <w:tc>
          <w:tcPr>
            <w:tcW w:w="360" w:type="dxa"/>
            <w:shd w:val="clear" w:color="CCCCCC" w:fill="CCCCCC"/>
          </w:tcPr>
          <w:p w14:paraId="3ADAC73C"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BFBFBF" w:themeFill="background1" w:themeFillShade="BF"/>
            <w:noWrap/>
          </w:tcPr>
          <w:p w14:paraId="761A2BC6"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tcPr>
          <w:p w14:paraId="650E491B"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70178C83"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52767985"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2620CDF1"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53895C3C"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57A440CA"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473EFE14" w14:textId="77777777" w:rsidTr="00325D8C">
        <w:trPr>
          <w:trHeight w:val="359"/>
        </w:trPr>
        <w:tc>
          <w:tcPr>
            <w:tcW w:w="13748" w:type="dxa"/>
            <w:gridSpan w:val="12"/>
            <w:shd w:val="clear" w:color="B7B7B7" w:fill="B7B7B7"/>
            <w:hideMark/>
          </w:tcPr>
          <w:p w14:paraId="32E64703"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xml:space="preserve">OS2 : </w:t>
            </w:r>
            <w:r w:rsidR="00EC5FBE" w:rsidRPr="00D636C4">
              <w:rPr>
                <w:rFonts w:ascii="Calibri" w:eastAsia="Times New Roman" w:hAnsi="Calibri" w:cs="Calibri"/>
                <w:b/>
                <w:bCs/>
                <w:color w:val="000000"/>
                <w:sz w:val="20"/>
                <w:szCs w:val="20"/>
              </w:rPr>
              <w:t>Améliorer</w:t>
            </w:r>
            <w:r w:rsidRPr="00D636C4">
              <w:rPr>
                <w:rFonts w:ascii="Calibri" w:eastAsia="Times New Roman" w:hAnsi="Calibri" w:cs="Calibri"/>
                <w:b/>
                <w:bCs/>
                <w:color w:val="000000"/>
                <w:sz w:val="20"/>
                <w:szCs w:val="20"/>
              </w:rPr>
              <w:t xml:space="preserve"> la mise en commun et mutualisation des ressources pour renforcer la protection </w:t>
            </w:r>
            <w:r w:rsidR="005C7D89" w:rsidRPr="00D636C4">
              <w:rPr>
                <w:rFonts w:ascii="Calibri" w:eastAsia="Times New Roman" w:hAnsi="Calibri" w:cs="Calibri"/>
                <w:b/>
                <w:bCs/>
                <w:color w:val="000000"/>
                <w:sz w:val="20"/>
                <w:szCs w:val="20"/>
              </w:rPr>
              <w:t>financière</w:t>
            </w:r>
          </w:p>
        </w:tc>
      </w:tr>
      <w:tr w:rsidR="005C7D89" w:rsidRPr="00D636C4" w14:paraId="3EB65876" w14:textId="77777777" w:rsidTr="005C7D89">
        <w:trPr>
          <w:trHeight w:val="320"/>
        </w:trPr>
        <w:tc>
          <w:tcPr>
            <w:tcW w:w="13748" w:type="dxa"/>
            <w:gridSpan w:val="12"/>
            <w:shd w:val="clear" w:color="F3F3F3" w:fill="F3F3F3"/>
            <w:noWrap/>
            <w:hideMark/>
          </w:tcPr>
          <w:p w14:paraId="56A623C0"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2.1. Mettre à l'échelle de l’assurance maladie obligatoire cad augmenter la population des bénéficiaires de la CNAM.</w:t>
            </w:r>
          </w:p>
        </w:tc>
      </w:tr>
      <w:tr w:rsidR="00A162BC" w:rsidRPr="00D636C4" w14:paraId="5B3C3697" w14:textId="77777777" w:rsidTr="00736E3E">
        <w:trPr>
          <w:trHeight w:val="863"/>
        </w:trPr>
        <w:tc>
          <w:tcPr>
            <w:tcW w:w="4499" w:type="dxa"/>
            <w:shd w:val="clear" w:color="auto" w:fill="auto"/>
          </w:tcPr>
          <w:p w14:paraId="746C8D4B" w14:textId="77777777" w:rsidR="00A162BC" w:rsidRPr="00D636C4" w:rsidRDefault="00A162BC" w:rsidP="005C7D8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Analyse de pénétration de le CNAM et de la CNASS</w:t>
            </w:r>
          </w:p>
        </w:tc>
        <w:tc>
          <w:tcPr>
            <w:tcW w:w="1350" w:type="dxa"/>
            <w:shd w:val="clear" w:color="auto" w:fill="auto"/>
          </w:tcPr>
          <w:p w14:paraId="03755BB4" w14:textId="77777777" w:rsidR="00A162BC" w:rsidRPr="00D636C4" w:rsidRDefault="00A162BC" w:rsidP="005C7D89">
            <w:pPr>
              <w:spacing w:line="240" w:lineRule="auto"/>
              <w:rPr>
                <w:rFonts w:ascii="Calibri" w:eastAsia="Times New Roman" w:hAnsi="Calibri" w:cs="Calibri"/>
                <w:color w:val="FF0000"/>
                <w:sz w:val="20"/>
                <w:szCs w:val="20"/>
              </w:rPr>
            </w:pPr>
            <w:r w:rsidRPr="00A162BC">
              <w:rPr>
                <w:rFonts w:ascii="Calibri" w:eastAsia="Times New Roman" w:hAnsi="Calibri" w:cs="Calibri"/>
                <w:sz w:val="20"/>
                <w:szCs w:val="20"/>
              </w:rPr>
              <w:t xml:space="preserve">Min de la </w:t>
            </w:r>
            <w:r w:rsidR="0073712E" w:rsidRPr="00A162BC">
              <w:rPr>
                <w:rFonts w:ascii="Calibri" w:eastAsia="Times New Roman" w:hAnsi="Calibri" w:cs="Calibri"/>
                <w:sz w:val="20"/>
                <w:szCs w:val="20"/>
              </w:rPr>
              <w:t>sant</w:t>
            </w:r>
            <w:r w:rsidR="0073712E">
              <w:rPr>
                <w:rFonts w:ascii="Calibri" w:eastAsia="Times New Roman" w:hAnsi="Calibri" w:cs="Calibri"/>
                <w:sz w:val="20"/>
                <w:szCs w:val="20"/>
              </w:rPr>
              <w:t>é</w:t>
            </w:r>
            <w:r w:rsidRPr="00A162BC">
              <w:rPr>
                <w:rFonts w:ascii="Calibri" w:eastAsia="Times New Roman" w:hAnsi="Calibri" w:cs="Calibri"/>
                <w:sz w:val="20"/>
                <w:szCs w:val="20"/>
              </w:rPr>
              <w:t>, CNAM et CNASS</w:t>
            </w:r>
          </w:p>
        </w:tc>
        <w:tc>
          <w:tcPr>
            <w:tcW w:w="2611" w:type="dxa"/>
            <w:shd w:val="clear" w:color="auto" w:fill="auto"/>
          </w:tcPr>
          <w:p w14:paraId="484BB9C5" w14:textId="77777777" w:rsidR="00A162BC" w:rsidRPr="00D636C4" w:rsidRDefault="00A162BC" w:rsidP="005C7D89">
            <w:pPr>
              <w:spacing w:line="240" w:lineRule="auto"/>
              <w:rPr>
                <w:rFonts w:ascii="Calibri" w:eastAsia="Times New Roman" w:hAnsi="Calibri" w:cs="Calibri"/>
                <w:color w:val="000000"/>
                <w:sz w:val="20"/>
                <w:szCs w:val="20"/>
              </w:rPr>
            </w:pPr>
          </w:p>
        </w:tc>
        <w:tc>
          <w:tcPr>
            <w:tcW w:w="2408" w:type="dxa"/>
            <w:shd w:val="clear" w:color="auto" w:fill="auto"/>
          </w:tcPr>
          <w:p w14:paraId="1C2288F2" w14:textId="77777777" w:rsidR="00A162BC" w:rsidRPr="00D636C4" w:rsidRDefault="00A162BC" w:rsidP="005C7D89">
            <w:pPr>
              <w:spacing w:line="240" w:lineRule="auto"/>
              <w:rPr>
                <w:rFonts w:ascii="Calibri" w:eastAsia="Times New Roman" w:hAnsi="Calibri" w:cs="Calibri"/>
                <w:color w:val="000000"/>
                <w:sz w:val="20"/>
                <w:szCs w:val="20"/>
              </w:rPr>
            </w:pPr>
          </w:p>
        </w:tc>
        <w:tc>
          <w:tcPr>
            <w:tcW w:w="360" w:type="dxa"/>
            <w:shd w:val="clear" w:color="auto" w:fill="auto"/>
          </w:tcPr>
          <w:p w14:paraId="73EC5F3D" w14:textId="77777777" w:rsidR="00A162BC" w:rsidRPr="00D636C4" w:rsidRDefault="00A162BC" w:rsidP="005C7D89">
            <w:pPr>
              <w:spacing w:line="240" w:lineRule="auto"/>
              <w:rPr>
                <w:rFonts w:ascii="Calibri" w:eastAsia="Times New Roman" w:hAnsi="Calibri" w:cs="Calibri"/>
                <w:b/>
                <w:bCs/>
                <w:color w:val="000000"/>
                <w:sz w:val="20"/>
                <w:szCs w:val="20"/>
              </w:rPr>
            </w:pPr>
          </w:p>
        </w:tc>
        <w:tc>
          <w:tcPr>
            <w:tcW w:w="360" w:type="dxa"/>
            <w:shd w:val="clear" w:color="CCCCCC" w:fill="CCCCCC"/>
            <w:noWrap/>
          </w:tcPr>
          <w:p w14:paraId="4E0E9142" w14:textId="77777777" w:rsidR="00A162BC" w:rsidRPr="00D636C4" w:rsidRDefault="00A162BC" w:rsidP="005C7D89">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1FE7729C" w14:textId="77777777" w:rsidR="00A162BC" w:rsidRPr="00D636C4" w:rsidRDefault="00A162BC"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0D249827" w14:textId="77777777" w:rsidR="00A162BC" w:rsidRPr="00D636C4" w:rsidRDefault="00A162BC"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4FEDBC9A" w14:textId="77777777" w:rsidR="00A162BC" w:rsidRPr="00D636C4" w:rsidRDefault="00A162BC"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6E692EC4" w14:textId="77777777" w:rsidR="00A162BC" w:rsidRPr="00D636C4" w:rsidRDefault="00A162BC"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543418B4" w14:textId="77777777" w:rsidR="00A162BC" w:rsidRPr="00D636C4" w:rsidRDefault="00A162BC"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6DA482D6" w14:textId="77777777" w:rsidR="00A162BC" w:rsidRPr="00D636C4" w:rsidRDefault="00A162BC" w:rsidP="005C7D89">
            <w:pPr>
              <w:spacing w:line="240" w:lineRule="auto"/>
              <w:rPr>
                <w:rFonts w:ascii="Calibri" w:eastAsia="Times New Roman" w:hAnsi="Calibri" w:cs="Calibri"/>
                <w:b/>
                <w:bCs/>
                <w:color w:val="000000"/>
                <w:sz w:val="20"/>
                <w:szCs w:val="20"/>
              </w:rPr>
            </w:pPr>
          </w:p>
        </w:tc>
      </w:tr>
      <w:tr w:rsidR="005C7D89" w:rsidRPr="00D636C4" w14:paraId="252FAA21" w14:textId="77777777" w:rsidTr="00736E3E">
        <w:trPr>
          <w:trHeight w:val="1250"/>
        </w:trPr>
        <w:tc>
          <w:tcPr>
            <w:tcW w:w="4499" w:type="dxa"/>
            <w:shd w:val="clear" w:color="auto" w:fill="auto"/>
            <w:hideMark/>
          </w:tcPr>
          <w:p w14:paraId="30071998"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Simplifier les procédures d’immatriculation à la CNAM</w:t>
            </w:r>
          </w:p>
        </w:tc>
        <w:tc>
          <w:tcPr>
            <w:tcW w:w="1350" w:type="dxa"/>
            <w:shd w:val="clear" w:color="auto" w:fill="auto"/>
            <w:hideMark/>
          </w:tcPr>
          <w:p w14:paraId="1B6DB4C9" w14:textId="77777777" w:rsidR="00C17FDB" w:rsidRPr="005D6C85" w:rsidRDefault="005D6C85" w:rsidP="005C7D89">
            <w:pPr>
              <w:spacing w:line="240" w:lineRule="auto"/>
              <w:rPr>
                <w:rFonts w:ascii="Calibri" w:eastAsia="Times New Roman" w:hAnsi="Calibri" w:cs="Calibri"/>
                <w:sz w:val="20"/>
                <w:szCs w:val="20"/>
              </w:rPr>
            </w:pPr>
            <w:r w:rsidRPr="005D6C85">
              <w:rPr>
                <w:rFonts w:ascii="Calibri" w:eastAsia="Times New Roman" w:hAnsi="Calibri" w:cs="Calibri"/>
                <w:sz w:val="20"/>
                <w:szCs w:val="20"/>
              </w:rPr>
              <w:t>CNAM</w:t>
            </w:r>
          </w:p>
        </w:tc>
        <w:tc>
          <w:tcPr>
            <w:tcW w:w="2611" w:type="dxa"/>
            <w:shd w:val="clear" w:color="auto" w:fill="auto"/>
            <w:hideMark/>
          </w:tcPr>
          <w:p w14:paraId="5ABD5151"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Processus d'immatriculation révisé mis en opération, nombre de cotisants non-immatriculés réduit.</w:t>
            </w:r>
          </w:p>
        </w:tc>
        <w:tc>
          <w:tcPr>
            <w:tcW w:w="2408" w:type="dxa"/>
            <w:shd w:val="clear" w:color="auto" w:fill="auto"/>
            <w:hideMark/>
          </w:tcPr>
          <w:p w14:paraId="2BE58983"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Raisons structurelles pour la non-immatriculation difficile</w:t>
            </w:r>
            <w:r w:rsidR="0073712E">
              <w:rPr>
                <w:rFonts w:ascii="Calibri" w:eastAsia="Times New Roman" w:hAnsi="Calibri" w:cs="Calibri"/>
                <w:color w:val="000000"/>
                <w:sz w:val="20"/>
                <w:szCs w:val="20"/>
              </w:rPr>
              <w:t>s</w:t>
            </w:r>
            <w:r w:rsidRPr="00D636C4">
              <w:rPr>
                <w:rFonts w:ascii="Calibri" w:eastAsia="Times New Roman" w:hAnsi="Calibri" w:cs="Calibri"/>
                <w:color w:val="000000"/>
                <w:sz w:val="20"/>
                <w:szCs w:val="20"/>
              </w:rPr>
              <w:t xml:space="preserve"> à </w:t>
            </w:r>
            <w:r w:rsidR="0073712E">
              <w:rPr>
                <w:rFonts w:ascii="Calibri" w:eastAsia="Times New Roman" w:hAnsi="Calibri" w:cs="Calibri"/>
                <w:color w:val="000000"/>
                <w:sz w:val="20"/>
                <w:szCs w:val="20"/>
              </w:rPr>
              <w:t>corriger</w:t>
            </w:r>
            <w:r w:rsidR="0073712E"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(e.g., processus trop centralisé à Nouakchott).</w:t>
            </w:r>
          </w:p>
        </w:tc>
        <w:tc>
          <w:tcPr>
            <w:tcW w:w="360" w:type="dxa"/>
            <w:shd w:val="clear" w:color="auto" w:fill="auto"/>
            <w:hideMark/>
          </w:tcPr>
          <w:p w14:paraId="1FD92E73"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CCCCCC" w:fill="CCCCCC"/>
            <w:noWrap/>
          </w:tcPr>
          <w:p w14:paraId="69D7ACAB" w14:textId="77777777" w:rsidR="00C17FDB" w:rsidRPr="00D636C4" w:rsidRDefault="00C17FDB" w:rsidP="005C7D89">
            <w:pPr>
              <w:spacing w:line="240" w:lineRule="auto"/>
              <w:jc w:val="right"/>
              <w:rPr>
                <w:rFonts w:ascii="Calibri" w:eastAsia="Times New Roman" w:hAnsi="Calibri" w:cs="Calibri"/>
                <w:b/>
                <w:bCs/>
                <w:color w:val="000000"/>
                <w:sz w:val="20"/>
                <w:szCs w:val="20"/>
              </w:rPr>
            </w:pPr>
          </w:p>
        </w:tc>
        <w:tc>
          <w:tcPr>
            <w:tcW w:w="360" w:type="dxa"/>
            <w:shd w:val="clear" w:color="auto" w:fill="F2F2F2" w:themeFill="background1" w:themeFillShade="F2"/>
            <w:noWrap/>
          </w:tcPr>
          <w:p w14:paraId="1208137C"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F2F2F2" w:themeFill="background1" w:themeFillShade="F2"/>
            <w:noWrap/>
          </w:tcPr>
          <w:p w14:paraId="5AE03D15"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679441F1"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DB2A94C"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0A158DEC"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77F24AE2"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B623D4" w:rsidRPr="00D636C4" w14:paraId="04FC1916" w14:textId="77777777" w:rsidTr="00736E3E">
        <w:trPr>
          <w:trHeight w:val="1160"/>
        </w:trPr>
        <w:tc>
          <w:tcPr>
            <w:tcW w:w="4499" w:type="dxa"/>
            <w:shd w:val="clear" w:color="auto" w:fill="auto"/>
          </w:tcPr>
          <w:p w14:paraId="309E685D" w14:textId="77777777" w:rsidR="00B623D4" w:rsidRPr="00B623D4" w:rsidRDefault="00B623D4" w:rsidP="005C7D8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w:t>
            </w:r>
            <w:r w:rsidRPr="00B623D4">
              <w:rPr>
                <w:rFonts w:ascii="Calibri" w:eastAsia="Times New Roman" w:hAnsi="Calibri" w:cs="Calibri"/>
                <w:color w:val="000000"/>
                <w:sz w:val="20"/>
                <w:szCs w:val="20"/>
              </w:rPr>
              <w:t xml:space="preserve">implifier </w:t>
            </w:r>
            <w:r>
              <w:rPr>
                <w:rFonts w:ascii="Calibri" w:eastAsia="Times New Roman" w:hAnsi="Calibri" w:cs="Calibri"/>
                <w:color w:val="000000"/>
                <w:sz w:val="20"/>
                <w:szCs w:val="20"/>
              </w:rPr>
              <w:t>la</w:t>
            </w:r>
            <w:r w:rsidRPr="00B623D4">
              <w:rPr>
                <w:rFonts w:ascii="Calibri" w:eastAsia="Times New Roman" w:hAnsi="Calibri" w:cs="Calibri"/>
                <w:color w:val="000000"/>
                <w:sz w:val="20"/>
                <w:szCs w:val="20"/>
              </w:rPr>
              <w:t xml:space="preserve"> procédure de remboursement</w:t>
            </w:r>
            <w:r>
              <w:rPr>
                <w:rFonts w:ascii="Calibri" w:eastAsia="Times New Roman" w:hAnsi="Calibri" w:cs="Calibri"/>
                <w:color w:val="000000"/>
                <w:sz w:val="20"/>
                <w:szCs w:val="20"/>
              </w:rPr>
              <w:t xml:space="preserve"> de la CNAM et </w:t>
            </w:r>
            <w:r w:rsidR="0073712E">
              <w:rPr>
                <w:rFonts w:ascii="Calibri" w:eastAsia="Times New Roman" w:hAnsi="Calibri" w:cs="Calibri"/>
                <w:color w:val="000000"/>
                <w:sz w:val="20"/>
                <w:szCs w:val="20"/>
              </w:rPr>
              <w:t>élargir</w:t>
            </w:r>
            <w:r>
              <w:rPr>
                <w:rFonts w:ascii="Calibri" w:eastAsia="Times New Roman" w:hAnsi="Calibri" w:cs="Calibri"/>
                <w:color w:val="000000"/>
                <w:sz w:val="20"/>
                <w:szCs w:val="20"/>
              </w:rPr>
              <w:t xml:space="preserve"> sa fonction de tier</w:t>
            </w:r>
            <w:r w:rsidR="0073712E">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payant</w:t>
            </w:r>
            <w:r w:rsidR="000171E3">
              <w:rPr>
                <w:rFonts w:ascii="Calibri" w:eastAsia="Times New Roman" w:hAnsi="Calibri" w:cs="Calibri"/>
                <w:color w:val="000000"/>
                <w:sz w:val="20"/>
                <w:szCs w:val="20"/>
              </w:rPr>
              <w:t>, afin de faciliter l’éventuel</w:t>
            </w:r>
            <w:r w:rsidR="0073712E">
              <w:rPr>
                <w:rFonts w:ascii="Calibri" w:eastAsia="Times New Roman" w:hAnsi="Calibri" w:cs="Calibri"/>
                <w:color w:val="000000"/>
                <w:sz w:val="20"/>
                <w:szCs w:val="20"/>
              </w:rPr>
              <w:t>le</w:t>
            </w:r>
            <w:r w:rsidR="000171E3">
              <w:rPr>
                <w:rFonts w:ascii="Calibri" w:eastAsia="Times New Roman" w:hAnsi="Calibri" w:cs="Calibri"/>
                <w:color w:val="000000"/>
                <w:sz w:val="20"/>
                <w:szCs w:val="20"/>
              </w:rPr>
              <w:t xml:space="preserve"> harmonisation de l’achat de soins. </w:t>
            </w:r>
          </w:p>
        </w:tc>
        <w:tc>
          <w:tcPr>
            <w:tcW w:w="1350" w:type="dxa"/>
            <w:shd w:val="clear" w:color="auto" w:fill="auto"/>
          </w:tcPr>
          <w:p w14:paraId="4816905A" w14:textId="77777777" w:rsidR="00B623D4" w:rsidRPr="005D6C85" w:rsidRDefault="005D6C85" w:rsidP="005C7D89">
            <w:pPr>
              <w:spacing w:line="240" w:lineRule="auto"/>
              <w:rPr>
                <w:rFonts w:ascii="Calibri" w:eastAsia="Times New Roman" w:hAnsi="Calibri" w:cs="Calibri"/>
                <w:sz w:val="20"/>
                <w:szCs w:val="20"/>
              </w:rPr>
            </w:pPr>
            <w:r w:rsidRPr="005D6C85">
              <w:rPr>
                <w:rFonts w:ascii="Calibri" w:eastAsia="Times New Roman" w:hAnsi="Calibri" w:cs="Calibri"/>
                <w:sz w:val="20"/>
                <w:szCs w:val="20"/>
              </w:rPr>
              <w:t>CNAM</w:t>
            </w:r>
          </w:p>
        </w:tc>
        <w:tc>
          <w:tcPr>
            <w:tcW w:w="2611" w:type="dxa"/>
            <w:shd w:val="clear" w:color="auto" w:fill="auto"/>
          </w:tcPr>
          <w:p w14:paraId="24AC9AFF" w14:textId="77777777" w:rsidR="00B623D4" w:rsidRPr="00D636C4" w:rsidRDefault="00B623D4" w:rsidP="005C7D89">
            <w:pPr>
              <w:spacing w:line="240" w:lineRule="auto"/>
              <w:rPr>
                <w:rFonts w:ascii="Calibri" w:eastAsia="Times New Roman" w:hAnsi="Calibri" w:cs="Calibri"/>
                <w:color w:val="000000"/>
                <w:sz w:val="20"/>
                <w:szCs w:val="20"/>
              </w:rPr>
            </w:pPr>
          </w:p>
        </w:tc>
        <w:tc>
          <w:tcPr>
            <w:tcW w:w="2408" w:type="dxa"/>
            <w:shd w:val="clear" w:color="auto" w:fill="auto"/>
          </w:tcPr>
          <w:p w14:paraId="0CC2FB5C" w14:textId="77777777" w:rsidR="00B623D4" w:rsidRPr="00D636C4" w:rsidRDefault="00B623D4" w:rsidP="005C7D89">
            <w:pPr>
              <w:spacing w:line="240" w:lineRule="auto"/>
              <w:rPr>
                <w:rFonts w:ascii="Calibri" w:eastAsia="Times New Roman" w:hAnsi="Calibri" w:cs="Calibri"/>
                <w:color w:val="000000"/>
                <w:sz w:val="20"/>
                <w:szCs w:val="20"/>
              </w:rPr>
            </w:pPr>
          </w:p>
        </w:tc>
        <w:tc>
          <w:tcPr>
            <w:tcW w:w="360" w:type="dxa"/>
            <w:shd w:val="clear" w:color="auto" w:fill="auto"/>
          </w:tcPr>
          <w:p w14:paraId="2F31C048" w14:textId="77777777" w:rsidR="00B623D4" w:rsidRPr="00D636C4" w:rsidRDefault="00B623D4" w:rsidP="005C7D89">
            <w:pPr>
              <w:spacing w:line="240" w:lineRule="auto"/>
              <w:rPr>
                <w:rFonts w:ascii="Calibri" w:eastAsia="Times New Roman" w:hAnsi="Calibri" w:cs="Calibri"/>
                <w:b/>
                <w:bCs/>
                <w:color w:val="000000"/>
                <w:sz w:val="20"/>
                <w:szCs w:val="20"/>
              </w:rPr>
            </w:pPr>
          </w:p>
        </w:tc>
        <w:tc>
          <w:tcPr>
            <w:tcW w:w="360" w:type="dxa"/>
            <w:shd w:val="clear" w:color="CCCCCC" w:fill="CCCCCC"/>
            <w:noWrap/>
          </w:tcPr>
          <w:p w14:paraId="22AA450D" w14:textId="77777777" w:rsidR="00B623D4" w:rsidRPr="00D636C4" w:rsidRDefault="00B623D4" w:rsidP="005C7D89">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7927D4B8" w14:textId="77777777" w:rsidR="00B623D4" w:rsidRPr="00D636C4" w:rsidRDefault="00B623D4"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08187E40" w14:textId="77777777" w:rsidR="00B623D4" w:rsidRPr="00D636C4" w:rsidRDefault="00B623D4"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2EB003D7" w14:textId="77777777" w:rsidR="00B623D4" w:rsidRPr="00D636C4" w:rsidRDefault="00B623D4"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3190177D" w14:textId="77777777" w:rsidR="00B623D4" w:rsidRPr="00D636C4" w:rsidRDefault="00B623D4"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7FE1DBB7" w14:textId="77777777" w:rsidR="00B623D4" w:rsidRPr="00D636C4" w:rsidRDefault="00B623D4"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16B6FC5C" w14:textId="77777777" w:rsidR="00B623D4" w:rsidRPr="00D636C4" w:rsidRDefault="00B623D4" w:rsidP="005C7D89">
            <w:pPr>
              <w:spacing w:line="240" w:lineRule="auto"/>
              <w:rPr>
                <w:rFonts w:ascii="Calibri" w:eastAsia="Times New Roman" w:hAnsi="Calibri" w:cs="Calibri"/>
                <w:b/>
                <w:bCs/>
                <w:color w:val="000000"/>
                <w:sz w:val="20"/>
                <w:szCs w:val="20"/>
              </w:rPr>
            </w:pPr>
          </w:p>
        </w:tc>
      </w:tr>
      <w:tr w:rsidR="005C7D89" w:rsidRPr="00D636C4" w14:paraId="27D13FA2" w14:textId="77777777" w:rsidTr="005C7D89">
        <w:trPr>
          <w:trHeight w:val="1700"/>
        </w:trPr>
        <w:tc>
          <w:tcPr>
            <w:tcW w:w="4499" w:type="dxa"/>
            <w:shd w:val="clear" w:color="auto" w:fill="auto"/>
            <w:hideMark/>
          </w:tcPr>
          <w:p w14:paraId="565B154B"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Mettre en place un texte législatif d’assujettissement de cotisation et de contrôle des entreprises du secteur privé.</w:t>
            </w:r>
          </w:p>
        </w:tc>
        <w:tc>
          <w:tcPr>
            <w:tcW w:w="1350" w:type="dxa"/>
            <w:shd w:val="clear" w:color="auto" w:fill="auto"/>
            <w:hideMark/>
          </w:tcPr>
          <w:p w14:paraId="7F4CAFD7" w14:textId="77777777" w:rsidR="00C17FDB" w:rsidRPr="005D6C85" w:rsidRDefault="00736E3E" w:rsidP="005C7D89">
            <w:pPr>
              <w:spacing w:line="240" w:lineRule="auto"/>
              <w:rPr>
                <w:rFonts w:ascii="Calibri" w:eastAsia="Times New Roman" w:hAnsi="Calibri" w:cs="Calibri"/>
                <w:sz w:val="20"/>
                <w:szCs w:val="20"/>
              </w:rPr>
            </w:pPr>
            <w:r>
              <w:rPr>
                <w:rFonts w:ascii="Calibri" w:eastAsia="Times New Roman" w:hAnsi="Calibri" w:cs="Calibri"/>
                <w:sz w:val="20"/>
                <w:szCs w:val="20"/>
              </w:rPr>
              <w:t>CNAM et MDS</w:t>
            </w:r>
          </w:p>
        </w:tc>
        <w:tc>
          <w:tcPr>
            <w:tcW w:w="2611" w:type="dxa"/>
            <w:shd w:val="clear" w:color="auto" w:fill="auto"/>
            <w:hideMark/>
          </w:tcPr>
          <w:p w14:paraId="3C02C3E4"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Texte législatif écrit et approuvé par la législature.</w:t>
            </w:r>
          </w:p>
        </w:tc>
        <w:tc>
          <w:tcPr>
            <w:tcW w:w="2408" w:type="dxa"/>
            <w:shd w:val="clear" w:color="auto" w:fill="auto"/>
            <w:hideMark/>
          </w:tcPr>
          <w:p w14:paraId="5121D42C"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Faible engagement de l’état, </w:t>
            </w:r>
            <w:r w:rsidR="005C7D89" w:rsidRPr="00D636C4">
              <w:rPr>
                <w:rFonts w:ascii="Calibri" w:eastAsia="Times New Roman" w:hAnsi="Calibri" w:cs="Calibri"/>
                <w:color w:val="000000"/>
                <w:sz w:val="20"/>
                <w:szCs w:val="20"/>
              </w:rPr>
              <w:t>résistance</w:t>
            </w:r>
            <w:r w:rsidRPr="00D636C4">
              <w:rPr>
                <w:rFonts w:ascii="Calibri" w:eastAsia="Times New Roman" w:hAnsi="Calibri" w:cs="Calibri"/>
                <w:color w:val="000000"/>
                <w:sz w:val="20"/>
                <w:szCs w:val="20"/>
              </w:rPr>
              <w:t xml:space="preserve"> aux changements des entreprises du </w:t>
            </w:r>
            <w:r w:rsidR="0073712E" w:rsidRPr="00D636C4">
              <w:rPr>
                <w:rFonts w:ascii="Calibri" w:eastAsia="Times New Roman" w:hAnsi="Calibri" w:cs="Calibri"/>
                <w:color w:val="000000"/>
                <w:sz w:val="20"/>
                <w:szCs w:val="20"/>
              </w:rPr>
              <w:t>priv</w:t>
            </w:r>
            <w:r w:rsidR="0073712E">
              <w:rPr>
                <w:rFonts w:ascii="Calibri" w:eastAsia="Times New Roman" w:hAnsi="Calibri" w:cs="Calibri"/>
                <w:color w:val="000000"/>
                <w:sz w:val="20"/>
                <w:szCs w:val="20"/>
              </w:rPr>
              <w:t>é</w:t>
            </w:r>
            <w:r w:rsidR="0073712E"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et des assurances privées, mécontentement populaire.</w:t>
            </w:r>
          </w:p>
        </w:tc>
        <w:tc>
          <w:tcPr>
            <w:tcW w:w="360" w:type="dxa"/>
            <w:shd w:val="clear" w:color="auto" w:fill="auto"/>
            <w:hideMark/>
          </w:tcPr>
          <w:p w14:paraId="19D58DBA"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tcPr>
          <w:p w14:paraId="30AAE812"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D9D9D9" w:fill="D9D9D9"/>
            <w:noWrap/>
          </w:tcPr>
          <w:p w14:paraId="2795C9AA" w14:textId="77777777" w:rsidR="00C17FDB" w:rsidRPr="00D636C4" w:rsidRDefault="00C17FDB" w:rsidP="005C7D89">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38665168"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484DC3AB"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6A585C7F"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5AE16B1F"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14D76F30"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78A24D90" w14:textId="77777777" w:rsidTr="005C7D89">
        <w:trPr>
          <w:trHeight w:val="1700"/>
        </w:trPr>
        <w:tc>
          <w:tcPr>
            <w:tcW w:w="4499" w:type="dxa"/>
            <w:shd w:val="clear" w:color="auto" w:fill="auto"/>
            <w:hideMark/>
          </w:tcPr>
          <w:p w14:paraId="2182F05C"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lastRenderedPageBreak/>
              <w:t xml:space="preserve">Mettre en place une obligation d’affiliation à la CNAM </w:t>
            </w:r>
            <w:r w:rsidR="005D6C85">
              <w:rPr>
                <w:rFonts w:ascii="Calibri" w:eastAsia="Times New Roman" w:hAnsi="Calibri" w:cs="Calibri"/>
                <w:color w:val="000000"/>
                <w:sz w:val="20"/>
                <w:szCs w:val="20"/>
              </w:rPr>
              <w:t xml:space="preserve">ou à la CNASS </w:t>
            </w:r>
            <w:r w:rsidRPr="00D636C4">
              <w:rPr>
                <w:rFonts w:ascii="Calibri" w:eastAsia="Times New Roman" w:hAnsi="Calibri" w:cs="Calibri"/>
                <w:color w:val="000000"/>
                <w:sz w:val="20"/>
                <w:szCs w:val="20"/>
              </w:rPr>
              <w:t>pour toute souscription à une assurance maladie privée.</w:t>
            </w:r>
          </w:p>
        </w:tc>
        <w:tc>
          <w:tcPr>
            <w:tcW w:w="1350" w:type="dxa"/>
            <w:shd w:val="clear" w:color="auto" w:fill="auto"/>
            <w:hideMark/>
          </w:tcPr>
          <w:p w14:paraId="374BD057" w14:textId="77777777" w:rsidR="00C17FDB" w:rsidRPr="005D6C85" w:rsidRDefault="005D6C85" w:rsidP="005C7D89">
            <w:pPr>
              <w:spacing w:line="240" w:lineRule="auto"/>
              <w:rPr>
                <w:rFonts w:ascii="Calibri" w:eastAsia="Times New Roman" w:hAnsi="Calibri" w:cs="Calibri"/>
                <w:sz w:val="20"/>
                <w:szCs w:val="20"/>
              </w:rPr>
            </w:pPr>
            <w:r>
              <w:rPr>
                <w:rFonts w:ascii="Calibri" w:eastAsia="Times New Roman" w:hAnsi="Calibri" w:cs="Calibri"/>
                <w:sz w:val="20"/>
                <w:szCs w:val="20"/>
              </w:rPr>
              <w:t>MDS, CNAM et CNASS</w:t>
            </w:r>
          </w:p>
        </w:tc>
        <w:tc>
          <w:tcPr>
            <w:tcW w:w="2611" w:type="dxa"/>
            <w:shd w:val="clear" w:color="auto" w:fill="auto"/>
            <w:hideMark/>
          </w:tcPr>
          <w:p w14:paraId="7284680D"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Analyses préliminaires à la création d'une telle règle faites, nouveau règlement adopté (texte </w:t>
            </w:r>
            <w:r w:rsidR="005C7D89" w:rsidRPr="00D636C4">
              <w:rPr>
                <w:rFonts w:ascii="Calibri" w:eastAsia="Times New Roman" w:hAnsi="Calibri" w:cs="Calibri"/>
                <w:color w:val="000000"/>
                <w:sz w:val="20"/>
                <w:szCs w:val="20"/>
              </w:rPr>
              <w:t>législatif ?</w:t>
            </w:r>
            <w:r w:rsidRPr="00D636C4">
              <w:rPr>
                <w:rFonts w:ascii="Calibri" w:eastAsia="Times New Roman" w:hAnsi="Calibri" w:cs="Calibri"/>
                <w:color w:val="000000"/>
                <w:sz w:val="20"/>
                <w:szCs w:val="20"/>
              </w:rPr>
              <w:t>)</w:t>
            </w:r>
            <w:r w:rsidR="00EC5FBE" w:rsidRPr="00D636C4">
              <w:rPr>
                <w:rFonts w:ascii="Calibri" w:eastAsia="Times New Roman" w:hAnsi="Calibri" w:cs="Calibri"/>
                <w:color w:val="000000"/>
                <w:sz w:val="20"/>
                <w:szCs w:val="20"/>
              </w:rPr>
              <w:t>.</w:t>
            </w:r>
          </w:p>
        </w:tc>
        <w:tc>
          <w:tcPr>
            <w:tcW w:w="2408" w:type="dxa"/>
            <w:shd w:val="clear" w:color="auto" w:fill="auto"/>
            <w:hideMark/>
          </w:tcPr>
          <w:p w14:paraId="5C98C1BE"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Faible engagement de l’état, </w:t>
            </w:r>
            <w:r w:rsidR="005C7D89" w:rsidRPr="00D636C4">
              <w:rPr>
                <w:rFonts w:ascii="Calibri" w:eastAsia="Times New Roman" w:hAnsi="Calibri" w:cs="Calibri"/>
                <w:color w:val="000000"/>
                <w:sz w:val="20"/>
                <w:szCs w:val="20"/>
              </w:rPr>
              <w:t>résistance</w:t>
            </w:r>
            <w:r w:rsidRPr="00D636C4">
              <w:rPr>
                <w:rFonts w:ascii="Calibri" w:eastAsia="Times New Roman" w:hAnsi="Calibri" w:cs="Calibri"/>
                <w:color w:val="000000"/>
                <w:sz w:val="20"/>
                <w:szCs w:val="20"/>
              </w:rPr>
              <w:t xml:space="preserve"> au</w:t>
            </w:r>
            <w:r w:rsidR="00DC3264">
              <w:rPr>
                <w:rFonts w:ascii="Calibri" w:eastAsia="Times New Roman" w:hAnsi="Calibri" w:cs="Calibri"/>
                <w:color w:val="000000"/>
                <w:sz w:val="20"/>
                <w:szCs w:val="20"/>
              </w:rPr>
              <w:t>x</w:t>
            </w:r>
            <w:r w:rsidRPr="00D636C4">
              <w:rPr>
                <w:rFonts w:ascii="Calibri" w:eastAsia="Times New Roman" w:hAnsi="Calibri" w:cs="Calibri"/>
                <w:color w:val="000000"/>
                <w:sz w:val="20"/>
                <w:szCs w:val="20"/>
              </w:rPr>
              <w:t xml:space="preserve"> changements des entreprises du </w:t>
            </w:r>
            <w:r w:rsidR="0073712E" w:rsidRPr="00D636C4">
              <w:rPr>
                <w:rFonts w:ascii="Calibri" w:eastAsia="Times New Roman" w:hAnsi="Calibri" w:cs="Calibri"/>
                <w:color w:val="000000"/>
                <w:sz w:val="20"/>
                <w:szCs w:val="20"/>
              </w:rPr>
              <w:t>priv</w:t>
            </w:r>
            <w:r w:rsidR="0073712E">
              <w:rPr>
                <w:rFonts w:ascii="Calibri" w:eastAsia="Times New Roman" w:hAnsi="Calibri" w:cs="Calibri"/>
                <w:color w:val="000000"/>
                <w:sz w:val="20"/>
                <w:szCs w:val="20"/>
              </w:rPr>
              <w:t>é</w:t>
            </w:r>
            <w:r w:rsidR="0073712E"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et des assurances privées, mécontentement populaire.</w:t>
            </w:r>
          </w:p>
        </w:tc>
        <w:tc>
          <w:tcPr>
            <w:tcW w:w="360" w:type="dxa"/>
            <w:shd w:val="clear" w:color="auto" w:fill="auto"/>
            <w:hideMark/>
          </w:tcPr>
          <w:p w14:paraId="6B4D7C26"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tcPr>
          <w:p w14:paraId="16A0ADC0"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D9D9D9" w:fill="D9D9D9"/>
            <w:noWrap/>
          </w:tcPr>
          <w:p w14:paraId="2D36609D" w14:textId="77777777" w:rsidR="00C17FDB" w:rsidRPr="00D636C4" w:rsidRDefault="00C17FDB" w:rsidP="005C7D89">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1A2533EA"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2045596C"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1F844DAB"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1A44CE6"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0726DABE"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146BC416" w14:textId="77777777" w:rsidTr="005C7D89">
        <w:trPr>
          <w:trHeight w:val="320"/>
        </w:trPr>
        <w:tc>
          <w:tcPr>
            <w:tcW w:w="13748" w:type="dxa"/>
            <w:gridSpan w:val="12"/>
            <w:shd w:val="clear" w:color="F3F3F3" w:fill="F3F3F3"/>
            <w:noWrap/>
            <w:hideMark/>
          </w:tcPr>
          <w:p w14:paraId="05868367" w14:textId="77777777" w:rsidR="00C17FDB" w:rsidRPr="005D6C85" w:rsidRDefault="00C17FDB" w:rsidP="005C7D89">
            <w:pPr>
              <w:spacing w:line="240" w:lineRule="auto"/>
              <w:rPr>
                <w:rFonts w:ascii="Calibri" w:eastAsia="Times New Roman" w:hAnsi="Calibri" w:cs="Calibri"/>
                <w:b/>
                <w:bCs/>
                <w:sz w:val="20"/>
                <w:szCs w:val="20"/>
              </w:rPr>
            </w:pPr>
            <w:r w:rsidRPr="005D6C85">
              <w:rPr>
                <w:rFonts w:ascii="Calibri" w:eastAsia="Times New Roman" w:hAnsi="Calibri" w:cs="Calibri"/>
                <w:b/>
                <w:bCs/>
                <w:sz w:val="20"/>
                <w:szCs w:val="20"/>
              </w:rPr>
              <w:t>2.2. Mettre à l'échelle de l’assurance maladie du secteur informel - préparer le passage d’un paiement volontaire à un paiement obligatoire pour la CNASS.</w:t>
            </w:r>
          </w:p>
        </w:tc>
      </w:tr>
      <w:tr w:rsidR="005C7D89" w:rsidRPr="00D636C4" w14:paraId="6E33E547" w14:textId="77777777" w:rsidTr="00325D8C">
        <w:trPr>
          <w:trHeight w:val="1043"/>
        </w:trPr>
        <w:tc>
          <w:tcPr>
            <w:tcW w:w="4499" w:type="dxa"/>
            <w:shd w:val="clear" w:color="auto" w:fill="auto"/>
            <w:hideMark/>
          </w:tcPr>
          <w:p w14:paraId="054E4647"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Préparer un texte législatif pour établir les conditions d’accès aux services publi</w:t>
            </w:r>
            <w:r w:rsidR="00485ED7" w:rsidRPr="00D636C4">
              <w:rPr>
                <w:rFonts w:ascii="Calibri" w:eastAsia="Times New Roman" w:hAnsi="Calibri" w:cs="Calibri"/>
                <w:color w:val="000000"/>
                <w:sz w:val="20"/>
                <w:szCs w:val="20"/>
              </w:rPr>
              <w:t>c</w:t>
            </w:r>
            <w:r w:rsidR="00DC3264">
              <w:rPr>
                <w:rFonts w:ascii="Calibri" w:eastAsia="Times New Roman" w:hAnsi="Calibri" w:cs="Calibri"/>
                <w:color w:val="000000"/>
                <w:sz w:val="20"/>
                <w:szCs w:val="20"/>
              </w:rPr>
              <w:t>s</w:t>
            </w:r>
            <w:r w:rsidRPr="00D636C4">
              <w:rPr>
                <w:rFonts w:ascii="Calibri" w:eastAsia="Times New Roman" w:hAnsi="Calibri" w:cs="Calibri"/>
                <w:color w:val="000000"/>
                <w:sz w:val="20"/>
                <w:szCs w:val="20"/>
              </w:rPr>
              <w:t xml:space="preserve"> de base (éducation, état civil, chambre de commerce) à travers l’obligation d’affiliation à la CNASS.</w:t>
            </w:r>
          </w:p>
        </w:tc>
        <w:tc>
          <w:tcPr>
            <w:tcW w:w="1350" w:type="dxa"/>
            <w:shd w:val="clear" w:color="auto" w:fill="auto"/>
            <w:hideMark/>
          </w:tcPr>
          <w:p w14:paraId="26EAD3CF" w14:textId="77777777" w:rsidR="00C17FDB" w:rsidRPr="005D6C85" w:rsidRDefault="00736E3E" w:rsidP="005C7D89">
            <w:pPr>
              <w:spacing w:line="240" w:lineRule="auto"/>
              <w:rPr>
                <w:rFonts w:ascii="Calibri" w:eastAsia="Times New Roman" w:hAnsi="Calibri" w:cs="Calibri"/>
                <w:sz w:val="20"/>
                <w:szCs w:val="20"/>
              </w:rPr>
            </w:pPr>
            <w:r>
              <w:rPr>
                <w:rFonts w:ascii="Calibri" w:eastAsia="Times New Roman" w:hAnsi="Calibri" w:cs="Calibri"/>
                <w:sz w:val="20"/>
                <w:szCs w:val="20"/>
              </w:rPr>
              <w:t>CNASS et MDS</w:t>
            </w:r>
          </w:p>
        </w:tc>
        <w:tc>
          <w:tcPr>
            <w:tcW w:w="2611" w:type="dxa"/>
            <w:shd w:val="clear" w:color="auto" w:fill="auto"/>
            <w:hideMark/>
          </w:tcPr>
          <w:p w14:paraId="19CC60A7"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Spécificité de la </w:t>
            </w:r>
            <w:r w:rsidR="005C7D89" w:rsidRPr="00D636C4">
              <w:rPr>
                <w:rFonts w:ascii="Calibri" w:eastAsia="Times New Roman" w:hAnsi="Calibri" w:cs="Calibri"/>
                <w:color w:val="000000"/>
                <w:sz w:val="20"/>
                <w:szCs w:val="20"/>
              </w:rPr>
              <w:t>conditionnalité</w:t>
            </w:r>
            <w:r w:rsidRPr="00D636C4">
              <w:rPr>
                <w:rFonts w:ascii="Calibri" w:eastAsia="Times New Roman" w:hAnsi="Calibri" w:cs="Calibri"/>
                <w:color w:val="000000"/>
                <w:sz w:val="20"/>
                <w:szCs w:val="20"/>
              </w:rPr>
              <w:t xml:space="preserve"> d'accès </w:t>
            </w:r>
            <w:r w:rsidR="005C7D89" w:rsidRPr="00D636C4">
              <w:rPr>
                <w:rFonts w:ascii="Calibri" w:eastAsia="Times New Roman" w:hAnsi="Calibri" w:cs="Calibri"/>
                <w:color w:val="000000"/>
                <w:sz w:val="20"/>
                <w:szCs w:val="20"/>
              </w:rPr>
              <w:t>aux</w:t>
            </w:r>
            <w:r w:rsidRPr="00D636C4">
              <w:rPr>
                <w:rFonts w:ascii="Calibri" w:eastAsia="Times New Roman" w:hAnsi="Calibri" w:cs="Calibri"/>
                <w:color w:val="000000"/>
                <w:sz w:val="20"/>
                <w:szCs w:val="20"/>
              </w:rPr>
              <w:t xml:space="preserve"> services </w:t>
            </w:r>
            <w:r w:rsidR="0073712E" w:rsidRPr="00D636C4">
              <w:rPr>
                <w:rFonts w:ascii="Calibri" w:eastAsia="Times New Roman" w:hAnsi="Calibri" w:cs="Calibri"/>
                <w:color w:val="000000"/>
                <w:sz w:val="20"/>
                <w:szCs w:val="20"/>
              </w:rPr>
              <w:t>publi</w:t>
            </w:r>
            <w:r w:rsidR="0073712E">
              <w:rPr>
                <w:rFonts w:ascii="Calibri" w:eastAsia="Times New Roman" w:hAnsi="Calibri" w:cs="Calibri"/>
                <w:color w:val="000000"/>
                <w:sz w:val="20"/>
                <w:szCs w:val="20"/>
              </w:rPr>
              <w:t>c</w:t>
            </w:r>
            <w:r w:rsidR="0073712E" w:rsidRPr="00D636C4">
              <w:rPr>
                <w:rFonts w:ascii="Calibri" w:eastAsia="Times New Roman" w:hAnsi="Calibri" w:cs="Calibri"/>
                <w:color w:val="000000"/>
                <w:sz w:val="20"/>
                <w:szCs w:val="20"/>
              </w:rPr>
              <w:t xml:space="preserve">s </w:t>
            </w:r>
            <w:r w:rsidRPr="00D636C4">
              <w:rPr>
                <w:rFonts w:ascii="Calibri" w:eastAsia="Times New Roman" w:hAnsi="Calibri" w:cs="Calibri"/>
                <w:color w:val="000000"/>
                <w:sz w:val="20"/>
                <w:szCs w:val="20"/>
              </w:rPr>
              <w:t>développée, texte législatif adopté.</w:t>
            </w:r>
          </w:p>
        </w:tc>
        <w:tc>
          <w:tcPr>
            <w:tcW w:w="2408" w:type="dxa"/>
            <w:shd w:val="clear" w:color="auto" w:fill="auto"/>
            <w:hideMark/>
          </w:tcPr>
          <w:p w14:paraId="50A49FD6"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Faible engagement de l’état, </w:t>
            </w:r>
            <w:r w:rsidR="00B623D4">
              <w:rPr>
                <w:rFonts w:ascii="Calibri" w:eastAsia="Times New Roman" w:hAnsi="Calibri" w:cs="Calibri"/>
                <w:color w:val="000000"/>
                <w:sz w:val="20"/>
                <w:szCs w:val="20"/>
              </w:rPr>
              <w:t xml:space="preserve">manque de ressources affectées au secteur et à la CNASS spécifiquement, </w:t>
            </w:r>
            <w:r w:rsidR="005C7D89" w:rsidRPr="00D636C4">
              <w:rPr>
                <w:rFonts w:ascii="Calibri" w:eastAsia="Times New Roman" w:hAnsi="Calibri" w:cs="Calibri"/>
                <w:color w:val="000000"/>
                <w:sz w:val="20"/>
                <w:szCs w:val="20"/>
              </w:rPr>
              <w:t>résistance</w:t>
            </w:r>
            <w:r w:rsidRPr="00D636C4">
              <w:rPr>
                <w:rFonts w:ascii="Calibri" w:eastAsia="Times New Roman" w:hAnsi="Calibri" w:cs="Calibri"/>
                <w:color w:val="000000"/>
                <w:sz w:val="20"/>
                <w:szCs w:val="20"/>
              </w:rPr>
              <w:t xml:space="preserve"> aux changements des entreprises du </w:t>
            </w:r>
            <w:r w:rsidR="0073712E" w:rsidRPr="00D636C4">
              <w:rPr>
                <w:rFonts w:ascii="Calibri" w:eastAsia="Times New Roman" w:hAnsi="Calibri" w:cs="Calibri"/>
                <w:color w:val="000000"/>
                <w:sz w:val="20"/>
                <w:szCs w:val="20"/>
              </w:rPr>
              <w:t>priv</w:t>
            </w:r>
            <w:r w:rsidR="0073712E">
              <w:rPr>
                <w:rFonts w:ascii="Calibri" w:eastAsia="Times New Roman" w:hAnsi="Calibri" w:cs="Calibri"/>
                <w:color w:val="000000"/>
                <w:sz w:val="20"/>
                <w:szCs w:val="20"/>
              </w:rPr>
              <w:t>é</w:t>
            </w:r>
            <w:r w:rsidR="0073712E"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et des assurances privées, difficultés d'application de ces conditions, mécontentement populaire.</w:t>
            </w:r>
          </w:p>
        </w:tc>
        <w:tc>
          <w:tcPr>
            <w:tcW w:w="360" w:type="dxa"/>
            <w:shd w:val="clear" w:color="auto" w:fill="auto"/>
          </w:tcPr>
          <w:p w14:paraId="5694C549"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D9D9D9" w:fill="D9D9D9"/>
            <w:noWrap/>
          </w:tcPr>
          <w:p w14:paraId="2461549E" w14:textId="77777777" w:rsidR="00C17FDB" w:rsidRPr="00D636C4" w:rsidRDefault="00C17FDB" w:rsidP="005C7D89">
            <w:pPr>
              <w:spacing w:line="240" w:lineRule="auto"/>
              <w:jc w:val="right"/>
              <w:rPr>
                <w:rFonts w:ascii="Calibri" w:eastAsia="Times New Roman" w:hAnsi="Calibri" w:cs="Calibri"/>
                <w:b/>
                <w:bCs/>
                <w:color w:val="000000"/>
                <w:sz w:val="20"/>
                <w:szCs w:val="20"/>
              </w:rPr>
            </w:pPr>
          </w:p>
        </w:tc>
        <w:tc>
          <w:tcPr>
            <w:tcW w:w="360" w:type="dxa"/>
            <w:shd w:val="clear" w:color="auto" w:fill="F2F2F2" w:themeFill="background1" w:themeFillShade="F2"/>
            <w:noWrap/>
          </w:tcPr>
          <w:p w14:paraId="44F7F5BC"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F2F2F2" w:themeFill="background1" w:themeFillShade="F2"/>
            <w:noWrap/>
          </w:tcPr>
          <w:p w14:paraId="779AF9F2"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F2F2F2" w:themeFill="background1" w:themeFillShade="F2"/>
            <w:noWrap/>
          </w:tcPr>
          <w:p w14:paraId="0F73B227"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648631BF"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0B2F5357"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19CFA1D"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455A3FF4" w14:textId="77777777" w:rsidTr="0013005D">
        <w:trPr>
          <w:trHeight w:val="1997"/>
        </w:trPr>
        <w:tc>
          <w:tcPr>
            <w:tcW w:w="4499" w:type="dxa"/>
            <w:shd w:val="clear" w:color="auto" w:fill="auto"/>
            <w:hideMark/>
          </w:tcPr>
          <w:p w14:paraId="57EFBE37" w14:textId="77777777" w:rsidR="00C17FDB" w:rsidRPr="00D636C4" w:rsidRDefault="0013005D"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D</w:t>
            </w:r>
            <w:r w:rsidR="00C17FDB" w:rsidRPr="00D636C4">
              <w:rPr>
                <w:rFonts w:ascii="Calibri" w:eastAsia="Times New Roman" w:hAnsi="Calibri" w:cs="Calibri"/>
                <w:color w:val="000000"/>
                <w:sz w:val="20"/>
                <w:szCs w:val="20"/>
              </w:rPr>
              <w:t>éfinir les groupes de personnes à intégrer dans chaque caisse</w:t>
            </w:r>
            <w:r w:rsidR="00F11DE7" w:rsidRPr="00D636C4">
              <w:rPr>
                <w:rFonts w:ascii="Calibri" w:eastAsia="Times New Roman" w:hAnsi="Calibri" w:cs="Calibri"/>
                <w:color w:val="000000"/>
                <w:sz w:val="20"/>
                <w:szCs w:val="20"/>
              </w:rPr>
              <w:t xml:space="preserve"> et créer un dialogue (CNAM CNASS </w:t>
            </w:r>
            <w:proofErr w:type="spellStart"/>
            <w:r w:rsidR="00F11DE7" w:rsidRPr="00D636C4">
              <w:rPr>
                <w:rFonts w:ascii="Calibri" w:eastAsia="Times New Roman" w:hAnsi="Calibri" w:cs="Calibri"/>
                <w:color w:val="000000"/>
                <w:sz w:val="20"/>
                <w:szCs w:val="20"/>
              </w:rPr>
              <w:t>MdS</w:t>
            </w:r>
            <w:proofErr w:type="spellEnd"/>
            <w:r w:rsidR="00F11DE7" w:rsidRPr="00D636C4">
              <w:rPr>
                <w:rFonts w:ascii="Calibri" w:eastAsia="Times New Roman" w:hAnsi="Calibri" w:cs="Calibri"/>
                <w:color w:val="000000"/>
                <w:sz w:val="20"/>
                <w:szCs w:val="20"/>
              </w:rPr>
              <w:t xml:space="preserve"> PTFs) pour cela</w:t>
            </w:r>
            <w:r w:rsidR="00C17FDB" w:rsidRPr="00D636C4">
              <w:rPr>
                <w:rFonts w:ascii="Calibri" w:eastAsia="Times New Roman" w:hAnsi="Calibri" w:cs="Calibri"/>
                <w:color w:val="000000"/>
                <w:sz w:val="20"/>
                <w:szCs w:val="20"/>
              </w:rPr>
              <w:t>.</w:t>
            </w:r>
            <w:r w:rsidR="005C7D89" w:rsidRPr="00D636C4">
              <w:rPr>
                <w:rFonts w:ascii="Calibri" w:eastAsia="Times New Roman" w:hAnsi="Calibri" w:cs="Calibri"/>
                <w:color w:val="000000"/>
                <w:sz w:val="20"/>
                <w:szCs w:val="20"/>
              </w:rPr>
              <w:t xml:space="preserve"> </w:t>
            </w:r>
            <w:r w:rsidR="00C17FDB" w:rsidRPr="00D636C4">
              <w:rPr>
                <w:rFonts w:ascii="Calibri" w:eastAsia="Times New Roman" w:hAnsi="Calibri" w:cs="Calibri"/>
                <w:color w:val="000000"/>
                <w:sz w:val="20"/>
                <w:szCs w:val="20"/>
              </w:rPr>
              <w:t>Définir le périmètre de couverture entre la CNASS et la CNAM en tenant compte de la stratification des revenus, du statut juridique des entreprises et des catégories socio-professionnelles (formelles et informelles).</w:t>
            </w:r>
          </w:p>
        </w:tc>
        <w:tc>
          <w:tcPr>
            <w:tcW w:w="1350" w:type="dxa"/>
            <w:shd w:val="clear" w:color="auto" w:fill="auto"/>
            <w:hideMark/>
          </w:tcPr>
          <w:p w14:paraId="236133B3" w14:textId="77777777" w:rsidR="00C17FDB" w:rsidRPr="005D6C85" w:rsidRDefault="005D6C85" w:rsidP="005C7D89">
            <w:pPr>
              <w:spacing w:line="240" w:lineRule="auto"/>
              <w:rPr>
                <w:rFonts w:ascii="Calibri" w:eastAsia="Times New Roman" w:hAnsi="Calibri" w:cs="Calibri"/>
                <w:sz w:val="20"/>
                <w:szCs w:val="20"/>
              </w:rPr>
            </w:pPr>
            <w:r>
              <w:rPr>
                <w:rFonts w:ascii="Calibri" w:eastAsia="Times New Roman" w:hAnsi="Calibri" w:cs="Calibri"/>
                <w:sz w:val="20"/>
                <w:szCs w:val="20"/>
              </w:rPr>
              <w:t>MDS</w:t>
            </w:r>
          </w:p>
        </w:tc>
        <w:tc>
          <w:tcPr>
            <w:tcW w:w="2611" w:type="dxa"/>
            <w:shd w:val="clear" w:color="auto" w:fill="auto"/>
            <w:hideMark/>
          </w:tcPr>
          <w:p w14:paraId="63092D32" w14:textId="77777777" w:rsidR="00C17FDB"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Critères d'inclusion - exclusion clairement définis et </w:t>
            </w:r>
            <w:r w:rsidR="005C7D89" w:rsidRPr="00D636C4">
              <w:rPr>
                <w:rFonts w:ascii="Calibri" w:eastAsia="Times New Roman" w:hAnsi="Calibri" w:cs="Calibri"/>
                <w:color w:val="000000"/>
                <w:sz w:val="20"/>
                <w:szCs w:val="20"/>
              </w:rPr>
              <w:t>applicables</w:t>
            </w:r>
            <w:r w:rsidRPr="00D636C4">
              <w:rPr>
                <w:rFonts w:ascii="Calibri" w:eastAsia="Times New Roman" w:hAnsi="Calibri" w:cs="Calibri"/>
                <w:color w:val="000000"/>
                <w:sz w:val="20"/>
                <w:szCs w:val="20"/>
              </w:rPr>
              <w:t xml:space="preserve"> en fonction des </w:t>
            </w:r>
            <w:r w:rsidR="005C7D89" w:rsidRPr="00D636C4">
              <w:rPr>
                <w:rFonts w:ascii="Calibri" w:eastAsia="Times New Roman" w:hAnsi="Calibri" w:cs="Calibri"/>
                <w:color w:val="000000"/>
                <w:sz w:val="20"/>
                <w:szCs w:val="20"/>
              </w:rPr>
              <w:t>informations</w:t>
            </w:r>
            <w:r w:rsidRPr="00D636C4">
              <w:rPr>
                <w:rFonts w:ascii="Calibri" w:eastAsia="Times New Roman" w:hAnsi="Calibri" w:cs="Calibri"/>
                <w:color w:val="000000"/>
                <w:sz w:val="20"/>
                <w:szCs w:val="20"/>
              </w:rPr>
              <w:t xml:space="preserve"> </w:t>
            </w:r>
            <w:r w:rsidR="005C7D89" w:rsidRPr="00D636C4">
              <w:rPr>
                <w:rFonts w:ascii="Calibri" w:eastAsia="Times New Roman" w:hAnsi="Calibri" w:cs="Calibri"/>
                <w:color w:val="000000"/>
                <w:sz w:val="20"/>
                <w:szCs w:val="20"/>
              </w:rPr>
              <w:t>disponible</w:t>
            </w:r>
            <w:r w:rsidR="001825C3">
              <w:rPr>
                <w:rFonts w:ascii="Calibri" w:eastAsia="Times New Roman" w:hAnsi="Calibri" w:cs="Calibri"/>
                <w:color w:val="000000"/>
                <w:sz w:val="20"/>
                <w:szCs w:val="20"/>
              </w:rPr>
              <w:t>s</w:t>
            </w:r>
            <w:r w:rsidRPr="00D636C4">
              <w:rPr>
                <w:rFonts w:ascii="Calibri" w:eastAsia="Times New Roman" w:hAnsi="Calibri" w:cs="Calibri"/>
                <w:color w:val="000000"/>
                <w:sz w:val="20"/>
                <w:szCs w:val="20"/>
              </w:rPr>
              <w:t xml:space="preserve"> dans le contexte.</w:t>
            </w:r>
          </w:p>
          <w:p w14:paraId="7217C8D4" w14:textId="77777777" w:rsidR="00E607A0" w:rsidRPr="00D636C4" w:rsidRDefault="00E607A0" w:rsidP="00E607A0">
            <w:pPr>
              <w:spacing w:line="240" w:lineRule="auto"/>
              <w:rPr>
                <w:rFonts w:ascii="Calibri" w:eastAsia="Times New Roman" w:hAnsi="Calibri" w:cs="Calibri"/>
                <w:color w:val="000000"/>
                <w:sz w:val="20"/>
                <w:szCs w:val="20"/>
              </w:rPr>
            </w:pPr>
            <w:r>
              <w:rPr>
                <w:rFonts w:ascii="Calibri" w:eastAsia="Calibri" w:hAnsi="Calibri" w:cs="Calibri"/>
              </w:rPr>
              <w:t>Stratification de la population par niveau de revenu</w:t>
            </w:r>
          </w:p>
        </w:tc>
        <w:tc>
          <w:tcPr>
            <w:tcW w:w="2408" w:type="dxa"/>
            <w:shd w:val="clear" w:color="auto" w:fill="auto"/>
            <w:hideMark/>
          </w:tcPr>
          <w:p w14:paraId="15805BEA" w14:textId="77777777" w:rsidR="00C17FDB"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Difficulté de définir le secteur informel, manque de données pour appliquer les critères ou lourdeur du processus administratif.</w:t>
            </w:r>
          </w:p>
          <w:p w14:paraId="7852CCE3" w14:textId="77777777" w:rsidR="00E607A0" w:rsidRDefault="00E607A0" w:rsidP="00E607A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Mauvais ciblage et mise à jour périodique du registre des indigents</w:t>
            </w:r>
          </w:p>
          <w:p w14:paraId="1B8B191A" w14:textId="77777777" w:rsidR="00E607A0" w:rsidRPr="00D636C4" w:rsidRDefault="00E607A0" w:rsidP="005C7D89">
            <w:pPr>
              <w:spacing w:line="240" w:lineRule="auto"/>
              <w:rPr>
                <w:rFonts w:ascii="Calibri" w:eastAsia="Times New Roman" w:hAnsi="Calibri" w:cs="Calibri"/>
                <w:color w:val="000000"/>
                <w:sz w:val="20"/>
                <w:szCs w:val="20"/>
              </w:rPr>
            </w:pPr>
          </w:p>
        </w:tc>
        <w:tc>
          <w:tcPr>
            <w:tcW w:w="360" w:type="dxa"/>
            <w:shd w:val="clear" w:color="auto" w:fill="auto"/>
          </w:tcPr>
          <w:p w14:paraId="424EBF01"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D9D9D9" w:fill="D9D9D9"/>
            <w:noWrap/>
          </w:tcPr>
          <w:p w14:paraId="62026AEB" w14:textId="77777777" w:rsidR="00C17FDB" w:rsidRPr="00D636C4" w:rsidRDefault="00C17FDB" w:rsidP="005C7D89">
            <w:pPr>
              <w:spacing w:line="240" w:lineRule="auto"/>
              <w:jc w:val="right"/>
              <w:rPr>
                <w:rFonts w:ascii="Calibri" w:eastAsia="Times New Roman" w:hAnsi="Calibri" w:cs="Calibri"/>
                <w:b/>
                <w:bCs/>
                <w:color w:val="000000"/>
                <w:sz w:val="20"/>
                <w:szCs w:val="20"/>
              </w:rPr>
            </w:pPr>
          </w:p>
        </w:tc>
        <w:tc>
          <w:tcPr>
            <w:tcW w:w="360" w:type="dxa"/>
            <w:shd w:val="clear" w:color="EFEFEF" w:fill="EFEFEF"/>
            <w:noWrap/>
          </w:tcPr>
          <w:p w14:paraId="11CCA63F"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tcPr>
          <w:p w14:paraId="73126F70"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tcPr>
          <w:p w14:paraId="254A1081"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2567DF3C"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1CEBC762"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1C4CB220"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68412CF0" w14:textId="77777777" w:rsidTr="005C7D89">
        <w:trPr>
          <w:trHeight w:val="320"/>
        </w:trPr>
        <w:tc>
          <w:tcPr>
            <w:tcW w:w="13748" w:type="dxa"/>
            <w:gridSpan w:val="12"/>
            <w:shd w:val="clear" w:color="F3F3F3" w:fill="F3F3F3"/>
            <w:hideMark/>
          </w:tcPr>
          <w:p w14:paraId="325454AD" w14:textId="77777777" w:rsidR="00C17FDB" w:rsidRPr="005D6C85" w:rsidRDefault="00C17FDB" w:rsidP="005C7D89">
            <w:pPr>
              <w:spacing w:line="240" w:lineRule="auto"/>
              <w:rPr>
                <w:rFonts w:ascii="Calibri" w:eastAsia="Times New Roman" w:hAnsi="Calibri" w:cs="Calibri"/>
                <w:b/>
                <w:bCs/>
                <w:sz w:val="20"/>
                <w:szCs w:val="20"/>
              </w:rPr>
            </w:pPr>
            <w:r w:rsidRPr="005D6C85">
              <w:rPr>
                <w:rFonts w:ascii="Calibri" w:eastAsia="Times New Roman" w:hAnsi="Calibri" w:cs="Calibri"/>
                <w:b/>
                <w:bCs/>
                <w:sz w:val="20"/>
                <w:szCs w:val="20"/>
              </w:rPr>
              <w:t xml:space="preserve">2.3. Mettre en commun et </w:t>
            </w:r>
            <w:r w:rsidR="005C7D89" w:rsidRPr="005D6C85">
              <w:rPr>
                <w:rFonts w:ascii="Calibri" w:eastAsia="Times New Roman" w:hAnsi="Calibri" w:cs="Calibri"/>
                <w:b/>
                <w:bCs/>
                <w:sz w:val="20"/>
                <w:szCs w:val="20"/>
              </w:rPr>
              <w:t>harmoniser</w:t>
            </w:r>
            <w:r w:rsidRPr="005D6C85">
              <w:rPr>
                <w:rFonts w:ascii="Calibri" w:eastAsia="Times New Roman" w:hAnsi="Calibri" w:cs="Calibri"/>
                <w:b/>
                <w:bCs/>
                <w:sz w:val="20"/>
                <w:szCs w:val="20"/>
              </w:rPr>
              <w:t xml:space="preserve"> les pools de ressources</w:t>
            </w:r>
          </w:p>
        </w:tc>
      </w:tr>
      <w:tr w:rsidR="005C7D89" w:rsidRPr="00D636C4" w14:paraId="2B42F315" w14:textId="77777777" w:rsidTr="00736E3E">
        <w:trPr>
          <w:trHeight w:val="3023"/>
        </w:trPr>
        <w:tc>
          <w:tcPr>
            <w:tcW w:w="4499" w:type="dxa"/>
            <w:shd w:val="clear" w:color="auto" w:fill="auto"/>
            <w:hideMark/>
          </w:tcPr>
          <w:p w14:paraId="2765E6F4"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lastRenderedPageBreak/>
              <w:t>Établir une feuille de route pour la mise en commun progressive des caisses (CN</w:t>
            </w:r>
            <w:r w:rsidR="0013005D" w:rsidRPr="00D636C4">
              <w:rPr>
                <w:rFonts w:ascii="Calibri" w:eastAsia="Times New Roman" w:hAnsi="Calibri" w:cs="Calibri"/>
                <w:color w:val="000000"/>
                <w:sz w:val="20"/>
                <w:szCs w:val="20"/>
              </w:rPr>
              <w:t>A</w:t>
            </w:r>
            <w:r w:rsidRPr="00D636C4">
              <w:rPr>
                <w:rFonts w:ascii="Calibri" w:eastAsia="Times New Roman" w:hAnsi="Calibri" w:cs="Calibri"/>
                <w:color w:val="000000"/>
                <w:sz w:val="20"/>
                <w:szCs w:val="20"/>
              </w:rPr>
              <w:t>SS et CNAM) avec le budget de l’état.</w:t>
            </w:r>
          </w:p>
        </w:tc>
        <w:tc>
          <w:tcPr>
            <w:tcW w:w="1350" w:type="dxa"/>
            <w:shd w:val="clear" w:color="auto" w:fill="auto"/>
            <w:hideMark/>
          </w:tcPr>
          <w:p w14:paraId="0B59EA79" w14:textId="77777777" w:rsidR="00C17FDB" w:rsidRPr="005D6C85" w:rsidRDefault="005D6C85" w:rsidP="005C7D89">
            <w:pPr>
              <w:spacing w:line="240" w:lineRule="auto"/>
              <w:rPr>
                <w:rFonts w:ascii="Calibri" w:eastAsia="Times New Roman" w:hAnsi="Calibri" w:cs="Calibri"/>
                <w:sz w:val="20"/>
                <w:szCs w:val="20"/>
              </w:rPr>
            </w:pPr>
            <w:r>
              <w:rPr>
                <w:rFonts w:ascii="Calibri" w:eastAsia="Times New Roman" w:hAnsi="Calibri" w:cs="Calibri"/>
                <w:sz w:val="20"/>
                <w:szCs w:val="20"/>
              </w:rPr>
              <w:t>MDS</w:t>
            </w:r>
            <w:r w:rsidR="00111DD9">
              <w:rPr>
                <w:rFonts w:ascii="Calibri" w:eastAsia="Times New Roman" w:hAnsi="Calibri" w:cs="Calibri"/>
                <w:sz w:val="20"/>
                <w:szCs w:val="20"/>
              </w:rPr>
              <w:t>, CNAM, CNASS</w:t>
            </w:r>
          </w:p>
        </w:tc>
        <w:tc>
          <w:tcPr>
            <w:tcW w:w="2611" w:type="dxa"/>
            <w:shd w:val="clear" w:color="FFFFFF" w:fill="FFFFFF"/>
            <w:hideMark/>
          </w:tcPr>
          <w:p w14:paraId="1384D08B" w14:textId="77777777" w:rsidR="00C17FDB"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Options de modalités de mise en commun évaluées, feuille de route consensuelle développée (agence ou groupe responsable pour guider ce processus existant et capacité).</w:t>
            </w:r>
          </w:p>
          <w:p w14:paraId="69411AE4" w14:textId="77777777" w:rsidR="00E607A0" w:rsidRDefault="00E607A0" w:rsidP="00E607A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Existence d’un registre de population stratifiée par niveau de revenu</w:t>
            </w:r>
          </w:p>
          <w:p w14:paraId="01B19817" w14:textId="77777777" w:rsidR="00E607A0" w:rsidRDefault="00E607A0" w:rsidP="00E607A0">
            <w:pPr>
              <w:spacing w:line="240" w:lineRule="auto"/>
              <w:rPr>
                <w:rFonts w:ascii="Calibri" w:eastAsia="Times New Roman" w:hAnsi="Calibri" w:cs="Calibri"/>
                <w:color w:val="000000"/>
                <w:sz w:val="20"/>
                <w:szCs w:val="20"/>
              </w:rPr>
            </w:pPr>
            <w:r>
              <w:rPr>
                <w:rFonts w:ascii="Calibri" w:eastAsia="Calibri" w:hAnsi="Calibri" w:cs="Calibri"/>
              </w:rPr>
              <w:t>Le secteur formel intègre la CNASS</w:t>
            </w:r>
          </w:p>
          <w:p w14:paraId="1524561E" w14:textId="77777777" w:rsidR="00E607A0" w:rsidRPr="00D636C4" w:rsidRDefault="00E607A0" w:rsidP="005C7D89">
            <w:pPr>
              <w:spacing w:line="240" w:lineRule="auto"/>
              <w:rPr>
                <w:rFonts w:ascii="Calibri" w:eastAsia="Times New Roman" w:hAnsi="Calibri" w:cs="Calibri"/>
                <w:color w:val="000000"/>
                <w:sz w:val="20"/>
                <w:szCs w:val="20"/>
              </w:rPr>
            </w:pPr>
          </w:p>
        </w:tc>
        <w:tc>
          <w:tcPr>
            <w:tcW w:w="2408" w:type="dxa"/>
            <w:shd w:val="clear" w:color="auto" w:fill="auto"/>
            <w:hideMark/>
          </w:tcPr>
          <w:p w14:paraId="2E087360" w14:textId="77777777" w:rsidR="00C17FDB"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Faible engagement de l’état, </w:t>
            </w:r>
            <w:r w:rsidR="005C7D89" w:rsidRPr="00D636C4">
              <w:rPr>
                <w:rFonts w:ascii="Calibri" w:eastAsia="Times New Roman" w:hAnsi="Calibri" w:cs="Calibri"/>
                <w:color w:val="000000"/>
                <w:sz w:val="20"/>
                <w:szCs w:val="20"/>
              </w:rPr>
              <w:t>résistance</w:t>
            </w:r>
            <w:r w:rsidRPr="00D636C4">
              <w:rPr>
                <w:rFonts w:ascii="Calibri" w:eastAsia="Times New Roman" w:hAnsi="Calibri" w:cs="Calibri"/>
                <w:color w:val="000000"/>
                <w:sz w:val="20"/>
                <w:szCs w:val="20"/>
              </w:rPr>
              <w:t xml:space="preserve"> aux changements de la CNAM ou CNASS.</w:t>
            </w:r>
          </w:p>
          <w:p w14:paraId="153EF661" w14:textId="77777777" w:rsidR="00E607A0" w:rsidRDefault="00E607A0" w:rsidP="00E607A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Mauvais ciblage</w:t>
            </w:r>
          </w:p>
          <w:p w14:paraId="2B7EAC2D" w14:textId="77777777" w:rsidR="00E607A0" w:rsidRPr="00D636C4" w:rsidRDefault="00E607A0" w:rsidP="00E607A0">
            <w:pPr>
              <w:spacing w:line="240" w:lineRule="auto"/>
              <w:rPr>
                <w:rFonts w:ascii="Calibri" w:eastAsia="Times New Roman" w:hAnsi="Calibri" w:cs="Calibri"/>
                <w:color w:val="000000"/>
                <w:sz w:val="20"/>
                <w:szCs w:val="20"/>
              </w:rPr>
            </w:pPr>
            <w:r>
              <w:rPr>
                <w:rFonts w:ascii="Calibri" w:eastAsia="Calibri" w:hAnsi="Calibri" w:cs="Calibri"/>
              </w:rPr>
              <w:t>Mise à jour périodique du registre</w:t>
            </w:r>
          </w:p>
        </w:tc>
        <w:tc>
          <w:tcPr>
            <w:tcW w:w="360" w:type="dxa"/>
            <w:shd w:val="clear" w:color="auto" w:fill="auto"/>
            <w:hideMark/>
          </w:tcPr>
          <w:p w14:paraId="359FF205"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D9D9D9" w:fill="D9D9D9"/>
            <w:noWrap/>
          </w:tcPr>
          <w:p w14:paraId="54148215" w14:textId="77777777" w:rsidR="00C17FDB" w:rsidRPr="00D636C4" w:rsidRDefault="00C17FDB" w:rsidP="005C7D89">
            <w:pPr>
              <w:spacing w:line="240" w:lineRule="auto"/>
              <w:jc w:val="right"/>
              <w:rPr>
                <w:rFonts w:ascii="Calibri" w:eastAsia="Times New Roman" w:hAnsi="Calibri" w:cs="Calibri"/>
                <w:b/>
                <w:bCs/>
                <w:color w:val="000000"/>
                <w:sz w:val="20"/>
                <w:szCs w:val="20"/>
              </w:rPr>
            </w:pPr>
          </w:p>
        </w:tc>
        <w:tc>
          <w:tcPr>
            <w:tcW w:w="360" w:type="dxa"/>
            <w:shd w:val="clear" w:color="EFEFEF" w:fill="EFEFEF"/>
            <w:noWrap/>
          </w:tcPr>
          <w:p w14:paraId="31CF386C"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75B44413"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1FA479A0"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03DAB82F"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78D89A5E"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28A70A4D"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67DE53FF" w14:textId="77777777" w:rsidTr="00EC5FBE">
        <w:trPr>
          <w:trHeight w:val="1700"/>
        </w:trPr>
        <w:tc>
          <w:tcPr>
            <w:tcW w:w="4499" w:type="dxa"/>
            <w:shd w:val="clear" w:color="FFFFFF" w:fill="FFFFFF"/>
            <w:hideMark/>
          </w:tcPr>
          <w:p w14:paraId="42742E91" w14:textId="77777777" w:rsidR="00C17FDB" w:rsidRPr="00D636C4" w:rsidRDefault="00C17FDB" w:rsidP="005C7D89">
            <w:pPr>
              <w:spacing w:line="240" w:lineRule="auto"/>
              <w:rPr>
                <w:rFonts w:ascii="Calibri" w:eastAsia="Times New Roman" w:hAnsi="Calibri" w:cs="Calibri"/>
                <w:color w:val="1F1F1F"/>
                <w:sz w:val="20"/>
                <w:szCs w:val="20"/>
              </w:rPr>
            </w:pPr>
            <w:r w:rsidRPr="00D636C4">
              <w:rPr>
                <w:rFonts w:ascii="Calibri" w:eastAsia="Times New Roman" w:hAnsi="Calibri" w:cs="Calibri"/>
                <w:color w:val="1F1F1F"/>
                <w:sz w:val="20"/>
                <w:szCs w:val="20"/>
              </w:rPr>
              <w:t>Créer une autorité de régulation pour le secteur assuranciel.</w:t>
            </w:r>
          </w:p>
        </w:tc>
        <w:tc>
          <w:tcPr>
            <w:tcW w:w="1350" w:type="dxa"/>
            <w:shd w:val="clear" w:color="auto" w:fill="auto"/>
            <w:hideMark/>
          </w:tcPr>
          <w:p w14:paraId="7E2B4484" w14:textId="77777777" w:rsidR="00C17FDB" w:rsidRPr="005D6C85" w:rsidRDefault="00736E3E" w:rsidP="005C7D89">
            <w:pPr>
              <w:spacing w:line="240" w:lineRule="auto"/>
              <w:rPr>
                <w:rFonts w:ascii="Calibri" w:eastAsia="Times New Roman" w:hAnsi="Calibri" w:cs="Calibri"/>
                <w:sz w:val="20"/>
                <w:szCs w:val="20"/>
              </w:rPr>
            </w:pPr>
            <w:r>
              <w:rPr>
                <w:rFonts w:ascii="Calibri" w:eastAsia="Times New Roman" w:hAnsi="Calibri" w:cs="Calibri"/>
                <w:sz w:val="20"/>
                <w:szCs w:val="20"/>
              </w:rPr>
              <w:t>CNAM, CNASS, MDS</w:t>
            </w:r>
          </w:p>
        </w:tc>
        <w:tc>
          <w:tcPr>
            <w:tcW w:w="2611" w:type="dxa"/>
            <w:shd w:val="clear" w:color="auto" w:fill="auto"/>
            <w:hideMark/>
          </w:tcPr>
          <w:p w14:paraId="5CF085F8"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Textes pour la création et SOP de l'agence adoptés, personnel spécialisé recruté, autorités </w:t>
            </w:r>
            <w:r w:rsidR="00EC5FBE" w:rsidRPr="00D636C4">
              <w:rPr>
                <w:rFonts w:ascii="Calibri" w:eastAsia="Times New Roman" w:hAnsi="Calibri" w:cs="Calibri"/>
                <w:color w:val="000000"/>
                <w:sz w:val="20"/>
                <w:szCs w:val="20"/>
              </w:rPr>
              <w:t>suffisamment</w:t>
            </w:r>
            <w:r w:rsidRPr="00D636C4">
              <w:rPr>
                <w:rFonts w:ascii="Calibri" w:eastAsia="Times New Roman" w:hAnsi="Calibri" w:cs="Calibri"/>
                <w:color w:val="000000"/>
                <w:sz w:val="20"/>
                <w:szCs w:val="20"/>
              </w:rPr>
              <w:t xml:space="preserve"> ressourcée</w:t>
            </w:r>
            <w:r w:rsidR="001825C3">
              <w:rPr>
                <w:rFonts w:ascii="Calibri" w:eastAsia="Times New Roman" w:hAnsi="Calibri" w:cs="Calibri"/>
                <w:color w:val="000000"/>
                <w:sz w:val="20"/>
                <w:szCs w:val="20"/>
              </w:rPr>
              <w:t>s</w:t>
            </w:r>
            <w:r w:rsidRPr="00D636C4">
              <w:rPr>
                <w:rFonts w:ascii="Calibri" w:eastAsia="Times New Roman" w:hAnsi="Calibri" w:cs="Calibri"/>
                <w:color w:val="000000"/>
                <w:sz w:val="20"/>
                <w:szCs w:val="20"/>
              </w:rPr>
              <w:t xml:space="preserve"> pour fonctionner.</w:t>
            </w:r>
          </w:p>
        </w:tc>
        <w:tc>
          <w:tcPr>
            <w:tcW w:w="2408" w:type="dxa"/>
            <w:shd w:val="clear" w:color="auto" w:fill="auto"/>
            <w:hideMark/>
          </w:tcPr>
          <w:p w14:paraId="12506B6A"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Sous financement de l'autorité, manque de capacités techniques nécessaires, résistances des caisses à l'application des règles. </w:t>
            </w:r>
          </w:p>
        </w:tc>
        <w:tc>
          <w:tcPr>
            <w:tcW w:w="360" w:type="dxa"/>
            <w:shd w:val="clear" w:color="auto" w:fill="auto"/>
            <w:hideMark/>
          </w:tcPr>
          <w:p w14:paraId="32357FB3"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D9D9D9" w:fill="D9D9D9"/>
            <w:noWrap/>
          </w:tcPr>
          <w:p w14:paraId="4970C6BA" w14:textId="77777777" w:rsidR="00C17FDB" w:rsidRPr="00D636C4" w:rsidRDefault="00C17FDB" w:rsidP="005C7D89">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0684991A"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27F23185"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11628234"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0B29B1ED"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599B8AF1"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F2E2215"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2182145E" w14:textId="77777777" w:rsidTr="00EC5FBE">
        <w:trPr>
          <w:trHeight w:val="1360"/>
        </w:trPr>
        <w:tc>
          <w:tcPr>
            <w:tcW w:w="4499" w:type="dxa"/>
            <w:shd w:val="clear" w:color="auto" w:fill="auto"/>
            <w:hideMark/>
          </w:tcPr>
          <w:p w14:paraId="57494BB5"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Réflexion sur l’intégration des initiatives d’exemptions et de gratuité des soins au sein des caisses et / ou dans le budget de l’état.</w:t>
            </w:r>
          </w:p>
        </w:tc>
        <w:tc>
          <w:tcPr>
            <w:tcW w:w="1350" w:type="dxa"/>
            <w:shd w:val="clear" w:color="auto" w:fill="auto"/>
            <w:hideMark/>
          </w:tcPr>
          <w:p w14:paraId="31EA3213" w14:textId="77777777" w:rsidR="00736E3E" w:rsidRPr="005D6C85" w:rsidRDefault="00736E3E" w:rsidP="00736E3E">
            <w:pPr>
              <w:spacing w:line="240" w:lineRule="auto"/>
              <w:rPr>
                <w:rFonts w:ascii="Calibri" w:eastAsia="Times New Roman" w:hAnsi="Calibri" w:cs="Calibri"/>
                <w:sz w:val="20"/>
                <w:szCs w:val="20"/>
              </w:rPr>
            </w:pPr>
            <w:r>
              <w:rPr>
                <w:rFonts w:ascii="Calibri" w:eastAsia="Times New Roman" w:hAnsi="Calibri" w:cs="Calibri"/>
                <w:sz w:val="20"/>
                <w:szCs w:val="20"/>
              </w:rPr>
              <w:t>MASEF,CNASS, CNAM, MDS</w:t>
            </w:r>
          </w:p>
        </w:tc>
        <w:tc>
          <w:tcPr>
            <w:tcW w:w="2611" w:type="dxa"/>
            <w:shd w:val="clear" w:color="auto" w:fill="auto"/>
            <w:hideMark/>
          </w:tcPr>
          <w:p w14:paraId="008FDC25" w14:textId="77777777" w:rsidR="00C17FDB"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Analyses préliminaires faites, feuille de route développée avec des options séquencées.</w:t>
            </w:r>
          </w:p>
          <w:p w14:paraId="29FD37BB" w14:textId="77777777" w:rsidR="00E607A0" w:rsidRDefault="00E607A0" w:rsidP="00E607A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Les groupes vulnérables bénéficient des cartes d’affiliation CNASS</w:t>
            </w:r>
          </w:p>
          <w:p w14:paraId="724FD4ED" w14:textId="77777777" w:rsidR="00E607A0" w:rsidRPr="00D636C4" w:rsidRDefault="00E607A0" w:rsidP="005C7D89">
            <w:pPr>
              <w:spacing w:line="240" w:lineRule="auto"/>
              <w:rPr>
                <w:rFonts w:ascii="Calibri" w:eastAsia="Times New Roman" w:hAnsi="Calibri" w:cs="Calibri"/>
                <w:color w:val="000000"/>
                <w:sz w:val="20"/>
                <w:szCs w:val="20"/>
              </w:rPr>
            </w:pPr>
          </w:p>
        </w:tc>
        <w:tc>
          <w:tcPr>
            <w:tcW w:w="2408" w:type="dxa"/>
            <w:shd w:val="clear" w:color="auto" w:fill="auto"/>
            <w:hideMark/>
          </w:tcPr>
          <w:p w14:paraId="7BA88530"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Faible engagement de l’état, </w:t>
            </w:r>
            <w:r w:rsidR="00EC5FBE" w:rsidRPr="00D636C4">
              <w:rPr>
                <w:rFonts w:ascii="Calibri" w:eastAsia="Times New Roman" w:hAnsi="Calibri" w:cs="Calibri"/>
                <w:color w:val="000000"/>
                <w:sz w:val="20"/>
                <w:szCs w:val="20"/>
              </w:rPr>
              <w:t>résistance</w:t>
            </w:r>
            <w:r w:rsidRPr="00D636C4">
              <w:rPr>
                <w:rFonts w:ascii="Calibri" w:eastAsia="Times New Roman" w:hAnsi="Calibri" w:cs="Calibri"/>
                <w:color w:val="000000"/>
                <w:sz w:val="20"/>
                <w:szCs w:val="20"/>
              </w:rPr>
              <w:t xml:space="preserve"> aux changements des directeurs de programmes ou PTF qui fi</w:t>
            </w:r>
            <w:r w:rsidR="001825C3">
              <w:rPr>
                <w:rFonts w:ascii="Calibri" w:eastAsia="Times New Roman" w:hAnsi="Calibri" w:cs="Calibri"/>
                <w:color w:val="000000"/>
                <w:sz w:val="20"/>
                <w:szCs w:val="20"/>
              </w:rPr>
              <w:t>n</w:t>
            </w:r>
            <w:r w:rsidRPr="00D636C4">
              <w:rPr>
                <w:rFonts w:ascii="Calibri" w:eastAsia="Times New Roman" w:hAnsi="Calibri" w:cs="Calibri"/>
                <w:color w:val="000000"/>
                <w:sz w:val="20"/>
                <w:szCs w:val="20"/>
              </w:rPr>
              <w:t>ancent.</w:t>
            </w:r>
          </w:p>
        </w:tc>
        <w:tc>
          <w:tcPr>
            <w:tcW w:w="360" w:type="dxa"/>
            <w:shd w:val="clear" w:color="auto" w:fill="auto"/>
          </w:tcPr>
          <w:p w14:paraId="0B0A790D"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D9D9D9" w:fill="D9D9D9"/>
            <w:noWrap/>
          </w:tcPr>
          <w:p w14:paraId="2BD2AFE1" w14:textId="77777777" w:rsidR="00C17FDB" w:rsidRPr="00D636C4" w:rsidRDefault="00C17FDB" w:rsidP="005C7D89">
            <w:pPr>
              <w:spacing w:line="240" w:lineRule="auto"/>
              <w:jc w:val="right"/>
              <w:rPr>
                <w:rFonts w:ascii="Calibri" w:eastAsia="Times New Roman" w:hAnsi="Calibri" w:cs="Calibri"/>
                <w:b/>
                <w:bCs/>
                <w:color w:val="000000"/>
                <w:sz w:val="20"/>
                <w:szCs w:val="20"/>
              </w:rPr>
            </w:pPr>
          </w:p>
        </w:tc>
        <w:tc>
          <w:tcPr>
            <w:tcW w:w="360" w:type="dxa"/>
            <w:shd w:val="clear" w:color="EFEFEF" w:fill="EFEFEF"/>
            <w:noWrap/>
          </w:tcPr>
          <w:p w14:paraId="4CB22181"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68BC38BD"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17D99390"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10FEBA2E"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17393966"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095BCADC"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5C7D89" w:rsidRPr="00D636C4" w14:paraId="3583D7CB" w14:textId="77777777" w:rsidTr="00325D8C">
        <w:trPr>
          <w:trHeight w:val="332"/>
        </w:trPr>
        <w:tc>
          <w:tcPr>
            <w:tcW w:w="13748" w:type="dxa"/>
            <w:gridSpan w:val="12"/>
            <w:shd w:val="clear" w:color="B7B7B7" w:fill="B7B7B7"/>
            <w:hideMark/>
          </w:tcPr>
          <w:p w14:paraId="165427B4" w14:textId="77777777" w:rsidR="00C17FDB" w:rsidRPr="005D6C85" w:rsidRDefault="00C17FDB" w:rsidP="005C7D89">
            <w:pPr>
              <w:spacing w:line="240" w:lineRule="auto"/>
              <w:rPr>
                <w:rFonts w:ascii="Calibri" w:eastAsia="Times New Roman" w:hAnsi="Calibri" w:cs="Calibri"/>
                <w:b/>
                <w:bCs/>
                <w:sz w:val="20"/>
                <w:szCs w:val="20"/>
              </w:rPr>
            </w:pPr>
            <w:r w:rsidRPr="005D6C85">
              <w:rPr>
                <w:rFonts w:ascii="Calibri" w:eastAsia="Times New Roman" w:hAnsi="Calibri" w:cs="Calibri"/>
                <w:b/>
                <w:bCs/>
                <w:sz w:val="20"/>
                <w:szCs w:val="20"/>
              </w:rPr>
              <w:t xml:space="preserve">OS3 : </w:t>
            </w:r>
            <w:r w:rsidR="00EC5FBE" w:rsidRPr="005D6C85">
              <w:rPr>
                <w:rFonts w:ascii="Calibri" w:eastAsia="Times New Roman" w:hAnsi="Calibri" w:cs="Calibri"/>
                <w:b/>
                <w:bCs/>
                <w:sz w:val="20"/>
                <w:szCs w:val="20"/>
              </w:rPr>
              <w:t>Améliorer</w:t>
            </w:r>
            <w:r w:rsidRPr="005D6C85">
              <w:rPr>
                <w:rFonts w:ascii="Calibri" w:eastAsia="Times New Roman" w:hAnsi="Calibri" w:cs="Calibri"/>
                <w:b/>
                <w:bCs/>
                <w:sz w:val="20"/>
                <w:szCs w:val="20"/>
              </w:rPr>
              <w:t xml:space="preserve"> processus d'allocation des ressources de la </w:t>
            </w:r>
            <w:r w:rsidR="004C4CFE" w:rsidRPr="005D6C85">
              <w:rPr>
                <w:rFonts w:ascii="Calibri" w:eastAsia="Times New Roman" w:hAnsi="Calibri" w:cs="Calibri"/>
                <w:b/>
                <w:bCs/>
                <w:sz w:val="20"/>
                <w:szCs w:val="20"/>
              </w:rPr>
              <w:t xml:space="preserve">santé </w:t>
            </w:r>
            <w:r w:rsidRPr="005D6C85">
              <w:rPr>
                <w:rFonts w:ascii="Calibri" w:eastAsia="Times New Roman" w:hAnsi="Calibri" w:cs="Calibri"/>
                <w:b/>
                <w:bCs/>
                <w:sz w:val="20"/>
                <w:szCs w:val="20"/>
              </w:rPr>
              <w:t xml:space="preserve"> et rendre l’achat plus stratégique</w:t>
            </w:r>
          </w:p>
        </w:tc>
      </w:tr>
      <w:tr w:rsidR="005C7D89" w:rsidRPr="00D636C4" w14:paraId="2713864A" w14:textId="77777777" w:rsidTr="005C7D89">
        <w:trPr>
          <w:trHeight w:val="320"/>
        </w:trPr>
        <w:tc>
          <w:tcPr>
            <w:tcW w:w="13748" w:type="dxa"/>
            <w:gridSpan w:val="12"/>
            <w:shd w:val="clear" w:color="F3F3F3" w:fill="F3F3F3"/>
            <w:hideMark/>
          </w:tcPr>
          <w:p w14:paraId="1DFA5174"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xml:space="preserve">3.1. Assurer une allocation équitable et efficiente des ressources du secteur </w:t>
            </w:r>
          </w:p>
        </w:tc>
      </w:tr>
      <w:tr w:rsidR="005C7D89" w:rsidRPr="00D636C4" w14:paraId="265C5B9C" w14:textId="77777777" w:rsidTr="00EC5FBE">
        <w:trPr>
          <w:trHeight w:val="1020"/>
        </w:trPr>
        <w:tc>
          <w:tcPr>
            <w:tcW w:w="4499" w:type="dxa"/>
            <w:shd w:val="clear" w:color="auto" w:fill="auto"/>
            <w:hideMark/>
          </w:tcPr>
          <w:p w14:paraId="331392BC"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Mener des analyses sur l’efficience technique </w:t>
            </w:r>
            <w:r w:rsidR="001207C8">
              <w:rPr>
                <w:rFonts w:ascii="Calibri" w:eastAsia="Times New Roman" w:hAnsi="Calibri" w:cs="Calibri"/>
                <w:color w:val="000000"/>
                <w:sz w:val="20"/>
                <w:szCs w:val="20"/>
              </w:rPr>
              <w:t xml:space="preserve">des dépenses en santé </w:t>
            </w:r>
            <w:r w:rsidRPr="00D636C4">
              <w:rPr>
                <w:rFonts w:ascii="Calibri" w:eastAsia="Times New Roman" w:hAnsi="Calibri" w:cs="Calibri"/>
                <w:color w:val="000000"/>
                <w:sz w:val="20"/>
                <w:szCs w:val="20"/>
              </w:rPr>
              <w:t>(médicaments</w:t>
            </w:r>
            <w:r w:rsidR="00111DD9">
              <w:rPr>
                <w:rFonts w:ascii="Calibri" w:eastAsia="Times New Roman" w:hAnsi="Calibri" w:cs="Calibri"/>
                <w:color w:val="000000"/>
                <w:sz w:val="20"/>
                <w:szCs w:val="20"/>
              </w:rPr>
              <w:t xml:space="preserve"> en particulier</w:t>
            </w:r>
            <w:r w:rsidRPr="00D636C4">
              <w:rPr>
                <w:rFonts w:ascii="Calibri" w:eastAsia="Times New Roman" w:hAnsi="Calibri" w:cs="Calibri"/>
                <w:color w:val="000000"/>
                <w:sz w:val="20"/>
                <w:szCs w:val="20"/>
              </w:rPr>
              <w:t>) pour améliorer le rapport coût-efficacité</w:t>
            </w:r>
            <w:r w:rsidR="00111DD9">
              <w:rPr>
                <w:rFonts w:ascii="Calibri" w:eastAsia="Times New Roman" w:hAnsi="Calibri" w:cs="Calibri"/>
                <w:color w:val="000000"/>
                <w:sz w:val="20"/>
                <w:szCs w:val="20"/>
              </w:rPr>
              <w:t xml:space="preserve"> et équité</w:t>
            </w:r>
            <w:r w:rsidR="001207C8">
              <w:rPr>
                <w:rFonts w:ascii="Calibri" w:eastAsia="Times New Roman" w:hAnsi="Calibri" w:cs="Calibri"/>
                <w:color w:val="000000"/>
                <w:sz w:val="20"/>
                <w:szCs w:val="20"/>
              </w:rPr>
              <w:t xml:space="preserve"> </w:t>
            </w:r>
          </w:p>
        </w:tc>
        <w:tc>
          <w:tcPr>
            <w:tcW w:w="1350" w:type="dxa"/>
            <w:shd w:val="clear" w:color="FFFFFF" w:fill="FFFFFF"/>
            <w:hideMark/>
          </w:tcPr>
          <w:p w14:paraId="10F10593" w14:textId="77777777" w:rsidR="00C17FDB" w:rsidRPr="00D636C4" w:rsidRDefault="00A162BC" w:rsidP="005C7D89">
            <w:pPr>
              <w:spacing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MdS</w:t>
            </w:r>
            <w:proofErr w:type="spellEnd"/>
          </w:p>
        </w:tc>
        <w:tc>
          <w:tcPr>
            <w:tcW w:w="2611" w:type="dxa"/>
            <w:shd w:val="clear" w:color="auto" w:fill="auto"/>
            <w:hideMark/>
          </w:tcPr>
          <w:p w14:paraId="096F92A0"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Rapport analytique validé disponible et diffusé.</w:t>
            </w:r>
          </w:p>
        </w:tc>
        <w:tc>
          <w:tcPr>
            <w:tcW w:w="2408" w:type="dxa"/>
            <w:shd w:val="clear" w:color="FFFFFF" w:fill="FFFFFF"/>
            <w:hideMark/>
          </w:tcPr>
          <w:p w14:paraId="1858BCC6" w14:textId="77777777" w:rsidR="00C17FDB" w:rsidRPr="00D636C4" w:rsidRDefault="00C17FDB" w:rsidP="005C7D89">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Manque ou faible fiabilité des données, manque de soutien technique spécialisé.</w:t>
            </w:r>
          </w:p>
        </w:tc>
        <w:tc>
          <w:tcPr>
            <w:tcW w:w="360" w:type="dxa"/>
            <w:shd w:val="clear" w:color="auto" w:fill="auto"/>
            <w:noWrap/>
          </w:tcPr>
          <w:p w14:paraId="1F4EB7B2"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D9D9D9" w:fill="D9D9D9"/>
            <w:noWrap/>
          </w:tcPr>
          <w:p w14:paraId="29E9F13F" w14:textId="77777777" w:rsidR="00C17FDB" w:rsidRPr="00D636C4" w:rsidRDefault="00C17FDB" w:rsidP="005C7D89">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0ED8BF9A"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auto"/>
            <w:noWrap/>
          </w:tcPr>
          <w:p w14:paraId="2C3B35E3" w14:textId="77777777" w:rsidR="00C17FDB" w:rsidRPr="00D636C4" w:rsidRDefault="00C17FDB" w:rsidP="005C7D89">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768F0F1E"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6943E0F1"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6C195EE1"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2459DC12" w14:textId="77777777" w:rsidR="00C17FDB" w:rsidRPr="00D636C4" w:rsidRDefault="00C17FDB" w:rsidP="005C7D89">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27149D94" w14:textId="77777777" w:rsidTr="00EC5FBE">
        <w:trPr>
          <w:trHeight w:val="1020"/>
        </w:trPr>
        <w:tc>
          <w:tcPr>
            <w:tcW w:w="4499" w:type="dxa"/>
            <w:shd w:val="clear" w:color="auto" w:fill="auto"/>
          </w:tcPr>
          <w:p w14:paraId="40332492" w14:textId="77777777" w:rsidR="001207C8" w:rsidRDefault="001207C8" w:rsidP="008E330D">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Développer feuille de route pour implémenter r</w:t>
            </w:r>
            <w:r w:rsidR="007D4BEE">
              <w:rPr>
                <w:rFonts w:ascii="Calibri" w:eastAsia="Times New Roman" w:hAnsi="Calibri" w:cs="Calibri"/>
                <w:color w:val="000000"/>
                <w:sz w:val="20"/>
                <w:szCs w:val="20"/>
              </w:rPr>
              <w:t>é</w:t>
            </w:r>
            <w:r>
              <w:rPr>
                <w:rFonts w:ascii="Calibri" w:eastAsia="Times New Roman" w:hAnsi="Calibri" w:cs="Calibri"/>
                <w:color w:val="000000"/>
                <w:sz w:val="20"/>
                <w:szCs w:val="20"/>
              </w:rPr>
              <w:t>formes visant à l’amélioration de l’efficience technique.</w:t>
            </w:r>
          </w:p>
        </w:tc>
        <w:tc>
          <w:tcPr>
            <w:tcW w:w="1350" w:type="dxa"/>
            <w:shd w:val="clear" w:color="FFFFFF" w:fill="FFFFFF"/>
          </w:tcPr>
          <w:p w14:paraId="050ED806" w14:textId="77777777" w:rsidR="001207C8" w:rsidRDefault="001207C8" w:rsidP="008E330D">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MDS</w:t>
            </w:r>
          </w:p>
        </w:tc>
        <w:tc>
          <w:tcPr>
            <w:tcW w:w="2611" w:type="dxa"/>
            <w:shd w:val="clear" w:color="auto" w:fill="auto"/>
          </w:tcPr>
          <w:p w14:paraId="25820FA2" w14:textId="77777777" w:rsidR="001207C8" w:rsidRPr="00D636C4" w:rsidRDefault="001207C8" w:rsidP="008E330D">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Feuille de route développée et activités implémentées</w:t>
            </w:r>
          </w:p>
        </w:tc>
        <w:tc>
          <w:tcPr>
            <w:tcW w:w="2408" w:type="dxa"/>
            <w:shd w:val="clear" w:color="FFFFFF" w:fill="FFFFFF"/>
          </w:tcPr>
          <w:p w14:paraId="099E8F33" w14:textId="77777777" w:rsidR="001207C8" w:rsidRPr="00D636C4" w:rsidRDefault="001207C8" w:rsidP="008E330D">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Manque ou faible fiabilité des données, manque de soutien technique spécialisé.</w:t>
            </w:r>
          </w:p>
        </w:tc>
        <w:tc>
          <w:tcPr>
            <w:tcW w:w="360" w:type="dxa"/>
            <w:shd w:val="clear" w:color="auto" w:fill="auto"/>
            <w:noWrap/>
          </w:tcPr>
          <w:p w14:paraId="22E846BC" w14:textId="77777777" w:rsidR="001207C8" w:rsidRPr="00D636C4" w:rsidRDefault="001207C8" w:rsidP="008E330D">
            <w:pPr>
              <w:spacing w:line="240" w:lineRule="auto"/>
              <w:rPr>
                <w:rFonts w:ascii="Calibri" w:eastAsia="Times New Roman" w:hAnsi="Calibri" w:cs="Calibri"/>
                <w:b/>
                <w:bCs/>
                <w:color w:val="000000"/>
                <w:sz w:val="20"/>
                <w:szCs w:val="20"/>
              </w:rPr>
            </w:pPr>
          </w:p>
        </w:tc>
        <w:tc>
          <w:tcPr>
            <w:tcW w:w="360" w:type="dxa"/>
            <w:shd w:val="clear" w:color="D9D9D9" w:fill="D9D9D9"/>
            <w:noWrap/>
          </w:tcPr>
          <w:p w14:paraId="43EE5E68" w14:textId="77777777" w:rsidR="001207C8" w:rsidRPr="00D636C4" w:rsidRDefault="001207C8" w:rsidP="008E330D">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2AA899E5" w14:textId="77777777" w:rsidR="001207C8" w:rsidRPr="00D636C4" w:rsidRDefault="001207C8"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21249F10" w14:textId="77777777" w:rsidR="001207C8" w:rsidRPr="00D636C4" w:rsidRDefault="001207C8"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14F6FD7C" w14:textId="77777777" w:rsidR="001207C8" w:rsidRPr="00D636C4" w:rsidRDefault="001207C8"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62673B43" w14:textId="77777777" w:rsidR="001207C8" w:rsidRPr="00D636C4" w:rsidRDefault="001207C8"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2D59628A" w14:textId="77777777" w:rsidR="001207C8" w:rsidRPr="00D636C4" w:rsidRDefault="001207C8"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592622DF" w14:textId="77777777" w:rsidR="001207C8" w:rsidRPr="00D636C4" w:rsidRDefault="001207C8" w:rsidP="008E330D">
            <w:pPr>
              <w:spacing w:line="240" w:lineRule="auto"/>
              <w:rPr>
                <w:rFonts w:ascii="Calibri" w:eastAsia="Times New Roman" w:hAnsi="Calibri" w:cs="Calibri"/>
                <w:b/>
                <w:bCs/>
                <w:color w:val="000000"/>
                <w:sz w:val="20"/>
                <w:szCs w:val="20"/>
              </w:rPr>
            </w:pPr>
          </w:p>
        </w:tc>
      </w:tr>
      <w:tr w:rsidR="008E330D" w:rsidRPr="00D636C4" w14:paraId="75AFE5C9" w14:textId="77777777" w:rsidTr="00325D8C">
        <w:trPr>
          <w:trHeight w:val="746"/>
        </w:trPr>
        <w:tc>
          <w:tcPr>
            <w:tcW w:w="4499" w:type="dxa"/>
            <w:shd w:val="clear" w:color="auto" w:fill="auto"/>
          </w:tcPr>
          <w:p w14:paraId="5CEE0510" w14:textId="77777777" w:rsidR="008E330D" w:rsidRPr="00D636C4" w:rsidRDefault="008E330D" w:rsidP="008E330D">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Entreprendre une revue des dépenses publiques pour la sant</w:t>
            </w:r>
            <w:r w:rsidR="00111DD9">
              <w:rPr>
                <w:rFonts w:ascii="Calibri" w:eastAsia="Times New Roman" w:hAnsi="Calibri" w:cs="Calibri"/>
                <w:color w:val="000000"/>
                <w:sz w:val="20"/>
                <w:szCs w:val="20"/>
              </w:rPr>
              <w:t>é</w:t>
            </w:r>
            <w:r>
              <w:rPr>
                <w:rFonts w:ascii="Calibri" w:eastAsia="Times New Roman" w:hAnsi="Calibri" w:cs="Calibri"/>
                <w:color w:val="000000"/>
                <w:sz w:val="20"/>
                <w:szCs w:val="20"/>
              </w:rPr>
              <w:t xml:space="preserve"> et traçabilité des ressources publiques</w:t>
            </w:r>
          </w:p>
        </w:tc>
        <w:tc>
          <w:tcPr>
            <w:tcW w:w="1350" w:type="dxa"/>
            <w:shd w:val="clear" w:color="FFFFFF" w:fill="FFFFFF"/>
          </w:tcPr>
          <w:p w14:paraId="32452FE6" w14:textId="77777777" w:rsidR="008E330D" w:rsidRDefault="008E330D" w:rsidP="008E330D">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MDS et MDF avec soutien PTF</w:t>
            </w:r>
          </w:p>
        </w:tc>
        <w:tc>
          <w:tcPr>
            <w:tcW w:w="2611" w:type="dxa"/>
            <w:shd w:val="clear" w:color="auto" w:fill="auto"/>
          </w:tcPr>
          <w:p w14:paraId="234B526A" w14:textId="77777777" w:rsidR="008E330D" w:rsidRPr="00D636C4" w:rsidRDefault="008E330D" w:rsidP="008E330D">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Rapport analytique validé disponible et diffusé.</w:t>
            </w:r>
          </w:p>
        </w:tc>
        <w:tc>
          <w:tcPr>
            <w:tcW w:w="2408" w:type="dxa"/>
            <w:shd w:val="clear" w:color="FFFFFF" w:fill="FFFFFF"/>
          </w:tcPr>
          <w:p w14:paraId="1BA56767" w14:textId="77777777" w:rsidR="008E330D" w:rsidRPr="00D636C4" w:rsidRDefault="008E330D" w:rsidP="008E330D">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Manque de soutien technique </w:t>
            </w:r>
            <w:r w:rsidR="0076372A" w:rsidRPr="00D636C4">
              <w:rPr>
                <w:rFonts w:ascii="Calibri" w:eastAsia="Times New Roman" w:hAnsi="Calibri" w:cs="Calibri"/>
                <w:color w:val="000000"/>
                <w:sz w:val="20"/>
                <w:szCs w:val="20"/>
              </w:rPr>
              <w:t>spécialis</w:t>
            </w:r>
            <w:r w:rsidR="0076372A">
              <w:rPr>
                <w:rFonts w:ascii="Calibri" w:eastAsia="Times New Roman" w:hAnsi="Calibri" w:cs="Calibri"/>
                <w:color w:val="000000"/>
                <w:sz w:val="20"/>
                <w:szCs w:val="20"/>
              </w:rPr>
              <w:t>é</w:t>
            </w:r>
            <w:r w:rsidRPr="00D636C4">
              <w:rPr>
                <w:rFonts w:ascii="Calibri" w:eastAsia="Times New Roman" w:hAnsi="Calibri" w:cs="Calibri"/>
                <w:color w:val="000000"/>
                <w:sz w:val="20"/>
                <w:szCs w:val="20"/>
              </w:rPr>
              <w:t>.</w:t>
            </w:r>
          </w:p>
        </w:tc>
        <w:tc>
          <w:tcPr>
            <w:tcW w:w="360" w:type="dxa"/>
            <w:shd w:val="clear" w:color="auto" w:fill="auto"/>
            <w:noWrap/>
          </w:tcPr>
          <w:p w14:paraId="337CAB6B"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D9D9D9" w:fill="D9D9D9"/>
            <w:noWrap/>
          </w:tcPr>
          <w:p w14:paraId="50C8E8E8" w14:textId="77777777" w:rsidR="008E330D" w:rsidRPr="00D636C4" w:rsidRDefault="008E330D" w:rsidP="008E330D">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469BFF99"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69A958F6"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20C6C10B"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03E87726"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082FB078"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28919FE5" w14:textId="77777777" w:rsidR="008E330D" w:rsidRPr="00D636C4" w:rsidRDefault="008E330D" w:rsidP="008E330D">
            <w:pPr>
              <w:spacing w:line="240" w:lineRule="auto"/>
              <w:rPr>
                <w:rFonts w:ascii="Calibri" w:eastAsia="Times New Roman" w:hAnsi="Calibri" w:cs="Calibri"/>
                <w:b/>
                <w:bCs/>
                <w:color w:val="000000"/>
                <w:sz w:val="20"/>
                <w:szCs w:val="20"/>
              </w:rPr>
            </w:pPr>
          </w:p>
        </w:tc>
      </w:tr>
      <w:tr w:rsidR="008E330D" w:rsidRPr="00D636C4" w14:paraId="79F0BF67" w14:textId="77777777" w:rsidTr="00EC5FBE">
        <w:trPr>
          <w:trHeight w:val="1020"/>
        </w:trPr>
        <w:tc>
          <w:tcPr>
            <w:tcW w:w="4499" w:type="dxa"/>
            <w:shd w:val="clear" w:color="auto" w:fill="auto"/>
            <w:hideMark/>
          </w:tcPr>
          <w:p w14:paraId="780F48CD" w14:textId="77777777" w:rsidR="008E330D" w:rsidRPr="00D636C4" w:rsidRDefault="008E330D" w:rsidP="008E330D">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Mener des analyses sur l’efficience allocative (SSP/ secondaire/ tertiaire).</w:t>
            </w:r>
          </w:p>
        </w:tc>
        <w:tc>
          <w:tcPr>
            <w:tcW w:w="1350" w:type="dxa"/>
            <w:shd w:val="clear" w:color="FFFFFF" w:fill="FFFFFF"/>
            <w:hideMark/>
          </w:tcPr>
          <w:p w14:paraId="7D68D92E" w14:textId="77777777" w:rsidR="008E330D" w:rsidRPr="00D636C4" w:rsidRDefault="008E330D" w:rsidP="008E330D">
            <w:pPr>
              <w:spacing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MdS</w:t>
            </w:r>
            <w:proofErr w:type="spellEnd"/>
          </w:p>
        </w:tc>
        <w:tc>
          <w:tcPr>
            <w:tcW w:w="2611" w:type="dxa"/>
            <w:shd w:val="clear" w:color="auto" w:fill="auto"/>
            <w:hideMark/>
          </w:tcPr>
          <w:p w14:paraId="3A60AB87" w14:textId="77777777" w:rsidR="008E330D" w:rsidRPr="00D636C4" w:rsidRDefault="008E330D" w:rsidP="008E330D">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Rapport analytique validé disponible et diffusé.</w:t>
            </w:r>
          </w:p>
        </w:tc>
        <w:tc>
          <w:tcPr>
            <w:tcW w:w="2408" w:type="dxa"/>
            <w:shd w:val="clear" w:color="FFFFFF" w:fill="FFFFFF"/>
            <w:hideMark/>
          </w:tcPr>
          <w:p w14:paraId="29A13096" w14:textId="77777777" w:rsidR="008E330D" w:rsidRPr="00D636C4" w:rsidRDefault="008E330D" w:rsidP="008E330D">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Manque ou faible fiabilité des données, manque de soutien technique spécialisé.</w:t>
            </w:r>
          </w:p>
        </w:tc>
        <w:tc>
          <w:tcPr>
            <w:tcW w:w="360" w:type="dxa"/>
            <w:shd w:val="clear" w:color="auto" w:fill="auto"/>
            <w:noWrap/>
          </w:tcPr>
          <w:p w14:paraId="27D1BC77"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D9D9D9" w:fill="D9D9D9"/>
            <w:noWrap/>
          </w:tcPr>
          <w:p w14:paraId="3437F022" w14:textId="77777777" w:rsidR="008E330D" w:rsidRPr="00D636C4" w:rsidRDefault="008E330D" w:rsidP="008E330D">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61040617"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726A93F8"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7DBB7558" w14:textId="77777777" w:rsidR="008E330D" w:rsidRPr="00D636C4" w:rsidRDefault="008E330D" w:rsidP="008E330D">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1B91B2AC" w14:textId="77777777" w:rsidR="008E330D" w:rsidRPr="00D636C4" w:rsidRDefault="008E330D" w:rsidP="008E330D">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F803425" w14:textId="77777777" w:rsidR="008E330D" w:rsidRPr="00D636C4" w:rsidRDefault="008E330D" w:rsidP="008E330D">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45D4A1B" w14:textId="77777777" w:rsidR="008E330D" w:rsidRPr="00D636C4" w:rsidRDefault="008E330D" w:rsidP="008E330D">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8E330D" w:rsidRPr="00D636C4" w14:paraId="7468AAB9" w14:textId="77777777" w:rsidTr="00325D8C">
        <w:trPr>
          <w:trHeight w:val="773"/>
        </w:trPr>
        <w:tc>
          <w:tcPr>
            <w:tcW w:w="4499" w:type="dxa"/>
            <w:shd w:val="clear" w:color="auto" w:fill="auto"/>
          </w:tcPr>
          <w:p w14:paraId="23EBCB34" w14:textId="77777777" w:rsidR="008E330D" w:rsidRPr="00D636C4" w:rsidRDefault="008E330D" w:rsidP="008E330D">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Entreprendre une analyse sur l’incidence des bénéfices (</w:t>
            </w:r>
            <w:proofErr w:type="spellStart"/>
            <w:r>
              <w:rPr>
                <w:rFonts w:ascii="Calibri" w:eastAsia="Times New Roman" w:hAnsi="Calibri" w:cs="Calibri"/>
                <w:color w:val="000000"/>
                <w:sz w:val="20"/>
                <w:szCs w:val="20"/>
              </w:rPr>
              <w:t>Benefit</w:t>
            </w:r>
            <w:proofErr w:type="spellEnd"/>
            <w:r>
              <w:rPr>
                <w:rFonts w:ascii="Calibri" w:eastAsia="Times New Roman" w:hAnsi="Calibri" w:cs="Calibri"/>
                <w:color w:val="000000"/>
                <w:sz w:val="20"/>
                <w:szCs w:val="20"/>
              </w:rPr>
              <w:t xml:space="preserve"> incidence </w:t>
            </w:r>
            <w:proofErr w:type="spellStart"/>
            <w:r>
              <w:rPr>
                <w:rFonts w:ascii="Calibri" w:eastAsia="Times New Roman" w:hAnsi="Calibri" w:cs="Calibri"/>
                <w:color w:val="000000"/>
                <w:sz w:val="20"/>
                <w:szCs w:val="20"/>
              </w:rPr>
              <w:t>analysis</w:t>
            </w:r>
            <w:proofErr w:type="spellEnd"/>
            <w:r>
              <w:rPr>
                <w:rFonts w:ascii="Calibri" w:eastAsia="Times New Roman" w:hAnsi="Calibri" w:cs="Calibri"/>
                <w:color w:val="000000"/>
                <w:sz w:val="20"/>
                <w:szCs w:val="20"/>
              </w:rPr>
              <w:t>)</w:t>
            </w:r>
          </w:p>
        </w:tc>
        <w:tc>
          <w:tcPr>
            <w:tcW w:w="1350" w:type="dxa"/>
            <w:shd w:val="clear" w:color="auto" w:fill="auto"/>
          </w:tcPr>
          <w:p w14:paraId="27DF5C3D" w14:textId="77777777" w:rsidR="008E330D" w:rsidRPr="005D6C85" w:rsidRDefault="008E330D" w:rsidP="008E330D">
            <w:pPr>
              <w:spacing w:line="240" w:lineRule="auto"/>
              <w:rPr>
                <w:rFonts w:ascii="Calibri" w:eastAsia="Times New Roman" w:hAnsi="Calibri" w:cs="Calibri"/>
                <w:sz w:val="20"/>
                <w:szCs w:val="20"/>
              </w:rPr>
            </w:pPr>
            <w:r>
              <w:rPr>
                <w:rFonts w:ascii="Calibri" w:eastAsia="Times New Roman" w:hAnsi="Calibri" w:cs="Calibri"/>
                <w:sz w:val="20"/>
                <w:szCs w:val="20"/>
              </w:rPr>
              <w:t>MDS avec soutien MDF et PTFs</w:t>
            </w:r>
          </w:p>
        </w:tc>
        <w:tc>
          <w:tcPr>
            <w:tcW w:w="2611" w:type="dxa"/>
            <w:shd w:val="clear" w:color="auto" w:fill="auto"/>
          </w:tcPr>
          <w:p w14:paraId="3EE25B8A" w14:textId="77777777" w:rsidR="008E330D" w:rsidRPr="00D636C4" w:rsidRDefault="008E330D" w:rsidP="008E330D">
            <w:pPr>
              <w:spacing w:line="240" w:lineRule="auto"/>
              <w:rPr>
                <w:rFonts w:ascii="Calibri" w:eastAsia="Times New Roman" w:hAnsi="Calibri" w:cs="Calibri"/>
                <w:color w:val="000000"/>
                <w:sz w:val="20"/>
                <w:szCs w:val="20"/>
              </w:rPr>
            </w:pPr>
          </w:p>
        </w:tc>
        <w:tc>
          <w:tcPr>
            <w:tcW w:w="2408" w:type="dxa"/>
            <w:shd w:val="clear" w:color="auto" w:fill="auto"/>
          </w:tcPr>
          <w:p w14:paraId="0CDE8CA3" w14:textId="77777777" w:rsidR="008E330D" w:rsidRPr="00D636C4" w:rsidRDefault="008E330D" w:rsidP="008E330D">
            <w:pPr>
              <w:spacing w:line="240" w:lineRule="auto"/>
              <w:rPr>
                <w:rFonts w:ascii="Calibri" w:eastAsia="Times New Roman" w:hAnsi="Calibri" w:cs="Calibri"/>
                <w:color w:val="000000"/>
                <w:sz w:val="20"/>
                <w:szCs w:val="20"/>
              </w:rPr>
            </w:pPr>
          </w:p>
        </w:tc>
        <w:tc>
          <w:tcPr>
            <w:tcW w:w="360" w:type="dxa"/>
            <w:shd w:val="clear" w:color="D9D9D9" w:fill="D9D9D9"/>
          </w:tcPr>
          <w:p w14:paraId="50C5F1FA"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F2F2F2" w:themeFill="background1" w:themeFillShade="F2"/>
            <w:noWrap/>
          </w:tcPr>
          <w:p w14:paraId="54E0D677"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50907A7B"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51B7A610"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0D6A8470"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4A67813F"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7FD62F71"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56E6EEEC" w14:textId="77777777" w:rsidR="008E330D" w:rsidRPr="00D636C4" w:rsidRDefault="008E330D" w:rsidP="008E330D">
            <w:pPr>
              <w:spacing w:line="240" w:lineRule="auto"/>
              <w:rPr>
                <w:rFonts w:ascii="Calibri" w:eastAsia="Times New Roman" w:hAnsi="Calibri" w:cs="Calibri"/>
                <w:b/>
                <w:bCs/>
                <w:color w:val="000000"/>
                <w:sz w:val="20"/>
                <w:szCs w:val="20"/>
              </w:rPr>
            </w:pPr>
          </w:p>
        </w:tc>
      </w:tr>
      <w:tr w:rsidR="008E330D" w:rsidRPr="00D636C4" w14:paraId="2CE3EB45" w14:textId="77777777" w:rsidTr="00325D8C">
        <w:trPr>
          <w:trHeight w:val="530"/>
        </w:trPr>
        <w:tc>
          <w:tcPr>
            <w:tcW w:w="4499" w:type="dxa"/>
            <w:shd w:val="clear" w:color="auto" w:fill="auto"/>
            <w:hideMark/>
          </w:tcPr>
          <w:p w14:paraId="6E6A76FC" w14:textId="77777777" w:rsidR="008E330D" w:rsidRPr="00D636C4" w:rsidRDefault="008E330D" w:rsidP="008E330D">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Institutionnaliser l’élaboration régulière des comptes nationaux de la santé (tous les </w:t>
            </w:r>
            <w:r w:rsidR="001924DD">
              <w:rPr>
                <w:rFonts w:ascii="Calibri" w:eastAsia="Times New Roman" w:hAnsi="Calibri" w:cs="Calibri"/>
                <w:color w:val="000000"/>
                <w:sz w:val="20"/>
                <w:szCs w:val="20"/>
              </w:rPr>
              <w:t>2</w:t>
            </w:r>
            <w:r w:rsidRPr="00D636C4">
              <w:rPr>
                <w:rFonts w:ascii="Calibri" w:eastAsia="Times New Roman" w:hAnsi="Calibri" w:cs="Calibri"/>
                <w:color w:val="000000"/>
                <w:sz w:val="20"/>
                <w:szCs w:val="20"/>
              </w:rPr>
              <w:t xml:space="preserve"> ans).</w:t>
            </w:r>
          </w:p>
        </w:tc>
        <w:tc>
          <w:tcPr>
            <w:tcW w:w="1350" w:type="dxa"/>
            <w:shd w:val="clear" w:color="auto" w:fill="auto"/>
            <w:noWrap/>
            <w:hideMark/>
          </w:tcPr>
          <w:p w14:paraId="0563A473" w14:textId="77777777" w:rsidR="008E330D" w:rsidRPr="00D636C4" w:rsidRDefault="008E330D" w:rsidP="008E330D">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MDS</w:t>
            </w:r>
          </w:p>
        </w:tc>
        <w:tc>
          <w:tcPr>
            <w:tcW w:w="2611" w:type="dxa"/>
            <w:shd w:val="clear" w:color="auto" w:fill="auto"/>
            <w:hideMark/>
          </w:tcPr>
          <w:p w14:paraId="5AA88FD7" w14:textId="77777777" w:rsidR="008E330D" w:rsidRPr="00D636C4" w:rsidRDefault="008E330D" w:rsidP="008E330D">
            <w:pPr>
              <w:spacing w:line="240" w:lineRule="auto"/>
              <w:rPr>
                <w:rFonts w:ascii="Times New Roman" w:eastAsia="Times New Roman" w:hAnsi="Times New Roman" w:cs="Times New Roman"/>
                <w:sz w:val="20"/>
                <w:szCs w:val="20"/>
              </w:rPr>
            </w:pPr>
          </w:p>
        </w:tc>
        <w:tc>
          <w:tcPr>
            <w:tcW w:w="2408" w:type="dxa"/>
            <w:shd w:val="clear" w:color="FFFFFF" w:fill="FFFFFF"/>
            <w:hideMark/>
          </w:tcPr>
          <w:p w14:paraId="0FA31090" w14:textId="77777777" w:rsidR="008E330D" w:rsidRPr="00D636C4" w:rsidRDefault="008E330D" w:rsidP="008E330D">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w:t>
            </w:r>
          </w:p>
        </w:tc>
        <w:tc>
          <w:tcPr>
            <w:tcW w:w="360" w:type="dxa"/>
            <w:shd w:val="clear" w:color="auto" w:fill="auto"/>
            <w:noWrap/>
          </w:tcPr>
          <w:p w14:paraId="7DBF1589" w14:textId="77777777" w:rsidR="008E330D" w:rsidRPr="00D636C4" w:rsidRDefault="008E330D" w:rsidP="008E330D">
            <w:pPr>
              <w:spacing w:line="240" w:lineRule="auto"/>
              <w:rPr>
                <w:rFonts w:ascii="Calibri" w:eastAsia="Times New Roman" w:hAnsi="Calibri" w:cs="Calibri"/>
                <w:color w:val="000000"/>
                <w:sz w:val="20"/>
                <w:szCs w:val="20"/>
              </w:rPr>
            </w:pPr>
          </w:p>
        </w:tc>
        <w:tc>
          <w:tcPr>
            <w:tcW w:w="360" w:type="dxa"/>
            <w:shd w:val="clear" w:color="FFFFFF" w:fill="FFFFFF"/>
            <w:noWrap/>
          </w:tcPr>
          <w:p w14:paraId="26AA35F0"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tcPr>
          <w:p w14:paraId="6AE3F3C1"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D9D9D9" w:fill="D9D9D9"/>
            <w:noWrap/>
          </w:tcPr>
          <w:p w14:paraId="460B1C76" w14:textId="77777777" w:rsidR="008E330D" w:rsidRPr="00D636C4" w:rsidRDefault="008E330D" w:rsidP="008E330D">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334FC3B1" w14:textId="77777777" w:rsidR="008E330D" w:rsidRPr="00D636C4" w:rsidRDefault="008E330D" w:rsidP="008E330D">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16133B90" w14:textId="77777777" w:rsidR="008E330D" w:rsidRPr="00D636C4" w:rsidRDefault="008E330D" w:rsidP="008E330D">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D9D9D9" w:fill="D9D9D9"/>
            <w:noWrap/>
            <w:hideMark/>
          </w:tcPr>
          <w:p w14:paraId="7AE0CA1E" w14:textId="77777777" w:rsidR="008E330D" w:rsidRPr="00D636C4" w:rsidRDefault="008E330D" w:rsidP="008E330D">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1CB6D3B1" w14:textId="77777777" w:rsidR="008E330D" w:rsidRPr="00D636C4" w:rsidRDefault="008E330D" w:rsidP="008E330D">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42E62CB1" w14:textId="77777777" w:rsidTr="00C54A4B">
        <w:trPr>
          <w:trHeight w:val="2040"/>
        </w:trPr>
        <w:tc>
          <w:tcPr>
            <w:tcW w:w="4499" w:type="dxa"/>
            <w:shd w:val="clear" w:color="auto" w:fill="auto"/>
            <w:hideMark/>
          </w:tcPr>
          <w:p w14:paraId="3EC571DC"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Développer une formule d’allocation </w:t>
            </w:r>
            <w:r>
              <w:rPr>
                <w:rFonts w:ascii="Calibri" w:eastAsia="Times New Roman" w:hAnsi="Calibri" w:cs="Calibri"/>
                <w:color w:val="000000"/>
                <w:sz w:val="20"/>
                <w:szCs w:val="20"/>
              </w:rPr>
              <w:t xml:space="preserve">des ressources </w:t>
            </w:r>
            <w:r w:rsidRPr="00D636C4">
              <w:rPr>
                <w:rFonts w:ascii="Calibri" w:eastAsia="Times New Roman" w:hAnsi="Calibri" w:cs="Calibri"/>
                <w:color w:val="000000"/>
                <w:sz w:val="20"/>
                <w:szCs w:val="20"/>
              </w:rPr>
              <w:t xml:space="preserve"> basée sur une analyse des données disponibles et une sélection de variables / critères adaptée au contexte (besoin en santé, densité populationnelle, pauvreté multi-dimensionnel</w:t>
            </w:r>
            <w:r>
              <w:rPr>
                <w:rFonts w:ascii="Calibri" w:eastAsia="Times New Roman" w:hAnsi="Calibri" w:cs="Calibri"/>
                <w:color w:val="000000"/>
                <w:sz w:val="20"/>
                <w:szCs w:val="20"/>
              </w:rPr>
              <w:t>le</w:t>
            </w:r>
            <w:r w:rsidRPr="00D636C4">
              <w:rPr>
                <w:rFonts w:ascii="Calibri" w:eastAsia="Times New Roman" w:hAnsi="Calibri" w:cs="Calibri"/>
                <w:color w:val="000000"/>
                <w:sz w:val="20"/>
                <w:szCs w:val="20"/>
              </w:rPr>
              <w:t>, etc.)</w:t>
            </w:r>
            <w:r>
              <w:rPr>
                <w:rFonts w:ascii="Calibri" w:eastAsia="Times New Roman" w:hAnsi="Calibri" w:cs="Calibri"/>
                <w:color w:val="000000"/>
                <w:sz w:val="20"/>
                <w:szCs w:val="20"/>
              </w:rPr>
              <w:t xml:space="preserve"> pour améliorer l’équité de l’allocation des ressources</w:t>
            </w:r>
          </w:p>
        </w:tc>
        <w:tc>
          <w:tcPr>
            <w:tcW w:w="1350" w:type="dxa"/>
            <w:shd w:val="clear" w:color="auto" w:fill="auto"/>
            <w:noWrap/>
            <w:hideMark/>
          </w:tcPr>
          <w:p w14:paraId="37ADDCD0" w14:textId="77777777" w:rsidR="001207C8" w:rsidRPr="00D636C4" w:rsidRDefault="001207C8" w:rsidP="001207C8">
            <w:pPr>
              <w:spacing w:line="240" w:lineRule="auto"/>
              <w:rPr>
                <w:rFonts w:ascii="Calibri" w:eastAsia="Times New Roman" w:hAnsi="Calibri" w:cs="Calibri"/>
                <w:color w:val="000000"/>
                <w:sz w:val="20"/>
                <w:szCs w:val="20"/>
              </w:rPr>
            </w:pPr>
            <w:proofErr w:type="spellStart"/>
            <w:r w:rsidRPr="00A162BC">
              <w:rPr>
                <w:rFonts w:ascii="Calibri" w:eastAsia="Times New Roman" w:hAnsi="Calibri" w:cs="Calibri"/>
                <w:sz w:val="20"/>
                <w:szCs w:val="20"/>
              </w:rPr>
              <w:t>MdS</w:t>
            </w:r>
            <w:proofErr w:type="spellEnd"/>
            <w:r w:rsidRPr="00A162BC">
              <w:rPr>
                <w:rFonts w:ascii="Calibri" w:eastAsia="Times New Roman" w:hAnsi="Calibri" w:cs="Calibri"/>
                <w:sz w:val="20"/>
                <w:szCs w:val="20"/>
              </w:rPr>
              <w:t xml:space="preserve"> et Min Finances</w:t>
            </w:r>
          </w:p>
        </w:tc>
        <w:tc>
          <w:tcPr>
            <w:tcW w:w="2611" w:type="dxa"/>
            <w:shd w:val="clear" w:color="auto" w:fill="auto"/>
            <w:hideMark/>
          </w:tcPr>
          <w:p w14:paraId="23FCF3E0"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Analyses préliminaires menées, processus consensuel de développement des critères mené (avec </w:t>
            </w:r>
            <w:proofErr w:type="spellStart"/>
            <w:r w:rsidRPr="00D636C4">
              <w:rPr>
                <w:rFonts w:ascii="Calibri" w:eastAsia="Times New Roman" w:hAnsi="Calibri" w:cs="Calibri"/>
                <w:color w:val="000000"/>
                <w:sz w:val="20"/>
                <w:szCs w:val="20"/>
              </w:rPr>
              <w:t>MdF</w:t>
            </w:r>
            <w:proofErr w:type="spellEnd"/>
            <w:r w:rsidRPr="00D636C4">
              <w:rPr>
                <w:rFonts w:ascii="Calibri" w:eastAsia="Times New Roman" w:hAnsi="Calibri" w:cs="Calibri"/>
                <w:color w:val="000000"/>
                <w:sz w:val="20"/>
                <w:szCs w:val="20"/>
              </w:rPr>
              <w:t xml:space="preserve"> ?), formule formellement adoptée.</w:t>
            </w:r>
          </w:p>
        </w:tc>
        <w:tc>
          <w:tcPr>
            <w:tcW w:w="2408" w:type="dxa"/>
            <w:shd w:val="clear" w:color="FFFFFF" w:fill="FFFFFF"/>
            <w:hideMark/>
          </w:tcPr>
          <w:p w14:paraId="3A24A9D3"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Manque ou faible fiabilité des données, manque de soutien technique spécialisé, résistance au changement des acteurs du système suivant l'application de la nouvelle formule.</w:t>
            </w:r>
          </w:p>
        </w:tc>
        <w:tc>
          <w:tcPr>
            <w:tcW w:w="360" w:type="dxa"/>
            <w:shd w:val="clear" w:color="auto" w:fill="auto"/>
            <w:noWrap/>
          </w:tcPr>
          <w:p w14:paraId="2B93C823" w14:textId="77777777" w:rsidR="001207C8" w:rsidRPr="00D636C4" w:rsidRDefault="001207C8" w:rsidP="001207C8">
            <w:pPr>
              <w:spacing w:line="240" w:lineRule="auto"/>
              <w:rPr>
                <w:rFonts w:ascii="Calibri" w:eastAsia="Times New Roman" w:hAnsi="Calibri" w:cs="Calibri"/>
                <w:color w:val="000000"/>
                <w:sz w:val="20"/>
                <w:szCs w:val="20"/>
              </w:rPr>
            </w:pPr>
          </w:p>
        </w:tc>
        <w:tc>
          <w:tcPr>
            <w:tcW w:w="360" w:type="dxa"/>
            <w:shd w:val="clear" w:color="D9D9D9" w:fill="D9D9D9"/>
            <w:noWrap/>
          </w:tcPr>
          <w:p w14:paraId="5F71C14D" w14:textId="77777777" w:rsidR="001207C8" w:rsidRPr="00D636C4" w:rsidRDefault="001207C8" w:rsidP="001207C8">
            <w:pPr>
              <w:spacing w:line="240" w:lineRule="auto"/>
              <w:jc w:val="right"/>
              <w:rPr>
                <w:rFonts w:ascii="Calibri" w:eastAsia="Times New Roman" w:hAnsi="Calibri" w:cs="Calibri"/>
                <w:b/>
                <w:bCs/>
                <w:color w:val="000000"/>
                <w:sz w:val="20"/>
                <w:szCs w:val="20"/>
              </w:rPr>
            </w:pPr>
          </w:p>
        </w:tc>
        <w:tc>
          <w:tcPr>
            <w:tcW w:w="360" w:type="dxa"/>
            <w:shd w:val="clear" w:color="EFEFEF" w:fill="EFEFEF"/>
            <w:noWrap/>
          </w:tcPr>
          <w:p w14:paraId="2A1197F7"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7FFFB545"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0FDA1068"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BB40E78"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059BDD46"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47848B70"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72C45150" w14:textId="77777777" w:rsidTr="001207C8">
        <w:trPr>
          <w:trHeight w:val="701"/>
        </w:trPr>
        <w:tc>
          <w:tcPr>
            <w:tcW w:w="4499" w:type="dxa"/>
            <w:shd w:val="clear" w:color="auto" w:fill="auto"/>
          </w:tcPr>
          <w:p w14:paraId="134D5673" w14:textId="77777777" w:rsidR="001207C8" w:rsidRPr="00D636C4" w:rsidRDefault="001207C8"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Implémenter cette formule d’allocation des ressources dans tout le territoire</w:t>
            </w:r>
          </w:p>
        </w:tc>
        <w:tc>
          <w:tcPr>
            <w:tcW w:w="1350" w:type="dxa"/>
            <w:shd w:val="clear" w:color="auto" w:fill="auto"/>
            <w:noWrap/>
          </w:tcPr>
          <w:p w14:paraId="18FA2C95" w14:textId="77777777" w:rsidR="001207C8" w:rsidRPr="00A162BC" w:rsidRDefault="001207C8" w:rsidP="001207C8">
            <w:pPr>
              <w:spacing w:line="240" w:lineRule="auto"/>
              <w:rPr>
                <w:rFonts w:ascii="Calibri" w:eastAsia="Times New Roman" w:hAnsi="Calibri" w:cs="Calibri"/>
                <w:sz w:val="20"/>
                <w:szCs w:val="20"/>
              </w:rPr>
            </w:pPr>
            <w:proofErr w:type="spellStart"/>
            <w:r w:rsidRPr="00A162BC">
              <w:rPr>
                <w:rFonts w:ascii="Calibri" w:eastAsia="Times New Roman" w:hAnsi="Calibri" w:cs="Calibri"/>
                <w:sz w:val="20"/>
                <w:szCs w:val="20"/>
              </w:rPr>
              <w:t>MdS</w:t>
            </w:r>
            <w:proofErr w:type="spellEnd"/>
            <w:r w:rsidRPr="00A162BC">
              <w:rPr>
                <w:rFonts w:ascii="Calibri" w:eastAsia="Times New Roman" w:hAnsi="Calibri" w:cs="Calibri"/>
                <w:sz w:val="20"/>
                <w:szCs w:val="20"/>
              </w:rPr>
              <w:t xml:space="preserve"> et Min Finances</w:t>
            </w:r>
          </w:p>
        </w:tc>
        <w:tc>
          <w:tcPr>
            <w:tcW w:w="2611" w:type="dxa"/>
            <w:shd w:val="clear" w:color="auto" w:fill="auto"/>
          </w:tcPr>
          <w:p w14:paraId="508D0973" w14:textId="77777777" w:rsidR="001207C8" w:rsidRPr="00D636C4" w:rsidRDefault="001207C8"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w:t>
            </w:r>
            <w:r w:rsidRPr="00D636C4">
              <w:rPr>
                <w:rFonts w:ascii="Calibri" w:eastAsia="Times New Roman" w:hAnsi="Calibri" w:cs="Calibri"/>
                <w:color w:val="000000"/>
                <w:sz w:val="20"/>
                <w:szCs w:val="20"/>
              </w:rPr>
              <w:t xml:space="preserve">ormule formellement </w:t>
            </w:r>
            <w:r>
              <w:rPr>
                <w:rFonts w:ascii="Calibri" w:eastAsia="Times New Roman" w:hAnsi="Calibri" w:cs="Calibri"/>
                <w:color w:val="000000"/>
                <w:sz w:val="20"/>
                <w:szCs w:val="20"/>
              </w:rPr>
              <w:t xml:space="preserve">implémentée </w:t>
            </w:r>
            <w:r w:rsidR="0076372A">
              <w:rPr>
                <w:rFonts w:ascii="Calibri" w:eastAsia="Times New Roman" w:hAnsi="Calibri" w:cs="Calibri"/>
                <w:color w:val="000000"/>
                <w:sz w:val="20"/>
                <w:szCs w:val="20"/>
              </w:rPr>
              <w:t xml:space="preserve">à </w:t>
            </w:r>
            <w:r>
              <w:rPr>
                <w:rFonts w:ascii="Calibri" w:eastAsia="Times New Roman" w:hAnsi="Calibri" w:cs="Calibri"/>
                <w:color w:val="000000"/>
                <w:sz w:val="20"/>
                <w:szCs w:val="20"/>
              </w:rPr>
              <w:t xml:space="preserve">travers loi des finances </w:t>
            </w:r>
          </w:p>
        </w:tc>
        <w:tc>
          <w:tcPr>
            <w:tcW w:w="2408" w:type="dxa"/>
            <w:shd w:val="clear" w:color="FFFFFF" w:fill="FFFFFF"/>
          </w:tcPr>
          <w:p w14:paraId="4DB058E4"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Manque ou faible fiabilité des données, manque de soutien technique spécialisé, résistance au changement des acteurs du système suivant l'application de la nouvelle formule.</w:t>
            </w:r>
          </w:p>
        </w:tc>
        <w:tc>
          <w:tcPr>
            <w:tcW w:w="360" w:type="dxa"/>
            <w:shd w:val="clear" w:color="auto" w:fill="auto"/>
            <w:noWrap/>
          </w:tcPr>
          <w:p w14:paraId="014F140D" w14:textId="77777777" w:rsidR="001207C8" w:rsidRPr="00D636C4" w:rsidRDefault="001207C8" w:rsidP="001207C8">
            <w:pPr>
              <w:spacing w:line="240" w:lineRule="auto"/>
              <w:rPr>
                <w:rFonts w:ascii="Calibri" w:eastAsia="Times New Roman" w:hAnsi="Calibri" w:cs="Calibri"/>
                <w:color w:val="000000"/>
                <w:sz w:val="20"/>
                <w:szCs w:val="20"/>
              </w:rPr>
            </w:pPr>
          </w:p>
        </w:tc>
        <w:tc>
          <w:tcPr>
            <w:tcW w:w="360" w:type="dxa"/>
            <w:shd w:val="clear" w:color="D9D9D9" w:fill="D9D9D9"/>
            <w:noWrap/>
          </w:tcPr>
          <w:p w14:paraId="51C0D571" w14:textId="77777777" w:rsidR="001207C8" w:rsidRPr="00D636C4" w:rsidRDefault="001207C8" w:rsidP="001207C8">
            <w:pPr>
              <w:spacing w:line="240" w:lineRule="auto"/>
              <w:jc w:val="right"/>
              <w:rPr>
                <w:rFonts w:ascii="Calibri" w:eastAsia="Times New Roman" w:hAnsi="Calibri" w:cs="Calibri"/>
                <w:b/>
                <w:bCs/>
                <w:color w:val="000000"/>
                <w:sz w:val="20"/>
                <w:szCs w:val="20"/>
              </w:rPr>
            </w:pPr>
          </w:p>
        </w:tc>
        <w:tc>
          <w:tcPr>
            <w:tcW w:w="360" w:type="dxa"/>
            <w:shd w:val="clear" w:color="EFEFEF" w:fill="EFEFEF"/>
            <w:noWrap/>
          </w:tcPr>
          <w:p w14:paraId="6DC93C05"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5C108DAA"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0217AAB9"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60FD2743"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6AD82E0D"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026B8B1C" w14:textId="77777777" w:rsidR="001207C8" w:rsidRPr="00D636C4" w:rsidRDefault="001207C8" w:rsidP="001207C8">
            <w:pPr>
              <w:spacing w:line="240" w:lineRule="auto"/>
              <w:rPr>
                <w:rFonts w:ascii="Calibri" w:eastAsia="Times New Roman" w:hAnsi="Calibri" w:cs="Calibri"/>
                <w:b/>
                <w:bCs/>
                <w:color w:val="000000"/>
                <w:sz w:val="20"/>
                <w:szCs w:val="20"/>
              </w:rPr>
            </w:pPr>
          </w:p>
        </w:tc>
      </w:tr>
      <w:tr w:rsidR="001207C8" w:rsidRPr="00D636C4" w14:paraId="23398080" w14:textId="77777777" w:rsidTr="005C7D89">
        <w:trPr>
          <w:trHeight w:val="320"/>
        </w:trPr>
        <w:tc>
          <w:tcPr>
            <w:tcW w:w="13748" w:type="dxa"/>
            <w:gridSpan w:val="12"/>
            <w:shd w:val="clear" w:color="F3F3F3" w:fill="F3F3F3"/>
            <w:hideMark/>
          </w:tcPr>
          <w:p w14:paraId="70706758"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lastRenderedPageBreak/>
              <w:t>3.2. Alignement des méthodes de paiement</w:t>
            </w:r>
          </w:p>
        </w:tc>
      </w:tr>
      <w:tr w:rsidR="001207C8" w:rsidRPr="00D636C4" w14:paraId="7A2A0042" w14:textId="77777777" w:rsidTr="00EC5FBE">
        <w:trPr>
          <w:trHeight w:val="2380"/>
        </w:trPr>
        <w:tc>
          <w:tcPr>
            <w:tcW w:w="4499" w:type="dxa"/>
            <w:shd w:val="clear" w:color="auto" w:fill="auto"/>
            <w:hideMark/>
          </w:tcPr>
          <w:p w14:paraId="700366C5"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Harmonisation des paniers de soins entre tous les acheteurs (CNASS, CNAM, budget de l'état et PTFs).</w:t>
            </w:r>
          </w:p>
        </w:tc>
        <w:tc>
          <w:tcPr>
            <w:tcW w:w="1350" w:type="dxa"/>
            <w:shd w:val="clear" w:color="auto" w:fill="auto"/>
            <w:hideMark/>
          </w:tcPr>
          <w:p w14:paraId="4D8A7D37" w14:textId="77777777" w:rsidR="001207C8" w:rsidRPr="00D636C4" w:rsidRDefault="0076372A" w:rsidP="001207C8">
            <w:pPr>
              <w:spacing w:line="240" w:lineRule="auto"/>
              <w:rPr>
                <w:rFonts w:ascii="Calibri" w:eastAsia="Times New Roman" w:hAnsi="Calibri" w:cs="Calibri"/>
                <w:color w:val="000000"/>
                <w:sz w:val="20"/>
                <w:szCs w:val="20"/>
              </w:rPr>
            </w:pPr>
            <w:r w:rsidRPr="007D56AB">
              <w:rPr>
                <w:rFonts w:ascii="Calibri" w:eastAsia="Times New Roman" w:hAnsi="Calibri" w:cs="Calibri"/>
                <w:sz w:val="20"/>
                <w:szCs w:val="20"/>
              </w:rPr>
              <w:t>Comit</w:t>
            </w:r>
            <w:r>
              <w:rPr>
                <w:rFonts w:ascii="Calibri" w:eastAsia="Times New Roman" w:hAnsi="Calibri" w:cs="Calibri"/>
                <w:sz w:val="20"/>
                <w:szCs w:val="20"/>
              </w:rPr>
              <w:t>é</w:t>
            </w:r>
            <w:r w:rsidRPr="007D56AB">
              <w:rPr>
                <w:rFonts w:ascii="Calibri" w:eastAsia="Times New Roman" w:hAnsi="Calibri" w:cs="Calibri"/>
                <w:sz w:val="20"/>
                <w:szCs w:val="20"/>
              </w:rPr>
              <w:t xml:space="preserve"> </w:t>
            </w:r>
            <w:r w:rsidR="00325D8C" w:rsidRPr="007D56AB">
              <w:rPr>
                <w:rFonts w:ascii="Calibri" w:eastAsia="Times New Roman" w:hAnsi="Calibri" w:cs="Calibri"/>
                <w:sz w:val="20"/>
                <w:szCs w:val="20"/>
              </w:rPr>
              <w:t>interministériel CSU</w:t>
            </w:r>
          </w:p>
        </w:tc>
        <w:tc>
          <w:tcPr>
            <w:tcW w:w="2611" w:type="dxa"/>
            <w:shd w:val="clear" w:color="auto" w:fill="auto"/>
            <w:hideMark/>
          </w:tcPr>
          <w:p w14:paraId="54F28550"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Processus progressif (récurent) pour le développement du panier de soins unique créé, ajustements législatifs (décrets d'application) adoptés. </w:t>
            </w:r>
          </w:p>
        </w:tc>
        <w:tc>
          <w:tcPr>
            <w:tcW w:w="2408" w:type="dxa"/>
            <w:shd w:val="clear" w:color="auto" w:fill="auto"/>
            <w:hideMark/>
          </w:tcPr>
          <w:p w14:paraId="76F14233"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Résistances au changement des caisses et de leurs membres, absence des capacités techniques nécessaires, manque de données pour appuyer la prise de décision, non-application des règles dans la pratique.</w:t>
            </w:r>
          </w:p>
        </w:tc>
        <w:tc>
          <w:tcPr>
            <w:tcW w:w="360" w:type="dxa"/>
            <w:shd w:val="clear" w:color="auto" w:fill="auto"/>
          </w:tcPr>
          <w:p w14:paraId="20858D33"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3E869BF1" w14:textId="77777777" w:rsidR="001207C8" w:rsidRPr="00D636C4" w:rsidRDefault="001207C8" w:rsidP="001207C8">
            <w:pPr>
              <w:spacing w:line="240" w:lineRule="auto"/>
              <w:jc w:val="right"/>
              <w:rPr>
                <w:rFonts w:ascii="Calibri" w:eastAsia="Times New Roman" w:hAnsi="Calibri" w:cs="Calibri"/>
                <w:b/>
                <w:bCs/>
                <w:color w:val="000000"/>
                <w:sz w:val="20"/>
                <w:szCs w:val="20"/>
              </w:rPr>
            </w:pPr>
          </w:p>
        </w:tc>
        <w:tc>
          <w:tcPr>
            <w:tcW w:w="360" w:type="dxa"/>
            <w:shd w:val="clear" w:color="EFEFEF" w:fill="EFEFEF"/>
            <w:noWrap/>
          </w:tcPr>
          <w:p w14:paraId="4D195227"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EFEFEF" w:fill="EFEFEF"/>
            <w:noWrap/>
          </w:tcPr>
          <w:p w14:paraId="5F7187B2"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EFEFEF" w:fill="EFEFEF"/>
            <w:noWrap/>
          </w:tcPr>
          <w:p w14:paraId="216F963A"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EFEFEF" w:fill="EFEFEF"/>
            <w:noWrap/>
          </w:tcPr>
          <w:p w14:paraId="50E2EB63"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2C6D1746"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702297E4"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0475A133" w14:textId="77777777" w:rsidTr="00EC5FBE">
        <w:trPr>
          <w:trHeight w:val="2380"/>
        </w:trPr>
        <w:tc>
          <w:tcPr>
            <w:tcW w:w="4499" w:type="dxa"/>
            <w:shd w:val="clear" w:color="auto" w:fill="auto"/>
            <w:hideMark/>
          </w:tcPr>
          <w:p w14:paraId="3858DCB0"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Revue et alignement des tarifs entre tous les acheteurs (CNASS, CNAM, budget de l'état et PTFs).</w:t>
            </w:r>
          </w:p>
        </w:tc>
        <w:tc>
          <w:tcPr>
            <w:tcW w:w="1350" w:type="dxa"/>
            <w:shd w:val="clear" w:color="auto" w:fill="auto"/>
            <w:hideMark/>
          </w:tcPr>
          <w:p w14:paraId="44171764" w14:textId="77777777" w:rsidR="001207C8" w:rsidRPr="00D636C4" w:rsidRDefault="0076372A" w:rsidP="001207C8">
            <w:pPr>
              <w:spacing w:line="240" w:lineRule="auto"/>
              <w:rPr>
                <w:rFonts w:ascii="Calibri" w:eastAsia="Times New Roman" w:hAnsi="Calibri" w:cs="Calibri"/>
                <w:color w:val="000000"/>
                <w:sz w:val="20"/>
                <w:szCs w:val="20"/>
              </w:rPr>
            </w:pPr>
            <w:r w:rsidRPr="007D56AB">
              <w:rPr>
                <w:rFonts w:ascii="Calibri" w:eastAsia="Times New Roman" w:hAnsi="Calibri" w:cs="Calibri"/>
                <w:sz w:val="20"/>
                <w:szCs w:val="20"/>
              </w:rPr>
              <w:t>Comit</w:t>
            </w:r>
            <w:r>
              <w:rPr>
                <w:rFonts w:ascii="Calibri" w:eastAsia="Times New Roman" w:hAnsi="Calibri" w:cs="Calibri"/>
                <w:sz w:val="20"/>
                <w:szCs w:val="20"/>
              </w:rPr>
              <w:t>é</w:t>
            </w:r>
            <w:r w:rsidRPr="007D56AB">
              <w:rPr>
                <w:rFonts w:ascii="Calibri" w:eastAsia="Times New Roman" w:hAnsi="Calibri" w:cs="Calibri"/>
                <w:sz w:val="20"/>
                <w:szCs w:val="20"/>
              </w:rPr>
              <w:t xml:space="preserve"> </w:t>
            </w:r>
            <w:r w:rsidR="007D56AB" w:rsidRPr="007D56AB">
              <w:rPr>
                <w:rFonts w:ascii="Calibri" w:eastAsia="Times New Roman" w:hAnsi="Calibri" w:cs="Calibri"/>
                <w:sz w:val="20"/>
                <w:szCs w:val="20"/>
              </w:rPr>
              <w:t>interministériel CSU</w:t>
            </w:r>
            <w:r w:rsidR="007D56AB">
              <w:rPr>
                <w:rFonts w:ascii="Calibri" w:eastAsia="Times New Roman" w:hAnsi="Calibri" w:cs="Calibri"/>
                <w:sz w:val="20"/>
                <w:szCs w:val="20"/>
              </w:rPr>
              <w:t xml:space="preserve"> </w:t>
            </w:r>
          </w:p>
        </w:tc>
        <w:tc>
          <w:tcPr>
            <w:tcW w:w="2611" w:type="dxa"/>
            <w:shd w:val="clear" w:color="auto" w:fill="auto"/>
            <w:hideMark/>
          </w:tcPr>
          <w:p w14:paraId="44E92DCC"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Processus (récurent) pour le développement d'une grille de tarifs unique </w:t>
            </w:r>
            <w:r w:rsidR="0076372A" w:rsidRPr="00D636C4">
              <w:rPr>
                <w:rFonts w:ascii="Calibri" w:eastAsia="Times New Roman" w:hAnsi="Calibri" w:cs="Calibri"/>
                <w:color w:val="000000"/>
                <w:sz w:val="20"/>
                <w:szCs w:val="20"/>
              </w:rPr>
              <w:t>cré</w:t>
            </w:r>
            <w:r w:rsidR="0076372A">
              <w:rPr>
                <w:rFonts w:ascii="Calibri" w:eastAsia="Times New Roman" w:hAnsi="Calibri" w:cs="Calibri"/>
                <w:color w:val="000000"/>
                <w:sz w:val="20"/>
                <w:szCs w:val="20"/>
              </w:rPr>
              <w:t>é</w:t>
            </w:r>
            <w:r w:rsidRPr="00D636C4">
              <w:rPr>
                <w:rFonts w:ascii="Calibri" w:eastAsia="Times New Roman" w:hAnsi="Calibri" w:cs="Calibri"/>
                <w:color w:val="000000"/>
                <w:sz w:val="20"/>
                <w:szCs w:val="20"/>
              </w:rPr>
              <w:t xml:space="preserve">, ajustements législatifs (décrets d'application) adoptés. </w:t>
            </w:r>
          </w:p>
        </w:tc>
        <w:tc>
          <w:tcPr>
            <w:tcW w:w="2408" w:type="dxa"/>
            <w:shd w:val="clear" w:color="auto" w:fill="auto"/>
            <w:hideMark/>
          </w:tcPr>
          <w:p w14:paraId="408EB61D"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Résistances au changement des caisses et de leurs membres, absence des capacités techniques nécessaires, manque de données pour appuyer la prise de décision, non-application des règles dans la pratique.</w:t>
            </w:r>
          </w:p>
        </w:tc>
        <w:tc>
          <w:tcPr>
            <w:tcW w:w="360" w:type="dxa"/>
            <w:shd w:val="clear" w:color="auto" w:fill="auto"/>
          </w:tcPr>
          <w:p w14:paraId="3DED498E"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532BB051" w14:textId="77777777" w:rsidR="001207C8" w:rsidRPr="00D636C4" w:rsidRDefault="001207C8" w:rsidP="001207C8">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4E17E433"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059A4B07"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0B3CFE7F"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3DFC1565"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0ACD9392"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0BA2ED48"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7BB73EDD" w14:textId="77777777" w:rsidTr="00E6730B">
        <w:trPr>
          <w:trHeight w:val="944"/>
        </w:trPr>
        <w:tc>
          <w:tcPr>
            <w:tcW w:w="4499" w:type="dxa"/>
            <w:shd w:val="clear" w:color="auto" w:fill="auto"/>
          </w:tcPr>
          <w:p w14:paraId="2FB5E44A"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Revue des modalités de paiement entre tous les acheteurs (CNASS, CNAM, budget de l'état et PTFs)</w:t>
            </w:r>
          </w:p>
        </w:tc>
        <w:tc>
          <w:tcPr>
            <w:tcW w:w="1350" w:type="dxa"/>
            <w:shd w:val="clear" w:color="auto" w:fill="auto"/>
          </w:tcPr>
          <w:p w14:paraId="7003BEA6" w14:textId="77777777" w:rsidR="001207C8" w:rsidRPr="00D636C4" w:rsidRDefault="0076372A" w:rsidP="001207C8">
            <w:pPr>
              <w:spacing w:line="240" w:lineRule="auto"/>
              <w:rPr>
                <w:rFonts w:ascii="Calibri" w:eastAsia="Times New Roman" w:hAnsi="Calibri" w:cs="Calibri"/>
                <w:color w:val="000000"/>
                <w:sz w:val="20"/>
                <w:szCs w:val="20"/>
              </w:rPr>
            </w:pPr>
            <w:r w:rsidRPr="007D56AB">
              <w:rPr>
                <w:rFonts w:ascii="Calibri" w:eastAsia="Times New Roman" w:hAnsi="Calibri" w:cs="Calibri"/>
                <w:sz w:val="20"/>
                <w:szCs w:val="20"/>
              </w:rPr>
              <w:t>Comit</w:t>
            </w:r>
            <w:r>
              <w:rPr>
                <w:rFonts w:ascii="Calibri" w:eastAsia="Times New Roman" w:hAnsi="Calibri" w:cs="Calibri"/>
                <w:sz w:val="20"/>
                <w:szCs w:val="20"/>
              </w:rPr>
              <w:t>é</w:t>
            </w:r>
            <w:r w:rsidR="000C5A3A">
              <w:rPr>
                <w:rFonts w:ascii="Calibri" w:eastAsia="Times New Roman" w:hAnsi="Calibri" w:cs="Calibri"/>
                <w:sz w:val="20"/>
                <w:szCs w:val="20"/>
              </w:rPr>
              <w:t xml:space="preserve"> </w:t>
            </w:r>
            <w:r w:rsidR="001207C8" w:rsidRPr="007D56AB">
              <w:rPr>
                <w:rFonts w:ascii="Calibri" w:eastAsia="Times New Roman" w:hAnsi="Calibri" w:cs="Calibri"/>
                <w:sz w:val="20"/>
                <w:szCs w:val="20"/>
              </w:rPr>
              <w:t>interministériel </w:t>
            </w:r>
            <w:r w:rsidR="007D56AB" w:rsidRPr="007D56AB">
              <w:rPr>
                <w:rFonts w:ascii="Calibri" w:eastAsia="Times New Roman" w:hAnsi="Calibri" w:cs="Calibri"/>
                <w:sz w:val="20"/>
                <w:szCs w:val="20"/>
              </w:rPr>
              <w:t>CSU</w:t>
            </w:r>
          </w:p>
        </w:tc>
        <w:tc>
          <w:tcPr>
            <w:tcW w:w="2611" w:type="dxa"/>
            <w:shd w:val="clear" w:color="auto" w:fill="auto"/>
          </w:tcPr>
          <w:p w14:paraId="5AB5E95A" w14:textId="77777777" w:rsidR="001207C8" w:rsidRPr="00D636C4" w:rsidRDefault="001207C8"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Rapport analytique disponible</w:t>
            </w:r>
          </w:p>
        </w:tc>
        <w:tc>
          <w:tcPr>
            <w:tcW w:w="2408" w:type="dxa"/>
            <w:shd w:val="clear" w:color="auto" w:fill="auto"/>
          </w:tcPr>
          <w:p w14:paraId="0FC61610" w14:textId="77777777" w:rsidR="001207C8" w:rsidRPr="00D636C4" w:rsidRDefault="0076372A"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Résistance </w:t>
            </w:r>
            <w:r w:rsidR="001207C8">
              <w:rPr>
                <w:rFonts w:ascii="Calibri" w:eastAsia="Times New Roman" w:hAnsi="Calibri" w:cs="Calibri"/>
                <w:color w:val="000000"/>
                <w:sz w:val="20"/>
                <w:szCs w:val="20"/>
              </w:rPr>
              <w:t>de certains acheteurs et pas de partage d’information</w:t>
            </w:r>
            <w:r w:rsidR="000C5A3A">
              <w:rPr>
                <w:rFonts w:ascii="Calibri" w:eastAsia="Times New Roman" w:hAnsi="Calibri" w:cs="Calibri"/>
                <w:color w:val="000000"/>
                <w:sz w:val="20"/>
                <w:szCs w:val="20"/>
              </w:rPr>
              <w:t>s</w:t>
            </w:r>
          </w:p>
        </w:tc>
        <w:tc>
          <w:tcPr>
            <w:tcW w:w="360" w:type="dxa"/>
            <w:shd w:val="clear" w:color="auto" w:fill="auto"/>
          </w:tcPr>
          <w:p w14:paraId="3D491AA9"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38909DBC"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1F00150F" w14:textId="77777777" w:rsidR="001207C8" w:rsidRPr="00D636C4" w:rsidRDefault="001207C8" w:rsidP="001207C8">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6134992B"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39E4F3B8"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1F669F4E"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3EFA356C"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1FE05205" w14:textId="77777777" w:rsidR="001207C8" w:rsidRPr="00D636C4" w:rsidRDefault="001207C8" w:rsidP="001207C8">
            <w:pPr>
              <w:spacing w:line="240" w:lineRule="auto"/>
              <w:rPr>
                <w:rFonts w:ascii="Calibri" w:eastAsia="Times New Roman" w:hAnsi="Calibri" w:cs="Calibri"/>
                <w:b/>
                <w:bCs/>
                <w:color w:val="000000"/>
                <w:sz w:val="20"/>
                <w:szCs w:val="20"/>
              </w:rPr>
            </w:pPr>
          </w:p>
        </w:tc>
      </w:tr>
      <w:tr w:rsidR="001207C8" w:rsidRPr="00D636C4" w14:paraId="3C826812" w14:textId="77777777" w:rsidTr="00EC5FBE">
        <w:trPr>
          <w:trHeight w:val="1592"/>
        </w:trPr>
        <w:tc>
          <w:tcPr>
            <w:tcW w:w="4499" w:type="dxa"/>
            <w:shd w:val="clear" w:color="auto" w:fill="auto"/>
            <w:hideMark/>
          </w:tcPr>
          <w:p w14:paraId="3FF39534" w14:textId="77777777" w:rsidR="001207C8" w:rsidRPr="00D636C4" w:rsidRDefault="001207C8"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w:t>
            </w:r>
            <w:r w:rsidRPr="00D636C4">
              <w:rPr>
                <w:rFonts w:ascii="Calibri" w:eastAsia="Times New Roman" w:hAnsi="Calibri" w:cs="Calibri"/>
                <w:color w:val="000000"/>
                <w:sz w:val="20"/>
                <w:szCs w:val="20"/>
              </w:rPr>
              <w:t xml:space="preserve">lignement des modalités de paiement pour se diriger vers </w:t>
            </w:r>
            <w:r w:rsidR="00017D16">
              <w:rPr>
                <w:rFonts w:ascii="Calibri" w:eastAsia="Times New Roman" w:hAnsi="Calibri" w:cs="Calibri"/>
                <w:color w:val="000000"/>
                <w:sz w:val="20"/>
                <w:szCs w:val="20"/>
              </w:rPr>
              <w:t xml:space="preserve">une formule de paiement basée sur la </w:t>
            </w:r>
            <w:r>
              <w:rPr>
                <w:rFonts w:ascii="Calibri" w:eastAsia="Times New Roman" w:hAnsi="Calibri" w:cs="Calibri"/>
                <w:color w:val="000000"/>
                <w:sz w:val="20"/>
                <w:szCs w:val="20"/>
              </w:rPr>
              <w:t xml:space="preserve"> capitation</w:t>
            </w:r>
            <w:r w:rsidR="00017D16">
              <w:rPr>
                <w:rFonts w:ascii="Calibri" w:eastAsia="Times New Roman" w:hAnsi="Calibri" w:cs="Calibri"/>
                <w:color w:val="000000"/>
                <w:sz w:val="20"/>
                <w:szCs w:val="20"/>
              </w:rPr>
              <w:t xml:space="preserve"> ajustée pour intégrer critères d’équité </w:t>
            </w:r>
            <w:r>
              <w:rPr>
                <w:rFonts w:ascii="Calibri" w:eastAsia="Times New Roman" w:hAnsi="Calibri" w:cs="Calibri"/>
                <w:color w:val="000000"/>
                <w:sz w:val="20"/>
                <w:szCs w:val="20"/>
              </w:rPr>
              <w:t>au niveau des SSP</w:t>
            </w:r>
            <w:r w:rsidRPr="00D636C4">
              <w:rPr>
                <w:rFonts w:ascii="Calibri" w:eastAsia="Times New Roman" w:hAnsi="Calibri" w:cs="Calibri"/>
                <w:color w:val="000000"/>
                <w:sz w:val="20"/>
                <w:szCs w:val="20"/>
              </w:rPr>
              <w:t xml:space="preserve"> (y compris refonte et révision du système de recouvrement des coûts).</w:t>
            </w:r>
          </w:p>
        </w:tc>
        <w:tc>
          <w:tcPr>
            <w:tcW w:w="1350" w:type="dxa"/>
            <w:shd w:val="clear" w:color="auto" w:fill="auto"/>
            <w:hideMark/>
          </w:tcPr>
          <w:p w14:paraId="7EAFBB89" w14:textId="77777777" w:rsidR="001207C8" w:rsidRPr="00D636C4" w:rsidRDefault="0076372A" w:rsidP="001207C8">
            <w:pPr>
              <w:spacing w:line="240" w:lineRule="auto"/>
              <w:rPr>
                <w:rFonts w:ascii="Calibri" w:eastAsia="Times New Roman" w:hAnsi="Calibri" w:cs="Calibri"/>
                <w:color w:val="000000"/>
                <w:sz w:val="20"/>
                <w:szCs w:val="20"/>
              </w:rPr>
            </w:pPr>
            <w:r w:rsidRPr="007D56AB">
              <w:rPr>
                <w:rFonts w:ascii="Calibri" w:eastAsia="Times New Roman" w:hAnsi="Calibri" w:cs="Calibri"/>
                <w:sz w:val="20"/>
                <w:szCs w:val="20"/>
              </w:rPr>
              <w:t>Comit</w:t>
            </w:r>
            <w:r>
              <w:rPr>
                <w:rFonts w:ascii="Calibri" w:eastAsia="Times New Roman" w:hAnsi="Calibri" w:cs="Calibri"/>
                <w:sz w:val="20"/>
                <w:szCs w:val="20"/>
              </w:rPr>
              <w:t>é</w:t>
            </w:r>
            <w:r w:rsidRPr="007D56AB">
              <w:rPr>
                <w:rFonts w:ascii="Calibri" w:eastAsia="Times New Roman" w:hAnsi="Calibri" w:cs="Calibri"/>
                <w:sz w:val="20"/>
                <w:szCs w:val="20"/>
              </w:rPr>
              <w:t xml:space="preserve"> </w:t>
            </w:r>
            <w:r w:rsidR="007D56AB" w:rsidRPr="007D56AB">
              <w:rPr>
                <w:rFonts w:ascii="Calibri" w:eastAsia="Times New Roman" w:hAnsi="Calibri" w:cs="Calibri"/>
                <w:sz w:val="20"/>
                <w:szCs w:val="20"/>
              </w:rPr>
              <w:t>interministériel CSU</w:t>
            </w:r>
          </w:p>
        </w:tc>
        <w:tc>
          <w:tcPr>
            <w:tcW w:w="2611" w:type="dxa"/>
            <w:shd w:val="clear" w:color="auto" w:fill="auto"/>
            <w:hideMark/>
          </w:tcPr>
          <w:p w14:paraId="36BA7A32"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Analyses préliminaires menées, processus consensuel de développement des critères mené (avec implication du niveau opérationnel ?), système unique adopté. </w:t>
            </w:r>
          </w:p>
        </w:tc>
        <w:tc>
          <w:tcPr>
            <w:tcW w:w="2408" w:type="dxa"/>
            <w:shd w:val="clear" w:color="auto" w:fill="auto"/>
            <w:hideMark/>
          </w:tcPr>
          <w:p w14:paraId="2AEE9AB8"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Résistances au changement des caisses et de leurs membres, absence des capacités techniques nécessaires, manque de données pour appuyer la prise de décision, non-application des règles dans la pratique.</w:t>
            </w:r>
          </w:p>
        </w:tc>
        <w:tc>
          <w:tcPr>
            <w:tcW w:w="360" w:type="dxa"/>
            <w:shd w:val="clear" w:color="auto" w:fill="auto"/>
          </w:tcPr>
          <w:p w14:paraId="1EB2546C"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3A5D62F7"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2BAA6C42" w14:textId="77777777" w:rsidR="001207C8" w:rsidRPr="00D636C4" w:rsidRDefault="001207C8" w:rsidP="001207C8">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4407E13D"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7D58C303"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513E52D5"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5EFCA240"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1CE9482B"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45005C" w:rsidRPr="00D636C4" w14:paraId="59BEE7C5" w14:textId="77777777" w:rsidTr="0045005C">
        <w:trPr>
          <w:trHeight w:val="530"/>
        </w:trPr>
        <w:tc>
          <w:tcPr>
            <w:tcW w:w="4499" w:type="dxa"/>
            <w:shd w:val="clear" w:color="auto" w:fill="auto"/>
          </w:tcPr>
          <w:p w14:paraId="71DF5B32" w14:textId="77777777" w:rsidR="0045005C" w:rsidRPr="00D636C4" w:rsidRDefault="00325D8C" w:rsidP="001207C8">
            <w:pPr>
              <w:spacing w:line="240" w:lineRule="auto"/>
              <w:rPr>
                <w:rFonts w:ascii="Calibri" w:eastAsia="Times New Roman" w:hAnsi="Calibri" w:cs="Calibri"/>
                <w:color w:val="000000"/>
                <w:sz w:val="20"/>
                <w:szCs w:val="20"/>
              </w:rPr>
            </w:pPr>
            <w:r w:rsidRPr="00325D8C">
              <w:rPr>
                <w:rFonts w:ascii="Calibri" w:eastAsia="Times New Roman" w:hAnsi="Calibri" w:cs="Calibri"/>
                <w:color w:val="000000"/>
                <w:sz w:val="20"/>
                <w:szCs w:val="20"/>
              </w:rPr>
              <w:lastRenderedPageBreak/>
              <w:t>Mettre en place un s</w:t>
            </w:r>
            <w:r w:rsidR="0045005C" w:rsidRPr="00325D8C">
              <w:rPr>
                <w:rFonts w:ascii="Calibri" w:eastAsia="Times New Roman" w:hAnsi="Calibri" w:cs="Calibri"/>
                <w:color w:val="000000"/>
                <w:sz w:val="20"/>
                <w:szCs w:val="20"/>
              </w:rPr>
              <w:t xml:space="preserve">ystème de référence et contre référence entre </w:t>
            </w:r>
            <w:r w:rsidR="007D56AB" w:rsidRPr="00325D8C">
              <w:rPr>
                <w:rFonts w:ascii="Calibri" w:eastAsia="Times New Roman" w:hAnsi="Calibri" w:cs="Calibri"/>
                <w:color w:val="000000"/>
                <w:sz w:val="20"/>
                <w:szCs w:val="20"/>
              </w:rPr>
              <w:t>niveau primaire</w:t>
            </w:r>
            <w:r w:rsidR="0045005C" w:rsidRPr="00325D8C">
              <w:rPr>
                <w:rFonts w:ascii="Calibri" w:eastAsia="Times New Roman" w:hAnsi="Calibri" w:cs="Calibri"/>
                <w:color w:val="000000"/>
                <w:sz w:val="20"/>
                <w:szCs w:val="20"/>
              </w:rPr>
              <w:t xml:space="preserve"> et niveaux </w:t>
            </w:r>
            <w:r w:rsidR="007D56AB" w:rsidRPr="00325D8C">
              <w:rPr>
                <w:rFonts w:ascii="Calibri" w:eastAsia="Times New Roman" w:hAnsi="Calibri" w:cs="Calibri"/>
                <w:color w:val="000000"/>
                <w:sz w:val="20"/>
                <w:szCs w:val="20"/>
              </w:rPr>
              <w:t>secondaires/ tertiaires</w:t>
            </w:r>
          </w:p>
        </w:tc>
        <w:tc>
          <w:tcPr>
            <w:tcW w:w="1350" w:type="dxa"/>
            <w:shd w:val="clear" w:color="auto" w:fill="auto"/>
          </w:tcPr>
          <w:p w14:paraId="20BA7325" w14:textId="77777777" w:rsidR="0045005C" w:rsidRPr="00D636C4" w:rsidRDefault="00325D8C"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MDS</w:t>
            </w:r>
          </w:p>
        </w:tc>
        <w:tc>
          <w:tcPr>
            <w:tcW w:w="2611" w:type="dxa"/>
            <w:shd w:val="clear" w:color="auto" w:fill="auto"/>
          </w:tcPr>
          <w:p w14:paraId="2BE00E29" w14:textId="77777777" w:rsidR="0045005C" w:rsidRPr="00D636C4" w:rsidRDefault="00325D8C"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Loi définissant parcours du malade et système de référence passée</w:t>
            </w:r>
          </w:p>
        </w:tc>
        <w:tc>
          <w:tcPr>
            <w:tcW w:w="2408" w:type="dxa"/>
            <w:shd w:val="clear" w:color="auto" w:fill="auto"/>
          </w:tcPr>
          <w:p w14:paraId="4D8C0BD1" w14:textId="77777777" w:rsidR="0045005C" w:rsidRPr="00D636C4" w:rsidRDefault="0076372A"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w:t>
            </w:r>
            <w:r>
              <w:rPr>
                <w:rFonts w:ascii="Calibri" w:eastAsia="Times New Roman" w:hAnsi="Calibri" w:cs="Calibri"/>
                <w:color w:val="000000"/>
                <w:sz w:val="20"/>
                <w:szCs w:val="20"/>
              </w:rPr>
              <w:t>é</w:t>
            </w:r>
            <w:r w:rsidRPr="00D636C4">
              <w:rPr>
                <w:rFonts w:ascii="Calibri" w:eastAsia="Times New Roman" w:hAnsi="Calibri" w:cs="Calibri"/>
                <w:color w:val="000000"/>
                <w:sz w:val="20"/>
                <w:szCs w:val="20"/>
              </w:rPr>
              <w:t xml:space="preserve">sistance </w:t>
            </w:r>
            <w:r w:rsidR="00325D8C" w:rsidRPr="00D636C4">
              <w:rPr>
                <w:rFonts w:ascii="Calibri" w:eastAsia="Times New Roman" w:hAnsi="Calibri" w:cs="Calibri"/>
                <w:color w:val="000000"/>
                <w:sz w:val="20"/>
                <w:szCs w:val="20"/>
              </w:rPr>
              <w:t>des acteurs</w:t>
            </w:r>
            <w:r w:rsidR="00325D8C">
              <w:rPr>
                <w:rFonts w:ascii="Calibri" w:eastAsia="Times New Roman" w:hAnsi="Calibri" w:cs="Calibri"/>
                <w:color w:val="000000"/>
                <w:sz w:val="20"/>
                <w:szCs w:val="20"/>
              </w:rPr>
              <w:t xml:space="preserve"> du secondaire et tertiaire ; manque d’investissement dans l’offre de SSP </w:t>
            </w:r>
          </w:p>
        </w:tc>
        <w:tc>
          <w:tcPr>
            <w:tcW w:w="360" w:type="dxa"/>
            <w:shd w:val="clear" w:color="auto" w:fill="auto"/>
          </w:tcPr>
          <w:p w14:paraId="10AE315D" w14:textId="77777777" w:rsidR="0045005C" w:rsidRPr="00D636C4" w:rsidRDefault="0045005C"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05A86780" w14:textId="77777777" w:rsidR="0045005C" w:rsidRPr="00D636C4" w:rsidRDefault="0045005C" w:rsidP="001207C8">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28973B25" w14:textId="77777777" w:rsidR="0045005C" w:rsidRPr="00D636C4" w:rsidRDefault="0045005C"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4CC4C345" w14:textId="77777777" w:rsidR="0045005C" w:rsidRPr="00D636C4" w:rsidRDefault="0045005C"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33841D30" w14:textId="77777777" w:rsidR="0045005C" w:rsidRPr="00D636C4" w:rsidRDefault="0045005C"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6E607C39" w14:textId="77777777" w:rsidR="0045005C" w:rsidRPr="00D636C4" w:rsidRDefault="0045005C"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068A82FB" w14:textId="77777777" w:rsidR="0045005C" w:rsidRPr="00D636C4" w:rsidRDefault="0045005C"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0ACF9CCC" w14:textId="77777777" w:rsidR="0045005C" w:rsidRPr="00D636C4" w:rsidRDefault="0045005C" w:rsidP="001207C8">
            <w:pPr>
              <w:spacing w:line="240" w:lineRule="auto"/>
              <w:rPr>
                <w:rFonts w:ascii="Calibri" w:eastAsia="Times New Roman" w:hAnsi="Calibri" w:cs="Calibri"/>
                <w:b/>
                <w:bCs/>
                <w:color w:val="000000"/>
                <w:sz w:val="20"/>
                <w:szCs w:val="20"/>
              </w:rPr>
            </w:pPr>
          </w:p>
        </w:tc>
      </w:tr>
      <w:tr w:rsidR="001207C8" w:rsidRPr="00D636C4" w14:paraId="0F1BF5E5" w14:textId="77777777" w:rsidTr="00EC5FBE">
        <w:trPr>
          <w:trHeight w:val="1020"/>
        </w:trPr>
        <w:tc>
          <w:tcPr>
            <w:tcW w:w="4499" w:type="dxa"/>
            <w:shd w:val="clear" w:color="auto" w:fill="auto"/>
            <w:hideMark/>
          </w:tcPr>
          <w:p w14:paraId="0BCE4A1C"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Revue et alignement des modalités de contractualisation des structures publiques et privées entre tous les acheteurs (CNASS, CNAM, budget de l'état et PTFs).</w:t>
            </w:r>
          </w:p>
        </w:tc>
        <w:tc>
          <w:tcPr>
            <w:tcW w:w="1350" w:type="dxa"/>
            <w:shd w:val="clear" w:color="auto" w:fill="auto"/>
            <w:hideMark/>
          </w:tcPr>
          <w:p w14:paraId="03FDC9F9"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MS/DGRP/DOQS</w:t>
            </w:r>
          </w:p>
        </w:tc>
        <w:tc>
          <w:tcPr>
            <w:tcW w:w="2611" w:type="dxa"/>
            <w:shd w:val="clear" w:color="auto" w:fill="auto"/>
            <w:hideMark/>
          </w:tcPr>
          <w:p w14:paraId="3A3A18F8" w14:textId="77777777" w:rsidR="001207C8"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Disponibilité des textes et grille de tarification harmonisée.</w:t>
            </w:r>
          </w:p>
          <w:p w14:paraId="61DCAED2" w14:textId="77777777" w:rsidR="001207C8" w:rsidRDefault="001207C8" w:rsidP="001207C8">
            <w:pPr>
              <w:spacing w:line="240" w:lineRule="auto"/>
              <w:rPr>
                <w:rFonts w:ascii="Calibri" w:eastAsia="Calibri" w:hAnsi="Calibri" w:cs="Calibri"/>
              </w:rPr>
            </w:pPr>
            <w:r>
              <w:rPr>
                <w:rFonts w:ascii="Calibri" w:eastAsia="Calibri" w:hAnsi="Calibri" w:cs="Calibri"/>
              </w:rPr>
              <w:t>Les FOSA privées appliquent les normes du MS et des tarifs homologués par le MS</w:t>
            </w:r>
          </w:p>
          <w:p w14:paraId="6A2B8820" w14:textId="77777777" w:rsidR="001207C8" w:rsidRPr="00D636C4" w:rsidRDefault="001207C8" w:rsidP="001207C8">
            <w:pPr>
              <w:spacing w:line="240" w:lineRule="auto"/>
              <w:rPr>
                <w:rFonts w:ascii="Calibri" w:eastAsia="Times New Roman" w:hAnsi="Calibri" w:cs="Calibri"/>
                <w:color w:val="000000"/>
                <w:sz w:val="20"/>
                <w:szCs w:val="20"/>
              </w:rPr>
            </w:pPr>
            <w:r>
              <w:rPr>
                <w:rFonts w:ascii="Calibri" w:eastAsia="Calibri" w:hAnsi="Calibri" w:cs="Calibri"/>
              </w:rPr>
              <w:t>Existence d’une politique de recrutement et de gestion des carrières</w:t>
            </w:r>
          </w:p>
        </w:tc>
        <w:tc>
          <w:tcPr>
            <w:tcW w:w="2408" w:type="dxa"/>
            <w:shd w:val="clear" w:color="auto" w:fill="auto"/>
            <w:hideMark/>
          </w:tcPr>
          <w:p w14:paraId="23122BAA" w14:textId="77777777" w:rsidR="001207C8" w:rsidRPr="00D636C4" w:rsidRDefault="0076372A"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w:t>
            </w:r>
            <w:r>
              <w:rPr>
                <w:rFonts w:ascii="Calibri" w:eastAsia="Times New Roman" w:hAnsi="Calibri" w:cs="Calibri"/>
                <w:color w:val="000000"/>
                <w:sz w:val="20"/>
                <w:szCs w:val="20"/>
              </w:rPr>
              <w:t>é</w:t>
            </w:r>
            <w:r w:rsidRPr="00D636C4">
              <w:rPr>
                <w:rFonts w:ascii="Calibri" w:eastAsia="Times New Roman" w:hAnsi="Calibri" w:cs="Calibri"/>
                <w:color w:val="000000"/>
                <w:sz w:val="20"/>
                <w:szCs w:val="20"/>
              </w:rPr>
              <w:t xml:space="preserve">sistance </w:t>
            </w:r>
            <w:r w:rsidR="001207C8" w:rsidRPr="00D636C4">
              <w:rPr>
                <w:rFonts w:ascii="Calibri" w:eastAsia="Times New Roman" w:hAnsi="Calibri" w:cs="Calibri"/>
                <w:color w:val="000000"/>
                <w:sz w:val="20"/>
                <w:szCs w:val="20"/>
              </w:rPr>
              <w:t>des acteurs du privé.</w:t>
            </w:r>
          </w:p>
        </w:tc>
        <w:tc>
          <w:tcPr>
            <w:tcW w:w="360" w:type="dxa"/>
            <w:shd w:val="clear" w:color="auto" w:fill="auto"/>
          </w:tcPr>
          <w:p w14:paraId="0B21CBCA"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2A93AC3F" w14:textId="77777777" w:rsidR="001207C8" w:rsidRPr="00D636C4" w:rsidRDefault="001207C8" w:rsidP="001207C8">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7E43B8A3"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070F378F"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6DD3239E"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580A46DA"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1D4D0D1D"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2FFCC4F0"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785AD287" w14:textId="77777777" w:rsidTr="00E6730B">
        <w:trPr>
          <w:trHeight w:val="2843"/>
        </w:trPr>
        <w:tc>
          <w:tcPr>
            <w:tcW w:w="4499" w:type="dxa"/>
            <w:shd w:val="clear" w:color="auto" w:fill="auto"/>
            <w:hideMark/>
          </w:tcPr>
          <w:p w14:paraId="3EB50957"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Créer un système d'accréditation national cohérent pour assurer la disponibilité du P</w:t>
            </w:r>
            <w:r>
              <w:rPr>
                <w:rFonts w:ascii="Calibri" w:eastAsia="Times New Roman" w:hAnsi="Calibri" w:cs="Calibri"/>
                <w:color w:val="000000"/>
                <w:sz w:val="20"/>
                <w:szCs w:val="20"/>
              </w:rPr>
              <w:t>aquet Minimum d’Activités (P</w:t>
            </w:r>
            <w:r w:rsidRPr="00D636C4">
              <w:rPr>
                <w:rFonts w:ascii="Calibri" w:eastAsia="Times New Roman" w:hAnsi="Calibri" w:cs="Calibri"/>
                <w:color w:val="000000"/>
                <w:sz w:val="20"/>
                <w:szCs w:val="20"/>
              </w:rPr>
              <w:t>M</w:t>
            </w:r>
            <w:r>
              <w:rPr>
                <w:rFonts w:ascii="Calibri" w:eastAsia="Times New Roman" w:hAnsi="Calibri" w:cs="Calibri"/>
                <w:color w:val="000000"/>
                <w:sz w:val="20"/>
                <w:szCs w:val="20"/>
              </w:rPr>
              <w:t>A)</w:t>
            </w:r>
            <w:r w:rsidRPr="00D636C4">
              <w:rPr>
                <w:rFonts w:ascii="Calibri" w:eastAsia="Times New Roman" w:hAnsi="Calibri" w:cs="Calibri"/>
                <w:color w:val="000000"/>
                <w:sz w:val="20"/>
                <w:szCs w:val="20"/>
              </w:rPr>
              <w:t xml:space="preserve"> et </w:t>
            </w:r>
            <w:r>
              <w:rPr>
                <w:rFonts w:ascii="Calibri" w:eastAsia="Times New Roman" w:hAnsi="Calibri" w:cs="Calibri"/>
                <w:color w:val="000000"/>
                <w:sz w:val="20"/>
                <w:szCs w:val="20"/>
              </w:rPr>
              <w:t>Paquet Complet d’Activités (</w:t>
            </w:r>
            <w:r w:rsidRPr="00D636C4">
              <w:rPr>
                <w:rFonts w:ascii="Calibri" w:eastAsia="Times New Roman" w:hAnsi="Calibri" w:cs="Calibri"/>
                <w:color w:val="000000"/>
                <w:sz w:val="20"/>
                <w:szCs w:val="20"/>
              </w:rPr>
              <w:t>PCA</w:t>
            </w:r>
            <w:r>
              <w:rPr>
                <w:rFonts w:ascii="Calibri" w:eastAsia="Times New Roman" w:hAnsi="Calibri" w:cs="Calibri"/>
                <w:color w:val="000000"/>
                <w:sz w:val="20"/>
                <w:szCs w:val="20"/>
              </w:rPr>
              <w:t>)</w:t>
            </w:r>
            <w:r w:rsidRPr="00D636C4">
              <w:rPr>
                <w:rFonts w:ascii="Calibri" w:eastAsia="Times New Roman" w:hAnsi="Calibri" w:cs="Calibri"/>
                <w:color w:val="000000"/>
                <w:sz w:val="20"/>
                <w:szCs w:val="20"/>
              </w:rPr>
              <w:t xml:space="preserve"> dans tout le pays.</w:t>
            </w:r>
          </w:p>
        </w:tc>
        <w:tc>
          <w:tcPr>
            <w:tcW w:w="1350" w:type="dxa"/>
            <w:shd w:val="clear" w:color="auto" w:fill="auto"/>
            <w:hideMark/>
          </w:tcPr>
          <w:p w14:paraId="42341C75"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DGRP/DGSP</w:t>
            </w:r>
          </w:p>
        </w:tc>
        <w:tc>
          <w:tcPr>
            <w:tcW w:w="2611" w:type="dxa"/>
            <w:shd w:val="clear" w:color="auto" w:fill="auto"/>
            <w:hideMark/>
          </w:tcPr>
          <w:p w14:paraId="643483C7"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Analyses préliminaires menées, processus consensuel de développement des critères mené (avec implication du niveau opérationnel ?), outil d'accréditation développé et validé, système unique adopté, agence responsable suffisamment </w:t>
            </w:r>
            <w:r w:rsidR="0076372A">
              <w:rPr>
                <w:rFonts w:ascii="Calibri" w:eastAsia="Times New Roman" w:hAnsi="Calibri" w:cs="Calibri"/>
                <w:color w:val="000000"/>
                <w:sz w:val="20"/>
                <w:szCs w:val="20"/>
              </w:rPr>
              <w:t xml:space="preserve">en </w:t>
            </w:r>
            <w:r w:rsidRPr="00D636C4">
              <w:rPr>
                <w:rFonts w:ascii="Calibri" w:eastAsia="Times New Roman" w:hAnsi="Calibri" w:cs="Calibri"/>
                <w:color w:val="000000"/>
                <w:sz w:val="20"/>
                <w:szCs w:val="20"/>
              </w:rPr>
              <w:t>capacité pour l'appliquer.</w:t>
            </w:r>
          </w:p>
        </w:tc>
        <w:tc>
          <w:tcPr>
            <w:tcW w:w="2408" w:type="dxa"/>
            <w:shd w:val="clear" w:color="auto" w:fill="auto"/>
            <w:hideMark/>
          </w:tcPr>
          <w:p w14:paraId="4DB049E0"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Résistances au changement des acteurs au niveau opérationnel, absence des capacités techniques nécessaires, manque de données pour appuyer la prise de décision, non-application des règles dans la pratique.</w:t>
            </w:r>
          </w:p>
        </w:tc>
        <w:tc>
          <w:tcPr>
            <w:tcW w:w="360" w:type="dxa"/>
            <w:shd w:val="clear" w:color="auto" w:fill="auto"/>
            <w:hideMark/>
          </w:tcPr>
          <w:p w14:paraId="7F0EF561"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D9D9D9" w:fill="D9D9D9"/>
            <w:noWrap/>
            <w:hideMark/>
          </w:tcPr>
          <w:p w14:paraId="7BE896BA" w14:textId="77777777" w:rsidR="001207C8" w:rsidRPr="00D636C4" w:rsidRDefault="001207C8" w:rsidP="001207C8">
            <w:pPr>
              <w:spacing w:line="240" w:lineRule="auto"/>
              <w:jc w:val="right"/>
              <w:rPr>
                <w:rFonts w:ascii="Calibri" w:eastAsia="Times New Roman" w:hAnsi="Calibri" w:cs="Calibri"/>
                <w:b/>
                <w:bCs/>
                <w:color w:val="000000"/>
                <w:sz w:val="20"/>
                <w:szCs w:val="20"/>
              </w:rPr>
            </w:pPr>
          </w:p>
        </w:tc>
        <w:tc>
          <w:tcPr>
            <w:tcW w:w="360" w:type="dxa"/>
            <w:shd w:val="clear" w:color="auto" w:fill="F2F2F2" w:themeFill="background1" w:themeFillShade="F2"/>
            <w:noWrap/>
            <w:hideMark/>
          </w:tcPr>
          <w:p w14:paraId="24EB4D97"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F2F2F2" w:themeFill="background1" w:themeFillShade="F2"/>
            <w:noWrap/>
            <w:hideMark/>
          </w:tcPr>
          <w:p w14:paraId="720C629C"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602FE2D2"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281D7EB6"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0E92DF97"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339864AB"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1E801C6E" w14:textId="77777777" w:rsidTr="00EC5FBE">
        <w:trPr>
          <w:trHeight w:val="521"/>
        </w:trPr>
        <w:tc>
          <w:tcPr>
            <w:tcW w:w="13748" w:type="dxa"/>
            <w:gridSpan w:val="12"/>
            <w:shd w:val="clear" w:color="CCCCCC" w:fill="CCCCCC"/>
            <w:hideMark/>
          </w:tcPr>
          <w:p w14:paraId="4F4B8026"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OS4 : Renforcement des fonctions sous-jacentes au système de financement de la santé : données, GFP, gouvernance.</w:t>
            </w:r>
          </w:p>
        </w:tc>
      </w:tr>
      <w:tr w:rsidR="001207C8" w:rsidRPr="00D636C4" w14:paraId="37AE29EF" w14:textId="77777777" w:rsidTr="005C7D89">
        <w:trPr>
          <w:trHeight w:val="320"/>
        </w:trPr>
        <w:tc>
          <w:tcPr>
            <w:tcW w:w="13748" w:type="dxa"/>
            <w:gridSpan w:val="12"/>
            <w:shd w:val="clear" w:color="F3F3F3" w:fill="F3F3F3"/>
            <w:hideMark/>
          </w:tcPr>
          <w:p w14:paraId="33CF6DA5" w14:textId="77777777" w:rsidR="001207C8" w:rsidRPr="00D636C4" w:rsidRDefault="001207C8" w:rsidP="001207C8">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4.1. Gouvernance</w:t>
            </w:r>
          </w:p>
        </w:tc>
      </w:tr>
      <w:tr w:rsidR="001207C8" w:rsidRPr="00D636C4" w14:paraId="2F0B7EA5" w14:textId="77777777" w:rsidTr="00C54A4B">
        <w:trPr>
          <w:trHeight w:val="890"/>
        </w:trPr>
        <w:tc>
          <w:tcPr>
            <w:tcW w:w="4499" w:type="dxa"/>
            <w:shd w:val="clear" w:color="auto" w:fill="auto"/>
          </w:tcPr>
          <w:p w14:paraId="2F8B8B3E" w14:textId="77777777" w:rsidR="001207C8" w:rsidRPr="00F7695E" w:rsidRDefault="001207C8" w:rsidP="001207C8">
            <w:pPr>
              <w:spacing w:line="240" w:lineRule="auto"/>
              <w:rPr>
                <w:rFonts w:ascii="Calibri" w:eastAsia="Times New Roman" w:hAnsi="Calibri" w:cs="Calibri"/>
                <w:color w:val="000000"/>
                <w:sz w:val="20"/>
                <w:szCs w:val="20"/>
                <w:highlight w:val="yellow"/>
              </w:rPr>
            </w:pPr>
            <w:r w:rsidRPr="00F7695E">
              <w:rPr>
                <w:rFonts w:ascii="Calibri" w:eastAsia="Times New Roman" w:hAnsi="Calibri" w:cs="Calibri"/>
                <w:color w:val="000000"/>
                <w:sz w:val="20"/>
                <w:szCs w:val="20"/>
                <w:highlight w:val="yellow"/>
              </w:rPr>
              <w:t xml:space="preserve">Mise en place d’un Comité </w:t>
            </w:r>
            <w:r w:rsidR="000F0FE6" w:rsidRPr="00F7695E">
              <w:rPr>
                <w:rFonts w:ascii="Calibri" w:eastAsia="Times New Roman" w:hAnsi="Calibri" w:cs="Calibri"/>
                <w:color w:val="000000"/>
                <w:sz w:val="20"/>
                <w:szCs w:val="20"/>
                <w:highlight w:val="yellow"/>
              </w:rPr>
              <w:t>interministériel CSU (Primature, ministère des Finances et ministère</w:t>
            </w:r>
            <w:r w:rsidR="00913954" w:rsidRPr="00F7695E">
              <w:rPr>
                <w:rFonts w:ascii="Calibri" w:eastAsia="Times New Roman" w:hAnsi="Calibri" w:cs="Calibri"/>
                <w:color w:val="000000"/>
                <w:sz w:val="20"/>
                <w:szCs w:val="20"/>
                <w:highlight w:val="yellow"/>
              </w:rPr>
              <w:t xml:space="preserve"> de </w:t>
            </w:r>
            <w:r w:rsidR="0076372A" w:rsidRPr="00F7695E">
              <w:rPr>
                <w:rFonts w:ascii="Calibri" w:eastAsia="Times New Roman" w:hAnsi="Calibri" w:cs="Calibri"/>
                <w:color w:val="000000"/>
                <w:sz w:val="20"/>
                <w:szCs w:val="20"/>
                <w:highlight w:val="yellow"/>
              </w:rPr>
              <w:t xml:space="preserve">l’Economie </w:t>
            </w:r>
            <w:r w:rsidR="00913954" w:rsidRPr="00F7695E">
              <w:rPr>
                <w:rFonts w:ascii="Calibri" w:eastAsia="Times New Roman" w:hAnsi="Calibri" w:cs="Calibri"/>
                <w:color w:val="000000"/>
                <w:sz w:val="20"/>
                <w:szCs w:val="20"/>
                <w:highlight w:val="yellow"/>
              </w:rPr>
              <w:t xml:space="preserve">et du </w:t>
            </w:r>
            <w:r w:rsidR="0076372A" w:rsidRPr="00F7695E">
              <w:rPr>
                <w:rFonts w:ascii="Calibri" w:eastAsia="Times New Roman" w:hAnsi="Calibri" w:cs="Calibri"/>
                <w:color w:val="000000"/>
                <w:sz w:val="20"/>
                <w:szCs w:val="20"/>
                <w:highlight w:val="yellow"/>
              </w:rPr>
              <w:t xml:space="preserve">Développement </w:t>
            </w:r>
            <w:r w:rsidR="00913954" w:rsidRPr="00F7695E">
              <w:rPr>
                <w:rFonts w:ascii="Calibri" w:eastAsia="Times New Roman" w:hAnsi="Calibri" w:cs="Calibri"/>
                <w:color w:val="000000"/>
                <w:sz w:val="20"/>
                <w:szCs w:val="20"/>
                <w:highlight w:val="yellow"/>
              </w:rPr>
              <w:t>durable</w:t>
            </w:r>
            <w:r w:rsidR="000F0FE6" w:rsidRPr="00F7695E">
              <w:rPr>
                <w:rFonts w:ascii="Calibri" w:eastAsia="Times New Roman" w:hAnsi="Calibri" w:cs="Calibri"/>
                <w:color w:val="000000"/>
                <w:sz w:val="20"/>
                <w:szCs w:val="20"/>
                <w:highlight w:val="yellow"/>
              </w:rPr>
              <w:t xml:space="preserve">, ministère de la Santé, parlementaires, secteur </w:t>
            </w:r>
            <w:r w:rsidR="0076372A" w:rsidRPr="00F7695E">
              <w:rPr>
                <w:rFonts w:ascii="Calibri" w:eastAsia="Times New Roman" w:hAnsi="Calibri" w:cs="Calibri"/>
                <w:color w:val="000000"/>
                <w:sz w:val="20"/>
                <w:szCs w:val="20"/>
                <w:highlight w:val="yellow"/>
              </w:rPr>
              <w:t>privé</w:t>
            </w:r>
            <w:r w:rsidR="000F0FE6" w:rsidRPr="00F7695E">
              <w:rPr>
                <w:rFonts w:ascii="Calibri" w:eastAsia="Times New Roman" w:hAnsi="Calibri" w:cs="Calibri"/>
                <w:color w:val="000000"/>
                <w:sz w:val="20"/>
                <w:szCs w:val="20"/>
                <w:highlight w:val="yellow"/>
              </w:rPr>
              <w:t xml:space="preserve">) </w:t>
            </w:r>
            <w:r w:rsidRPr="00F7695E">
              <w:rPr>
                <w:rFonts w:ascii="Calibri" w:eastAsia="Times New Roman" w:hAnsi="Calibri" w:cs="Calibri"/>
                <w:color w:val="000000"/>
                <w:sz w:val="20"/>
                <w:szCs w:val="20"/>
                <w:highlight w:val="yellow"/>
              </w:rPr>
              <w:t xml:space="preserve">chargé de </w:t>
            </w:r>
            <w:r w:rsidRPr="00F7695E">
              <w:rPr>
                <w:rFonts w:ascii="Calibri" w:eastAsia="Times New Roman" w:hAnsi="Calibri" w:cs="Calibri"/>
                <w:color w:val="000000"/>
                <w:sz w:val="20"/>
                <w:szCs w:val="20"/>
                <w:highlight w:val="yellow"/>
              </w:rPr>
              <w:lastRenderedPageBreak/>
              <w:t>la coordination et du repositionnement des SSP</w:t>
            </w:r>
            <w:r w:rsidR="000F0FE6" w:rsidRPr="00F7695E">
              <w:rPr>
                <w:rFonts w:ascii="Calibri" w:eastAsia="Times New Roman" w:hAnsi="Calibri" w:cs="Calibri"/>
                <w:color w:val="000000"/>
                <w:sz w:val="20"/>
                <w:szCs w:val="20"/>
                <w:highlight w:val="yellow"/>
              </w:rPr>
              <w:t xml:space="preserve"> et du développement de la stratégie de la CSU</w:t>
            </w:r>
          </w:p>
        </w:tc>
        <w:tc>
          <w:tcPr>
            <w:tcW w:w="1350" w:type="dxa"/>
            <w:shd w:val="clear" w:color="auto" w:fill="auto"/>
          </w:tcPr>
          <w:p w14:paraId="1769A610" w14:textId="77777777" w:rsidR="001207C8" w:rsidRPr="00370F2E" w:rsidRDefault="001207C8" w:rsidP="001207C8">
            <w:pPr>
              <w:spacing w:line="240" w:lineRule="auto"/>
              <w:rPr>
                <w:rFonts w:ascii="Calibri" w:eastAsia="Times New Roman" w:hAnsi="Calibri" w:cs="Calibri"/>
                <w:color w:val="000000"/>
                <w:sz w:val="20"/>
                <w:szCs w:val="20"/>
              </w:rPr>
            </w:pPr>
            <w:r w:rsidRPr="00370F2E">
              <w:rPr>
                <w:rFonts w:ascii="Calibri" w:eastAsia="Times New Roman" w:hAnsi="Calibri" w:cs="Calibri"/>
                <w:color w:val="000000"/>
                <w:sz w:val="20"/>
                <w:szCs w:val="20"/>
              </w:rPr>
              <w:lastRenderedPageBreak/>
              <w:t>MS/ MF</w:t>
            </w:r>
          </w:p>
        </w:tc>
        <w:tc>
          <w:tcPr>
            <w:tcW w:w="2611" w:type="dxa"/>
            <w:shd w:val="clear" w:color="auto" w:fill="auto"/>
          </w:tcPr>
          <w:p w14:paraId="4B1473CD" w14:textId="77777777" w:rsidR="001207C8" w:rsidRDefault="000F0FE6"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Termes de référence pour comit</w:t>
            </w:r>
            <w:r w:rsidR="00370F2E">
              <w:rPr>
                <w:rFonts w:ascii="Calibri" w:eastAsia="Times New Roman" w:hAnsi="Calibri" w:cs="Calibri"/>
                <w:color w:val="000000"/>
                <w:sz w:val="20"/>
                <w:szCs w:val="20"/>
              </w:rPr>
              <w:t>é</w:t>
            </w:r>
            <w:r>
              <w:rPr>
                <w:rFonts w:ascii="Calibri" w:eastAsia="Times New Roman" w:hAnsi="Calibri" w:cs="Calibri"/>
                <w:color w:val="000000"/>
                <w:sz w:val="20"/>
                <w:szCs w:val="20"/>
              </w:rPr>
              <w:t xml:space="preserve"> développé</w:t>
            </w:r>
          </w:p>
          <w:p w14:paraId="6AAB5DF4" w14:textId="77777777" w:rsidR="000F0FE6" w:rsidRDefault="000F0FE6"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Cadres </w:t>
            </w:r>
            <w:r w:rsidR="0076372A">
              <w:rPr>
                <w:rFonts w:ascii="Calibri" w:eastAsia="Times New Roman" w:hAnsi="Calibri" w:cs="Calibri"/>
                <w:color w:val="000000"/>
                <w:sz w:val="20"/>
                <w:szCs w:val="20"/>
              </w:rPr>
              <w:t>recrutés</w:t>
            </w:r>
          </w:p>
          <w:p w14:paraId="4B405BB7" w14:textId="77777777" w:rsidR="000F0FE6" w:rsidRPr="00D636C4" w:rsidRDefault="000F0FE6"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Calendrier réunions respecté</w:t>
            </w:r>
          </w:p>
        </w:tc>
        <w:tc>
          <w:tcPr>
            <w:tcW w:w="2408" w:type="dxa"/>
            <w:shd w:val="clear" w:color="auto" w:fill="auto"/>
          </w:tcPr>
          <w:p w14:paraId="7F0B61E7" w14:textId="77777777" w:rsidR="001207C8" w:rsidRPr="00D636C4" w:rsidRDefault="001207C8" w:rsidP="001207C8">
            <w:pPr>
              <w:spacing w:line="240" w:lineRule="auto"/>
              <w:rPr>
                <w:rFonts w:ascii="Calibri" w:eastAsia="Times New Roman" w:hAnsi="Calibri" w:cs="Calibri"/>
                <w:color w:val="000000"/>
                <w:sz w:val="20"/>
                <w:szCs w:val="20"/>
              </w:rPr>
            </w:pPr>
          </w:p>
        </w:tc>
        <w:tc>
          <w:tcPr>
            <w:tcW w:w="360" w:type="dxa"/>
            <w:shd w:val="clear" w:color="auto" w:fill="auto"/>
          </w:tcPr>
          <w:p w14:paraId="72B7E6BB"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141B920A"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D9D9D9" w:fill="D9D9D9"/>
            <w:noWrap/>
          </w:tcPr>
          <w:p w14:paraId="00BE5816"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auto"/>
            <w:noWrap/>
          </w:tcPr>
          <w:p w14:paraId="2145FE4A"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15391C80"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4B0721A5"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6BA28F8B"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5669AC80" w14:textId="77777777" w:rsidR="001207C8" w:rsidRPr="00D636C4" w:rsidRDefault="001207C8" w:rsidP="001207C8">
            <w:pPr>
              <w:spacing w:line="240" w:lineRule="auto"/>
              <w:rPr>
                <w:rFonts w:eastAsia="Times New Roman"/>
                <w:b/>
                <w:bCs/>
                <w:color w:val="000000"/>
                <w:sz w:val="20"/>
                <w:szCs w:val="20"/>
              </w:rPr>
            </w:pPr>
          </w:p>
        </w:tc>
      </w:tr>
      <w:tr w:rsidR="001207C8" w:rsidRPr="00D636C4" w14:paraId="1730EC33" w14:textId="77777777" w:rsidTr="00E6730B">
        <w:trPr>
          <w:trHeight w:val="1331"/>
        </w:trPr>
        <w:tc>
          <w:tcPr>
            <w:tcW w:w="4499" w:type="dxa"/>
            <w:shd w:val="clear" w:color="auto" w:fill="auto"/>
          </w:tcPr>
          <w:p w14:paraId="6706591B" w14:textId="77777777" w:rsidR="001207C8" w:rsidRPr="00D80419" w:rsidRDefault="001207C8" w:rsidP="001207C8">
            <w:pPr>
              <w:spacing w:line="240" w:lineRule="auto"/>
              <w:rPr>
                <w:rFonts w:ascii="Calibri" w:eastAsia="Times New Roman" w:hAnsi="Calibri" w:cs="Calibri"/>
                <w:color w:val="000000"/>
                <w:sz w:val="20"/>
                <w:szCs w:val="20"/>
                <w:highlight w:val="yellow"/>
              </w:rPr>
            </w:pPr>
            <w:r w:rsidRPr="00D80419">
              <w:rPr>
                <w:rFonts w:ascii="Calibri" w:eastAsia="Times New Roman" w:hAnsi="Calibri" w:cs="Calibri"/>
                <w:color w:val="000000"/>
                <w:sz w:val="20"/>
                <w:szCs w:val="20"/>
                <w:highlight w:val="yellow"/>
              </w:rPr>
              <w:t>Élaboration d’une stratégie des SSP budgétisée en ligne avec Astana et intégrant la stratégie nationale de santé Communautaire, et la prise en compte des ripostes aux urgences et catastrophes dans la stratégie des SSP</w:t>
            </w:r>
          </w:p>
        </w:tc>
        <w:tc>
          <w:tcPr>
            <w:tcW w:w="1350" w:type="dxa"/>
            <w:shd w:val="clear" w:color="auto" w:fill="auto"/>
          </w:tcPr>
          <w:p w14:paraId="7995407D" w14:textId="77777777" w:rsidR="001207C8" w:rsidRPr="00D80419" w:rsidRDefault="001207C8" w:rsidP="001207C8">
            <w:pPr>
              <w:spacing w:line="240" w:lineRule="auto"/>
              <w:rPr>
                <w:rFonts w:ascii="Calibri" w:eastAsia="Times New Roman" w:hAnsi="Calibri" w:cs="Calibri"/>
                <w:color w:val="000000"/>
                <w:sz w:val="20"/>
                <w:szCs w:val="20"/>
                <w:highlight w:val="yellow"/>
              </w:rPr>
            </w:pPr>
            <w:r w:rsidRPr="00D80419">
              <w:rPr>
                <w:rFonts w:ascii="Calibri" w:eastAsia="Times New Roman" w:hAnsi="Calibri" w:cs="Calibri"/>
                <w:color w:val="000000"/>
                <w:sz w:val="20"/>
                <w:szCs w:val="20"/>
                <w:highlight w:val="yellow"/>
              </w:rPr>
              <w:t>MS/MIDEC/MF/MEDD</w:t>
            </w:r>
          </w:p>
        </w:tc>
        <w:tc>
          <w:tcPr>
            <w:tcW w:w="2611" w:type="dxa"/>
            <w:shd w:val="clear" w:color="auto" w:fill="auto"/>
          </w:tcPr>
          <w:p w14:paraId="6DD7F9E3" w14:textId="77777777" w:rsidR="001207C8" w:rsidRPr="00D80419" w:rsidRDefault="0056125D" w:rsidP="001207C8">
            <w:pPr>
              <w:spacing w:line="240" w:lineRule="auto"/>
              <w:rPr>
                <w:rFonts w:ascii="Calibri" w:eastAsia="Times New Roman" w:hAnsi="Calibri" w:cs="Calibri"/>
                <w:color w:val="000000"/>
                <w:sz w:val="20"/>
                <w:szCs w:val="20"/>
                <w:highlight w:val="yellow"/>
              </w:rPr>
            </w:pPr>
            <w:r w:rsidRPr="00D80419">
              <w:rPr>
                <w:rFonts w:ascii="Calibri" w:eastAsia="Times New Roman" w:hAnsi="Calibri" w:cs="Calibri"/>
                <w:color w:val="000000"/>
                <w:sz w:val="20"/>
                <w:szCs w:val="20"/>
                <w:highlight w:val="yellow"/>
              </w:rPr>
              <w:t>Une stratégie des SSP budgétisée en ligne avec Astana et intégrant la stratégie nationale de santé Communautaire, validée</w:t>
            </w:r>
          </w:p>
        </w:tc>
        <w:tc>
          <w:tcPr>
            <w:tcW w:w="2408" w:type="dxa"/>
            <w:shd w:val="clear" w:color="auto" w:fill="auto"/>
          </w:tcPr>
          <w:p w14:paraId="119A6AAF" w14:textId="77777777" w:rsidR="001207C8" w:rsidRPr="00D80419" w:rsidRDefault="001207C8" w:rsidP="001207C8">
            <w:pPr>
              <w:spacing w:line="240" w:lineRule="auto"/>
              <w:rPr>
                <w:rFonts w:ascii="Calibri" w:eastAsia="Times New Roman" w:hAnsi="Calibri" w:cs="Calibri"/>
                <w:color w:val="000000"/>
                <w:sz w:val="20"/>
                <w:szCs w:val="20"/>
                <w:highlight w:val="yellow"/>
              </w:rPr>
            </w:pPr>
          </w:p>
        </w:tc>
        <w:tc>
          <w:tcPr>
            <w:tcW w:w="360" w:type="dxa"/>
            <w:shd w:val="clear" w:color="auto" w:fill="auto"/>
          </w:tcPr>
          <w:p w14:paraId="6BFB80BB" w14:textId="77777777" w:rsidR="001207C8" w:rsidRPr="00D80419" w:rsidRDefault="001207C8" w:rsidP="001207C8">
            <w:pPr>
              <w:spacing w:line="240" w:lineRule="auto"/>
              <w:rPr>
                <w:rFonts w:ascii="Calibri" w:eastAsia="Times New Roman" w:hAnsi="Calibri" w:cs="Calibri"/>
                <w:b/>
                <w:bCs/>
                <w:color w:val="000000"/>
                <w:sz w:val="20"/>
                <w:szCs w:val="20"/>
                <w:highlight w:val="yellow"/>
              </w:rPr>
            </w:pPr>
          </w:p>
        </w:tc>
        <w:tc>
          <w:tcPr>
            <w:tcW w:w="360" w:type="dxa"/>
            <w:shd w:val="clear" w:color="auto" w:fill="auto"/>
            <w:noWrap/>
          </w:tcPr>
          <w:p w14:paraId="2A8678E0"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D9D9D9" w:fill="D9D9D9"/>
            <w:noWrap/>
          </w:tcPr>
          <w:p w14:paraId="03D7F56E"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auto"/>
            <w:noWrap/>
          </w:tcPr>
          <w:p w14:paraId="0EEF3E74"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0B3B922E"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07639E5E"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13BF43B5"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2B953C24" w14:textId="77777777" w:rsidR="001207C8" w:rsidRPr="00D636C4" w:rsidRDefault="001207C8" w:rsidP="001207C8">
            <w:pPr>
              <w:spacing w:line="240" w:lineRule="auto"/>
              <w:rPr>
                <w:rFonts w:eastAsia="Times New Roman"/>
                <w:b/>
                <w:bCs/>
                <w:color w:val="000000"/>
                <w:sz w:val="20"/>
                <w:szCs w:val="20"/>
              </w:rPr>
            </w:pPr>
          </w:p>
        </w:tc>
      </w:tr>
      <w:tr w:rsidR="001207C8" w:rsidRPr="00D636C4" w14:paraId="4CAC934F" w14:textId="77777777" w:rsidTr="00E6730B">
        <w:trPr>
          <w:trHeight w:val="899"/>
        </w:trPr>
        <w:tc>
          <w:tcPr>
            <w:tcW w:w="4499" w:type="dxa"/>
            <w:shd w:val="clear" w:color="auto" w:fill="auto"/>
          </w:tcPr>
          <w:p w14:paraId="4AE22011" w14:textId="77777777" w:rsidR="001207C8" w:rsidRPr="00D80419" w:rsidRDefault="001207C8" w:rsidP="001207C8">
            <w:pPr>
              <w:spacing w:line="240" w:lineRule="auto"/>
              <w:rPr>
                <w:rFonts w:ascii="Calibri" w:eastAsia="Times New Roman" w:hAnsi="Calibri" w:cs="Calibri"/>
                <w:color w:val="000000"/>
                <w:sz w:val="20"/>
                <w:szCs w:val="20"/>
                <w:highlight w:val="yellow"/>
              </w:rPr>
            </w:pPr>
            <w:r w:rsidRPr="00D80419">
              <w:rPr>
                <w:rFonts w:ascii="Calibri" w:eastAsia="Times New Roman" w:hAnsi="Calibri" w:cs="Calibri"/>
                <w:color w:val="000000"/>
                <w:sz w:val="20"/>
                <w:szCs w:val="20"/>
                <w:highlight w:val="yellow"/>
              </w:rPr>
              <w:t>Favoriser le partenariat public privé pour encourager les investissements ciblés renforçant les SSP</w:t>
            </w:r>
          </w:p>
        </w:tc>
        <w:tc>
          <w:tcPr>
            <w:tcW w:w="1350" w:type="dxa"/>
            <w:shd w:val="clear" w:color="auto" w:fill="auto"/>
          </w:tcPr>
          <w:p w14:paraId="5FF50736" w14:textId="77777777" w:rsidR="001207C8" w:rsidRPr="00D80419" w:rsidRDefault="001207C8" w:rsidP="001207C8">
            <w:pPr>
              <w:spacing w:line="240" w:lineRule="auto"/>
              <w:rPr>
                <w:rFonts w:ascii="Calibri" w:eastAsia="Times New Roman" w:hAnsi="Calibri" w:cs="Calibri"/>
                <w:color w:val="000000"/>
                <w:sz w:val="20"/>
                <w:szCs w:val="20"/>
                <w:highlight w:val="yellow"/>
              </w:rPr>
            </w:pPr>
            <w:r w:rsidRPr="00D80419">
              <w:rPr>
                <w:rFonts w:ascii="Calibri" w:eastAsia="Times New Roman" w:hAnsi="Calibri" w:cs="Calibri"/>
                <w:color w:val="000000"/>
                <w:sz w:val="20"/>
                <w:szCs w:val="20"/>
                <w:highlight w:val="yellow"/>
              </w:rPr>
              <w:t>MS/ MF/ MEDCO</w:t>
            </w:r>
          </w:p>
        </w:tc>
        <w:tc>
          <w:tcPr>
            <w:tcW w:w="2611" w:type="dxa"/>
            <w:shd w:val="clear" w:color="auto" w:fill="auto"/>
          </w:tcPr>
          <w:p w14:paraId="5622970E" w14:textId="77777777" w:rsidR="001207C8" w:rsidRPr="00D80419" w:rsidRDefault="0056125D" w:rsidP="001207C8">
            <w:pPr>
              <w:spacing w:line="240" w:lineRule="auto"/>
              <w:rPr>
                <w:rFonts w:ascii="Calibri" w:eastAsia="Times New Roman" w:hAnsi="Calibri" w:cs="Calibri"/>
                <w:color w:val="000000"/>
                <w:sz w:val="20"/>
                <w:szCs w:val="20"/>
                <w:highlight w:val="yellow"/>
                <w:rtl/>
              </w:rPr>
            </w:pPr>
            <w:r w:rsidRPr="00D80419">
              <w:rPr>
                <w:rFonts w:ascii="Calibri" w:eastAsia="Times New Roman" w:hAnsi="Calibri" w:cs="Calibri"/>
                <w:color w:val="000000"/>
                <w:sz w:val="20"/>
                <w:szCs w:val="20"/>
                <w:highlight w:val="yellow"/>
              </w:rPr>
              <w:t>Un cadre de partenariat PP institutionnalisé</w:t>
            </w:r>
          </w:p>
        </w:tc>
        <w:tc>
          <w:tcPr>
            <w:tcW w:w="2408" w:type="dxa"/>
            <w:shd w:val="clear" w:color="auto" w:fill="auto"/>
          </w:tcPr>
          <w:p w14:paraId="0809D845" w14:textId="77777777" w:rsidR="001207C8" w:rsidRPr="00D636C4" w:rsidRDefault="001207C8" w:rsidP="001207C8">
            <w:pPr>
              <w:spacing w:line="240" w:lineRule="auto"/>
              <w:rPr>
                <w:rFonts w:ascii="Calibri" w:eastAsia="Times New Roman" w:hAnsi="Calibri" w:cs="Calibri"/>
                <w:color w:val="000000"/>
                <w:sz w:val="20"/>
                <w:szCs w:val="20"/>
              </w:rPr>
            </w:pPr>
          </w:p>
        </w:tc>
        <w:tc>
          <w:tcPr>
            <w:tcW w:w="360" w:type="dxa"/>
            <w:shd w:val="clear" w:color="auto" w:fill="auto"/>
          </w:tcPr>
          <w:p w14:paraId="7CBA7CEB"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195749DF"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D9D9D9" w:fill="D9D9D9"/>
            <w:noWrap/>
          </w:tcPr>
          <w:p w14:paraId="44B9A549"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auto"/>
            <w:noWrap/>
          </w:tcPr>
          <w:p w14:paraId="2106C0FB"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1B262066"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20B599E9"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71DE439A"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76D4617B" w14:textId="77777777" w:rsidR="001207C8" w:rsidRPr="00D636C4" w:rsidRDefault="001207C8" w:rsidP="001207C8">
            <w:pPr>
              <w:spacing w:line="240" w:lineRule="auto"/>
              <w:rPr>
                <w:rFonts w:eastAsia="Times New Roman"/>
                <w:b/>
                <w:bCs/>
                <w:color w:val="000000"/>
                <w:sz w:val="20"/>
                <w:szCs w:val="20"/>
              </w:rPr>
            </w:pPr>
          </w:p>
        </w:tc>
      </w:tr>
      <w:tr w:rsidR="001207C8" w:rsidRPr="00D636C4" w14:paraId="06ED494A" w14:textId="77777777" w:rsidTr="00C54A4B">
        <w:trPr>
          <w:trHeight w:val="2380"/>
        </w:trPr>
        <w:tc>
          <w:tcPr>
            <w:tcW w:w="4499" w:type="dxa"/>
            <w:shd w:val="clear" w:color="auto" w:fill="auto"/>
            <w:hideMark/>
          </w:tcPr>
          <w:p w14:paraId="139C1FA2"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Intégrer le secteur privé dans la cartographie sanitaire. </w:t>
            </w:r>
          </w:p>
        </w:tc>
        <w:tc>
          <w:tcPr>
            <w:tcW w:w="1350" w:type="dxa"/>
            <w:shd w:val="clear" w:color="auto" w:fill="auto"/>
            <w:hideMark/>
          </w:tcPr>
          <w:p w14:paraId="67764CD6" w14:textId="77777777" w:rsidR="001207C8" w:rsidRPr="00D636C4" w:rsidRDefault="001207C8" w:rsidP="001207C8">
            <w:pPr>
              <w:spacing w:line="240" w:lineRule="auto"/>
              <w:rPr>
                <w:rFonts w:ascii="Calibri" w:eastAsia="Times New Roman" w:hAnsi="Calibri" w:cs="Calibri"/>
                <w:color w:val="FF0000"/>
                <w:sz w:val="20"/>
                <w:szCs w:val="20"/>
              </w:rPr>
            </w:pPr>
            <w:r w:rsidRPr="008E330D">
              <w:rPr>
                <w:rFonts w:ascii="Calibri" w:eastAsia="Times New Roman" w:hAnsi="Calibri" w:cs="Calibri"/>
                <w:sz w:val="20"/>
                <w:szCs w:val="20"/>
              </w:rPr>
              <w:t>MDS</w:t>
            </w:r>
          </w:p>
        </w:tc>
        <w:tc>
          <w:tcPr>
            <w:tcW w:w="2611" w:type="dxa"/>
            <w:shd w:val="clear" w:color="auto" w:fill="auto"/>
            <w:hideMark/>
          </w:tcPr>
          <w:p w14:paraId="406E966B" w14:textId="77777777" w:rsidR="001207C8"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Méthodologie de préparation de la carte sanitaire mise à jour afin d'inclure et </w:t>
            </w:r>
            <w:r w:rsidR="0076372A" w:rsidRPr="00D636C4">
              <w:rPr>
                <w:rFonts w:ascii="Calibri" w:eastAsia="Times New Roman" w:hAnsi="Calibri" w:cs="Calibri"/>
                <w:color w:val="000000"/>
                <w:sz w:val="20"/>
                <w:szCs w:val="20"/>
              </w:rPr>
              <w:t>différen</w:t>
            </w:r>
            <w:r w:rsidR="0076372A">
              <w:rPr>
                <w:rFonts w:ascii="Calibri" w:eastAsia="Times New Roman" w:hAnsi="Calibri" w:cs="Calibri"/>
                <w:color w:val="000000"/>
                <w:sz w:val="20"/>
                <w:szCs w:val="20"/>
              </w:rPr>
              <w:t>c</w:t>
            </w:r>
            <w:r w:rsidR="0076372A" w:rsidRPr="00D636C4">
              <w:rPr>
                <w:rFonts w:ascii="Calibri" w:eastAsia="Times New Roman" w:hAnsi="Calibri" w:cs="Calibri"/>
                <w:color w:val="000000"/>
                <w:sz w:val="20"/>
                <w:szCs w:val="20"/>
              </w:rPr>
              <w:t xml:space="preserve">ier </w:t>
            </w:r>
            <w:r w:rsidRPr="00D636C4">
              <w:rPr>
                <w:rFonts w:ascii="Calibri" w:eastAsia="Times New Roman" w:hAnsi="Calibri" w:cs="Calibri"/>
                <w:color w:val="000000"/>
                <w:sz w:val="20"/>
                <w:szCs w:val="20"/>
              </w:rPr>
              <w:t>les FOSA privé</w:t>
            </w:r>
            <w:r w:rsidR="00564FE0">
              <w:rPr>
                <w:rFonts w:ascii="Calibri" w:eastAsia="Times New Roman" w:hAnsi="Calibri" w:cs="Calibri"/>
                <w:color w:val="000000"/>
                <w:sz w:val="20"/>
                <w:szCs w:val="20"/>
              </w:rPr>
              <w:t>e</w:t>
            </w:r>
            <w:r w:rsidRPr="00D636C4">
              <w:rPr>
                <w:rFonts w:ascii="Calibri" w:eastAsia="Times New Roman" w:hAnsi="Calibri" w:cs="Calibri"/>
                <w:color w:val="000000"/>
                <w:sz w:val="20"/>
                <w:szCs w:val="20"/>
              </w:rPr>
              <w:t>s, nouvelle cartographie menée avec cette méthodologie, rapport disponible.</w:t>
            </w:r>
          </w:p>
          <w:p w14:paraId="6D8D5731" w14:textId="77777777" w:rsidR="001207C8" w:rsidRPr="00D636C4" w:rsidRDefault="001207C8" w:rsidP="001207C8">
            <w:pPr>
              <w:spacing w:line="240" w:lineRule="auto"/>
              <w:rPr>
                <w:rFonts w:ascii="Calibri" w:eastAsia="Times New Roman" w:hAnsi="Calibri" w:cs="Calibri"/>
                <w:color w:val="000000"/>
                <w:sz w:val="20"/>
                <w:szCs w:val="20"/>
              </w:rPr>
            </w:pPr>
            <w:r>
              <w:rPr>
                <w:rFonts w:ascii="Calibri" w:eastAsia="Calibri" w:hAnsi="Calibri" w:cs="Calibri"/>
              </w:rPr>
              <w:t>Disponibilité des données des FOSA privées systématiquement collectées sur les mêmes outils SNIS</w:t>
            </w:r>
          </w:p>
        </w:tc>
        <w:tc>
          <w:tcPr>
            <w:tcW w:w="2408" w:type="dxa"/>
            <w:shd w:val="clear" w:color="auto" w:fill="auto"/>
            <w:hideMark/>
          </w:tcPr>
          <w:p w14:paraId="6256E836"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Résistance du secteur privé.</w:t>
            </w:r>
          </w:p>
        </w:tc>
        <w:tc>
          <w:tcPr>
            <w:tcW w:w="360" w:type="dxa"/>
            <w:shd w:val="clear" w:color="auto" w:fill="auto"/>
            <w:hideMark/>
          </w:tcPr>
          <w:p w14:paraId="3B1751BC"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tcPr>
          <w:p w14:paraId="08A76547"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D9D9D9" w:fill="D9D9D9"/>
            <w:noWrap/>
          </w:tcPr>
          <w:p w14:paraId="18E50F51"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auto"/>
            <w:noWrap/>
          </w:tcPr>
          <w:p w14:paraId="26894495"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hideMark/>
          </w:tcPr>
          <w:p w14:paraId="7B18DDC5"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0400C003"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2BD2E6DE"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54EF99D4"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0F30B9BE" w14:textId="77777777" w:rsidTr="00C54A4B">
        <w:trPr>
          <w:trHeight w:val="2720"/>
        </w:trPr>
        <w:tc>
          <w:tcPr>
            <w:tcW w:w="4499" w:type="dxa"/>
            <w:shd w:val="clear" w:color="auto" w:fill="auto"/>
            <w:hideMark/>
          </w:tcPr>
          <w:p w14:paraId="5821453E"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lastRenderedPageBreak/>
              <w:t>Dérogation légale nécessaire pour que les CS et PS puissent avoir un statut légal moral, essentiel pour la contractualisation.</w:t>
            </w:r>
          </w:p>
        </w:tc>
        <w:tc>
          <w:tcPr>
            <w:tcW w:w="1350" w:type="dxa"/>
            <w:shd w:val="clear" w:color="auto" w:fill="auto"/>
            <w:hideMark/>
          </w:tcPr>
          <w:p w14:paraId="0F6A3F8E" w14:textId="77777777" w:rsidR="001207C8" w:rsidRPr="00D636C4" w:rsidRDefault="00370F2E" w:rsidP="001207C8">
            <w:pPr>
              <w:spacing w:line="240" w:lineRule="auto"/>
              <w:rPr>
                <w:rFonts w:ascii="Calibri" w:eastAsia="Times New Roman" w:hAnsi="Calibri" w:cs="Calibri"/>
                <w:color w:val="FF0000"/>
                <w:sz w:val="20"/>
                <w:szCs w:val="20"/>
              </w:rPr>
            </w:pPr>
            <w:r w:rsidRPr="00370F2E">
              <w:rPr>
                <w:rFonts w:ascii="Calibri" w:eastAsia="Times New Roman" w:hAnsi="Calibri" w:cs="Calibri"/>
                <w:color w:val="000000"/>
                <w:sz w:val="20"/>
                <w:szCs w:val="20"/>
              </w:rPr>
              <w:t>Comité interministériel CSU</w:t>
            </w:r>
          </w:p>
        </w:tc>
        <w:tc>
          <w:tcPr>
            <w:tcW w:w="2611" w:type="dxa"/>
            <w:shd w:val="clear" w:color="auto" w:fill="auto"/>
            <w:hideMark/>
          </w:tcPr>
          <w:p w14:paraId="7A14F0DE"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Analyses préliminaires menées, processus consensuel de développement des textes mené</w:t>
            </w:r>
            <w:r w:rsidR="00370F2E">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textes formellement adoptés.</w:t>
            </w:r>
          </w:p>
        </w:tc>
        <w:tc>
          <w:tcPr>
            <w:tcW w:w="2408" w:type="dxa"/>
            <w:shd w:val="clear" w:color="auto" w:fill="auto"/>
            <w:hideMark/>
          </w:tcPr>
          <w:p w14:paraId="10695D07"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Faible engagement de l’état, résistance aux changements des acteurs au niveau des CS et PS, capacités au niveau des PS et CS non-disponibles pour pleinement bénéficier de l'autonomie accordée par cette dérogation (e.g., recrutement du personnel).</w:t>
            </w:r>
          </w:p>
        </w:tc>
        <w:tc>
          <w:tcPr>
            <w:tcW w:w="360" w:type="dxa"/>
            <w:shd w:val="clear" w:color="auto" w:fill="auto"/>
            <w:hideMark/>
          </w:tcPr>
          <w:p w14:paraId="35228A12"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D9D9D9" w:fill="D9D9D9"/>
            <w:noWrap/>
          </w:tcPr>
          <w:p w14:paraId="091794AE"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auto"/>
            <w:noWrap/>
          </w:tcPr>
          <w:p w14:paraId="68AF9D44"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3431338A"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hideMark/>
          </w:tcPr>
          <w:p w14:paraId="5E92F5F2"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46F22353"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5241FBE5"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48696ABD"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02A41AFA" w14:textId="77777777" w:rsidTr="00E6730B">
        <w:trPr>
          <w:trHeight w:val="377"/>
        </w:trPr>
        <w:tc>
          <w:tcPr>
            <w:tcW w:w="13748" w:type="dxa"/>
            <w:gridSpan w:val="12"/>
            <w:shd w:val="clear" w:color="auto" w:fill="F2F2F2" w:themeFill="background1" w:themeFillShade="F2"/>
          </w:tcPr>
          <w:p w14:paraId="5B5262C6" w14:textId="77777777" w:rsidR="001207C8" w:rsidRPr="00D636C4" w:rsidRDefault="001207C8" w:rsidP="001207C8">
            <w:pPr>
              <w:spacing w:line="240" w:lineRule="auto"/>
              <w:rPr>
                <w:rFonts w:eastAsia="Times New Roman"/>
                <w:b/>
                <w:bCs/>
                <w:color w:val="000000"/>
                <w:sz w:val="20"/>
                <w:szCs w:val="20"/>
              </w:rPr>
            </w:pPr>
            <w:r w:rsidRPr="00D636C4">
              <w:rPr>
                <w:rFonts w:ascii="Calibri" w:eastAsia="Times New Roman" w:hAnsi="Calibri" w:cs="Calibri"/>
                <w:b/>
                <w:bCs/>
                <w:color w:val="000000"/>
                <w:sz w:val="20"/>
                <w:szCs w:val="20"/>
              </w:rPr>
              <w:t>4.</w:t>
            </w:r>
            <w:r>
              <w:rPr>
                <w:rFonts w:ascii="Calibri" w:eastAsia="Times New Roman" w:hAnsi="Calibri" w:cs="Calibri"/>
                <w:b/>
                <w:bCs/>
                <w:color w:val="000000"/>
                <w:sz w:val="20"/>
                <w:szCs w:val="20"/>
              </w:rPr>
              <w:t>2</w:t>
            </w:r>
            <w:r w:rsidRPr="00D636C4">
              <w:rPr>
                <w:rFonts w:ascii="Calibri" w:eastAsia="Times New Roman" w:hAnsi="Calibri" w:cs="Calibri"/>
                <w:b/>
                <w:bCs/>
                <w:color w:val="000000"/>
                <w:sz w:val="20"/>
                <w:szCs w:val="20"/>
              </w:rPr>
              <w:t xml:space="preserve"> Gestion des Finances Publiques</w:t>
            </w:r>
          </w:p>
        </w:tc>
      </w:tr>
      <w:tr w:rsidR="001D5A16" w:rsidRPr="00D636C4" w14:paraId="2F91C64B" w14:textId="77777777" w:rsidTr="00C54A4B">
        <w:trPr>
          <w:trHeight w:val="1682"/>
        </w:trPr>
        <w:tc>
          <w:tcPr>
            <w:tcW w:w="4499" w:type="dxa"/>
            <w:shd w:val="clear" w:color="auto" w:fill="auto"/>
            <w:hideMark/>
          </w:tcPr>
          <w:p w14:paraId="6CABA283" w14:textId="77777777" w:rsidR="001D5A16" w:rsidRPr="00D636C4" w:rsidRDefault="001D5A16"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Développement, utilisation effective et actualisation annuelle du CDMT santé.</w:t>
            </w:r>
          </w:p>
        </w:tc>
        <w:tc>
          <w:tcPr>
            <w:tcW w:w="1350" w:type="dxa"/>
            <w:shd w:val="clear" w:color="auto" w:fill="auto"/>
            <w:hideMark/>
          </w:tcPr>
          <w:p w14:paraId="0F86768E" w14:textId="77777777" w:rsidR="001D5A16" w:rsidRPr="00D636C4" w:rsidRDefault="00D124ED" w:rsidP="00C54A4B">
            <w:pPr>
              <w:spacing w:line="240" w:lineRule="auto"/>
              <w:rPr>
                <w:rFonts w:ascii="Calibri" w:eastAsia="Times New Roman" w:hAnsi="Calibri" w:cs="Calibri"/>
                <w:color w:val="FF0000"/>
                <w:sz w:val="20"/>
                <w:szCs w:val="20"/>
              </w:rPr>
            </w:pPr>
            <w:r>
              <w:rPr>
                <w:rFonts w:ascii="Calibri" w:eastAsia="Times New Roman" w:hAnsi="Calibri" w:cs="Calibri"/>
                <w:sz w:val="20"/>
                <w:szCs w:val="20"/>
              </w:rPr>
              <w:t>MDS et MDF</w:t>
            </w:r>
          </w:p>
        </w:tc>
        <w:tc>
          <w:tcPr>
            <w:tcW w:w="2611" w:type="dxa"/>
            <w:shd w:val="clear" w:color="auto" w:fill="auto"/>
            <w:hideMark/>
          </w:tcPr>
          <w:p w14:paraId="347ECC7A" w14:textId="77777777" w:rsidR="001D5A16" w:rsidRPr="00D636C4" w:rsidRDefault="001D5A16"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CDMT de qualité produit selon le calendrier prédéfini, développement alimenté par un processus participatif d'arbitrage interne au </w:t>
            </w:r>
            <w:proofErr w:type="spellStart"/>
            <w:r w:rsidRPr="00D636C4">
              <w:rPr>
                <w:rFonts w:ascii="Calibri" w:eastAsia="Times New Roman" w:hAnsi="Calibri" w:cs="Calibri"/>
                <w:color w:val="000000"/>
                <w:sz w:val="20"/>
                <w:szCs w:val="20"/>
              </w:rPr>
              <w:t>MdS</w:t>
            </w:r>
            <w:proofErr w:type="spellEnd"/>
            <w:r w:rsidRPr="00D636C4">
              <w:rPr>
                <w:rFonts w:ascii="Calibri" w:eastAsia="Times New Roman" w:hAnsi="Calibri" w:cs="Calibri"/>
                <w:color w:val="000000"/>
                <w:sz w:val="20"/>
                <w:szCs w:val="20"/>
              </w:rPr>
              <w:t xml:space="preserve"> avec les acteurs clés. </w:t>
            </w:r>
          </w:p>
        </w:tc>
        <w:tc>
          <w:tcPr>
            <w:tcW w:w="2408" w:type="dxa"/>
            <w:shd w:val="clear" w:color="auto" w:fill="auto"/>
            <w:hideMark/>
          </w:tcPr>
          <w:p w14:paraId="7F772235" w14:textId="77777777" w:rsidR="001D5A16" w:rsidRPr="00D636C4" w:rsidRDefault="001D5A16"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Nécessite un alignement entre la nomenclature du CDMT sectoriel et celui du </w:t>
            </w:r>
            <w:proofErr w:type="spellStart"/>
            <w:r w:rsidRPr="00D636C4">
              <w:rPr>
                <w:rFonts w:ascii="Calibri" w:eastAsia="Times New Roman" w:hAnsi="Calibri" w:cs="Calibri"/>
                <w:color w:val="000000"/>
                <w:sz w:val="20"/>
                <w:szCs w:val="20"/>
              </w:rPr>
              <w:t>MdF</w:t>
            </w:r>
            <w:proofErr w:type="spellEnd"/>
            <w:r w:rsidRPr="00D636C4">
              <w:rPr>
                <w:rFonts w:ascii="Calibri" w:eastAsia="Times New Roman" w:hAnsi="Calibri" w:cs="Calibri"/>
                <w:color w:val="000000"/>
                <w:sz w:val="20"/>
                <w:szCs w:val="20"/>
              </w:rPr>
              <w:t xml:space="preserve">, délais dans la production du CDMT, manque de capacités techniques nécessaires. </w:t>
            </w:r>
          </w:p>
        </w:tc>
        <w:tc>
          <w:tcPr>
            <w:tcW w:w="360" w:type="dxa"/>
            <w:shd w:val="clear" w:color="auto" w:fill="auto"/>
          </w:tcPr>
          <w:p w14:paraId="18684CCF" w14:textId="77777777" w:rsidR="001D5A16" w:rsidRPr="00D636C4" w:rsidRDefault="001D5A16" w:rsidP="00C54A4B">
            <w:pPr>
              <w:spacing w:line="240" w:lineRule="auto"/>
              <w:rPr>
                <w:rFonts w:ascii="Calibri" w:eastAsia="Times New Roman" w:hAnsi="Calibri" w:cs="Calibri"/>
                <w:b/>
                <w:bCs/>
                <w:color w:val="000000"/>
                <w:sz w:val="20"/>
                <w:szCs w:val="20"/>
              </w:rPr>
            </w:pPr>
          </w:p>
        </w:tc>
        <w:tc>
          <w:tcPr>
            <w:tcW w:w="360" w:type="dxa"/>
            <w:shd w:val="clear" w:color="CCCCCC" w:fill="CCCCCC"/>
            <w:noWrap/>
          </w:tcPr>
          <w:p w14:paraId="745756EC" w14:textId="77777777" w:rsidR="001D5A16" w:rsidRPr="00D636C4" w:rsidRDefault="001D5A16" w:rsidP="00C54A4B">
            <w:pPr>
              <w:spacing w:line="240" w:lineRule="auto"/>
              <w:jc w:val="right"/>
              <w:rPr>
                <w:rFonts w:ascii="Calibri" w:eastAsia="Times New Roman" w:hAnsi="Calibri" w:cs="Calibri"/>
                <w:b/>
                <w:bCs/>
                <w:color w:val="000000"/>
                <w:sz w:val="20"/>
                <w:szCs w:val="20"/>
              </w:rPr>
            </w:pPr>
          </w:p>
        </w:tc>
        <w:tc>
          <w:tcPr>
            <w:tcW w:w="360" w:type="dxa"/>
            <w:shd w:val="clear" w:color="EFEFEF" w:fill="EFEFEF"/>
            <w:noWrap/>
          </w:tcPr>
          <w:p w14:paraId="55AE7EA4" w14:textId="77777777" w:rsidR="001D5A16" w:rsidRPr="00D636C4" w:rsidRDefault="001D5A16" w:rsidP="00C54A4B">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223D2A6E" w14:textId="77777777" w:rsidR="001D5A16" w:rsidRPr="00D636C4" w:rsidRDefault="001D5A16"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1F917110" w14:textId="77777777" w:rsidR="001D5A16" w:rsidRPr="00D636C4" w:rsidRDefault="001D5A16"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29AB4802" w14:textId="77777777" w:rsidR="001D5A16" w:rsidRPr="00D636C4" w:rsidRDefault="001D5A16"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2AF63C5C" w14:textId="77777777" w:rsidR="001D5A16" w:rsidRPr="00D636C4" w:rsidRDefault="001D5A16"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437661C6" w14:textId="77777777" w:rsidR="001D5A16" w:rsidRPr="00D636C4" w:rsidRDefault="001D5A16"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D5A16" w:rsidRPr="00D636C4" w14:paraId="79E8A96C" w14:textId="77777777" w:rsidTr="001D5A16">
        <w:trPr>
          <w:trHeight w:val="2663"/>
        </w:trPr>
        <w:tc>
          <w:tcPr>
            <w:tcW w:w="4499" w:type="dxa"/>
            <w:shd w:val="clear" w:color="auto" w:fill="auto"/>
            <w:hideMark/>
          </w:tcPr>
          <w:p w14:paraId="0670EB2A" w14:textId="77777777" w:rsidR="001D5A16" w:rsidRPr="00D636C4" w:rsidRDefault="001D5A16"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Mise en place d’une feuille de route pour le budget programme (BP) pour la santé avec des mesures d’accompagnement : définition des découpages programmatiques, nommer les responsables des programmes (pour élaborer : la fiche de programme, pap et RAP), élaborer le Projet Année Performance (PAP).</w:t>
            </w:r>
          </w:p>
        </w:tc>
        <w:tc>
          <w:tcPr>
            <w:tcW w:w="1350" w:type="dxa"/>
            <w:shd w:val="clear" w:color="auto" w:fill="auto"/>
            <w:hideMark/>
          </w:tcPr>
          <w:p w14:paraId="34FA5B69" w14:textId="77777777" w:rsidR="001D5A16" w:rsidRPr="00D636C4" w:rsidRDefault="00D124ED" w:rsidP="00C54A4B">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MDF et MDS</w:t>
            </w:r>
          </w:p>
        </w:tc>
        <w:tc>
          <w:tcPr>
            <w:tcW w:w="2611" w:type="dxa"/>
            <w:shd w:val="clear" w:color="auto" w:fill="auto"/>
            <w:hideMark/>
          </w:tcPr>
          <w:p w14:paraId="0391AAFB" w14:textId="77777777" w:rsidR="001D5A16" w:rsidRPr="00D636C4" w:rsidRDefault="001D5A16"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Existence d'un budget annuel sous forme d’un BP, utilisation du budget programme pour le rapportage budgétaire (2024) ; utilisation du budget programme pour l’exécution du budget MS (2025), Fonds des bailleurs intégré dans le BP.</w:t>
            </w:r>
          </w:p>
        </w:tc>
        <w:tc>
          <w:tcPr>
            <w:tcW w:w="2408" w:type="dxa"/>
            <w:shd w:val="clear" w:color="auto" w:fill="auto"/>
            <w:hideMark/>
          </w:tcPr>
          <w:p w14:paraId="06591EE0" w14:textId="77777777" w:rsidR="001D5A16" w:rsidRPr="00D636C4" w:rsidRDefault="001D5A16"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Retards dans l’identification et l’abrogation des programmes et procédures accompagnant le BP ; insuffisance de cadre de dialogue continu entre le </w:t>
            </w:r>
            <w:proofErr w:type="spellStart"/>
            <w:r w:rsidRPr="00D636C4">
              <w:rPr>
                <w:rFonts w:ascii="Calibri" w:eastAsia="Times New Roman" w:hAnsi="Calibri" w:cs="Calibri"/>
                <w:color w:val="000000"/>
                <w:sz w:val="20"/>
                <w:szCs w:val="20"/>
              </w:rPr>
              <w:t>MdS</w:t>
            </w:r>
            <w:proofErr w:type="spellEnd"/>
            <w:r w:rsidRPr="00D636C4">
              <w:rPr>
                <w:rFonts w:ascii="Calibri" w:eastAsia="Times New Roman" w:hAnsi="Calibri" w:cs="Calibri"/>
                <w:color w:val="000000"/>
                <w:sz w:val="20"/>
                <w:szCs w:val="20"/>
              </w:rPr>
              <w:t xml:space="preserve"> et </w:t>
            </w:r>
            <w:proofErr w:type="spellStart"/>
            <w:r w:rsidRPr="00D636C4">
              <w:rPr>
                <w:rFonts w:ascii="Calibri" w:eastAsia="Times New Roman" w:hAnsi="Calibri" w:cs="Calibri"/>
                <w:color w:val="000000"/>
                <w:sz w:val="20"/>
                <w:szCs w:val="20"/>
              </w:rPr>
              <w:t>MdF</w:t>
            </w:r>
            <w:proofErr w:type="spellEnd"/>
            <w:r w:rsidRPr="00D636C4">
              <w:rPr>
                <w:rFonts w:ascii="Calibri" w:eastAsia="Times New Roman" w:hAnsi="Calibri" w:cs="Calibri"/>
                <w:color w:val="000000"/>
                <w:sz w:val="20"/>
                <w:szCs w:val="20"/>
              </w:rPr>
              <w:t xml:space="preserve"> ; manque de capacités techniques spécialisées au niveau du </w:t>
            </w:r>
            <w:proofErr w:type="spellStart"/>
            <w:r w:rsidRPr="00D636C4">
              <w:rPr>
                <w:rFonts w:ascii="Calibri" w:eastAsia="Times New Roman" w:hAnsi="Calibri" w:cs="Calibri"/>
                <w:color w:val="000000"/>
                <w:sz w:val="20"/>
                <w:szCs w:val="20"/>
              </w:rPr>
              <w:t>MdS</w:t>
            </w:r>
            <w:proofErr w:type="spellEnd"/>
            <w:r w:rsidRPr="00D636C4">
              <w:rPr>
                <w:rFonts w:ascii="Calibri" w:eastAsia="Times New Roman" w:hAnsi="Calibri" w:cs="Calibri"/>
                <w:color w:val="000000"/>
                <w:sz w:val="20"/>
                <w:szCs w:val="20"/>
              </w:rPr>
              <w:t>.</w:t>
            </w:r>
          </w:p>
        </w:tc>
        <w:tc>
          <w:tcPr>
            <w:tcW w:w="360" w:type="dxa"/>
            <w:shd w:val="clear" w:color="D9D9D9" w:fill="D9D9D9"/>
          </w:tcPr>
          <w:p w14:paraId="240239FD" w14:textId="77777777" w:rsidR="001D5A16" w:rsidRPr="00D636C4" w:rsidRDefault="001D5A16" w:rsidP="00C54A4B">
            <w:pPr>
              <w:spacing w:line="240" w:lineRule="auto"/>
              <w:rPr>
                <w:rFonts w:ascii="Calibri" w:eastAsia="Times New Roman" w:hAnsi="Calibri" w:cs="Calibri"/>
                <w:b/>
                <w:bCs/>
                <w:color w:val="000000"/>
                <w:sz w:val="20"/>
                <w:szCs w:val="20"/>
              </w:rPr>
            </w:pPr>
          </w:p>
        </w:tc>
        <w:tc>
          <w:tcPr>
            <w:tcW w:w="360" w:type="dxa"/>
            <w:shd w:val="clear" w:color="auto" w:fill="auto"/>
            <w:noWrap/>
          </w:tcPr>
          <w:p w14:paraId="047764BF" w14:textId="77777777" w:rsidR="001D5A16" w:rsidRPr="00D636C4" w:rsidRDefault="001D5A16" w:rsidP="00C54A4B">
            <w:pPr>
              <w:spacing w:line="240" w:lineRule="auto"/>
              <w:rPr>
                <w:rFonts w:eastAsia="Times New Roman"/>
                <w:b/>
                <w:bCs/>
                <w:color w:val="000000"/>
                <w:sz w:val="20"/>
                <w:szCs w:val="20"/>
              </w:rPr>
            </w:pPr>
          </w:p>
        </w:tc>
        <w:tc>
          <w:tcPr>
            <w:tcW w:w="360" w:type="dxa"/>
            <w:shd w:val="clear" w:color="auto" w:fill="auto"/>
            <w:noWrap/>
          </w:tcPr>
          <w:p w14:paraId="7360B1F3" w14:textId="77777777" w:rsidR="001D5A16" w:rsidRPr="00D636C4" w:rsidRDefault="001D5A16" w:rsidP="00C54A4B">
            <w:pPr>
              <w:spacing w:line="240" w:lineRule="auto"/>
              <w:rPr>
                <w:rFonts w:eastAsia="Times New Roman"/>
                <w:b/>
                <w:bCs/>
                <w:color w:val="000000"/>
                <w:sz w:val="20"/>
                <w:szCs w:val="20"/>
              </w:rPr>
            </w:pPr>
          </w:p>
        </w:tc>
        <w:tc>
          <w:tcPr>
            <w:tcW w:w="360" w:type="dxa"/>
            <w:shd w:val="clear" w:color="auto" w:fill="auto"/>
            <w:noWrap/>
          </w:tcPr>
          <w:p w14:paraId="5F97AAD1" w14:textId="77777777" w:rsidR="001D5A16" w:rsidRPr="00D636C4" w:rsidRDefault="001D5A16" w:rsidP="00C54A4B">
            <w:pPr>
              <w:spacing w:line="240" w:lineRule="auto"/>
              <w:rPr>
                <w:rFonts w:eastAsia="Times New Roman"/>
                <w:b/>
                <w:bCs/>
                <w:color w:val="000000"/>
                <w:sz w:val="20"/>
                <w:szCs w:val="20"/>
              </w:rPr>
            </w:pPr>
          </w:p>
        </w:tc>
        <w:tc>
          <w:tcPr>
            <w:tcW w:w="360" w:type="dxa"/>
            <w:shd w:val="clear" w:color="auto" w:fill="auto"/>
            <w:noWrap/>
          </w:tcPr>
          <w:p w14:paraId="5880F15C" w14:textId="77777777" w:rsidR="001D5A16" w:rsidRPr="00D636C4" w:rsidRDefault="001D5A16" w:rsidP="00C54A4B">
            <w:pPr>
              <w:spacing w:line="240" w:lineRule="auto"/>
              <w:rPr>
                <w:rFonts w:eastAsia="Times New Roman"/>
                <w:b/>
                <w:bCs/>
                <w:color w:val="000000"/>
                <w:sz w:val="20"/>
                <w:szCs w:val="20"/>
              </w:rPr>
            </w:pPr>
          </w:p>
        </w:tc>
        <w:tc>
          <w:tcPr>
            <w:tcW w:w="360" w:type="dxa"/>
            <w:shd w:val="clear" w:color="auto" w:fill="auto"/>
            <w:noWrap/>
          </w:tcPr>
          <w:p w14:paraId="65B843AA" w14:textId="77777777" w:rsidR="001D5A16" w:rsidRPr="00D636C4" w:rsidRDefault="001D5A16" w:rsidP="00C54A4B">
            <w:pPr>
              <w:spacing w:line="240" w:lineRule="auto"/>
              <w:rPr>
                <w:rFonts w:eastAsia="Times New Roman"/>
                <w:b/>
                <w:bCs/>
                <w:color w:val="000000"/>
                <w:sz w:val="20"/>
                <w:szCs w:val="20"/>
              </w:rPr>
            </w:pPr>
          </w:p>
        </w:tc>
        <w:tc>
          <w:tcPr>
            <w:tcW w:w="360" w:type="dxa"/>
            <w:shd w:val="clear" w:color="auto" w:fill="auto"/>
            <w:noWrap/>
            <w:hideMark/>
          </w:tcPr>
          <w:p w14:paraId="6908CA84" w14:textId="77777777" w:rsidR="001D5A16" w:rsidRPr="00D636C4" w:rsidRDefault="001D5A16" w:rsidP="00C54A4B">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114E0A2A" w14:textId="77777777" w:rsidR="001D5A16" w:rsidRPr="00D636C4" w:rsidRDefault="001D5A16" w:rsidP="00C54A4B">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25BCFCE8" w14:textId="77777777" w:rsidTr="00C54A4B">
        <w:trPr>
          <w:trHeight w:val="1360"/>
        </w:trPr>
        <w:tc>
          <w:tcPr>
            <w:tcW w:w="4499" w:type="dxa"/>
            <w:shd w:val="clear" w:color="auto" w:fill="auto"/>
            <w:hideMark/>
          </w:tcPr>
          <w:p w14:paraId="6DB88EF7" w14:textId="77777777" w:rsidR="001207C8" w:rsidRPr="00D636C4" w:rsidRDefault="001207C8" w:rsidP="001207C8">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Analyse rapide d</w:t>
            </w:r>
            <w:r w:rsidRPr="00D636C4">
              <w:rPr>
                <w:rFonts w:ascii="Calibri" w:eastAsia="Times New Roman" w:hAnsi="Calibri" w:cs="Calibri"/>
                <w:color w:val="000000"/>
                <w:sz w:val="20"/>
                <w:szCs w:val="20"/>
              </w:rPr>
              <w:t xml:space="preserve">es capacités du </w:t>
            </w:r>
            <w:proofErr w:type="spellStart"/>
            <w:r w:rsidRPr="00D636C4">
              <w:rPr>
                <w:rFonts w:ascii="Calibri" w:eastAsia="Times New Roman" w:hAnsi="Calibri" w:cs="Calibri"/>
                <w:color w:val="000000"/>
                <w:sz w:val="20"/>
                <w:szCs w:val="20"/>
              </w:rPr>
              <w:t>MdS</w:t>
            </w:r>
            <w:proofErr w:type="spellEnd"/>
            <w:r w:rsidRPr="00D636C4">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et lancement d’activités de renforcement de </w:t>
            </w:r>
            <w:r w:rsidRPr="00D636C4">
              <w:rPr>
                <w:rFonts w:ascii="Calibri" w:eastAsia="Times New Roman" w:hAnsi="Calibri" w:cs="Calibri"/>
                <w:color w:val="000000"/>
                <w:sz w:val="20"/>
                <w:szCs w:val="20"/>
              </w:rPr>
              <w:t>sa compréhension du processus budgétaire, y compris le budget programme, au niveaux central et décentralisé.</w:t>
            </w:r>
          </w:p>
        </w:tc>
        <w:tc>
          <w:tcPr>
            <w:tcW w:w="1350" w:type="dxa"/>
            <w:shd w:val="clear" w:color="auto" w:fill="auto"/>
            <w:hideMark/>
          </w:tcPr>
          <w:p w14:paraId="5C5187F3" w14:textId="77777777" w:rsidR="001207C8" w:rsidRPr="00D636C4" w:rsidRDefault="001207C8" w:rsidP="001207C8">
            <w:pPr>
              <w:spacing w:line="240" w:lineRule="auto"/>
              <w:rPr>
                <w:rFonts w:ascii="Calibri" w:eastAsia="Times New Roman" w:hAnsi="Calibri" w:cs="Calibri"/>
                <w:color w:val="FF0000"/>
                <w:sz w:val="20"/>
                <w:szCs w:val="20"/>
              </w:rPr>
            </w:pPr>
            <w:r w:rsidRPr="005D6C85">
              <w:rPr>
                <w:rFonts w:ascii="Calibri" w:eastAsia="Times New Roman" w:hAnsi="Calibri" w:cs="Calibri"/>
                <w:sz w:val="20"/>
                <w:szCs w:val="20"/>
              </w:rPr>
              <w:t>MDS</w:t>
            </w:r>
            <w:r>
              <w:rPr>
                <w:rFonts w:ascii="Calibri" w:eastAsia="Times New Roman" w:hAnsi="Calibri" w:cs="Calibri"/>
                <w:sz w:val="20"/>
                <w:szCs w:val="20"/>
              </w:rPr>
              <w:t xml:space="preserve"> avec soutien MDF et PTFs</w:t>
            </w:r>
          </w:p>
        </w:tc>
        <w:tc>
          <w:tcPr>
            <w:tcW w:w="2611" w:type="dxa"/>
            <w:shd w:val="clear" w:color="auto" w:fill="auto"/>
            <w:hideMark/>
          </w:tcPr>
          <w:p w14:paraId="3ED9569C"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Engagement actif du </w:t>
            </w:r>
            <w:proofErr w:type="spellStart"/>
            <w:r w:rsidRPr="00D636C4">
              <w:rPr>
                <w:rFonts w:ascii="Calibri" w:eastAsia="Times New Roman" w:hAnsi="Calibri" w:cs="Calibri"/>
                <w:color w:val="000000"/>
                <w:sz w:val="20"/>
                <w:szCs w:val="20"/>
              </w:rPr>
              <w:t>MdS</w:t>
            </w:r>
            <w:proofErr w:type="spellEnd"/>
            <w:r w:rsidRPr="00D636C4">
              <w:rPr>
                <w:rFonts w:ascii="Calibri" w:eastAsia="Times New Roman" w:hAnsi="Calibri" w:cs="Calibri"/>
                <w:color w:val="000000"/>
                <w:sz w:val="20"/>
                <w:szCs w:val="20"/>
              </w:rPr>
              <w:t xml:space="preserve"> dans ce processus, nombre de sessions de formation et d'échange complétés avec les personnes clés à chaque niveau.</w:t>
            </w:r>
          </w:p>
        </w:tc>
        <w:tc>
          <w:tcPr>
            <w:tcW w:w="2408" w:type="dxa"/>
            <w:shd w:val="clear" w:color="auto" w:fill="auto"/>
            <w:hideMark/>
          </w:tcPr>
          <w:p w14:paraId="32DC76A4"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Nombre et qualité des formations insuffi</w:t>
            </w:r>
            <w:r>
              <w:rPr>
                <w:rFonts w:ascii="Calibri" w:eastAsia="Times New Roman" w:hAnsi="Calibri" w:cs="Calibri"/>
                <w:color w:val="000000"/>
                <w:sz w:val="20"/>
                <w:szCs w:val="20"/>
              </w:rPr>
              <w:t>santes</w:t>
            </w:r>
            <w:r w:rsidRPr="00D636C4">
              <w:rPr>
                <w:rFonts w:ascii="Calibri" w:eastAsia="Times New Roman" w:hAnsi="Calibri" w:cs="Calibri"/>
                <w:color w:val="000000"/>
                <w:sz w:val="20"/>
                <w:szCs w:val="20"/>
              </w:rPr>
              <w:t>, personnes clés ne sont pas identifiées ou mobilisé</w:t>
            </w:r>
            <w:r w:rsidR="00564FE0">
              <w:rPr>
                <w:rFonts w:ascii="Calibri" w:eastAsia="Times New Roman" w:hAnsi="Calibri" w:cs="Calibri"/>
                <w:color w:val="000000"/>
                <w:sz w:val="20"/>
                <w:szCs w:val="20"/>
              </w:rPr>
              <w:t>e</w:t>
            </w:r>
            <w:r w:rsidRPr="00D636C4">
              <w:rPr>
                <w:rFonts w:ascii="Calibri" w:eastAsia="Times New Roman" w:hAnsi="Calibri" w:cs="Calibri"/>
                <w:color w:val="000000"/>
                <w:sz w:val="20"/>
                <w:szCs w:val="20"/>
              </w:rPr>
              <w:t>s.</w:t>
            </w:r>
          </w:p>
        </w:tc>
        <w:tc>
          <w:tcPr>
            <w:tcW w:w="360" w:type="dxa"/>
            <w:shd w:val="clear" w:color="CCCCCC" w:fill="CCCCCC"/>
          </w:tcPr>
          <w:p w14:paraId="4EC02E7F"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EFEFEF" w:fill="EFEFEF"/>
            <w:noWrap/>
          </w:tcPr>
          <w:p w14:paraId="3DC48B77"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38271917"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4EFA5E6C"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7605319E"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404D792D"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auto" w:fill="auto"/>
            <w:noWrap/>
            <w:hideMark/>
          </w:tcPr>
          <w:p w14:paraId="772E9A12"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51D9A5DD"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639B9563" w14:textId="77777777" w:rsidTr="00EC5FBE">
        <w:trPr>
          <w:trHeight w:val="1020"/>
        </w:trPr>
        <w:tc>
          <w:tcPr>
            <w:tcW w:w="4499" w:type="dxa"/>
            <w:shd w:val="clear" w:color="auto" w:fill="auto"/>
            <w:hideMark/>
          </w:tcPr>
          <w:p w14:paraId="5E3F2027"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Faire une analyse des goulots d’étranglements dans la gestion des finances publiques (formulation, exécution, évaluation) </w:t>
            </w:r>
            <w:r>
              <w:rPr>
                <w:rFonts w:ascii="Calibri" w:eastAsia="Times New Roman" w:hAnsi="Calibri" w:cs="Calibri"/>
                <w:color w:val="000000"/>
                <w:sz w:val="20"/>
                <w:szCs w:val="20"/>
              </w:rPr>
              <w:t xml:space="preserve">avec </w:t>
            </w:r>
            <w:r w:rsidRPr="00D636C4">
              <w:rPr>
                <w:rFonts w:ascii="Calibri" w:eastAsia="Times New Roman" w:hAnsi="Calibri" w:cs="Calibri"/>
                <w:color w:val="000000"/>
                <w:sz w:val="20"/>
                <w:szCs w:val="20"/>
              </w:rPr>
              <w:t>un plan d’action pour y répondre.</w:t>
            </w:r>
          </w:p>
        </w:tc>
        <w:tc>
          <w:tcPr>
            <w:tcW w:w="1350" w:type="dxa"/>
            <w:shd w:val="clear" w:color="auto" w:fill="auto"/>
            <w:hideMark/>
          </w:tcPr>
          <w:p w14:paraId="36C16A23" w14:textId="77777777" w:rsidR="001207C8" w:rsidRPr="00D636C4" w:rsidRDefault="001207C8" w:rsidP="001207C8">
            <w:pPr>
              <w:spacing w:line="240" w:lineRule="auto"/>
              <w:rPr>
                <w:rFonts w:ascii="Calibri" w:eastAsia="Times New Roman" w:hAnsi="Calibri" w:cs="Calibri"/>
                <w:color w:val="FF0000"/>
                <w:sz w:val="20"/>
                <w:szCs w:val="20"/>
              </w:rPr>
            </w:pPr>
            <w:r w:rsidRPr="00A162BC">
              <w:rPr>
                <w:rFonts w:ascii="Calibri" w:eastAsia="Times New Roman" w:hAnsi="Calibri" w:cs="Calibri"/>
                <w:sz w:val="20"/>
                <w:szCs w:val="20"/>
              </w:rPr>
              <w:t>Min Finances</w:t>
            </w:r>
          </w:p>
        </w:tc>
        <w:tc>
          <w:tcPr>
            <w:tcW w:w="2611" w:type="dxa"/>
            <w:shd w:val="clear" w:color="auto" w:fill="auto"/>
            <w:hideMark/>
          </w:tcPr>
          <w:p w14:paraId="35117EC2"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Rapport analytique validé disponible et diffusé</w:t>
            </w:r>
            <w:r>
              <w:rPr>
                <w:rFonts w:ascii="Calibri" w:eastAsia="Times New Roman" w:hAnsi="Calibri" w:cs="Calibri"/>
                <w:color w:val="000000"/>
                <w:sz w:val="20"/>
                <w:szCs w:val="20"/>
              </w:rPr>
              <w:t>, plan d’action défini.</w:t>
            </w:r>
          </w:p>
        </w:tc>
        <w:tc>
          <w:tcPr>
            <w:tcW w:w="2408" w:type="dxa"/>
            <w:shd w:val="clear" w:color="FFFFFF" w:fill="FFFFFF"/>
            <w:hideMark/>
          </w:tcPr>
          <w:p w14:paraId="7B389B3C"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Manque ou faible fiabilité des données, manque de capacité ou de soutien technique spécialisé.</w:t>
            </w:r>
          </w:p>
        </w:tc>
        <w:tc>
          <w:tcPr>
            <w:tcW w:w="360" w:type="dxa"/>
            <w:shd w:val="clear" w:color="auto" w:fill="auto"/>
          </w:tcPr>
          <w:p w14:paraId="45A846EE"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63B5F54C"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auto"/>
            <w:noWrap/>
          </w:tcPr>
          <w:p w14:paraId="56904078"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77062FF4"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436AA737"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6D9DC152"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hideMark/>
          </w:tcPr>
          <w:p w14:paraId="580E468C"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36B54818"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639E227D" w14:textId="77777777" w:rsidTr="000F0FE6">
        <w:trPr>
          <w:trHeight w:val="593"/>
        </w:trPr>
        <w:tc>
          <w:tcPr>
            <w:tcW w:w="4499" w:type="dxa"/>
            <w:shd w:val="clear" w:color="FFFFFF" w:fill="FFFFFF"/>
            <w:hideMark/>
          </w:tcPr>
          <w:p w14:paraId="62BEDA8B"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Renforcement de la capacité de gestion financière du ministère central, des régions et des districts (y compris le Conseil Régional) à mettre en œuvre le </w:t>
            </w:r>
            <w:r w:rsidR="001D5A16">
              <w:rPr>
                <w:rFonts w:ascii="Calibri" w:eastAsia="Times New Roman" w:hAnsi="Calibri" w:cs="Calibri"/>
                <w:color w:val="000000"/>
                <w:sz w:val="20"/>
                <w:szCs w:val="20"/>
              </w:rPr>
              <w:t>budget programme</w:t>
            </w:r>
          </w:p>
        </w:tc>
        <w:tc>
          <w:tcPr>
            <w:tcW w:w="1350" w:type="dxa"/>
            <w:shd w:val="clear" w:color="auto" w:fill="auto"/>
            <w:hideMark/>
          </w:tcPr>
          <w:p w14:paraId="4ED2EFB2" w14:textId="77777777" w:rsidR="001207C8" w:rsidRPr="00D636C4" w:rsidRDefault="00370F2E" w:rsidP="001207C8">
            <w:pPr>
              <w:spacing w:line="240" w:lineRule="auto"/>
              <w:rPr>
                <w:rFonts w:ascii="Calibri" w:eastAsia="Times New Roman" w:hAnsi="Calibri" w:cs="Calibri"/>
                <w:color w:val="FF0000"/>
                <w:sz w:val="20"/>
                <w:szCs w:val="20"/>
              </w:rPr>
            </w:pPr>
            <w:r>
              <w:rPr>
                <w:rFonts w:ascii="Calibri" w:eastAsia="Times New Roman" w:hAnsi="Calibri" w:cs="Calibri"/>
                <w:color w:val="000000"/>
                <w:sz w:val="20"/>
                <w:szCs w:val="20"/>
              </w:rPr>
              <w:t>MDS et MDF</w:t>
            </w:r>
          </w:p>
        </w:tc>
        <w:tc>
          <w:tcPr>
            <w:tcW w:w="2611" w:type="dxa"/>
            <w:shd w:val="clear" w:color="auto" w:fill="auto"/>
            <w:hideMark/>
          </w:tcPr>
          <w:p w14:paraId="0D425A68"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Acteurs clés identifiés, nombre d'activités de renforcement de capacité mené</w:t>
            </w:r>
            <w:r w:rsidR="00564FE0">
              <w:rPr>
                <w:rFonts w:ascii="Calibri" w:eastAsia="Times New Roman" w:hAnsi="Calibri" w:cs="Calibri"/>
                <w:color w:val="000000"/>
                <w:sz w:val="20"/>
                <w:szCs w:val="20"/>
              </w:rPr>
              <w:t>e</w:t>
            </w:r>
            <w:r w:rsidRPr="00D636C4">
              <w:rPr>
                <w:rFonts w:ascii="Calibri" w:eastAsia="Times New Roman" w:hAnsi="Calibri" w:cs="Calibri"/>
                <w:color w:val="000000"/>
                <w:sz w:val="20"/>
                <w:szCs w:val="20"/>
              </w:rPr>
              <w:t>s. Révision des manuels d'orientation pour l'exécution et l'établissement de rapports sur les dépenses publiques. Fournir un soutien continu au développement des capacités.</w:t>
            </w:r>
            <w:r w:rsidRPr="00D636C4">
              <w:rPr>
                <w:rFonts w:ascii="Calibri" w:eastAsia="Times New Roman" w:hAnsi="Calibri" w:cs="Calibri"/>
                <w:color w:val="000000"/>
                <w:sz w:val="20"/>
                <w:szCs w:val="20"/>
              </w:rPr>
              <w:br/>
              <w:t>Formation réalisée et conseils continus afin d'assurer une supervision efficace des établissements.</w:t>
            </w:r>
          </w:p>
        </w:tc>
        <w:tc>
          <w:tcPr>
            <w:tcW w:w="2408" w:type="dxa"/>
            <w:shd w:val="clear" w:color="auto" w:fill="auto"/>
            <w:hideMark/>
          </w:tcPr>
          <w:p w14:paraId="4592F9FC"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Manque de capacité ou de soutien technique spécialisé, la rotation du personnel.</w:t>
            </w:r>
          </w:p>
        </w:tc>
        <w:tc>
          <w:tcPr>
            <w:tcW w:w="360" w:type="dxa"/>
            <w:shd w:val="clear" w:color="D9D9D9" w:fill="D9D9D9"/>
          </w:tcPr>
          <w:p w14:paraId="328D06D9"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EFEFEF" w:fill="EFEFEF"/>
            <w:noWrap/>
          </w:tcPr>
          <w:p w14:paraId="674C858D"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tcPr>
          <w:p w14:paraId="7DAC6070"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tcPr>
          <w:p w14:paraId="58FCB04E"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tcPr>
          <w:p w14:paraId="710497D8"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tcPr>
          <w:p w14:paraId="58422ECE"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hideMark/>
          </w:tcPr>
          <w:p w14:paraId="7E0A800E"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73DF9683"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7956C542" w14:textId="77777777" w:rsidTr="00E6730B">
        <w:trPr>
          <w:trHeight w:val="1763"/>
        </w:trPr>
        <w:tc>
          <w:tcPr>
            <w:tcW w:w="4499" w:type="dxa"/>
            <w:shd w:val="clear" w:color="auto" w:fill="auto"/>
            <w:hideMark/>
          </w:tcPr>
          <w:p w14:paraId="449DFBD6"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Création d’un comité de suivi de la réforme budgétaire et du système d’information au niveau du département (avec le niveau central de la DRS) – avec des outils de communication et suivi (e.g., groupe WhatsApp)</w:t>
            </w:r>
          </w:p>
        </w:tc>
        <w:tc>
          <w:tcPr>
            <w:tcW w:w="1350" w:type="dxa"/>
            <w:shd w:val="clear" w:color="auto" w:fill="auto"/>
            <w:hideMark/>
          </w:tcPr>
          <w:p w14:paraId="7BD32631" w14:textId="77777777" w:rsidR="001207C8" w:rsidRPr="00D636C4" w:rsidRDefault="00370F2E" w:rsidP="001207C8">
            <w:pPr>
              <w:spacing w:line="240" w:lineRule="auto"/>
              <w:rPr>
                <w:rFonts w:ascii="Calibri" w:eastAsia="Times New Roman" w:hAnsi="Calibri" w:cs="Calibri"/>
                <w:color w:val="FF0000"/>
                <w:sz w:val="20"/>
                <w:szCs w:val="20"/>
              </w:rPr>
            </w:pPr>
            <w:r>
              <w:rPr>
                <w:rFonts w:ascii="Calibri" w:eastAsia="Times New Roman" w:hAnsi="Calibri" w:cs="Calibri"/>
                <w:color w:val="000000"/>
                <w:sz w:val="20"/>
                <w:szCs w:val="20"/>
              </w:rPr>
              <w:t>MDS et MDF</w:t>
            </w:r>
          </w:p>
        </w:tc>
        <w:tc>
          <w:tcPr>
            <w:tcW w:w="2611" w:type="dxa"/>
            <w:shd w:val="clear" w:color="auto" w:fill="auto"/>
            <w:hideMark/>
          </w:tcPr>
          <w:p w14:paraId="6E6D23C1"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Calendrier de réunions prédéfini respecté, PV des réunions suivent le contenu programmé, plaidoyer mène à des engagements clairs pris pour investir plus dans la santé.</w:t>
            </w:r>
          </w:p>
        </w:tc>
        <w:tc>
          <w:tcPr>
            <w:tcW w:w="2408" w:type="dxa"/>
            <w:shd w:val="clear" w:color="auto" w:fill="auto"/>
            <w:hideMark/>
          </w:tcPr>
          <w:p w14:paraId="6C0189FD"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Alignement des horaires difficiles, manque de leadership ou de soutien logistique, expertise nécessaire non-disponible.</w:t>
            </w:r>
          </w:p>
        </w:tc>
        <w:tc>
          <w:tcPr>
            <w:tcW w:w="360" w:type="dxa"/>
            <w:shd w:val="clear" w:color="D9D9D9" w:fill="D9D9D9"/>
          </w:tcPr>
          <w:p w14:paraId="121797E3"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2E2AA560"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35171969"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52369A33"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13C67431"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3F64313A"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hideMark/>
          </w:tcPr>
          <w:p w14:paraId="01C1451B"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6E84D7C6"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2CE4AB26" w14:textId="77777777" w:rsidTr="00AF0165">
        <w:trPr>
          <w:trHeight w:val="2040"/>
        </w:trPr>
        <w:tc>
          <w:tcPr>
            <w:tcW w:w="4499" w:type="dxa"/>
            <w:shd w:val="clear" w:color="auto" w:fill="auto"/>
            <w:hideMark/>
          </w:tcPr>
          <w:p w14:paraId="10DA6F56"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lastRenderedPageBreak/>
              <w:t>Révision des textes règlementaires nécessaires à la mise en place et l’accompagnement du budget programme.</w:t>
            </w:r>
          </w:p>
        </w:tc>
        <w:tc>
          <w:tcPr>
            <w:tcW w:w="1350" w:type="dxa"/>
            <w:shd w:val="clear" w:color="auto" w:fill="auto"/>
            <w:hideMark/>
          </w:tcPr>
          <w:p w14:paraId="26EE018C" w14:textId="77777777" w:rsidR="001207C8" w:rsidRPr="00D636C4" w:rsidRDefault="00370F2E" w:rsidP="001207C8">
            <w:pPr>
              <w:spacing w:line="240" w:lineRule="auto"/>
              <w:rPr>
                <w:rFonts w:ascii="Calibri" w:eastAsia="Times New Roman" w:hAnsi="Calibri" w:cs="Calibri"/>
                <w:color w:val="FF0000"/>
                <w:sz w:val="20"/>
                <w:szCs w:val="20"/>
              </w:rPr>
            </w:pPr>
            <w:r>
              <w:rPr>
                <w:rFonts w:ascii="Calibri" w:eastAsia="Times New Roman" w:hAnsi="Calibri" w:cs="Calibri"/>
                <w:color w:val="000000"/>
                <w:sz w:val="20"/>
                <w:szCs w:val="20"/>
              </w:rPr>
              <w:t>MDS et MF</w:t>
            </w:r>
          </w:p>
        </w:tc>
        <w:tc>
          <w:tcPr>
            <w:tcW w:w="2611" w:type="dxa"/>
            <w:shd w:val="clear" w:color="auto" w:fill="auto"/>
            <w:hideMark/>
          </w:tcPr>
          <w:p w14:paraId="13BE2065"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Analyses préliminaires menées, processus consensuel de développement des textes mené (avec </w:t>
            </w:r>
            <w:proofErr w:type="spellStart"/>
            <w:r w:rsidRPr="00D636C4">
              <w:rPr>
                <w:rFonts w:ascii="Calibri" w:eastAsia="Times New Roman" w:hAnsi="Calibri" w:cs="Calibri"/>
                <w:color w:val="000000"/>
                <w:sz w:val="20"/>
                <w:szCs w:val="20"/>
              </w:rPr>
              <w:t>MdF</w:t>
            </w:r>
            <w:proofErr w:type="spellEnd"/>
            <w:r w:rsidRPr="00D636C4">
              <w:rPr>
                <w:rFonts w:ascii="Calibri" w:eastAsia="Times New Roman" w:hAnsi="Calibri" w:cs="Calibri"/>
                <w:color w:val="000000"/>
                <w:sz w:val="20"/>
                <w:szCs w:val="20"/>
              </w:rPr>
              <w:t xml:space="preserve"> ?), textes formellement adoptés.</w:t>
            </w:r>
          </w:p>
        </w:tc>
        <w:tc>
          <w:tcPr>
            <w:tcW w:w="2408" w:type="dxa"/>
            <w:shd w:val="clear" w:color="auto" w:fill="auto"/>
            <w:hideMark/>
          </w:tcPr>
          <w:p w14:paraId="7FED6F92"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Faible engagement de l’état, résistance aux changements des acteurs engagés dans le processus budgétaire, capacités techniques spécialisées nécessaires non-disponibles.</w:t>
            </w:r>
          </w:p>
        </w:tc>
        <w:tc>
          <w:tcPr>
            <w:tcW w:w="360" w:type="dxa"/>
            <w:shd w:val="clear" w:color="auto" w:fill="auto"/>
          </w:tcPr>
          <w:p w14:paraId="52DE2CAC"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3064AD69"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F2F2F2" w:themeFill="background1" w:themeFillShade="F2"/>
            <w:noWrap/>
          </w:tcPr>
          <w:p w14:paraId="215D5057"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13DFE01E"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0EA58F75"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007D2398"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tcPr>
          <w:p w14:paraId="5BCB3883"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hideMark/>
          </w:tcPr>
          <w:p w14:paraId="1E43DF92"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759604FA" w14:textId="77777777" w:rsidTr="00AF0165">
        <w:trPr>
          <w:trHeight w:val="1020"/>
        </w:trPr>
        <w:tc>
          <w:tcPr>
            <w:tcW w:w="4499" w:type="dxa"/>
            <w:shd w:val="clear" w:color="FFFFFF" w:fill="FFFFFF"/>
            <w:hideMark/>
          </w:tcPr>
          <w:p w14:paraId="5B8692BD"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Réformer loi des finances/ GFP pour permettre allocation directe du </w:t>
            </w:r>
            <w:proofErr w:type="spellStart"/>
            <w:r w:rsidRPr="00D636C4">
              <w:rPr>
                <w:rFonts w:ascii="Calibri" w:eastAsia="Times New Roman" w:hAnsi="Calibri" w:cs="Calibri"/>
                <w:color w:val="000000"/>
                <w:sz w:val="20"/>
                <w:szCs w:val="20"/>
              </w:rPr>
              <w:t>MdF</w:t>
            </w:r>
            <w:proofErr w:type="spellEnd"/>
            <w:r w:rsidRPr="00D636C4">
              <w:rPr>
                <w:rFonts w:ascii="Calibri" w:eastAsia="Times New Roman" w:hAnsi="Calibri" w:cs="Calibri"/>
                <w:color w:val="000000"/>
                <w:sz w:val="20"/>
                <w:szCs w:val="20"/>
              </w:rPr>
              <w:t xml:space="preserve"> au CS et PS</w:t>
            </w:r>
          </w:p>
        </w:tc>
        <w:tc>
          <w:tcPr>
            <w:tcW w:w="1350" w:type="dxa"/>
            <w:shd w:val="clear" w:color="auto" w:fill="auto"/>
            <w:hideMark/>
          </w:tcPr>
          <w:p w14:paraId="54B856DE" w14:textId="77777777" w:rsidR="001207C8" w:rsidRPr="00D636C4" w:rsidRDefault="00370F2E" w:rsidP="001207C8">
            <w:pPr>
              <w:spacing w:line="240" w:lineRule="auto"/>
              <w:rPr>
                <w:rFonts w:ascii="Calibri" w:eastAsia="Times New Roman" w:hAnsi="Calibri" w:cs="Calibri"/>
                <w:color w:val="FF0000"/>
                <w:sz w:val="20"/>
                <w:szCs w:val="20"/>
              </w:rPr>
            </w:pPr>
            <w:r>
              <w:rPr>
                <w:rFonts w:ascii="Calibri" w:eastAsia="Times New Roman" w:hAnsi="Calibri" w:cs="Calibri"/>
                <w:color w:val="000000"/>
                <w:sz w:val="20"/>
                <w:szCs w:val="20"/>
              </w:rPr>
              <w:t>MDS et MF</w:t>
            </w:r>
          </w:p>
        </w:tc>
        <w:tc>
          <w:tcPr>
            <w:tcW w:w="2611" w:type="dxa"/>
            <w:shd w:val="clear" w:color="FFFFFF" w:fill="FFFFFF"/>
            <w:hideMark/>
          </w:tcPr>
          <w:p w14:paraId="3EE9664E" w14:textId="77777777" w:rsidR="001207C8"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Tous les CS et PS intégrés dans le système de GFP</w:t>
            </w:r>
          </w:p>
          <w:p w14:paraId="1B068825" w14:textId="77777777" w:rsidR="001207C8" w:rsidRPr="00D636C4" w:rsidRDefault="001207C8" w:rsidP="001207C8">
            <w:pPr>
              <w:spacing w:line="240" w:lineRule="auto"/>
              <w:rPr>
                <w:rFonts w:ascii="Calibri" w:eastAsia="Times New Roman" w:hAnsi="Calibri" w:cs="Calibri"/>
                <w:color w:val="000000"/>
                <w:sz w:val="20"/>
                <w:szCs w:val="20"/>
              </w:rPr>
            </w:pPr>
            <w:r>
              <w:rPr>
                <w:rFonts w:ascii="Calibri" w:eastAsia="Calibri" w:hAnsi="Calibri" w:cs="Calibri"/>
              </w:rPr>
              <w:t>Un décret/Ordonnance ministérielle conjointe MF &amp; MS pour légiférer sur les pratiques opérationnelles actuellement : PBF, PROPEP, FO , CNAM , CNASS , MOUYASSAR etc.</w:t>
            </w:r>
          </w:p>
        </w:tc>
        <w:tc>
          <w:tcPr>
            <w:tcW w:w="2408" w:type="dxa"/>
            <w:shd w:val="clear" w:color="auto" w:fill="auto"/>
            <w:hideMark/>
          </w:tcPr>
          <w:p w14:paraId="64A1A3B1" w14:textId="77777777" w:rsidR="001207C8" w:rsidRPr="00D636C4" w:rsidRDefault="00564FE0"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w:t>
            </w:r>
            <w:r>
              <w:rPr>
                <w:rFonts w:ascii="Calibri" w:eastAsia="Times New Roman" w:hAnsi="Calibri" w:cs="Calibri"/>
                <w:color w:val="000000"/>
                <w:sz w:val="20"/>
                <w:szCs w:val="20"/>
              </w:rPr>
              <w:t>é</w:t>
            </w:r>
            <w:r w:rsidRPr="00D636C4">
              <w:rPr>
                <w:rFonts w:ascii="Calibri" w:eastAsia="Times New Roman" w:hAnsi="Calibri" w:cs="Calibri"/>
                <w:color w:val="000000"/>
                <w:sz w:val="20"/>
                <w:szCs w:val="20"/>
              </w:rPr>
              <w:t xml:space="preserve">sistance </w:t>
            </w:r>
            <w:r w:rsidR="001207C8" w:rsidRPr="00D636C4">
              <w:rPr>
                <w:rFonts w:ascii="Calibri" w:eastAsia="Times New Roman" w:hAnsi="Calibri" w:cs="Calibri"/>
                <w:color w:val="000000"/>
                <w:sz w:val="20"/>
                <w:szCs w:val="20"/>
              </w:rPr>
              <w:t xml:space="preserve">du </w:t>
            </w:r>
            <w:proofErr w:type="spellStart"/>
            <w:r w:rsidR="001207C8" w:rsidRPr="00D636C4">
              <w:rPr>
                <w:rFonts w:ascii="Calibri" w:eastAsia="Times New Roman" w:hAnsi="Calibri" w:cs="Calibri"/>
                <w:color w:val="000000"/>
                <w:sz w:val="20"/>
                <w:szCs w:val="20"/>
              </w:rPr>
              <w:t>MdF</w:t>
            </w:r>
            <w:proofErr w:type="spellEnd"/>
            <w:r w:rsidR="001207C8" w:rsidRPr="00D636C4">
              <w:rPr>
                <w:rFonts w:ascii="Calibri" w:eastAsia="Times New Roman" w:hAnsi="Calibri" w:cs="Calibri"/>
                <w:color w:val="000000"/>
                <w:sz w:val="20"/>
                <w:szCs w:val="20"/>
              </w:rPr>
              <w:t xml:space="preserve"> à intégrer PS ou à adapter loi des finances et systèmes GFP</w:t>
            </w:r>
          </w:p>
        </w:tc>
        <w:tc>
          <w:tcPr>
            <w:tcW w:w="360" w:type="dxa"/>
            <w:shd w:val="clear" w:color="FFFFFF" w:fill="FFFFFF"/>
          </w:tcPr>
          <w:p w14:paraId="2811BC9B"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4B7D5116"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F2F2F2" w:themeFill="background1" w:themeFillShade="F2"/>
            <w:noWrap/>
          </w:tcPr>
          <w:p w14:paraId="219C9D79"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tcPr>
          <w:p w14:paraId="1051F4B1"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tcPr>
          <w:p w14:paraId="3324D396"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tcPr>
          <w:p w14:paraId="26D5FE8E"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tcPr>
          <w:p w14:paraId="7A9357FD"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hideMark/>
          </w:tcPr>
          <w:p w14:paraId="01A36CEA"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11500772" w14:textId="77777777" w:rsidTr="00E6730B">
        <w:trPr>
          <w:trHeight w:val="2123"/>
        </w:trPr>
        <w:tc>
          <w:tcPr>
            <w:tcW w:w="4499" w:type="dxa"/>
            <w:shd w:val="clear" w:color="FFFFFF" w:fill="FFFFFF"/>
            <w:hideMark/>
          </w:tcPr>
          <w:p w14:paraId="1749DEF7"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Renforcer la transparence dans l'allocation du budget de l'état dédié aux PS en les identifiant explicitement dans le budget.</w:t>
            </w:r>
          </w:p>
        </w:tc>
        <w:tc>
          <w:tcPr>
            <w:tcW w:w="1350" w:type="dxa"/>
            <w:shd w:val="clear" w:color="FFFFFF" w:fill="FFFFFF"/>
            <w:hideMark/>
          </w:tcPr>
          <w:p w14:paraId="07FB5737" w14:textId="77777777" w:rsidR="001207C8" w:rsidRPr="00D636C4" w:rsidRDefault="001207C8" w:rsidP="001207C8">
            <w:pPr>
              <w:spacing w:line="240" w:lineRule="auto"/>
              <w:rPr>
                <w:rFonts w:ascii="Calibri" w:eastAsia="Times New Roman" w:hAnsi="Calibri" w:cs="Calibri"/>
                <w:color w:val="000000"/>
                <w:sz w:val="20"/>
                <w:szCs w:val="20"/>
              </w:rPr>
            </w:pPr>
            <w:r w:rsidRPr="00A162BC">
              <w:rPr>
                <w:rFonts w:ascii="Calibri" w:eastAsia="Times New Roman" w:hAnsi="Calibri" w:cs="Calibri"/>
                <w:sz w:val="20"/>
                <w:szCs w:val="20"/>
              </w:rPr>
              <w:t>Min Finances</w:t>
            </w:r>
          </w:p>
        </w:tc>
        <w:tc>
          <w:tcPr>
            <w:tcW w:w="2611" w:type="dxa"/>
            <w:shd w:val="clear" w:color="FFFFFF" w:fill="FFFFFF"/>
            <w:hideMark/>
          </w:tcPr>
          <w:p w14:paraId="504D9645"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Budget révisé avec les PS intégrés.</w:t>
            </w:r>
          </w:p>
        </w:tc>
        <w:tc>
          <w:tcPr>
            <w:tcW w:w="2408" w:type="dxa"/>
            <w:shd w:val="clear" w:color="auto" w:fill="auto"/>
            <w:hideMark/>
          </w:tcPr>
          <w:p w14:paraId="4B8AC53C"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Faible engagement de l’état, résistance aux changements au niveau des Moughataa, capacités techniques spécialisées nécessaires non-disponibles, manque de données à jour sur les PS.</w:t>
            </w:r>
          </w:p>
        </w:tc>
        <w:tc>
          <w:tcPr>
            <w:tcW w:w="360" w:type="dxa"/>
            <w:shd w:val="clear" w:color="FFFFFF" w:fill="FFFFFF"/>
          </w:tcPr>
          <w:p w14:paraId="25BD656A"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6DE86C72"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F2F2F2" w:themeFill="background1" w:themeFillShade="F2"/>
            <w:noWrap/>
          </w:tcPr>
          <w:p w14:paraId="0895428F"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tcPr>
          <w:p w14:paraId="61272637"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tcPr>
          <w:p w14:paraId="35F1E3A6"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tcPr>
          <w:p w14:paraId="1BB71EB7"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tcPr>
          <w:p w14:paraId="5B2209ED"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FFFFFF" w:fill="FFFFFF"/>
            <w:noWrap/>
            <w:hideMark/>
          </w:tcPr>
          <w:p w14:paraId="43E3B2D2"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36B14246" w14:textId="77777777" w:rsidTr="00EC5FBE">
        <w:trPr>
          <w:trHeight w:val="1700"/>
        </w:trPr>
        <w:tc>
          <w:tcPr>
            <w:tcW w:w="4499" w:type="dxa"/>
            <w:shd w:val="clear" w:color="auto" w:fill="auto"/>
            <w:hideMark/>
          </w:tcPr>
          <w:p w14:paraId="463A5C22"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Généraliser une approche </w:t>
            </w:r>
            <w:r>
              <w:rPr>
                <w:rFonts w:ascii="Calibri" w:eastAsia="Times New Roman" w:hAnsi="Calibri" w:cs="Calibri"/>
                <w:color w:val="000000"/>
                <w:sz w:val="20"/>
                <w:szCs w:val="20"/>
              </w:rPr>
              <w:t>programmatique</w:t>
            </w:r>
            <w:r w:rsidRPr="00D636C4">
              <w:rPr>
                <w:rFonts w:ascii="Calibri" w:eastAsia="Times New Roman" w:hAnsi="Calibri" w:cs="Calibri"/>
                <w:color w:val="000000"/>
                <w:sz w:val="20"/>
                <w:szCs w:val="20"/>
              </w:rPr>
              <w:t xml:space="preserve"> pour que les PS / CS aient un compte en banque et un NIF (numéro d’identification fiscal nécessaire pour un transfert du Trésor).</w:t>
            </w:r>
          </w:p>
        </w:tc>
        <w:tc>
          <w:tcPr>
            <w:tcW w:w="1350" w:type="dxa"/>
            <w:shd w:val="clear" w:color="auto" w:fill="auto"/>
            <w:hideMark/>
          </w:tcPr>
          <w:p w14:paraId="47ED5546" w14:textId="77777777" w:rsidR="001207C8" w:rsidRPr="00D636C4" w:rsidRDefault="001207C8" w:rsidP="001207C8">
            <w:pPr>
              <w:spacing w:line="240" w:lineRule="auto"/>
              <w:rPr>
                <w:rFonts w:ascii="Calibri" w:eastAsia="Times New Roman" w:hAnsi="Calibri" w:cs="Calibri"/>
                <w:color w:val="FF0000"/>
                <w:sz w:val="20"/>
                <w:szCs w:val="20"/>
              </w:rPr>
            </w:pPr>
            <w:r w:rsidRPr="00A162BC">
              <w:rPr>
                <w:rFonts w:ascii="Calibri" w:eastAsia="Times New Roman" w:hAnsi="Calibri" w:cs="Calibri"/>
                <w:sz w:val="20"/>
                <w:szCs w:val="20"/>
              </w:rPr>
              <w:t>Min Finances</w:t>
            </w:r>
          </w:p>
        </w:tc>
        <w:tc>
          <w:tcPr>
            <w:tcW w:w="2611" w:type="dxa"/>
            <w:shd w:val="clear" w:color="auto" w:fill="auto"/>
            <w:hideMark/>
          </w:tcPr>
          <w:p w14:paraId="76ED3EDC"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Proportion des CS et PS qui ont un compte en banque et NIF pour les transferts, proportion qui reçoivent effectivement des fonds dans ces comptes.</w:t>
            </w:r>
          </w:p>
        </w:tc>
        <w:tc>
          <w:tcPr>
            <w:tcW w:w="2408" w:type="dxa"/>
            <w:shd w:val="clear" w:color="auto" w:fill="auto"/>
            <w:hideMark/>
          </w:tcPr>
          <w:p w14:paraId="0691755D"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Absence de textes permettant l'autonomie financière des PS, absence de pénétration du secteur bancaire au niveau de tous les centres périphériques. </w:t>
            </w:r>
          </w:p>
        </w:tc>
        <w:tc>
          <w:tcPr>
            <w:tcW w:w="360" w:type="dxa"/>
            <w:shd w:val="clear" w:color="auto" w:fill="auto"/>
          </w:tcPr>
          <w:p w14:paraId="15501295"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3BE58E88" w14:textId="77777777" w:rsidR="001207C8" w:rsidRPr="00D636C4" w:rsidRDefault="001207C8" w:rsidP="001207C8">
            <w:pPr>
              <w:spacing w:line="240" w:lineRule="auto"/>
              <w:jc w:val="right"/>
              <w:rPr>
                <w:rFonts w:ascii="Calibri" w:eastAsia="Times New Roman" w:hAnsi="Calibri" w:cs="Calibri"/>
                <w:b/>
                <w:bCs/>
                <w:color w:val="000000"/>
                <w:sz w:val="20"/>
                <w:szCs w:val="20"/>
              </w:rPr>
            </w:pPr>
          </w:p>
        </w:tc>
        <w:tc>
          <w:tcPr>
            <w:tcW w:w="360" w:type="dxa"/>
            <w:shd w:val="clear" w:color="auto" w:fill="auto"/>
            <w:noWrap/>
          </w:tcPr>
          <w:p w14:paraId="7099DE48"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59F1590E"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1AF25351"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5D730D1C"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tcPr>
          <w:p w14:paraId="21CADE57"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auto" w:fill="auto"/>
            <w:noWrap/>
            <w:hideMark/>
          </w:tcPr>
          <w:p w14:paraId="7EC06A0C"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0E8B023C" w14:textId="77777777" w:rsidTr="00EC5FBE">
        <w:trPr>
          <w:trHeight w:val="2720"/>
        </w:trPr>
        <w:tc>
          <w:tcPr>
            <w:tcW w:w="4499" w:type="dxa"/>
            <w:shd w:val="clear" w:color="FFFFFF" w:fill="FFFFFF"/>
            <w:hideMark/>
          </w:tcPr>
          <w:p w14:paraId="49485145"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lastRenderedPageBreak/>
              <w:t xml:space="preserve">Renforcement de la capacité de gestion financière des établissements à travers la révision, </w:t>
            </w:r>
            <w:r w:rsidR="004C22D4">
              <w:rPr>
                <w:rFonts w:ascii="Calibri" w:eastAsia="Times New Roman" w:hAnsi="Calibri" w:cs="Calibri"/>
                <w:color w:val="000000"/>
                <w:sz w:val="20"/>
                <w:szCs w:val="20"/>
              </w:rPr>
              <w:t xml:space="preserve">la </w:t>
            </w:r>
            <w:r w:rsidRPr="00D636C4">
              <w:rPr>
                <w:rFonts w:ascii="Calibri" w:eastAsia="Times New Roman" w:hAnsi="Calibri" w:cs="Calibri"/>
                <w:color w:val="000000"/>
                <w:sz w:val="20"/>
                <w:szCs w:val="20"/>
              </w:rPr>
              <w:t>mise à jour et diffusion régulières des outils et des orientations en matière de gestion financière, notamment en formant les responsables sur le Manuel de gestion et « l'Outil Indice ».</w:t>
            </w:r>
          </w:p>
        </w:tc>
        <w:tc>
          <w:tcPr>
            <w:tcW w:w="1350" w:type="dxa"/>
            <w:shd w:val="clear" w:color="FFFFFF" w:fill="FFFFFF"/>
            <w:hideMark/>
          </w:tcPr>
          <w:p w14:paraId="766295BC" w14:textId="77777777" w:rsidR="001207C8" w:rsidRPr="00D636C4" w:rsidRDefault="001207C8" w:rsidP="001207C8">
            <w:pPr>
              <w:spacing w:line="240" w:lineRule="auto"/>
              <w:rPr>
                <w:rFonts w:ascii="Calibri" w:eastAsia="Times New Roman" w:hAnsi="Calibri" w:cs="Calibri"/>
                <w:color w:val="000000"/>
                <w:sz w:val="20"/>
                <w:szCs w:val="20"/>
              </w:rPr>
            </w:pPr>
            <w:r w:rsidRPr="00A162BC">
              <w:rPr>
                <w:rFonts w:ascii="Calibri" w:eastAsia="Times New Roman" w:hAnsi="Calibri" w:cs="Calibri"/>
                <w:sz w:val="20"/>
                <w:szCs w:val="20"/>
              </w:rPr>
              <w:t>Min Finances</w:t>
            </w:r>
          </w:p>
        </w:tc>
        <w:tc>
          <w:tcPr>
            <w:tcW w:w="2611" w:type="dxa"/>
            <w:shd w:val="clear" w:color="FFFFFF" w:fill="FFFFFF"/>
            <w:hideMark/>
          </w:tcPr>
          <w:p w14:paraId="3F174D0D"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Outils de gestion révisés disponibles ; proportion des FOSA ayant bénéficié d'activités de formation sur les nouveaux outils ; proportion des FOSA qui utilisent les outils pour la gestion de routine de leurs finances.</w:t>
            </w:r>
          </w:p>
        </w:tc>
        <w:tc>
          <w:tcPr>
            <w:tcW w:w="2408" w:type="dxa"/>
            <w:shd w:val="clear" w:color="FFFFFF" w:fill="FFFFFF"/>
            <w:hideMark/>
          </w:tcPr>
          <w:p w14:paraId="7BF3BA05"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Résistance à l'intégration d'outils existants, manque de capacité ou plateau technique pour la bonne utilisation des outils, la rotation du personnel.</w:t>
            </w:r>
          </w:p>
        </w:tc>
        <w:tc>
          <w:tcPr>
            <w:tcW w:w="360" w:type="dxa"/>
            <w:shd w:val="clear" w:color="FFFFFF" w:fill="FFFFFF"/>
          </w:tcPr>
          <w:p w14:paraId="50344AE6"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012A47C7"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EFEFEF" w:fill="EFEFEF"/>
            <w:noWrap/>
          </w:tcPr>
          <w:p w14:paraId="4E105830"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tcPr>
          <w:p w14:paraId="6413FA6F"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tcPr>
          <w:p w14:paraId="6D7B6730"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tcPr>
          <w:p w14:paraId="323287BC"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tcPr>
          <w:p w14:paraId="578E1555"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hideMark/>
          </w:tcPr>
          <w:p w14:paraId="00D53626"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4A330E8B" w14:textId="77777777" w:rsidTr="00EC5FBE">
        <w:trPr>
          <w:trHeight w:val="2040"/>
        </w:trPr>
        <w:tc>
          <w:tcPr>
            <w:tcW w:w="4499" w:type="dxa"/>
            <w:shd w:val="clear" w:color="FFFFFF" w:fill="FFFFFF"/>
            <w:hideMark/>
          </w:tcPr>
          <w:p w14:paraId="05E174A5"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Soutien à l'opérationnalisation des Comités de Gestion à travers la révision </w:t>
            </w:r>
            <w:r w:rsidR="004467D9">
              <w:rPr>
                <w:rFonts w:ascii="Calibri" w:eastAsia="Times New Roman" w:hAnsi="Calibri" w:cs="Calibri"/>
                <w:color w:val="000000"/>
                <w:sz w:val="20"/>
                <w:szCs w:val="20"/>
              </w:rPr>
              <w:t>d</w:t>
            </w:r>
            <w:r w:rsidR="004467D9" w:rsidRPr="00D636C4">
              <w:rPr>
                <w:rFonts w:ascii="Calibri" w:eastAsia="Times New Roman" w:hAnsi="Calibri" w:cs="Calibri"/>
                <w:color w:val="000000"/>
                <w:sz w:val="20"/>
                <w:szCs w:val="20"/>
              </w:rPr>
              <w:t xml:space="preserve">es </w:t>
            </w:r>
            <w:r w:rsidRPr="00D636C4">
              <w:rPr>
                <w:rFonts w:ascii="Calibri" w:eastAsia="Times New Roman" w:hAnsi="Calibri" w:cs="Calibri"/>
                <w:color w:val="000000"/>
                <w:sz w:val="20"/>
                <w:szCs w:val="20"/>
              </w:rPr>
              <w:t>manuels d'orientation pour l'exécution et l'établissement de rapports sur les dépenses publiques, et leur diffusion à travers des activités continu</w:t>
            </w:r>
            <w:r w:rsidR="00564FE0">
              <w:rPr>
                <w:rFonts w:ascii="Calibri" w:eastAsia="Times New Roman" w:hAnsi="Calibri" w:cs="Calibri"/>
                <w:color w:val="000000"/>
                <w:sz w:val="20"/>
                <w:szCs w:val="20"/>
              </w:rPr>
              <w:t>e</w:t>
            </w:r>
            <w:r w:rsidRPr="00D636C4">
              <w:rPr>
                <w:rFonts w:ascii="Calibri" w:eastAsia="Times New Roman" w:hAnsi="Calibri" w:cs="Calibri"/>
                <w:color w:val="000000"/>
                <w:sz w:val="20"/>
                <w:szCs w:val="20"/>
              </w:rPr>
              <w:t>s de développement des capacités.</w:t>
            </w:r>
          </w:p>
        </w:tc>
        <w:tc>
          <w:tcPr>
            <w:tcW w:w="1350" w:type="dxa"/>
            <w:shd w:val="clear" w:color="FFFFFF" w:fill="FFFFFF"/>
            <w:hideMark/>
          </w:tcPr>
          <w:p w14:paraId="35448970" w14:textId="77777777" w:rsidR="001207C8" w:rsidRPr="00D636C4" w:rsidRDefault="001207C8" w:rsidP="001207C8">
            <w:pPr>
              <w:spacing w:line="240" w:lineRule="auto"/>
              <w:rPr>
                <w:rFonts w:ascii="Calibri" w:eastAsia="Times New Roman" w:hAnsi="Calibri" w:cs="Calibri"/>
                <w:color w:val="000000"/>
                <w:sz w:val="20"/>
                <w:szCs w:val="20"/>
              </w:rPr>
            </w:pPr>
            <w:r w:rsidRPr="00A162BC">
              <w:rPr>
                <w:rFonts w:ascii="Calibri" w:eastAsia="Times New Roman" w:hAnsi="Calibri" w:cs="Calibri"/>
                <w:sz w:val="20"/>
                <w:szCs w:val="20"/>
              </w:rPr>
              <w:t>Min Finances</w:t>
            </w:r>
          </w:p>
        </w:tc>
        <w:tc>
          <w:tcPr>
            <w:tcW w:w="2611" w:type="dxa"/>
            <w:shd w:val="clear" w:color="FFFFFF" w:fill="FFFFFF"/>
            <w:hideMark/>
          </w:tcPr>
          <w:p w14:paraId="21596551"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Supports de gestion pour les COSA disponibles ; proportion des COSA ayant bénéficié d'activités de formation ; proportion des FOSA qui fonctionnent selon les normes.</w:t>
            </w:r>
          </w:p>
        </w:tc>
        <w:tc>
          <w:tcPr>
            <w:tcW w:w="2408" w:type="dxa"/>
            <w:shd w:val="clear" w:color="FFFFFF" w:fill="FFFFFF"/>
            <w:hideMark/>
          </w:tcPr>
          <w:p w14:paraId="7D90AB87"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Manque </w:t>
            </w:r>
            <w:r>
              <w:rPr>
                <w:rFonts w:ascii="Calibri" w:eastAsia="Times New Roman" w:hAnsi="Calibri" w:cs="Calibri"/>
                <w:color w:val="000000"/>
                <w:sz w:val="20"/>
                <w:szCs w:val="20"/>
              </w:rPr>
              <w:t xml:space="preserve">de financement suffisant pour le fonctionnement et la motivation des COGES, manque </w:t>
            </w:r>
            <w:r w:rsidRPr="00D636C4">
              <w:rPr>
                <w:rFonts w:ascii="Calibri" w:eastAsia="Times New Roman" w:hAnsi="Calibri" w:cs="Calibri"/>
                <w:color w:val="000000"/>
                <w:sz w:val="20"/>
                <w:szCs w:val="20"/>
              </w:rPr>
              <w:t>de textes législatifs sur les COSA à jour, manque de capacité ou plateau technique pour le bon fonctionnement des outils, la rotation des membres du COSA.</w:t>
            </w:r>
          </w:p>
        </w:tc>
        <w:tc>
          <w:tcPr>
            <w:tcW w:w="360" w:type="dxa"/>
            <w:shd w:val="clear" w:color="FFFFFF" w:fill="FFFFFF"/>
          </w:tcPr>
          <w:p w14:paraId="32114D19"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5CC77B4B"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EFEFEF" w:fill="EFEFEF"/>
            <w:noWrap/>
          </w:tcPr>
          <w:p w14:paraId="6BD1C376"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hideMark/>
          </w:tcPr>
          <w:p w14:paraId="69447030"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0190D80E"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2CBD32CE"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7152D8A2"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124DB55B"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5B87898F" w14:textId="77777777" w:rsidTr="005C7D89">
        <w:trPr>
          <w:trHeight w:val="320"/>
        </w:trPr>
        <w:tc>
          <w:tcPr>
            <w:tcW w:w="13748" w:type="dxa"/>
            <w:gridSpan w:val="12"/>
            <w:shd w:val="clear" w:color="F3F3F3" w:fill="F3F3F3"/>
            <w:hideMark/>
          </w:tcPr>
          <w:p w14:paraId="23C1C3F6" w14:textId="77777777" w:rsidR="001207C8" w:rsidRPr="00D636C4" w:rsidRDefault="001207C8" w:rsidP="001207C8">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4.</w:t>
            </w:r>
            <w:r>
              <w:rPr>
                <w:rFonts w:ascii="Calibri" w:eastAsia="Times New Roman" w:hAnsi="Calibri" w:cs="Calibri"/>
                <w:b/>
                <w:bCs/>
                <w:color w:val="000000"/>
                <w:sz w:val="20"/>
                <w:szCs w:val="20"/>
              </w:rPr>
              <w:t>3</w:t>
            </w:r>
            <w:r w:rsidRPr="00D636C4">
              <w:rPr>
                <w:rFonts w:ascii="Calibri" w:eastAsia="Times New Roman" w:hAnsi="Calibri" w:cs="Calibri"/>
                <w:b/>
                <w:bCs/>
                <w:color w:val="000000"/>
                <w:sz w:val="20"/>
                <w:szCs w:val="20"/>
              </w:rPr>
              <w:t xml:space="preserve"> Données</w:t>
            </w:r>
          </w:p>
        </w:tc>
      </w:tr>
      <w:tr w:rsidR="001207C8" w:rsidRPr="00D636C4" w14:paraId="3A757ABD" w14:textId="77777777" w:rsidTr="00E6730B">
        <w:trPr>
          <w:trHeight w:val="2609"/>
        </w:trPr>
        <w:tc>
          <w:tcPr>
            <w:tcW w:w="4499" w:type="dxa"/>
            <w:shd w:val="clear" w:color="auto" w:fill="auto"/>
            <w:hideMark/>
          </w:tcPr>
          <w:p w14:paraId="79B520F1"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lastRenderedPageBreak/>
              <w:t>Concevoir et mettre en œuvre système exhaustif permettant une allocation, exécution et suivi budgétaire en harmonie avec les axes stratégiques de la SNFS.</w:t>
            </w:r>
          </w:p>
        </w:tc>
        <w:tc>
          <w:tcPr>
            <w:tcW w:w="1350" w:type="dxa"/>
            <w:shd w:val="clear" w:color="auto" w:fill="auto"/>
            <w:hideMark/>
          </w:tcPr>
          <w:p w14:paraId="34BDB044"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M</w:t>
            </w:r>
            <w:r w:rsidR="00370F2E">
              <w:rPr>
                <w:rFonts w:ascii="Calibri" w:eastAsia="Times New Roman" w:hAnsi="Calibri" w:cs="Calibri"/>
                <w:color w:val="000000"/>
                <w:sz w:val="20"/>
                <w:szCs w:val="20"/>
              </w:rPr>
              <w:t>D</w:t>
            </w:r>
            <w:r w:rsidRPr="00D636C4">
              <w:rPr>
                <w:rFonts w:ascii="Calibri" w:eastAsia="Times New Roman" w:hAnsi="Calibri" w:cs="Calibri"/>
                <w:color w:val="000000"/>
                <w:sz w:val="20"/>
                <w:szCs w:val="20"/>
              </w:rPr>
              <w:t>S</w:t>
            </w:r>
          </w:p>
        </w:tc>
        <w:tc>
          <w:tcPr>
            <w:tcW w:w="2611" w:type="dxa"/>
            <w:shd w:val="clear" w:color="auto" w:fill="auto"/>
            <w:hideMark/>
          </w:tcPr>
          <w:p w14:paraId="6C1FFE23"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Disponibilité de l'outil électronique de collecte de données budgétaires </w:t>
            </w:r>
            <w:r>
              <w:rPr>
                <w:rFonts w:ascii="Calibri" w:eastAsia="Times New Roman" w:hAnsi="Calibri" w:cs="Calibri"/>
                <w:color w:val="000000"/>
                <w:sz w:val="20"/>
                <w:szCs w:val="20"/>
              </w:rPr>
              <w:t xml:space="preserve">et données sur les </w:t>
            </w:r>
            <w:r w:rsidR="00564FE0">
              <w:rPr>
                <w:rFonts w:ascii="Calibri" w:eastAsia="Times New Roman" w:hAnsi="Calibri" w:cs="Calibri"/>
                <w:color w:val="000000"/>
                <w:sz w:val="20"/>
                <w:szCs w:val="20"/>
              </w:rPr>
              <w:t>utilisateurs</w:t>
            </w:r>
            <w:r w:rsidR="00564FE0"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 xml:space="preserve"> pourcentage des FOSA (toutes catégories, même privé</w:t>
            </w:r>
            <w:r w:rsidR="004467D9">
              <w:rPr>
                <w:rFonts w:ascii="Calibri" w:eastAsia="Times New Roman" w:hAnsi="Calibri" w:cs="Calibri"/>
                <w:color w:val="000000"/>
                <w:sz w:val="20"/>
                <w:szCs w:val="20"/>
              </w:rPr>
              <w:t>es</w:t>
            </w:r>
            <w:r w:rsidRPr="00D636C4">
              <w:rPr>
                <w:rFonts w:ascii="Calibri" w:eastAsia="Times New Roman" w:hAnsi="Calibri" w:cs="Calibri"/>
                <w:color w:val="000000"/>
                <w:sz w:val="20"/>
                <w:szCs w:val="20"/>
              </w:rPr>
              <w:t>) enrôlé</w:t>
            </w:r>
            <w:r w:rsidR="00564FE0">
              <w:rPr>
                <w:rFonts w:ascii="Calibri" w:eastAsia="Times New Roman" w:hAnsi="Calibri" w:cs="Calibri"/>
                <w:color w:val="000000"/>
                <w:sz w:val="20"/>
                <w:szCs w:val="20"/>
              </w:rPr>
              <w:t>e</w:t>
            </w:r>
            <w:r w:rsidRPr="00D636C4">
              <w:rPr>
                <w:rFonts w:ascii="Calibri" w:eastAsia="Times New Roman" w:hAnsi="Calibri" w:cs="Calibri"/>
                <w:color w:val="000000"/>
                <w:sz w:val="20"/>
                <w:szCs w:val="20"/>
              </w:rPr>
              <w:t>s dans le système d’information ; digitalisation totale de la collecte des données des FS</w:t>
            </w:r>
          </w:p>
        </w:tc>
        <w:tc>
          <w:tcPr>
            <w:tcW w:w="2408" w:type="dxa"/>
            <w:shd w:val="clear" w:color="auto" w:fill="auto"/>
            <w:hideMark/>
          </w:tcPr>
          <w:p w14:paraId="226571F6"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Fragmentation du système ; résistance du secteur privé ; insuffisance d’accès à l’électricité et à la connexion internet dans les régions</w:t>
            </w:r>
          </w:p>
        </w:tc>
        <w:tc>
          <w:tcPr>
            <w:tcW w:w="360" w:type="dxa"/>
            <w:shd w:val="clear" w:color="auto" w:fill="auto"/>
          </w:tcPr>
          <w:p w14:paraId="28D1BDEA"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116F81CB"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EFEFEF" w:fill="EFEFEF"/>
            <w:noWrap/>
          </w:tcPr>
          <w:p w14:paraId="7DD2FCAB"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hideMark/>
          </w:tcPr>
          <w:p w14:paraId="2234279B"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45E025F9"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431D91EE"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60743472"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650CE336"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1207C8" w:rsidRPr="00D636C4" w14:paraId="28329A71" w14:textId="77777777" w:rsidTr="00EC5FBE">
        <w:trPr>
          <w:trHeight w:val="2040"/>
        </w:trPr>
        <w:tc>
          <w:tcPr>
            <w:tcW w:w="4499" w:type="dxa"/>
            <w:shd w:val="clear" w:color="auto" w:fill="auto"/>
            <w:hideMark/>
          </w:tcPr>
          <w:p w14:paraId="47F2829F"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Développer et rendre performant et exhaustif le SNIS tel que recommandé par le PNDS III afin de pouvoir fournir toutes les informations sanitaires requises.</w:t>
            </w:r>
          </w:p>
        </w:tc>
        <w:tc>
          <w:tcPr>
            <w:tcW w:w="1350" w:type="dxa"/>
            <w:shd w:val="clear" w:color="auto" w:fill="auto"/>
            <w:hideMark/>
          </w:tcPr>
          <w:p w14:paraId="3D89DF0F" w14:textId="77777777" w:rsidR="001207C8" w:rsidRPr="008E330D" w:rsidRDefault="001207C8" w:rsidP="001207C8">
            <w:pPr>
              <w:spacing w:line="240" w:lineRule="auto"/>
              <w:rPr>
                <w:rFonts w:ascii="Calibri" w:eastAsia="Times New Roman" w:hAnsi="Calibri" w:cs="Calibri"/>
                <w:sz w:val="20"/>
                <w:szCs w:val="20"/>
              </w:rPr>
            </w:pPr>
            <w:r w:rsidRPr="008E330D">
              <w:rPr>
                <w:rFonts w:ascii="Calibri" w:eastAsia="Times New Roman" w:hAnsi="Calibri" w:cs="Calibri"/>
                <w:sz w:val="20"/>
                <w:szCs w:val="20"/>
              </w:rPr>
              <w:t>MDS</w:t>
            </w:r>
          </w:p>
        </w:tc>
        <w:tc>
          <w:tcPr>
            <w:tcW w:w="2611" w:type="dxa"/>
            <w:shd w:val="clear" w:color="auto" w:fill="auto"/>
            <w:hideMark/>
          </w:tcPr>
          <w:p w14:paraId="6D3F1F5C"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Intégration des indicateurs clés programmatiques dans le SNIS, proportion des programmes de santé qui fournissent activement des données au SNIS.</w:t>
            </w:r>
          </w:p>
        </w:tc>
        <w:tc>
          <w:tcPr>
            <w:tcW w:w="2408" w:type="dxa"/>
            <w:shd w:val="clear" w:color="auto" w:fill="auto"/>
            <w:hideMark/>
          </w:tcPr>
          <w:p w14:paraId="29A2EF41"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Fragmentation du système ; résistance de certains programmes ; insuffisance d’accès à l’électricité et à la connexion internet dans les régions.</w:t>
            </w:r>
          </w:p>
        </w:tc>
        <w:tc>
          <w:tcPr>
            <w:tcW w:w="360" w:type="dxa"/>
            <w:shd w:val="clear" w:color="auto" w:fill="auto"/>
          </w:tcPr>
          <w:p w14:paraId="6AC15A91"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16BC513B"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EFEFEF" w:fill="EFEFEF"/>
            <w:noWrap/>
          </w:tcPr>
          <w:p w14:paraId="51851521"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EFEFEF" w:fill="EFEFEF"/>
            <w:noWrap/>
            <w:hideMark/>
          </w:tcPr>
          <w:p w14:paraId="798884E0"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055E892E"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16C14A4F"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104C6CB4"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EFEFEF" w:fill="EFEFEF"/>
            <w:noWrap/>
            <w:hideMark/>
          </w:tcPr>
          <w:p w14:paraId="5EF2EB1D"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r w:rsidR="00325D8C" w:rsidRPr="00D636C4" w14:paraId="6D736FD4" w14:textId="77777777" w:rsidTr="00C54A4B">
        <w:trPr>
          <w:trHeight w:val="1360"/>
        </w:trPr>
        <w:tc>
          <w:tcPr>
            <w:tcW w:w="4499" w:type="dxa"/>
            <w:shd w:val="clear" w:color="auto" w:fill="auto"/>
            <w:hideMark/>
          </w:tcPr>
          <w:p w14:paraId="385BB1E6" w14:textId="77777777" w:rsidR="00325D8C" w:rsidRPr="00D636C4" w:rsidRDefault="00325D8C"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Investir dans la production et l’utilisation de données sur les activités et besoins financiers du secteur.</w:t>
            </w:r>
          </w:p>
        </w:tc>
        <w:tc>
          <w:tcPr>
            <w:tcW w:w="1350" w:type="dxa"/>
            <w:shd w:val="clear" w:color="auto" w:fill="auto"/>
            <w:hideMark/>
          </w:tcPr>
          <w:p w14:paraId="30C49E05" w14:textId="77777777" w:rsidR="00325D8C" w:rsidRPr="00D636C4" w:rsidRDefault="00325D8C" w:rsidP="00C54A4B">
            <w:pPr>
              <w:spacing w:line="240" w:lineRule="auto"/>
              <w:rPr>
                <w:rFonts w:ascii="Calibri" w:eastAsia="Times New Roman" w:hAnsi="Calibri" w:cs="Calibri"/>
                <w:color w:val="FF0000"/>
                <w:sz w:val="20"/>
                <w:szCs w:val="20"/>
              </w:rPr>
            </w:pPr>
            <w:r w:rsidRPr="004C4CFE">
              <w:rPr>
                <w:rFonts w:ascii="Calibri" w:eastAsia="Times New Roman" w:hAnsi="Calibri" w:cs="Calibri"/>
                <w:sz w:val="20"/>
                <w:szCs w:val="20"/>
              </w:rPr>
              <w:t xml:space="preserve">Comité interministériel </w:t>
            </w:r>
            <w:r w:rsidR="00370F2E">
              <w:rPr>
                <w:rFonts w:ascii="Calibri" w:eastAsia="Times New Roman" w:hAnsi="Calibri" w:cs="Calibri"/>
                <w:sz w:val="20"/>
                <w:szCs w:val="20"/>
              </w:rPr>
              <w:t>CSU</w:t>
            </w:r>
          </w:p>
        </w:tc>
        <w:tc>
          <w:tcPr>
            <w:tcW w:w="2611" w:type="dxa"/>
            <w:shd w:val="clear" w:color="auto" w:fill="auto"/>
            <w:hideMark/>
          </w:tcPr>
          <w:p w14:paraId="01EEFB04" w14:textId="77777777" w:rsidR="00325D8C" w:rsidRPr="00D636C4" w:rsidRDefault="00325D8C"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 xml:space="preserve">Nombre d'indicateurs collectés de façon </w:t>
            </w:r>
            <w:r w:rsidR="004467D9" w:rsidRPr="00D636C4">
              <w:rPr>
                <w:rFonts w:ascii="Calibri" w:eastAsia="Times New Roman" w:hAnsi="Calibri" w:cs="Calibri"/>
                <w:color w:val="000000"/>
                <w:sz w:val="20"/>
                <w:szCs w:val="20"/>
              </w:rPr>
              <w:t>routin</w:t>
            </w:r>
            <w:r w:rsidR="004467D9">
              <w:rPr>
                <w:rFonts w:ascii="Calibri" w:eastAsia="Times New Roman" w:hAnsi="Calibri" w:cs="Calibri"/>
                <w:color w:val="000000"/>
                <w:sz w:val="20"/>
                <w:szCs w:val="20"/>
              </w:rPr>
              <w:t>ière</w:t>
            </w:r>
            <w:r w:rsidR="004467D9" w:rsidRPr="00D636C4">
              <w:rPr>
                <w:rFonts w:ascii="Calibri" w:eastAsia="Times New Roman" w:hAnsi="Calibri" w:cs="Calibri"/>
                <w:color w:val="000000"/>
                <w:sz w:val="20"/>
                <w:szCs w:val="20"/>
              </w:rPr>
              <w:t xml:space="preserve"> </w:t>
            </w:r>
            <w:r w:rsidRPr="00D636C4">
              <w:rPr>
                <w:rFonts w:ascii="Calibri" w:eastAsia="Times New Roman" w:hAnsi="Calibri" w:cs="Calibri"/>
                <w:color w:val="000000"/>
                <w:sz w:val="20"/>
                <w:szCs w:val="20"/>
              </w:rPr>
              <w:t>; nombre de produits analytiques mis à la disposition des décideurs.</w:t>
            </w:r>
          </w:p>
        </w:tc>
        <w:tc>
          <w:tcPr>
            <w:tcW w:w="2408" w:type="dxa"/>
            <w:shd w:val="clear" w:color="auto" w:fill="auto"/>
            <w:hideMark/>
          </w:tcPr>
          <w:p w14:paraId="482069B9" w14:textId="77777777" w:rsidR="00325D8C" w:rsidRPr="00D636C4" w:rsidRDefault="00325D8C" w:rsidP="00C54A4B">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Faiblesses dans les systèmes de collecte de données, mauvaise qualité des données, faible demande pour les résultats analytiques du secteur.</w:t>
            </w:r>
          </w:p>
        </w:tc>
        <w:tc>
          <w:tcPr>
            <w:tcW w:w="360" w:type="dxa"/>
            <w:shd w:val="clear" w:color="auto" w:fill="auto"/>
          </w:tcPr>
          <w:p w14:paraId="1E84AA90" w14:textId="77777777" w:rsidR="00325D8C" w:rsidRPr="00D636C4" w:rsidRDefault="00325D8C" w:rsidP="00C54A4B">
            <w:pPr>
              <w:spacing w:line="240" w:lineRule="auto"/>
              <w:rPr>
                <w:rFonts w:ascii="Calibri" w:eastAsia="Times New Roman" w:hAnsi="Calibri" w:cs="Calibri"/>
                <w:b/>
                <w:bCs/>
                <w:color w:val="000000"/>
                <w:sz w:val="20"/>
                <w:szCs w:val="20"/>
              </w:rPr>
            </w:pPr>
          </w:p>
        </w:tc>
        <w:tc>
          <w:tcPr>
            <w:tcW w:w="360" w:type="dxa"/>
            <w:shd w:val="clear" w:color="CCCCCC" w:fill="CCCCCC"/>
            <w:noWrap/>
          </w:tcPr>
          <w:p w14:paraId="62902450" w14:textId="77777777" w:rsidR="00325D8C" w:rsidRPr="00D636C4" w:rsidRDefault="00325D8C" w:rsidP="00C54A4B">
            <w:pPr>
              <w:spacing w:line="240" w:lineRule="auto"/>
              <w:jc w:val="right"/>
              <w:rPr>
                <w:rFonts w:ascii="Calibri" w:eastAsia="Times New Roman" w:hAnsi="Calibri" w:cs="Calibri"/>
                <w:b/>
                <w:bCs/>
                <w:color w:val="000000"/>
                <w:sz w:val="20"/>
                <w:szCs w:val="20"/>
              </w:rPr>
            </w:pPr>
          </w:p>
        </w:tc>
        <w:tc>
          <w:tcPr>
            <w:tcW w:w="360" w:type="dxa"/>
            <w:shd w:val="clear" w:color="EFEFEF" w:fill="EFEFEF"/>
            <w:noWrap/>
          </w:tcPr>
          <w:p w14:paraId="4ECDEE46" w14:textId="77777777" w:rsidR="00325D8C" w:rsidRPr="00D636C4" w:rsidRDefault="00325D8C" w:rsidP="00C54A4B">
            <w:pPr>
              <w:spacing w:line="240" w:lineRule="auto"/>
              <w:rPr>
                <w:rFonts w:ascii="Calibri" w:eastAsia="Times New Roman" w:hAnsi="Calibri" w:cs="Calibri"/>
                <w:b/>
                <w:bCs/>
                <w:color w:val="000000"/>
                <w:sz w:val="20"/>
                <w:szCs w:val="20"/>
              </w:rPr>
            </w:pPr>
          </w:p>
        </w:tc>
        <w:tc>
          <w:tcPr>
            <w:tcW w:w="360" w:type="dxa"/>
            <w:shd w:val="clear" w:color="EFEFEF" w:fill="EFEFEF"/>
            <w:noWrap/>
            <w:hideMark/>
          </w:tcPr>
          <w:p w14:paraId="4D3ACBC5" w14:textId="77777777" w:rsidR="00325D8C" w:rsidRPr="00D636C4" w:rsidRDefault="00325D8C"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63A82453" w14:textId="77777777" w:rsidR="00325D8C" w:rsidRPr="00D636C4" w:rsidRDefault="00325D8C"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4486633D" w14:textId="77777777" w:rsidR="00325D8C" w:rsidRPr="00D636C4" w:rsidRDefault="00325D8C"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7299E1E4" w14:textId="77777777" w:rsidR="00325D8C" w:rsidRPr="00D636C4" w:rsidRDefault="00325D8C"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c>
          <w:tcPr>
            <w:tcW w:w="360" w:type="dxa"/>
            <w:shd w:val="clear" w:color="EFEFEF" w:fill="EFEFEF"/>
            <w:noWrap/>
            <w:hideMark/>
          </w:tcPr>
          <w:p w14:paraId="147BD3A7" w14:textId="77777777" w:rsidR="00325D8C" w:rsidRPr="00D636C4" w:rsidRDefault="00325D8C" w:rsidP="00C54A4B">
            <w:pPr>
              <w:spacing w:line="240" w:lineRule="auto"/>
              <w:rPr>
                <w:rFonts w:ascii="Calibri" w:eastAsia="Times New Roman" w:hAnsi="Calibri" w:cs="Calibri"/>
                <w:b/>
                <w:bCs/>
                <w:color w:val="000000"/>
                <w:sz w:val="20"/>
                <w:szCs w:val="20"/>
              </w:rPr>
            </w:pPr>
            <w:r w:rsidRPr="00D636C4">
              <w:rPr>
                <w:rFonts w:ascii="Calibri" w:eastAsia="Times New Roman" w:hAnsi="Calibri" w:cs="Calibri"/>
                <w:b/>
                <w:bCs/>
                <w:color w:val="000000"/>
                <w:sz w:val="20"/>
                <w:szCs w:val="20"/>
              </w:rPr>
              <w:t> </w:t>
            </w:r>
          </w:p>
        </w:tc>
      </w:tr>
      <w:tr w:rsidR="001207C8" w:rsidRPr="00D636C4" w14:paraId="36A6BF5E" w14:textId="77777777" w:rsidTr="00EC5FBE">
        <w:trPr>
          <w:trHeight w:val="1700"/>
        </w:trPr>
        <w:tc>
          <w:tcPr>
            <w:tcW w:w="4499" w:type="dxa"/>
            <w:shd w:val="clear" w:color="auto" w:fill="auto"/>
            <w:hideMark/>
          </w:tcPr>
          <w:p w14:paraId="009600C5"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Intégrer données du privé dans le SNIS.</w:t>
            </w:r>
          </w:p>
        </w:tc>
        <w:tc>
          <w:tcPr>
            <w:tcW w:w="1350" w:type="dxa"/>
            <w:shd w:val="clear" w:color="auto" w:fill="auto"/>
            <w:hideMark/>
          </w:tcPr>
          <w:p w14:paraId="15A836A6" w14:textId="77777777" w:rsidR="001207C8" w:rsidRPr="008E330D" w:rsidRDefault="001207C8" w:rsidP="001207C8">
            <w:pPr>
              <w:spacing w:line="240" w:lineRule="auto"/>
              <w:rPr>
                <w:rFonts w:ascii="Calibri" w:eastAsia="Times New Roman" w:hAnsi="Calibri" w:cs="Calibri"/>
                <w:sz w:val="20"/>
                <w:szCs w:val="20"/>
              </w:rPr>
            </w:pPr>
            <w:r w:rsidRPr="008E330D">
              <w:rPr>
                <w:rFonts w:ascii="Calibri" w:eastAsia="Times New Roman" w:hAnsi="Calibri" w:cs="Calibri"/>
                <w:sz w:val="20"/>
                <w:szCs w:val="20"/>
              </w:rPr>
              <w:t>MDS</w:t>
            </w:r>
          </w:p>
        </w:tc>
        <w:tc>
          <w:tcPr>
            <w:tcW w:w="2611" w:type="dxa"/>
            <w:shd w:val="clear" w:color="auto" w:fill="auto"/>
            <w:hideMark/>
          </w:tcPr>
          <w:p w14:paraId="714530CE"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Existence d'une plateforme accessible au secteur privé, proportion des FOSA privé</w:t>
            </w:r>
            <w:r w:rsidR="00F51EF8">
              <w:rPr>
                <w:rFonts w:ascii="Calibri" w:eastAsia="Times New Roman" w:hAnsi="Calibri" w:cs="Calibri"/>
                <w:color w:val="000000"/>
                <w:sz w:val="20"/>
                <w:szCs w:val="20"/>
              </w:rPr>
              <w:t>e</w:t>
            </w:r>
            <w:r w:rsidRPr="00D636C4">
              <w:rPr>
                <w:rFonts w:ascii="Calibri" w:eastAsia="Times New Roman" w:hAnsi="Calibri" w:cs="Calibri"/>
                <w:color w:val="000000"/>
                <w:sz w:val="20"/>
                <w:szCs w:val="20"/>
              </w:rPr>
              <w:t>s qui fournissent activement des données au SNIS.</w:t>
            </w:r>
          </w:p>
        </w:tc>
        <w:tc>
          <w:tcPr>
            <w:tcW w:w="2408" w:type="dxa"/>
            <w:shd w:val="clear" w:color="auto" w:fill="auto"/>
            <w:hideMark/>
          </w:tcPr>
          <w:p w14:paraId="066E4484" w14:textId="77777777" w:rsidR="001207C8" w:rsidRPr="00D636C4" w:rsidRDefault="001207C8" w:rsidP="001207C8">
            <w:pPr>
              <w:spacing w:line="240" w:lineRule="auto"/>
              <w:rPr>
                <w:rFonts w:ascii="Calibri" w:eastAsia="Times New Roman" w:hAnsi="Calibri" w:cs="Calibri"/>
                <w:color w:val="000000"/>
                <w:sz w:val="20"/>
                <w:szCs w:val="20"/>
              </w:rPr>
            </w:pPr>
            <w:r w:rsidRPr="00D636C4">
              <w:rPr>
                <w:rFonts w:ascii="Calibri" w:eastAsia="Times New Roman" w:hAnsi="Calibri" w:cs="Calibri"/>
                <w:color w:val="000000"/>
                <w:sz w:val="20"/>
                <w:szCs w:val="20"/>
              </w:rPr>
              <w:t>Résistance du secteur privé, absence de texte réglementaires exige</w:t>
            </w:r>
            <w:r w:rsidR="00F51EF8">
              <w:rPr>
                <w:rFonts w:ascii="Calibri" w:eastAsia="Times New Roman" w:hAnsi="Calibri" w:cs="Calibri"/>
                <w:color w:val="000000"/>
                <w:sz w:val="20"/>
                <w:szCs w:val="20"/>
              </w:rPr>
              <w:t>a</w:t>
            </w:r>
            <w:r w:rsidRPr="00D636C4">
              <w:rPr>
                <w:rFonts w:ascii="Calibri" w:eastAsia="Times New Roman" w:hAnsi="Calibri" w:cs="Calibri"/>
                <w:color w:val="000000"/>
                <w:sz w:val="20"/>
                <w:szCs w:val="20"/>
              </w:rPr>
              <w:t>nt l'intégration, absence de capacité ou plateau technique au niveau de tou</w:t>
            </w:r>
            <w:r w:rsidR="00F51EF8">
              <w:rPr>
                <w:rFonts w:ascii="Calibri" w:eastAsia="Times New Roman" w:hAnsi="Calibri" w:cs="Calibri"/>
                <w:color w:val="000000"/>
                <w:sz w:val="20"/>
                <w:szCs w:val="20"/>
              </w:rPr>
              <w:t>te</w:t>
            </w:r>
            <w:r w:rsidRPr="00D636C4">
              <w:rPr>
                <w:rFonts w:ascii="Calibri" w:eastAsia="Times New Roman" w:hAnsi="Calibri" w:cs="Calibri"/>
                <w:color w:val="000000"/>
                <w:sz w:val="20"/>
                <w:szCs w:val="20"/>
              </w:rPr>
              <w:t>s les FOSA privé</w:t>
            </w:r>
            <w:r w:rsidR="00F51EF8">
              <w:rPr>
                <w:rFonts w:ascii="Calibri" w:eastAsia="Times New Roman" w:hAnsi="Calibri" w:cs="Calibri"/>
                <w:color w:val="000000"/>
                <w:sz w:val="20"/>
                <w:szCs w:val="20"/>
              </w:rPr>
              <w:t>e</w:t>
            </w:r>
            <w:r w:rsidRPr="00D636C4">
              <w:rPr>
                <w:rFonts w:ascii="Calibri" w:eastAsia="Times New Roman" w:hAnsi="Calibri" w:cs="Calibri"/>
                <w:color w:val="000000"/>
                <w:sz w:val="20"/>
                <w:szCs w:val="20"/>
              </w:rPr>
              <w:t>s.</w:t>
            </w:r>
          </w:p>
        </w:tc>
        <w:tc>
          <w:tcPr>
            <w:tcW w:w="360" w:type="dxa"/>
            <w:shd w:val="clear" w:color="auto" w:fill="auto"/>
          </w:tcPr>
          <w:p w14:paraId="4F472696" w14:textId="77777777" w:rsidR="001207C8" w:rsidRPr="00D636C4" w:rsidRDefault="001207C8" w:rsidP="001207C8">
            <w:pPr>
              <w:spacing w:line="240" w:lineRule="auto"/>
              <w:rPr>
                <w:rFonts w:ascii="Calibri" w:eastAsia="Times New Roman" w:hAnsi="Calibri" w:cs="Calibri"/>
                <w:b/>
                <w:bCs/>
                <w:color w:val="000000"/>
                <w:sz w:val="20"/>
                <w:szCs w:val="20"/>
              </w:rPr>
            </w:pPr>
          </w:p>
        </w:tc>
        <w:tc>
          <w:tcPr>
            <w:tcW w:w="360" w:type="dxa"/>
            <w:shd w:val="clear" w:color="D9D9D9" w:fill="D9D9D9"/>
            <w:noWrap/>
          </w:tcPr>
          <w:p w14:paraId="77A02FE4" w14:textId="77777777" w:rsidR="001207C8" w:rsidRPr="00D636C4" w:rsidRDefault="001207C8" w:rsidP="001207C8">
            <w:pPr>
              <w:spacing w:line="240" w:lineRule="auto"/>
              <w:jc w:val="right"/>
              <w:rPr>
                <w:rFonts w:eastAsia="Times New Roman"/>
                <w:b/>
                <w:bCs/>
                <w:color w:val="000000"/>
                <w:sz w:val="20"/>
                <w:szCs w:val="20"/>
              </w:rPr>
            </w:pPr>
          </w:p>
        </w:tc>
        <w:tc>
          <w:tcPr>
            <w:tcW w:w="360" w:type="dxa"/>
            <w:shd w:val="clear" w:color="auto" w:fill="auto"/>
            <w:noWrap/>
          </w:tcPr>
          <w:p w14:paraId="575A3124" w14:textId="77777777" w:rsidR="001207C8" w:rsidRPr="00D636C4" w:rsidRDefault="001207C8" w:rsidP="001207C8">
            <w:pPr>
              <w:spacing w:line="240" w:lineRule="auto"/>
              <w:rPr>
                <w:rFonts w:eastAsia="Times New Roman"/>
                <w:b/>
                <w:bCs/>
                <w:color w:val="000000"/>
                <w:sz w:val="20"/>
                <w:szCs w:val="20"/>
              </w:rPr>
            </w:pPr>
          </w:p>
        </w:tc>
        <w:tc>
          <w:tcPr>
            <w:tcW w:w="360" w:type="dxa"/>
            <w:shd w:val="clear" w:color="auto" w:fill="auto"/>
            <w:noWrap/>
            <w:hideMark/>
          </w:tcPr>
          <w:p w14:paraId="3A1C20E6"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6426E3D4"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42FF38C5"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5431C7F7"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c>
          <w:tcPr>
            <w:tcW w:w="360" w:type="dxa"/>
            <w:shd w:val="clear" w:color="auto" w:fill="auto"/>
            <w:noWrap/>
            <w:hideMark/>
          </w:tcPr>
          <w:p w14:paraId="14D125E0" w14:textId="77777777" w:rsidR="001207C8" w:rsidRPr="00D636C4" w:rsidRDefault="001207C8" w:rsidP="001207C8">
            <w:pPr>
              <w:spacing w:line="240" w:lineRule="auto"/>
              <w:rPr>
                <w:rFonts w:eastAsia="Times New Roman"/>
                <w:b/>
                <w:bCs/>
                <w:color w:val="000000"/>
                <w:sz w:val="20"/>
                <w:szCs w:val="20"/>
              </w:rPr>
            </w:pPr>
            <w:r w:rsidRPr="00D636C4">
              <w:rPr>
                <w:rFonts w:eastAsia="Times New Roman"/>
                <w:b/>
                <w:bCs/>
                <w:color w:val="000000"/>
                <w:sz w:val="20"/>
                <w:szCs w:val="20"/>
              </w:rPr>
              <w:t> </w:t>
            </w:r>
          </w:p>
        </w:tc>
      </w:tr>
    </w:tbl>
    <w:p w14:paraId="36084D72" w14:textId="77777777" w:rsidR="00FC3632" w:rsidRPr="00D636C4" w:rsidRDefault="00FC3632">
      <w:pPr>
        <w:rPr>
          <w:rFonts w:ascii="Calibri" w:eastAsia="Calibri" w:hAnsi="Calibri" w:cs="Calibri"/>
          <w:sz w:val="20"/>
          <w:szCs w:val="20"/>
        </w:rPr>
      </w:pPr>
    </w:p>
    <w:p w14:paraId="778FCF26" w14:textId="77777777" w:rsidR="00FC3632" w:rsidRPr="00D636C4" w:rsidRDefault="00FC3632">
      <w:pPr>
        <w:rPr>
          <w:rFonts w:ascii="Calibri" w:eastAsia="Calibri" w:hAnsi="Calibri" w:cs="Calibri"/>
        </w:rPr>
      </w:pPr>
    </w:p>
    <w:p w14:paraId="630AE29C" w14:textId="77777777" w:rsidR="00FC3632" w:rsidRPr="00D636C4" w:rsidRDefault="002E43B8">
      <w:pPr>
        <w:rPr>
          <w:rFonts w:ascii="Calibri" w:eastAsia="Calibri" w:hAnsi="Calibri" w:cs="Calibri"/>
        </w:rPr>
      </w:pPr>
      <w:r w:rsidRPr="00D636C4">
        <w:rPr>
          <w:rFonts w:ascii="Calibri" w:eastAsia="Calibri" w:hAnsi="Calibri" w:cs="Calibri"/>
        </w:rPr>
        <w:t xml:space="preserve"> </w:t>
      </w:r>
    </w:p>
    <w:p w14:paraId="33A4539D" w14:textId="77777777" w:rsidR="00FC3632" w:rsidRPr="00D636C4" w:rsidRDefault="002E43B8">
      <w:pPr>
        <w:rPr>
          <w:rFonts w:ascii="Calibri" w:eastAsia="Calibri" w:hAnsi="Calibri" w:cs="Calibri"/>
        </w:rPr>
      </w:pPr>
      <w:r w:rsidRPr="00D636C4">
        <w:rPr>
          <w:rFonts w:ascii="Calibri" w:eastAsia="Calibri" w:hAnsi="Calibri" w:cs="Calibri"/>
        </w:rPr>
        <w:t xml:space="preserve"> </w:t>
      </w:r>
    </w:p>
    <w:p w14:paraId="422878D0" w14:textId="77777777" w:rsidR="00FC3632" w:rsidRPr="00D636C4" w:rsidRDefault="00FC3632">
      <w:pPr>
        <w:rPr>
          <w:rFonts w:ascii="Calibri" w:eastAsia="Calibri" w:hAnsi="Calibri" w:cs="Calibri"/>
          <w:b/>
          <w:color w:val="2F5496"/>
        </w:rPr>
      </w:pPr>
    </w:p>
    <w:p w14:paraId="25AFA80B" w14:textId="77777777" w:rsidR="00FC3632" w:rsidRPr="00D636C4" w:rsidRDefault="002E43B8">
      <w:pPr>
        <w:rPr>
          <w:rFonts w:ascii="Calibri" w:eastAsia="Calibri" w:hAnsi="Calibri" w:cs="Calibri"/>
          <w:b/>
          <w:color w:val="2F5496"/>
        </w:rPr>
      </w:pPr>
      <w:r w:rsidRPr="00D636C4">
        <w:rPr>
          <w:rFonts w:ascii="Calibri" w:eastAsia="Calibri" w:hAnsi="Calibri" w:cs="Calibri"/>
          <w:b/>
          <w:color w:val="2F5496"/>
        </w:rPr>
        <w:t xml:space="preserve"> </w:t>
      </w:r>
    </w:p>
    <w:p w14:paraId="5ECE77B9" w14:textId="77777777" w:rsidR="00FC3632" w:rsidRPr="00D636C4" w:rsidRDefault="00FC3632">
      <w:pPr>
        <w:rPr>
          <w:rFonts w:ascii="Calibri" w:eastAsia="Calibri" w:hAnsi="Calibri" w:cs="Calibri"/>
          <w:b/>
          <w:color w:val="2F5496"/>
        </w:rPr>
      </w:pPr>
    </w:p>
    <w:p w14:paraId="31D3EA38" w14:textId="77777777" w:rsidR="00FC3632" w:rsidRPr="00D636C4" w:rsidRDefault="002E43B8">
      <w:pPr>
        <w:pStyle w:val="Heading1"/>
        <w:keepNext w:val="0"/>
        <w:keepLines w:val="0"/>
        <w:spacing w:before="480"/>
        <w:rPr>
          <w:rFonts w:ascii="Calibri" w:eastAsia="Calibri" w:hAnsi="Calibri" w:cs="Calibri"/>
          <w:b/>
          <w:color w:val="2F5496"/>
          <w:sz w:val="30"/>
          <w:szCs w:val="30"/>
        </w:rPr>
      </w:pPr>
      <w:bookmarkStart w:id="39" w:name="_8cek2rynaklu" w:colFirst="0" w:colLast="0"/>
      <w:bookmarkEnd w:id="39"/>
      <w:r w:rsidRPr="00D636C4">
        <w:br w:type="page"/>
      </w:r>
    </w:p>
    <w:p w14:paraId="29CD4368" w14:textId="77777777" w:rsidR="00C17FDB" w:rsidRPr="00D636C4" w:rsidRDefault="00C17FDB">
      <w:pPr>
        <w:pStyle w:val="Heading1"/>
        <w:keepNext w:val="0"/>
        <w:keepLines w:val="0"/>
        <w:spacing w:before="480"/>
        <w:rPr>
          <w:rFonts w:ascii="Calibri" w:eastAsia="Calibri" w:hAnsi="Calibri" w:cs="Calibri"/>
          <w:b/>
          <w:color w:val="2F5496"/>
          <w:sz w:val="30"/>
          <w:szCs w:val="30"/>
        </w:rPr>
        <w:sectPr w:rsidR="00C17FDB" w:rsidRPr="00D636C4" w:rsidSect="00C365A6">
          <w:footerReference w:type="default" r:id="rId26"/>
          <w:pgSz w:w="15840" w:h="12240" w:orient="landscape"/>
          <w:pgMar w:top="1440" w:right="1440" w:bottom="1440" w:left="1440" w:header="720" w:footer="720" w:gutter="0"/>
          <w:cols w:space="720"/>
          <w:docGrid w:linePitch="299"/>
        </w:sectPr>
      </w:pPr>
    </w:p>
    <w:p w14:paraId="429FB72F" w14:textId="77777777" w:rsidR="00FC3632" w:rsidRPr="00D636C4" w:rsidRDefault="002E43B8" w:rsidP="00EC5FBE">
      <w:pPr>
        <w:pStyle w:val="Heading1"/>
        <w:keepNext w:val="0"/>
        <w:keepLines w:val="0"/>
        <w:spacing w:before="480"/>
        <w:rPr>
          <w:rFonts w:ascii="Calibri" w:eastAsia="Calibri" w:hAnsi="Calibri" w:cs="Calibri"/>
          <w:b/>
          <w:color w:val="2F5496"/>
          <w:sz w:val="30"/>
          <w:szCs w:val="30"/>
        </w:rPr>
      </w:pPr>
      <w:bookmarkStart w:id="40" w:name="_Toc137847498"/>
      <w:bookmarkStart w:id="41" w:name="_Toc140268446"/>
      <w:r w:rsidRPr="00D636C4">
        <w:rPr>
          <w:rFonts w:ascii="Calibri" w:eastAsia="Calibri" w:hAnsi="Calibri" w:cs="Calibri"/>
          <w:b/>
          <w:color w:val="2F5496"/>
          <w:sz w:val="30"/>
          <w:szCs w:val="30"/>
        </w:rPr>
        <w:lastRenderedPageBreak/>
        <w:t>Chapitre 5 : Opérationnalisation et suivi évaluation de la SNFS</w:t>
      </w:r>
      <w:bookmarkEnd w:id="40"/>
      <w:bookmarkEnd w:id="41"/>
    </w:p>
    <w:p w14:paraId="04436E14" w14:textId="77777777" w:rsidR="00FC3632" w:rsidRPr="00CD641D" w:rsidRDefault="002E43B8" w:rsidP="00CD641D">
      <w:pPr>
        <w:pStyle w:val="Heading2"/>
        <w:keepNext w:val="0"/>
        <w:keepLines w:val="0"/>
        <w:spacing w:after="80"/>
        <w:rPr>
          <w:rFonts w:ascii="Calibri" w:eastAsia="Calibri" w:hAnsi="Calibri" w:cs="Calibri"/>
          <w:b/>
          <w:sz w:val="22"/>
          <w:szCs w:val="22"/>
        </w:rPr>
      </w:pPr>
      <w:bookmarkStart w:id="42" w:name="_Toc137847499"/>
      <w:bookmarkStart w:id="43" w:name="_Toc140268447"/>
      <w:r w:rsidRPr="00D636C4">
        <w:rPr>
          <w:rFonts w:ascii="Calibri" w:eastAsia="Calibri" w:hAnsi="Calibri" w:cs="Calibri"/>
          <w:b/>
          <w:sz w:val="22"/>
          <w:szCs w:val="22"/>
        </w:rPr>
        <w:t>5.1. Dispositif et modalités de mise en œuvre de la SNFS</w:t>
      </w:r>
      <w:bookmarkEnd w:id="42"/>
      <w:bookmarkEnd w:id="43"/>
    </w:p>
    <w:p w14:paraId="29E2AD3D" w14:textId="77777777" w:rsidR="00FC3632" w:rsidRPr="00D636C4" w:rsidRDefault="002E43B8">
      <w:pPr>
        <w:jc w:val="both"/>
        <w:rPr>
          <w:rFonts w:ascii="Calibri" w:eastAsia="Calibri" w:hAnsi="Calibri" w:cs="Calibri"/>
        </w:rPr>
      </w:pPr>
      <w:r w:rsidRPr="00D636C4">
        <w:rPr>
          <w:rFonts w:ascii="Calibri" w:eastAsia="Calibri" w:hAnsi="Calibri" w:cs="Calibri"/>
        </w:rPr>
        <w:t>La présente stratégie de financement de la santé est déclinée en actions opérationnelles groupées sous 4 axes stratégiques. Cette opérationnalisation de la stratégie permettra d'établir de manière claire une planification complète et séquencée de l'ensemble des activités à réaliser et des ressources nécessaires à mobiliser pour la mise en œuvre effective de la stratégie. Elle identifiera également le noyau de responsabilité pour chaque action, permettant de créer une transparence autour du leadership des parties prenantes concernées.</w:t>
      </w:r>
    </w:p>
    <w:p w14:paraId="781CCAEF" w14:textId="77777777" w:rsidR="00FC3632" w:rsidRPr="00D636C4" w:rsidRDefault="00FC3632">
      <w:pPr>
        <w:jc w:val="both"/>
        <w:rPr>
          <w:rFonts w:ascii="Calibri" w:eastAsia="Calibri" w:hAnsi="Calibri" w:cs="Calibri"/>
        </w:rPr>
      </w:pPr>
    </w:p>
    <w:p w14:paraId="03A2217F" w14:textId="77777777" w:rsidR="00FC3632" w:rsidRPr="00D636C4" w:rsidRDefault="002E43B8">
      <w:pPr>
        <w:jc w:val="both"/>
        <w:rPr>
          <w:rFonts w:ascii="Calibri" w:eastAsia="Calibri" w:hAnsi="Calibri" w:cs="Calibri"/>
        </w:rPr>
      </w:pPr>
      <w:r w:rsidRPr="00D636C4">
        <w:rPr>
          <w:rFonts w:ascii="Calibri" w:eastAsia="Calibri" w:hAnsi="Calibri" w:cs="Calibri"/>
        </w:rPr>
        <w:t xml:space="preserve">Le </w:t>
      </w:r>
      <w:proofErr w:type="spellStart"/>
      <w:r w:rsidRPr="00D636C4">
        <w:rPr>
          <w:rFonts w:ascii="Calibri" w:eastAsia="Calibri" w:hAnsi="Calibri" w:cs="Calibri"/>
        </w:rPr>
        <w:t>MdS</w:t>
      </w:r>
      <w:proofErr w:type="spellEnd"/>
      <w:r w:rsidRPr="00D636C4">
        <w:rPr>
          <w:rFonts w:ascii="Calibri" w:eastAsia="Calibri" w:hAnsi="Calibri" w:cs="Calibri"/>
        </w:rPr>
        <w:t xml:space="preserve"> assurera un rôle primordial de coordination, garant de l’alignement des différents acteurs face aux orientations stratégiques et veillant à l’exécution et la mise en œuvre des différentes réformes au sein du secteur à travers des textes appropriés. Le comité technique responsable de la SNFS, sous l’autorité du </w:t>
      </w:r>
      <w:proofErr w:type="spellStart"/>
      <w:r w:rsidRPr="00D636C4">
        <w:rPr>
          <w:rFonts w:ascii="Calibri" w:eastAsia="Calibri" w:hAnsi="Calibri" w:cs="Calibri"/>
        </w:rPr>
        <w:t>MdS</w:t>
      </w:r>
      <w:proofErr w:type="spellEnd"/>
      <w:r w:rsidRPr="00D636C4">
        <w:rPr>
          <w:rFonts w:ascii="Calibri" w:eastAsia="Calibri" w:hAnsi="Calibri" w:cs="Calibri"/>
        </w:rPr>
        <w:t>, sera chargé principalement de préparer et assurer le suivi de l’exécution des actions, des engagements et activités planifiées aux plans techniques, matériels et financiers de l’</w:t>
      </w:r>
      <w:r w:rsidR="005C7D89" w:rsidRPr="00D636C4">
        <w:rPr>
          <w:rFonts w:ascii="Calibri" w:eastAsia="Calibri" w:hAnsi="Calibri" w:cs="Calibri"/>
        </w:rPr>
        <w:t>État</w:t>
      </w:r>
      <w:r w:rsidRPr="00D636C4">
        <w:rPr>
          <w:rFonts w:ascii="Calibri" w:eastAsia="Calibri" w:hAnsi="Calibri" w:cs="Calibri"/>
        </w:rPr>
        <w:t xml:space="preserve"> et des Partenaires Techniques et Financiers. </w:t>
      </w:r>
    </w:p>
    <w:p w14:paraId="7DEBC38C" w14:textId="77777777" w:rsidR="00FC3632" w:rsidRPr="00D636C4" w:rsidRDefault="00FC3632">
      <w:pPr>
        <w:jc w:val="both"/>
        <w:rPr>
          <w:rFonts w:ascii="Calibri" w:eastAsia="Calibri" w:hAnsi="Calibri" w:cs="Calibri"/>
        </w:rPr>
      </w:pPr>
    </w:p>
    <w:p w14:paraId="58B9DDD3" w14:textId="77777777" w:rsidR="00FC3632" w:rsidRPr="00D636C4" w:rsidRDefault="002E43B8">
      <w:pPr>
        <w:jc w:val="both"/>
        <w:rPr>
          <w:rFonts w:ascii="Calibri" w:eastAsia="Calibri" w:hAnsi="Calibri" w:cs="Calibri"/>
        </w:rPr>
      </w:pPr>
      <w:r w:rsidRPr="00D636C4">
        <w:rPr>
          <w:rFonts w:ascii="Calibri" w:eastAsia="Calibri" w:hAnsi="Calibri" w:cs="Calibri"/>
        </w:rPr>
        <w:t xml:space="preserve">La réussite de cette stratégie dépendra aussi de l’implication coordonnée de plusieurs acteurs nationaux et internationaux. En particulier, ceux-ci incluent (i) la Primature ; (ii) le </w:t>
      </w:r>
      <w:r w:rsidR="00F51EF8">
        <w:rPr>
          <w:rFonts w:ascii="Calibri" w:eastAsia="Calibri" w:hAnsi="Calibri" w:cs="Calibri"/>
        </w:rPr>
        <w:t>m</w:t>
      </w:r>
      <w:r w:rsidR="00F51EF8" w:rsidRPr="00D636C4">
        <w:rPr>
          <w:rFonts w:ascii="Calibri" w:eastAsia="Calibri" w:hAnsi="Calibri" w:cs="Calibri"/>
        </w:rPr>
        <w:t xml:space="preserve">inistère </w:t>
      </w:r>
      <w:r w:rsidRPr="00D636C4">
        <w:rPr>
          <w:rFonts w:ascii="Calibri" w:eastAsia="Calibri" w:hAnsi="Calibri" w:cs="Calibri"/>
        </w:rPr>
        <w:t xml:space="preserve">en charge des Finances ; (iii) </w:t>
      </w:r>
      <w:r w:rsidR="005C7D89" w:rsidRPr="00D636C4">
        <w:rPr>
          <w:rFonts w:ascii="Calibri" w:eastAsia="Calibri" w:hAnsi="Calibri" w:cs="Calibri"/>
        </w:rPr>
        <w:t>ministère</w:t>
      </w:r>
      <w:r w:rsidRPr="00D636C4">
        <w:rPr>
          <w:rFonts w:ascii="Calibri" w:eastAsia="Calibri" w:hAnsi="Calibri" w:cs="Calibri"/>
        </w:rPr>
        <w:t xml:space="preserve"> des Affaires Sociales, de </w:t>
      </w:r>
      <w:r w:rsidR="00DD4A37" w:rsidRPr="00D636C4">
        <w:rPr>
          <w:rFonts w:ascii="Calibri" w:eastAsia="Calibri" w:hAnsi="Calibri" w:cs="Calibri"/>
        </w:rPr>
        <w:t>I ‘Enfance</w:t>
      </w:r>
      <w:r w:rsidRPr="00D636C4">
        <w:rPr>
          <w:rFonts w:ascii="Calibri" w:eastAsia="Calibri" w:hAnsi="Calibri" w:cs="Calibri"/>
        </w:rPr>
        <w:t xml:space="preserve"> et de la Famille ; (iv) les caisses d’assurance maladie et les programmes sectoriels de santé ; (v) les autres ministères techniques concernés par la protection sociale ; (vi) le secteur privé ; (vii) la société civile et (viii) les partenaires techniques et financiers.</w:t>
      </w:r>
    </w:p>
    <w:p w14:paraId="6D7FCD2D" w14:textId="77777777" w:rsidR="00FC3632" w:rsidRPr="00D636C4" w:rsidRDefault="00FC3632">
      <w:pPr>
        <w:rPr>
          <w:rFonts w:ascii="Calibri" w:eastAsia="Calibri" w:hAnsi="Calibri" w:cs="Calibri"/>
        </w:rPr>
      </w:pPr>
    </w:p>
    <w:p w14:paraId="5AEF3C45" w14:textId="77777777" w:rsidR="00FC3632" w:rsidRPr="00D636C4" w:rsidRDefault="002E43B8">
      <w:pPr>
        <w:jc w:val="both"/>
        <w:rPr>
          <w:rFonts w:ascii="Calibri" w:eastAsia="Calibri" w:hAnsi="Calibri" w:cs="Calibri"/>
        </w:rPr>
      </w:pPr>
      <w:r w:rsidRPr="00D636C4">
        <w:rPr>
          <w:rFonts w:ascii="Calibri" w:eastAsia="Calibri" w:hAnsi="Calibri" w:cs="Calibri"/>
        </w:rPr>
        <w:t xml:space="preserve">Le </w:t>
      </w:r>
      <w:r w:rsidR="005C7D89" w:rsidRPr="00D636C4">
        <w:rPr>
          <w:rFonts w:ascii="Calibri" w:eastAsia="Calibri" w:hAnsi="Calibri" w:cs="Calibri"/>
        </w:rPr>
        <w:t>ministère</w:t>
      </w:r>
      <w:r w:rsidRPr="00D636C4">
        <w:rPr>
          <w:rFonts w:ascii="Calibri" w:eastAsia="Calibri" w:hAnsi="Calibri" w:cs="Calibri"/>
        </w:rPr>
        <w:t xml:space="preserve"> des Finances a pour rôle de collecter les fonds et de les allouer au </w:t>
      </w:r>
      <w:r w:rsidR="005C7D89" w:rsidRPr="00D636C4">
        <w:rPr>
          <w:rFonts w:ascii="Calibri" w:eastAsia="Calibri" w:hAnsi="Calibri" w:cs="Calibri"/>
        </w:rPr>
        <w:t>ministère de la Santé</w:t>
      </w:r>
      <w:r w:rsidRPr="00D636C4">
        <w:rPr>
          <w:rFonts w:ascii="Calibri" w:eastAsia="Calibri" w:hAnsi="Calibri" w:cs="Calibri"/>
        </w:rPr>
        <w:t>. Ceci passera par l’élargissement de l’espace budgétaire de l’</w:t>
      </w:r>
      <w:r w:rsidR="005C7D89" w:rsidRPr="00D636C4">
        <w:rPr>
          <w:rFonts w:ascii="Calibri" w:eastAsia="Calibri" w:hAnsi="Calibri" w:cs="Calibri"/>
        </w:rPr>
        <w:t>État</w:t>
      </w:r>
      <w:r w:rsidRPr="00D636C4">
        <w:rPr>
          <w:rFonts w:ascii="Calibri" w:eastAsia="Calibri" w:hAnsi="Calibri" w:cs="Calibri"/>
        </w:rPr>
        <w:t xml:space="preserve"> afin d’augmenter les ressources financières progressives destinées à la santé. Le développement collaboratif d’un budget programme pour la santé structurera le volume des ressources à </w:t>
      </w:r>
      <w:r w:rsidR="005C7D89" w:rsidRPr="00D636C4">
        <w:rPr>
          <w:rFonts w:ascii="Calibri" w:eastAsia="Calibri" w:hAnsi="Calibri" w:cs="Calibri"/>
        </w:rPr>
        <w:t>mobiliser autour</w:t>
      </w:r>
      <w:r w:rsidRPr="00D636C4">
        <w:rPr>
          <w:rFonts w:ascii="Calibri" w:eastAsia="Calibri" w:hAnsi="Calibri" w:cs="Calibri"/>
        </w:rPr>
        <w:t xml:space="preserve"> de programmes et sous-programmes sectoriels clairs axé</w:t>
      </w:r>
      <w:r w:rsidR="00F51EF8">
        <w:rPr>
          <w:rFonts w:ascii="Calibri" w:eastAsia="Calibri" w:hAnsi="Calibri" w:cs="Calibri"/>
        </w:rPr>
        <w:t>s</w:t>
      </w:r>
      <w:r w:rsidRPr="00D636C4">
        <w:rPr>
          <w:rFonts w:ascii="Calibri" w:eastAsia="Calibri" w:hAnsi="Calibri" w:cs="Calibri"/>
        </w:rPr>
        <w:t xml:space="preserve"> sur les résultats. </w:t>
      </w:r>
    </w:p>
    <w:p w14:paraId="26E805E6" w14:textId="77777777" w:rsidR="00FC3632" w:rsidRPr="00D636C4" w:rsidRDefault="00FC3632">
      <w:pPr>
        <w:jc w:val="both"/>
        <w:rPr>
          <w:rFonts w:ascii="Calibri" w:eastAsia="Calibri" w:hAnsi="Calibri" w:cs="Calibri"/>
        </w:rPr>
      </w:pPr>
    </w:p>
    <w:p w14:paraId="2E37126F" w14:textId="77777777" w:rsidR="00FC3632" w:rsidRPr="00D636C4" w:rsidRDefault="002E43B8">
      <w:pPr>
        <w:jc w:val="both"/>
        <w:rPr>
          <w:rFonts w:ascii="Calibri" w:eastAsia="Calibri" w:hAnsi="Calibri" w:cs="Calibri"/>
        </w:rPr>
      </w:pPr>
      <w:r w:rsidRPr="00D636C4">
        <w:rPr>
          <w:rFonts w:ascii="Calibri" w:eastAsia="Calibri" w:hAnsi="Calibri" w:cs="Calibri"/>
        </w:rPr>
        <w:t xml:space="preserve">Les deux caisses nationales d’assurance maladie (CNAM et CNASS) </w:t>
      </w:r>
      <w:r w:rsidR="00DD4A37">
        <w:rPr>
          <w:rFonts w:ascii="Calibri" w:eastAsia="Calibri" w:hAnsi="Calibri" w:cs="Calibri"/>
        </w:rPr>
        <w:t>seront chargées</w:t>
      </w:r>
      <w:r w:rsidRPr="00D636C4">
        <w:rPr>
          <w:rFonts w:ascii="Calibri" w:eastAsia="Calibri" w:hAnsi="Calibri" w:cs="Calibri"/>
        </w:rPr>
        <w:t xml:space="preserve">, dans le cadre de la mise en </w:t>
      </w:r>
      <w:r w:rsidR="005C7D89" w:rsidRPr="00D636C4">
        <w:rPr>
          <w:rFonts w:ascii="Calibri" w:eastAsia="Calibri" w:hAnsi="Calibri" w:cs="Calibri"/>
        </w:rPr>
        <w:t>œuvre</w:t>
      </w:r>
      <w:r w:rsidRPr="00D636C4">
        <w:rPr>
          <w:rFonts w:ascii="Calibri" w:eastAsia="Calibri" w:hAnsi="Calibri" w:cs="Calibri"/>
        </w:rPr>
        <w:t xml:space="preserve"> d’une vision d’AMU, de contribuer à la mise en commun des fonds et à l’achat des services en s’assurant que toutes les populations soient couvertes</w:t>
      </w:r>
      <w:r w:rsidR="00DD4A37">
        <w:rPr>
          <w:rFonts w:ascii="Calibri" w:eastAsia="Calibri" w:hAnsi="Calibri" w:cs="Calibri"/>
        </w:rPr>
        <w:t>,</w:t>
      </w:r>
      <w:r w:rsidRPr="00D636C4">
        <w:rPr>
          <w:rFonts w:ascii="Calibri" w:eastAsia="Calibri" w:hAnsi="Calibri" w:cs="Calibri"/>
        </w:rPr>
        <w:t xml:space="preserve"> en particulier les plus vulnérables. Un alignement stratégique et opérationnel de ces deux caisses sera visé pour rendre l’achat le plus stratégique possible, sous la tutelle du ministère de la Santé et d’une agence de régulation. Les multiples programmes de gratuité seront également éventuellement intégrés au sein de ces dispositifs pour minimiser la fragmentation.</w:t>
      </w:r>
    </w:p>
    <w:p w14:paraId="11CB09EA" w14:textId="77777777" w:rsidR="00FC3632" w:rsidRPr="00D636C4" w:rsidRDefault="00FC3632">
      <w:pPr>
        <w:jc w:val="both"/>
        <w:rPr>
          <w:rFonts w:ascii="Calibri" w:eastAsia="Calibri" w:hAnsi="Calibri" w:cs="Calibri"/>
        </w:rPr>
      </w:pPr>
    </w:p>
    <w:p w14:paraId="35480477" w14:textId="77777777" w:rsidR="00FC3632" w:rsidRPr="00D636C4" w:rsidRDefault="005C7D89">
      <w:pPr>
        <w:jc w:val="both"/>
        <w:rPr>
          <w:rFonts w:ascii="Calibri" w:eastAsia="Calibri" w:hAnsi="Calibri" w:cs="Calibri"/>
        </w:rPr>
      </w:pPr>
      <w:r w:rsidRPr="00D636C4">
        <w:rPr>
          <w:rFonts w:ascii="Calibri" w:eastAsia="Calibri" w:hAnsi="Calibri" w:cs="Calibri"/>
        </w:rPr>
        <w:t xml:space="preserve">Sous-Jacent à ces acteurs agissant directement sur le financement de la santé, le ministère de la Santé assurera globalement le renforcement des piliers du système de la santé essentiels à la CSU - soit les infrastructures et équipements, les ressources humaines, l’achat et la distribution des médicaments, et le </w:t>
      </w:r>
      <w:r w:rsidRPr="00D636C4">
        <w:rPr>
          <w:rFonts w:ascii="Calibri" w:eastAsia="Calibri" w:hAnsi="Calibri" w:cs="Calibri"/>
        </w:rPr>
        <w:lastRenderedPageBreak/>
        <w:t xml:space="preserve">système d’information sanitaire. Des gains en efficience dans tous </w:t>
      </w:r>
      <w:r w:rsidR="001D5294">
        <w:rPr>
          <w:rFonts w:ascii="Calibri" w:eastAsia="Calibri" w:hAnsi="Calibri" w:cs="Calibri"/>
        </w:rPr>
        <w:t>c</w:t>
      </w:r>
      <w:r w:rsidRPr="00D636C4">
        <w:rPr>
          <w:rFonts w:ascii="Calibri" w:eastAsia="Calibri" w:hAnsi="Calibri" w:cs="Calibri"/>
        </w:rPr>
        <w:t xml:space="preserve">es domaines sont essentiels pour une bonne utilisation de ressources mobilisées. </w:t>
      </w:r>
    </w:p>
    <w:p w14:paraId="26E01463" w14:textId="77777777" w:rsidR="00FC3632" w:rsidRPr="00D636C4" w:rsidRDefault="00FC3632">
      <w:pPr>
        <w:jc w:val="both"/>
        <w:rPr>
          <w:rFonts w:ascii="Calibri" w:eastAsia="Calibri" w:hAnsi="Calibri" w:cs="Calibri"/>
        </w:rPr>
      </w:pPr>
    </w:p>
    <w:p w14:paraId="7D7AD48E" w14:textId="77777777" w:rsidR="00FC3632" w:rsidRPr="00D636C4" w:rsidRDefault="002E43B8">
      <w:pPr>
        <w:jc w:val="both"/>
        <w:rPr>
          <w:rFonts w:ascii="Calibri" w:eastAsia="Calibri" w:hAnsi="Calibri" w:cs="Calibri"/>
        </w:rPr>
      </w:pPr>
      <w:r w:rsidRPr="00D636C4">
        <w:rPr>
          <w:rFonts w:ascii="Calibri" w:eastAsia="Calibri" w:hAnsi="Calibri" w:cs="Calibri"/>
        </w:rPr>
        <w:t xml:space="preserve">Les Services déconcentrés et décentralisés, tels que les Directions Régionales de la Santé et de </w:t>
      </w:r>
      <w:proofErr w:type="spellStart"/>
      <w:r w:rsidRPr="00D636C4">
        <w:rPr>
          <w:rFonts w:ascii="Calibri" w:eastAsia="Calibri" w:hAnsi="Calibri" w:cs="Calibri"/>
        </w:rPr>
        <w:t>Moughata</w:t>
      </w:r>
      <w:proofErr w:type="spellEnd"/>
      <w:r w:rsidRPr="00D636C4">
        <w:rPr>
          <w:rFonts w:ascii="Calibri" w:eastAsia="Calibri" w:hAnsi="Calibri" w:cs="Calibri"/>
        </w:rPr>
        <w:t xml:space="preserve"> suivront et mettront en œuvre les orientations et processus en lien avec les fonctions du financement de la santé et dans une approche globale et intégrée.</w:t>
      </w:r>
    </w:p>
    <w:p w14:paraId="6C394D6F" w14:textId="77777777" w:rsidR="00FC3632" w:rsidRPr="00D636C4" w:rsidRDefault="00FC3632">
      <w:pPr>
        <w:jc w:val="both"/>
        <w:rPr>
          <w:rFonts w:ascii="Calibri" w:eastAsia="Calibri" w:hAnsi="Calibri" w:cs="Calibri"/>
        </w:rPr>
      </w:pPr>
    </w:p>
    <w:p w14:paraId="6D5C9348" w14:textId="77777777" w:rsidR="00FC3632" w:rsidRPr="00D636C4" w:rsidRDefault="002E43B8">
      <w:pPr>
        <w:jc w:val="both"/>
        <w:rPr>
          <w:rFonts w:ascii="Calibri" w:eastAsia="Calibri" w:hAnsi="Calibri" w:cs="Calibri"/>
        </w:rPr>
      </w:pPr>
      <w:r w:rsidRPr="00D636C4">
        <w:rPr>
          <w:rFonts w:ascii="Calibri" w:eastAsia="Calibri" w:hAnsi="Calibri" w:cs="Calibri"/>
        </w:rPr>
        <w:t>Les PTF bilatéraux et multilatéraux, en fonction de leurs mandats, apportent un appui technique et financier au processus de mise en œuvre de la stratégie de financement de la santé. Leur attente en matière d’alignement reste une préoccupation importante dans le sens d’une meilleure coordination des efforts vers les priorités nationales et le renforcement de leur participation à la prochaine édition du Compact.</w:t>
      </w:r>
    </w:p>
    <w:p w14:paraId="138B2A05" w14:textId="77777777" w:rsidR="00FC3632" w:rsidRPr="00D636C4" w:rsidRDefault="00FC3632">
      <w:pPr>
        <w:jc w:val="both"/>
        <w:rPr>
          <w:rFonts w:ascii="Calibri" w:eastAsia="Calibri" w:hAnsi="Calibri" w:cs="Calibri"/>
        </w:rPr>
      </w:pPr>
    </w:p>
    <w:p w14:paraId="5CD7B4D7" w14:textId="77777777" w:rsidR="00FC3632" w:rsidRPr="00D636C4" w:rsidRDefault="002E43B8">
      <w:pPr>
        <w:jc w:val="both"/>
        <w:rPr>
          <w:rFonts w:ascii="Calibri" w:eastAsia="Calibri" w:hAnsi="Calibri" w:cs="Calibri"/>
        </w:rPr>
      </w:pPr>
      <w:r w:rsidRPr="00D636C4">
        <w:rPr>
          <w:rFonts w:ascii="Calibri" w:eastAsia="Calibri" w:hAnsi="Calibri" w:cs="Calibri"/>
        </w:rPr>
        <w:t>Le secteur privé et les organisations de la société civile demeurent des acteurs importants dans cette mise en œuvre. Ils devront être amenés à fournir des services qui correspondent aux priorités définies dans la vision nationale en matière de financement de la santé du pays. Au vu de la diversification des acteurs privés et de la société civile du domaine de la santé, il sera auparavant nécessaire de les identifier et de les cartographier afin de les orienter et de les impliquer efficacement.</w:t>
      </w:r>
    </w:p>
    <w:p w14:paraId="5A4190B1" w14:textId="77777777" w:rsidR="00FC3632" w:rsidRPr="00D636C4" w:rsidRDefault="002E43B8">
      <w:pPr>
        <w:pStyle w:val="Heading2"/>
        <w:rPr>
          <w:rFonts w:ascii="Calibri" w:eastAsia="Calibri" w:hAnsi="Calibri" w:cs="Calibri"/>
        </w:rPr>
      </w:pPr>
      <w:bookmarkStart w:id="44" w:name="_Toc137847500"/>
      <w:bookmarkStart w:id="45" w:name="_Toc140268448"/>
      <w:r w:rsidRPr="00D636C4">
        <w:rPr>
          <w:rFonts w:ascii="Calibri" w:eastAsia="Calibri" w:hAnsi="Calibri" w:cs="Calibri"/>
          <w:b/>
          <w:sz w:val="22"/>
          <w:szCs w:val="22"/>
        </w:rPr>
        <w:t>5.2. Dispositif de coordination et de suivi et évaluation de la SNFS</w:t>
      </w:r>
      <w:bookmarkEnd w:id="44"/>
      <w:bookmarkEnd w:id="45"/>
    </w:p>
    <w:p w14:paraId="2058C86B" w14:textId="77777777" w:rsidR="00FC3632" w:rsidRPr="00D636C4" w:rsidRDefault="002E43B8">
      <w:pPr>
        <w:jc w:val="both"/>
        <w:rPr>
          <w:rFonts w:ascii="Calibri" w:eastAsia="Calibri" w:hAnsi="Calibri" w:cs="Calibri"/>
        </w:rPr>
      </w:pPr>
      <w:r w:rsidRPr="00D636C4">
        <w:rPr>
          <w:rFonts w:ascii="Calibri" w:eastAsia="Calibri" w:hAnsi="Calibri" w:cs="Calibri"/>
        </w:rPr>
        <w:t xml:space="preserve">Des revues semestrielles et annuelles seront organisées afin de permettre un dialogue entre différents intervenants autour de bilans semestriels </w:t>
      </w:r>
      <w:r w:rsidR="00DD4A37">
        <w:rPr>
          <w:rFonts w:ascii="Calibri" w:eastAsia="Calibri" w:hAnsi="Calibri" w:cs="Calibri"/>
        </w:rPr>
        <w:t xml:space="preserve">qui qui pourront </w:t>
      </w:r>
      <w:r w:rsidRPr="00D636C4">
        <w:rPr>
          <w:rFonts w:ascii="Calibri" w:eastAsia="Calibri" w:hAnsi="Calibri" w:cs="Calibri"/>
        </w:rPr>
        <w:t xml:space="preserve"> aboutir à des planifications en cours d’année </w:t>
      </w:r>
      <w:r w:rsidR="00DD4A37">
        <w:rPr>
          <w:rFonts w:ascii="Calibri" w:eastAsia="Calibri" w:hAnsi="Calibri" w:cs="Calibri"/>
        </w:rPr>
        <w:t>afin</w:t>
      </w:r>
      <w:r w:rsidRPr="00D636C4">
        <w:rPr>
          <w:rFonts w:ascii="Calibri" w:eastAsia="Calibri" w:hAnsi="Calibri" w:cs="Calibri"/>
        </w:rPr>
        <w:t xml:space="preserve"> </w:t>
      </w:r>
      <w:r w:rsidR="00DD4A37" w:rsidRPr="00D636C4">
        <w:rPr>
          <w:rFonts w:ascii="Calibri" w:eastAsia="Calibri" w:hAnsi="Calibri" w:cs="Calibri"/>
        </w:rPr>
        <w:t>d’amélior</w:t>
      </w:r>
      <w:r w:rsidR="00DD4A37">
        <w:rPr>
          <w:rFonts w:ascii="Calibri" w:eastAsia="Calibri" w:hAnsi="Calibri" w:cs="Calibri"/>
        </w:rPr>
        <w:t>er</w:t>
      </w:r>
      <w:r w:rsidR="00DD4A37" w:rsidRPr="00D636C4">
        <w:rPr>
          <w:rFonts w:ascii="Calibri" w:eastAsia="Calibri" w:hAnsi="Calibri" w:cs="Calibri"/>
        </w:rPr>
        <w:t xml:space="preserve"> </w:t>
      </w:r>
      <w:r w:rsidRPr="00D636C4">
        <w:rPr>
          <w:rFonts w:ascii="Calibri" w:eastAsia="Calibri" w:hAnsi="Calibri" w:cs="Calibri"/>
        </w:rPr>
        <w:t xml:space="preserve">l’efficacité (exécution, absorption, réalisation) et l’efficience du financement de la santé. </w:t>
      </w:r>
    </w:p>
    <w:p w14:paraId="090D7CDA" w14:textId="77777777" w:rsidR="00FC3632" w:rsidRPr="00D636C4" w:rsidRDefault="00FC3632">
      <w:pPr>
        <w:jc w:val="both"/>
        <w:rPr>
          <w:rFonts w:ascii="Calibri" w:eastAsia="Calibri" w:hAnsi="Calibri" w:cs="Calibri"/>
        </w:rPr>
      </w:pPr>
    </w:p>
    <w:p w14:paraId="657B71B6" w14:textId="77777777" w:rsidR="00FC3632" w:rsidRPr="00D636C4" w:rsidRDefault="002E43B8">
      <w:pPr>
        <w:jc w:val="both"/>
        <w:rPr>
          <w:rFonts w:ascii="Calibri" w:eastAsia="Calibri" w:hAnsi="Calibri" w:cs="Calibri"/>
        </w:rPr>
      </w:pPr>
      <w:r w:rsidRPr="00D636C4">
        <w:rPr>
          <w:rFonts w:ascii="Calibri" w:eastAsia="Calibri" w:hAnsi="Calibri" w:cs="Calibri"/>
        </w:rPr>
        <w:t xml:space="preserve">Des risques dans la mise en œuvre ont été identifiés pour chaque élément dans le tableau d’actions de la stratégie de financement, ce qui devra permettre de développer des interventions de mitigation par anticipation. </w:t>
      </w:r>
    </w:p>
    <w:p w14:paraId="4BC64E00" w14:textId="77777777" w:rsidR="00FC3632" w:rsidRPr="00D636C4" w:rsidRDefault="00FC3632">
      <w:pPr>
        <w:jc w:val="both"/>
        <w:rPr>
          <w:rFonts w:ascii="Calibri" w:eastAsia="Calibri" w:hAnsi="Calibri" w:cs="Calibri"/>
        </w:rPr>
      </w:pPr>
    </w:p>
    <w:p w14:paraId="11AB2BA5" w14:textId="77777777" w:rsidR="00FC3632" w:rsidRPr="00D636C4" w:rsidRDefault="002E43B8">
      <w:pPr>
        <w:jc w:val="both"/>
        <w:rPr>
          <w:rFonts w:ascii="Calibri" w:eastAsia="Calibri" w:hAnsi="Calibri" w:cs="Calibri"/>
        </w:rPr>
      </w:pPr>
      <w:r w:rsidRPr="00D636C4">
        <w:rPr>
          <w:rFonts w:ascii="Calibri" w:eastAsia="Calibri" w:hAnsi="Calibri" w:cs="Calibri"/>
        </w:rPr>
        <w:t>En matière de communication stratégique autour de la SNFS, l’Assemblée nationale, les instances de coordinations des PTF</w:t>
      </w:r>
      <w:r w:rsidR="001D5294">
        <w:rPr>
          <w:rFonts w:ascii="Calibri" w:eastAsia="Calibri" w:hAnsi="Calibri" w:cs="Calibri"/>
        </w:rPr>
        <w:t xml:space="preserve"> </w:t>
      </w:r>
      <w:r w:rsidRPr="00D636C4">
        <w:rPr>
          <w:rFonts w:ascii="Calibri" w:eastAsia="Calibri" w:hAnsi="Calibri" w:cs="Calibri"/>
        </w:rPr>
        <w:t>et de la Société civile seront mis à contribution pour mobiliser tous les acteurs de la stratégie et amplifier la communication autour de la SNFS. Parallèlement, un programme de mobilisation, d’explication et de sensibilisation sera mené au profit de tous les acteurs et des bénéficiaires afin que les devoirs et les droits des uns et des autres soient bien compris de tous, ce qui évitera certains obstacles lors de la mise en œuvre.</w:t>
      </w:r>
    </w:p>
    <w:p w14:paraId="6EB62404" w14:textId="77777777" w:rsidR="00FC3632" w:rsidRPr="00D636C4" w:rsidRDefault="00FC3632">
      <w:pPr>
        <w:jc w:val="both"/>
        <w:rPr>
          <w:rFonts w:ascii="Calibri" w:eastAsia="Calibri" w:hAnsi="Calibri" w:cs="Calibri"/>
        </w:rPr>
      </w:pPr>
    </w:p>
    <w:p w14:paraId="5C90ADCE" w14:textId="77777777" w:rsidR="00FC3632" w:rsidRPr="00D636C4" w:rsidRDefault="002E43B8">
      <w:pPr>
        <w:jc w:val="both"/>
        <w:rPr>
          <w:rFonts w:ascii="Calibri" w:eastAsia="Calibri" w:hAnsi="Calibri" w:cs="Calibri"/>
        </w:rPr>
      </w:pPr>
      <w:r w:rsidRPr="00D636C4">
        <w:rPr>
          <w:rFonts w:ascii="Calibri" w:eastAsia="Calibri" w:hAnsi="Calibri" w:cs="Calibri"/>
        </w:rPr>
        <w:t xml:space="preserve">De manière concrète, le pilotage de la SNFS sera assuré par un Comité multisectoriel </w:t>
      </w:r>
      <w:r w:rsidR="00325D8C">
        <w:rPr>
          <w:rFonts w:ascii="Calibri" w:eastAsia="Calibri" w:hAnsi="Calibri" w:cs="Calibri"/>
        </w:rPr>
        <w:t xml:space="preserve">pour la CSU </w:t>
      </w:r>
      <w:r w:rsidRPr="00D636C4">
        <w:rPr>
          <w:rFonts w:ascii="Calibri" w:eastAsia="Calibri" w:hAnsi="Calibri" w:cs="Calibri"/>
        </w:rPr>
        <w:t xml:space="preserve">présidé par le Premier Ministre, et </w:t>
      </w:r>
      <w:r w:rsidR="005C7D89" w:rsidRPr="00D636C4">
        <w:rPr>
          <w:rFonts w:ascii="Calibri" w:eastAsia="Calibri" w:hAnsi="Calibri" w:cs="Calibri"/>
        </w:rPr>
        <w:t>l</w:t>
      </w:r>
      <w:r w:rsidRPr="00D636C4">
        <w:rPr>
          <w:rFonts w:ascii="Calibri" w:eastAsia="Calibri" w:hAnsi="Calibri" w:cs="Calibri"/>
        </w:rPr>
        <w:t xml:space="preserve">e </w:t>
      </w:r>
      <w:r w:rsidR="005C7D89" w:rsidRPr="00D636C4">
        <w:rPr>
          <w:rFonts w:ascii="Calibri" w:eastAsia="Calibri" w:hAnsi="Calibri" w:cs="Calibri"/>
        </w:rPr>
        <w:t>m</w:t>
      </w:r>
      <w:r w:rsidRPr="00D636C4">
        <w:rPr>
          <w:rFonts w:ascii="Calibri" w:eastAsia="Calibri" w:hAnsi="Calibri" w:cs="Calibri"/>
        </w:rPr>
        <w:t xml:space="preserve">inistre de la </w:t>
      </w:r>
      <w:r w:rsidR="005C7D89" w:rsidRPr="00D636C4">
        <w:rPr>
          <w:rFonts w:ascii="Calibri" w:eastAsia="Calibri" w:hAnsi="Calibri" w:cs="Calibri"/>
        </w:rPr>
        <w:t>S</w:t>
      </w:r>
      <w:r w:rsidRPr="00D636C4">
        <w:rPr>
          <w:rFonts w:ascii="Calibri" w:eastAsia="Calibri" w:hAnsi="Calibri" w:cs="Calibri"/>
        </w:rPr>
        <w:t>anté en assurera le Secrétariat à travers le groupe de travail ou comité technique existant sur la SNFS.</w:t>
      </w:r>
    </w:p>
    <w:p w14:paraId="35689785" w14:textId="77777777" w:rsidR="00CD641D" w:rsidRDefault="00CD641D">
      <w:pPr>
        <w:jc w:val="both"/>
        <w:rPr>
          <w:rFonts w:ascii="Calibri" w:eastAsia="Calibri" w:hAnsi="Calibri" w:cs="Calibri"/>
        </w:rPr>
      </w:pPr>
    </w:p>
    <w:p w14:paraId="0889A170" w14:textId="77777777" w:rsidR="00FC3632" w:rsidRPr="00D636C4" w:rsidRDefault="002E43B8">
      <w:pPr>
        <w:jc w:val="both"/>
        <w:rPr>
          <w:rFonts w:ascii="Calibri" w:eastAsia="Calibri" w:hAnsi="Calibri" w:cs="Calibri"/>
        </w:rPr>
      </w:pPr>
      <w:r w:rsidRPr="00D636C4">
        <w:rPr>
          <w:rFonts w:ascii="Calibri" w:eastAsia="Calibri" w:hAnsi="Calibri" w:cs="Calibri"/>
        </w:rPr>
        <w:t>Ce groupe de travail aura pour missions :</w:t>
      </w:r>
    </w:p>
    <w:p w14:paraId="2302EA2E" w14:textId="77777777" w:rsidR="00FC3632" w:rsidRPr="00D636C4" w:rsidRDefault="002E43B8">
      <w:pPr>
        <w:numPr>
          <w:ilvl w:val="0"/>
          <w:numId w:val="16"/>
        </w:numPr>
        <w:jc w:val="both"/>
        <w:rPr>
          <w:rFonts w:ascii="Calibri" w:eastAsia="Calibri" w:hAnsi="Calibri" w:cs="Calibri"/>
        </w:rPr>
      </w:pPr>
      <w:r w:rsidRPr="00D636C4">
        <w:rPr>
          <w:rFonts w:ascii="Calibri" w:eastAsia="Calibri" w:hAnsi="Calibri" w:cs="Calibri"/>
        </w:rPr>
        <w:t>D’approuver le plan d’action annuel de mise en œuvre de la SNFS ;</w:t>
      </w:r>
    </w:p>
    <w:p w14:paraId="41DEABCC" w14:textId="77777777" w:rsidR="00FC3632" w:rsidRPr="00D636C4" w:rsidRDefault="002E43B8">
      <w:pPr>
        <w:numPr>
          <w:ilvl w:val="0"/>
          <w:numId w:val="16"/>
        </w:numPr>
        <w:jc w:val="both"/>
        <w:rPr>
          <w:rFonts w:ascii="Calibri" w:eastAsia="Calibri" w:hAnsi="Calibri" w:cs="Calibri"/>
        </w:rPr>
      </w:pPr>
      <w:r w:rsidRPr="00D636C4">
        <w:rPr>
          <w:rFonts w:ascii="Calibri" w:eastAsia="Calibri" w:hAnsi="Calibri" w:cs="Calibri"/>
        </w:rPr>
        <w:lastRenderedPageBreak/>
        <w:t>D’appuyer la mobilisation interne et externe des ressources ;</w:t>
      </w:r>
    </w:p>
    <w:p w14:paraId="167176B8" w14:textId="77777777" w:rsidR="00FC3632" w:rsidRPr="00D636C4" w:rsidRDefault="002E43B8">
      <w:pPr>
        <w:numPr>
          <w:ilvl w:val="0"/>
          <w:numId w:val="16"/>
        </w:numPr>
        <w:jc w:val="both"/>
        <w:rPr>
          <w:rFonts w:ascii="Calibri" w:eastAsia="Calibri" w:hAnsi="Calibri" w:cs="Calibri"/>
        </w:rPr>
      </w:pPr>
      <w:r w:rsidRPr="00D636C4">
        <w:rPr>
          <w:rFonts w:ascii="Calibri" w:eastAsia="Calibri" w:hAnsi="Calibri" w:cs="Calibri"/>
        </w:rPr>
        <w:t>De veiller à l’organisation de revues périodiques sur la base des résultats des rapports techniques et financiers (rapports d’évaluation, d’exécution budgétaire, de couverture des groupes cibles, de qualité des prestations et de satisfaction des populations) ;</w:t>
      </w:r>
    </w:p>
    <w:p w14:paraId="19E440DF" w14:textId="77777777" w:rsidR="00FC3632" w:rsidRPr="00D636C4" w:rsidRDefault="002E43B8">
      <w:pPr>
        <w:numPr>
          <w:ilvl w:val="0"/>
          <w:numId w:val="16"/>
        </w:numPr>
        <w:jc w:val="both"/>
        <w:rPr>
          <w:rFonts w:ascii="Calibri" w:eastAsia="Calibri" w:hAnsi="Calibri" w:cs="Calibri"/>
        </w:rPr>
      </w:pPr>
      <w:r w:rsidRPr="00D636C4">
        <w:rPr>
          <w:rFonts w:ascii="Calibri" w:eastAsia="Calibri" w:hAnsi="Calibri" w:cs="Calibri"/>
        </w:rPr>
        <w:t>De veiller à la systématisation des audits et contrôles par niveau ;</w:t>
      </w:r>
    </w:p>
    <w:p w14:paraId="64995E30" w14:textId="77777777" w:rsidR="00FC3632" w:rsidRPr="00D636C4" w:rsidRDefault="002E43B8">
      <w:pPr>
        <w:numPr>
          <w:ilvl w:val="0"/>
          <w:numId w:val="16"/>
        </w:numPr>
        <w:jc w:val="both"/>
        <w:rPr>
          <w:rFonts w:ascii="Calibri" w:eastAsia="Calibri" w:hAnsi="Calibri" w:cs="Calibri"/>
        </w:rPr>
      </w:pPr>
      <w:r w:rsidRPr="00D636C4">
        <w:rPr>
          <w:rFonts w:ascii="Calibri" w:eastAsia="Calibri" w:hAnsi="Calibri" w:cs="Calibri"/>
        </w:rPr>
        <w:t>D’initier de nouvelles politiques ou réformes en relation avec la SNFS.</w:t>
      </w:r>
    </w:p>
    <w:p w14:paraId="6ABF3399" w14:textId="77777777" w:rsidR="00FC3632" w:rsidRPr="00D636C4" w:rsidRDefault="00FC3632">
      <w:pPr>
        <w:jc w:val="both"/>
        <w:rPr>
          <w:rFonts w:ascii="Calibri" w:eastAsia="Calibri" w:hAnsi="Calibri" w:cs="Calibri"/>
        </w:rPr>
      </w:pPr>
    </w:p>
    <w:p w14:paraId="442B5E75" w14:textId="77777777" w:rsidR="00FC3632" w:rsidRPr="00D636C4" w:rsidRDefault="002E43B8">
      <w:pPr>
        <w:jc w:val="both"/>
        <w:rPr>
          <w:rFonts w:ascii="Calibri" w:eastAsia="Calibri" w:hAnsi="Calibri" w:cs="Calibri"/>
        </w:rPr>
      </w:pPr>
      <w:r w:rsidRPr="00D636C4">
        <w:rPr>
          <w:rFonts w:ascii="Calibri" w:eastAsia="Calibri" w:hAnsi="Calibri" w:cs="Calibri"/>
        </w:rPr>
        <w:t>Le groupe technique de la SNFS se réunira une fois par semestre en session ordinaire sur convocation de son président. Les ordres du jour seront arrêtés par le Président sur la base des propositions de ses membres. Il pourra se réunir en session extraordinaire en cas de besoin. Il analysera les résultats obtenus en matière d’intrants, d’activités, de processus et d’impact sanitaire et les plans proposés en conséquence. Ces rencontres permettront aussi d’identifier les obstacles, les contraintes et les opportunités en vue d’une adaptation efficace des plans d’action sur la base de données factuelles.</w:t>
      </w:r>
    </w:p>
    <w:p w14:paraId="4ED37B3B" w14:textId="77777777" w:rsidR="00FC3632" w:rsidRPr="00D636C4" w:rsidRDefault="00FC3632">
      <w:pPr>
        <w:jc w:val="both"/>
        <w:rPr>
          <w:rFonts w:ascii="Calibri" w:eastAsia="Calibri" w:hAnsi="Calibri" w:cs="Calibri"/>
        </w:rPr>
      </w:pPr>
    </w:p>
    <w:p w14:paraId="222B6046" w14:textId="77777777" w:rsidR="00FC3632" w:rsidRPr="00D636C4" w:rsidRDefault="002E43B8" w:rsidP="00BD3B0E">
      <w:pPr>
        <w:spacing w:line="256" w:lineRule="auto"/>
        <w:jc w:val="both"/>
        <w:rPr>
          <w:rFonts w:ascii="Calibri" w:eastAsia="Calibri" w:hAnsi="Calibri" w:cs="Calibri"/>
        </w:rPr>
      </w:pPr>
      <w:r w:rsidRPr="00D636C4">
        <w:rPr>
          <w:rFonts w:ascii="Calibri" w:eastAsia="Calibri" w:hAnsi="Calibri" w:cs="Calibri"/>
        </w:rPr>
        <w:t xml:space="preserve">En appui et en préparation des travaux </w:t>
      </w:r>
      <w:r w:rsidR="009742E1" w:rsidRPr="00D636C4">
        <w:rPr>
          <w:rFonts w:ascii="Calibri" w:eastAsia="Calibri" w:hAnsi="Calibri" w:cs="Calibri"/>
        </w:rPr>
        <w:t xml:space="preserve">du </w:t>
      </w:r>
      <w:r w:rsidRPr="00D636C4">
        <w:rPr>
          <w:rFonts w:ascii="Calibri" w:eastAsia="Calibri" w:hAnsi="Calibri" w:cs="Calibri"/>
        </w:rPr>
        <w:t>groupe de travail,</w:t>
      </w:r>
      <w:r w:rsidR="00C10173" w:rsidRPr="00D636C4">
        <w:rPr>
          <w:rFonts w:ascii="Calibri" w:eastAsia="Calibri" w:hAnsi="Calibri" w:cs="Calibri"/>
        </w:rPr>
        <w:t xml:space="preserve"> la Cellule de suivi du </w:t>
      </w:r>
      <w:r w:rsidR="00BD3B0E" w:rsidRPr="00D636C4">
        <w:rPr>
          <w:rFonts w:ascii="Calibri" w:eastAsia="Calibri" w:hAnsi="Calibri" w:cs="Calibri"/>
        </w:rPr>
        <w:t>Développement</w:t>
      </w:r>
      <w:r w:rsidRPr="00D636C4">
        <w:rPr>
          <w:rFonts w:ascii="Calibri" w:eastAsia="Calibri" w:hAnsi="Calibri" w:cs="Calibri"/>
        </w:rPr>
        <w:t xml:space="preserve"> Sanitaire </w:t>
      </w:r>
      <w:r w:rsidR="005C7D89" w:rsidRPr="00D636C4">
        <w:rPr>
          <w:rFonts w:ascii="Calibri" w:eastAsia="Calibri" w:hAnsi="Calibri" w:cs="Calibri"/>
        </w:rPr>
        <w:t>mettra</w:t>
      </w:r>
      <w:r w:rsidRPr="00D636C4">
        <w:rPr>
          <w:rFonts w:ascii="Calibri" w:eastAsia="Calibri" w:hAnsi="Calibri" w:cs="Calibri"/>
        </w:rPr>
        <w:t xml:space="preserve"> en place une </w:t>
      </w:r>
      <w:r w:rsidR="000607E9" w:rsidRPr="00D636C4">
        <w:rPr>
          <w:rFonts w:ascii="Calibri" w:eastAsia="Calibri" w:hAnsi="Calibri" w:cs="Calibri"/>
        </w:rPr>
        <w:t xml:space="preserve">unité </w:t>
      </w:r>
      <w:r w:rsidR="009742E1" w:rsidRPr="00D636C4">
        <w:rPr>
          <w:rFonts w:ascii="Calibri" w:eastAsia="Calibri" w:hAnsi="Calibri" w:cs="Calibri"/>
        </w:rPr>
        <w:t xml:space="preserve">qui </w:t>
      </w:r>
      <w:r w:rsidR="000607E9" w:rsidRPr="00D636C4">
        <w:rPr>
          <w:rFonts w:ascii="Calibri" w:eastAsia="Calibri" w:hAnsi="Calibri" w:cs="Calibri"/>
        </w:rPr>
        <w:t xml:space="preserve">sera </w:t>
      </w:r>
      <w:r w:rsidRPr="00CD641D">
        <w:rPr>
          <w:rFonts w:ascii="Calibri" w:eastAsia="Calibri" w:hAnsi="Calibri" w:cs="Calibri"/>
          <w:bCs/>
        </w:rPr>
        <w:t>chargée de la gestion et du suivi de la mise en œuvre de la SNFS,</w:t>
      </w:r>
      <w:r w:rsidRPr="00D636C4">
        <w:rPr>
          <w:rFonts w:ascii="Calibri" w:eastAsia="Calibri" w:hAnsi="Calibri" w:cs="Calibri"/>
        </w:rPr>
        <w:t xml:space="preserve"> de </w:t>
      </w:r>
      <w:r w:rsidR="001D5294">
        <w:rPr>
          <w:rFonts w:ascii="Calibri" w:eastAsia="Calibri" w:hAnsi="Calibri" w:cs="Calibri"/>
        </w:rPr>
        <w:t xml:space="preserve">la </w:t>
      </w:r>
      <w:r w:rsidRPr="00D636C4">
        <w:rPr>
          <w:rFonts w:ascii="Calibri" w:eastAsia="Calibri" w:hAnsi="Calibri" w:cs="Calibri"/>
        </w:rPr>
        <w:t xml:space="preserve">préparation des réunions et du suivi de la mise en œuvre de ses décisions. Au sein du secteur, cette Unité sera chargée de la gestion de toutes les questions liées à la mise en œuvre de la SNFS, </w:t>
      </w:r>
      <w:r w:rsidR="007D6E00">
        <w:rPr>
          <w:rFonts w:ascii="Calibri" w:eastAsia="Calibri" w:hAnsi="Calibri" w:cs="Calibri"/>
        </w:rPr>
        <w:t xml:space="preserve">en lien avec sa </w:t>
      </w:r>
      <w:r w:rsidR="007D6E00" w:rsidRPr="007D6E00">
        <w:rPr>
          <w:rFonts w:ascii="Calibri" w:eastAsia="Calibri" w:hAnsi="Calibri" w:cs="Calibri"/>
        </w:rPr>
        <w:t xml:space="preserve">mission de </w:t>
      </w:r>
      <w:r w:rsidR="00DD4A37">
        <w:rPr>
          <w:rFonts w:ascii="Calibri" w:eastAsia="Calibri" w:hAnsi="Calibri" w:cs="Calibri"/>
        </w:rPr>
        <w:t xml:space="preserve"> suivi de l’implémentation</w:t>
      </w:r>
      <w:r w:rsidR="007D6E00" w:rsidRPr="007D6E00">
        <w:rPr>
          <w:rFonts w:ascii="Calibri" w:eastAsia="Calibri" w:hAnsi="Calibri" w:cs="Calibri"/>
        </w:rPr>
        <w:t xml:space="preserve"> du </w:t>
      </w:r>
      <w:r w:rsidR="007D6E00">
        <w:rPr>
          <w:rFonts w:ascii="Calibri" w:eastAsia="Calibri" w:hAnsi="Calibri" w:cs="Calibri"/>
        </w:rPr>
        <w:t>PNDS</w:t>
      </w:r>
      <w:r w:rsidR="007D6E00" w:rsidRPr="007D6E00">
        <w:rPr>
          <w:rFonts w:ascii="Calibri" w:eastAsia="Calibri" w:hAnsi="Calibri" w:cs="Calibri"/>
        </w:rPr>
        <w:t xml:space="preserve">, des </w:t>
      </w:r>
      <w:r w:rsidR="007D6E00">
        <w:rPr>
          <w:rFonts w:ascii="Calibri" w:eastAsia="Calibri" w:hAnsi="Calibri" w:cs="Calibri"/>
        </w:rPr>
        <w:t>p</w:t>
      </w:r>
      <w:r w:rsidR="007D6E00" w:rsidRPr="007D6E00">
        <w:rPr>
          <w:rFonts w:ascii="Calibri" w:eastAsia="Calibri" w:hAnsi="Calibri" w:cs="Calibri"/>
        </w:rPr>
        <w:t xml:space="preserve">olitiques et </w:t>
      </w:r>
      <w:r w:rsidR="007D6E00">
        <w:rPr>
          <w:rFonts w:ascii="Calibri" w:eastAsia="Calibri" w:hAnsi="Calibri" w:cs="Calibri"/>
        </w:rPr>
        <w:t>s</w:t>
      </w:r>
      <w:r w:rsidR="007D6E00" w:rsidRPr="007D6E00">
        <w:rPr>
          <w:rFonts w:ascii="Calibri" w:eastAsia="Calibri" w:hAnsi="Calibri" w:cs="Calibri"/>
        </w:rPr>
        <w:t xml:space="preserve">tratégies de CSU et des Programmes Prioritaires du Gouvernement en plus du </w:t>
      </w:r>
      <w:proofErr w:type="spellStart"/>
      <w:r w:rsidR="007D6E00">
        <w:rPr>
          <w:rFonts w:ascii="Calibri" w:eastAsia="Calibri" w:hAnsi="Calibri" w:cs="Calibri"/>
        </w:rPr>
        <w:t>ProPep</w:t>
      </w:r>
      <w:proofErr w:type="spellEnd"/>
      <w:r w:rsidR="007D6E00" w:rsidRPr="007D6E00">
        <w:rPr>
          <w:rFonts w:ascii="Calibri" w:eastAsia="Calibri" w:hAnsi="Calibri" w:cs="Calibri"/>
        </w:rPr>
        <w:t>.</w:t>
      </w:r>
    </w:p>
    <w:p w14:paraId="75192F19" w14:textId="77777777" w:rsidR="00FC3632" w:rsidRPr="00D636C4" w:rsidRDefault="00FC3632">
      <w:pPr>
        <w:jc w:val="both"/>
        <w:rPr>
          <w:rFonts w:ascii="Calibri" w:eastAsia="Calibri" w:hAnsi="Calibri" w:cs="Calibri"/>
        </w:rPr>
      </w:pPr>
    </w:p>
    <w:p w14:paraId="6230D1D5" w14:textId="77777777" w:rsidR="00FC3632" w:rsidRPr="00D636C4" w:rsidRDefault="002E43B8" w:rsidP="002E43B8">
      <w:pPr>
        <w:jc w:val="both"/>
        <w:rPr>
          <w:rFonts w:ascii="Calibri" w:eastAsia="Calibri" w:hAnsi="Calibri" w:cs="Calibri"/>
        </w:rPr>
      </w:pPr>
      <w:r w:rsidRPr="00D636C4">
        <w:rPr>
          <w:rFonts w:ascii="Calibri" w:eastAsia="Calibri" w:hAnsi="Calibri" w:cs="Calibri"/>
        </w:rPr>
        <w:t xml:space="preserve">Cette Unité travaillera avec les directions et services concernés. Elle aura pour </w:t>
      </w:r>
      <w:r w:rsidR="005C7D89" w:rsidRPr="00D636C4">
        <w:rPr>
          <w:rFonts w:ascii="Calibri" w:eastAsia="Calibri" w:hAnsi="Calibri" w:cs="Calibri"/>
        </w:rPr>
        <w:t>mission :</w:t>
      </w:r>
    </w:p>
    <w:p w14:paraId="05EECD0C" w14:textId="77777777" w:rsidR="00FC3632" w:rsidRPr="00D636C4" w:rsidRDefault="002E43B8">
      <w:pPr>
        <w:numPr>
          <w:ilvl w:val="0"/>
          <w:numId w:val="4"/>
        </w:numPr>
        <w:jc w:val="both"/>
        <w:rPr>
          <w:rFonts w:ascii="Calibri" w:eastAsia="Calibri" w:hAnsi="Calibri" w:cs="Calibri"/>
        </w:rPr>
      </w:pPr>
      <w:r w:rsidRPr="00D636C4">
        <w:rPr>
          <w:rFonts w:ascii="Calibri" w:eastAsia="Calibri" w:hAnsi="Calibri" w:cs="Calibri"/>
        </w:rPr>
        <w:t>De préparer les projets de plans d’action annuels en étroite collaboration avec des représentants des autres secteurs gouvernementaux, des autres acteurs de la santé et des affaires sociales et des PTF ;</w:t>
      </w:r>
    </w:p>
    <w:p w14:paraId="353CF1B8" w14:textId="77777777" w:rsidR="00FC3632" w:rsidRPr="00D636C4" w:rsidRDefault="002E43B8">
      <w:pPr>
        <w:numPr>
          <w:ilvl w:val="0"/>
          <w:numId w:val="4"/>
        </w:numPr>
        <w:jc w:val="both"/>
        <w:rPr>
          <w:rFonts w:ascii="Calibri" w:eastAsia="Calibri" w:hAnsi="Calibri" w:cs="Calibri"/>
        </w:rPr>
      </w:pPr>
      <w:r w:rsidRPr="00D636C4">
        <w:rPr>
          <w:rFonts w:ascii="Calibri" w:eastAsia="Calibri" w:hAnsi="Calibri" w:cs="Calibri"/>
        </w:rPr>
        <w:t>De préparer la documentation à présenter lors des réunions du groupe de travail ;</w:t>
      </w:r>
    </w:p>
    <w:p w14:paraId="7E11E7B2" w14:textId="77777777" w:rsidR="00FC3632" w:rsidRPr="00D636C4" w:rsidRDefault="002E43B8">
      <w:pPr>
        <w:numPr>
          <w:ilvl w:val="0"/>
          <w:numId w:val="4"/>
        </w:numPr>
        <w:jc w:val="both"/>
        <w:rPr>
          <w:rFonts w:ascii="Calibri" w:eastAsia="Calibri" w:hAnsi="Calibri" w:cs="Calibri"/>
        </w:rPr>
      </w:pPr>
      <w:r w:rsidRPr="00D636C4">
        <w:rPr>
          <w:rFonts w:ascii="Calibri" w:eastAsia="Calibri" w:hAnsi="Calibri" w:cs="Calibri"/>
        </w:rPr>
        <w:t>D’assurer le suivi de l’exécution des plans d’action annuels ;</w:t>
      </w:r>
    </w:p>
    <w:p w14:paraId="0FF29F4A" w14:textId="77777777" w:rsidR="00FC3632" w:rsidRPr="00D636C4" w:rsidRDefault="002E43B8">
      <w:pPr>
        <w:numPr>
          <w:ilvl w:val="0"/>
          <w:numId w:val="4"/>
        </w:numPr>
        <w:jc w:val="both"/>
        <w:rPr>
          <w:rFonts w:ascii="Calibri" w:eastAsia="Calibri" w:hAnsi="Calibri" w:cs="Calibri"/>
        </w:rPr>
      </w:pPr>
      <w:r w:rsidRPr="00D636C4">
        <w:rPr>
          <w:rFonts w:ascii="Calibri" w:eastAsia="Calibri" w:hAnsi="Calibri" w:cs="Calibri"/>
        </w:rPr>
        <w:t>D’organiser les revues et audits, semestriels et annuels</w:t>
      </w:r>
      <w:r w:rsidR="001D5294">
        <w:rPr>
          <w:rFonts w:ascii="Calibri" w:eastAsia="Calibri" w:hAnsi="Calibri" w:cs="Calibri"/>
        </w:rPr>
        <w:t>,</w:t>
      </w:r>
      <w:r w:rsidRPr="00D636C4">
        <w:rPr>
          <w:rFonts w:ascii="Calibri" w:eastAsia="Calibri" w:hAnsi="Calibri" w:cs="Calibri"/>
        </w:rPr>
        <w:t xml:space="preserve"> et assurer la diffusion de leurs rapports ;</w:t>
      </w:r>
    </w:p>
    <w:p w14:paraId="69D584AA" w14:textId="77777777" w:rsidR="00FC3632" w:rsidRPr="00D636C4" w:rsidRDefault="002E43B8">
      <w:pPr>
        <w:numPr>
          <w:ilvl w:val="0"/>
          <w:numId w:val="4"/>
        </w:numPr>
        <w:jc w:val="both"/>
        <w:rPr>
          <w:rFonts w:ascii="Calibri" w:eastAsia="Calibri" w:hAnsi="Calibri" w:cs="Calibri"/>
        </w:rPr>
      </w:pPr>
      <w:r w:rsidRPr="00D636C4">
        <w:rPr>
          <w:rFonts w:ascii="Calibri" w:eastAsia="Calibri" w:hAnsi="Calibri" w:cs="Calibri"/>
        </w:rPr>
        <w:t xml:space="preserve">De jouer le rôle d’interface entre les différentes parties prenantes dans la mise en œuvre de la SNFS </w:t>
      </w:r>
      <w:r w:rsidR="00DD4A37">
        <w:rPr>
          <w:rFonts w:ascii="Calibri" w:eastAsia="Calibri" w:hAnsi="Calibri" w:cs="Calibri"/>
        </w:rPr>
        <w:t>,</w:t>
      </w:r>
    </w:p>
    <w:p w14:paraId="3F4F6319" w14:textId="77777777" w:rsidR="00FC3632" w:rsidRPr="00D636C4" w:rsidRDefault="00DD4A37">
      <w:pPr>
        <w:numPr>
          <w:ilvl w:val="0"/>
          <w:numId w:val="4"/>
        </w:numPr>
        <w:jc w:val="both"/>
        <w:rPr>
          <w:rFonts w:ascii="Calibri" w:eastAsia="Calibri" w:hAnsi="Calibri" w:cs="Calibri"/>
        </w:rPr>
      </w:pPr>
      <w:r>
        <w:rPr>
          <w:rFonts w:ascii="Calibri" w:eastAsia="Calibri" w:hAnsi="Calibri" w:cs="Calibri"/>
        </w:rPr>
        <w:t>e</w:t>
      </w:r>
      <w:r w:rsidRPr="00D636C4">
        <w:rPr>
          <w:rFonts w:ascii="Calibri" w:eastAsia="Calibri" w:hAnsi="Calibri" w:cs="Calibri"/>
        </w:rPr>
        <w:t xml:space="preserve">t </w:t>
      </w:r>
      <w:r w:rsidR="002E43B8" w:rsidRPr="00D636C4">
        <w:rPr>
          <w:rFonts w:ascii="Calibri" w:eastAsia="Calibri" w:hAnsi="Calibri" w:cs="Calibri"/>
        </w:rPr>
        <w:t>d’unité de référence, de plaidoyer et de mobilisation des partenaires identifiés et potentiels.</w:t>
      </w:r>
    </w:p>
    <w:p w14:paraId="63997ACA" w14:textId="77777777" w:rsidR="00FC3632" w:rsidRPr="00D636C4" w:rsidRDefault="00FC3632">
      <w:pPr>
        <w:spacing w:after="80" w:line="256" w:lineRule="auto"/>
        <w:jc w:val="both"/>
        <w:rPr>
          <w:rFonts w:ascii="Calibri" w:eastAsia="Calibri" w:hAnsi="Calibri" w:cs="Calibri"/>
        </w:rPr>
      </w:pPr>
    </w:p>
    <w:p w14:paraId="120886E1" w14:textId="77777777" w:rsidR="00FC3632" w:rsidRPr="00D636C4" w:rsidRDefault="002E43B8">
      <w:pPr>
        <w:spacing w:after="80" w:line="256" w:lineRule="auto"/>
        <w:jc w:val="both"/>
        <w:rPr>
          <w:rFonts w:ascii="Calibri" w:eastAsia="Calibri" w:hAnsi="Calibri" w:cs="Calibri"/>
        </w:rPr>
      </w:pPr>
      <w:r w:rsidRPr="00D636C4">
        <w:rPr>
          <w:rFonts w:ascii="Calibri" w:eastAsia="Calibri" w:hAnsi="Calibri" w:cs="Calibri"/>
          <w:b/>
        </w:rPr>
        <w:t>Cadre institutionnel</w:t>
      </w:r>
    </w:p>
    <w:p w14:paraId="6C2B2400" w14:textId="77777777" w:rsidR="00FC3632" w:rsidRPr="00D636C4" w:rsidRDefault="002E43B8">
      <w:pPr>
        <w:spacing w:after="80" w:line="256" w:lineRule="auto"/>
        <w:jc w:val="both"/>
        <w:rPr>
          <w:rFonts w:ascii="Calibri" w:eastAsia="Calibri" w:hAnsi="Calibri" w:cs="Calibri"/>
        </w:rPr>
      </w:pPr>
      <w:r w:rsidRPr="00D636C4">
        <w:rPr>
          <w:rFonts w:ascii="Calibri" w:eastAsia="Calibri" w:hAnsi="Calibri" w:cs="Calibri"/>
        </w:rPr>
        <w:t xml:space="preserve">Le cadre institutionnel mis en place pour le suivi de la mise en œuvre du PNDS servira de cadre de référence pour le suivi/évaluation de la mise en œuvre de la SNFS. Cette stratégie sera traduite en plans d’actions annuels de mise en œuvre dont l’état d’exécution fera l’objet de rapports de progrès périodiques qui seront appréciés par l’organe de suivi. Des indicateurs de performance pour chaque activité ont été identifiés (voir tableau </w:t>
      </w:r>
      <w:r w:rsidR="008F12D0">
        <w:rPr>
          <w:rFonts w:ascii="Calibri" w:eastAsia="Calibri" w:hAnsi="Calibri" w:cs="Calibri"/>
        </w:rPr>
        <w:t>5</w:t>
      </w:r>
      <w:r w:rsidRPr="00D636C4">
        <w:rPr>
          <w:rFonts w:ascii="Calibri" w:eastAsia="Calibri" w:hAnsi="Calibri" w:cs="Calibri"/>
        </w:rPr>
        <w:t xml:space="preserve">), mais ceux-ci seront développés ainsi que les outils pertinents pour les </w:t>
      </w:r>
      <w:r w:rsidR="001D5294" w:rsidRPr="00D636C4">
        <w:rPr>
          <w:rFonts w:ascii="Calibri" w:eastAsia="Calibri" w:hAnsi="Calibri" w:cs="Calibri"/>
        </w:rPr>
        <w:t>mesur</w:t>
      </w:r>
      <w:r w:rsidR="001D5294">
        <w:rPr>
          <w:rFonts w:ascii="Calibri" w:eastAsia="Calibri" w:hAnsi="Calibri" w:cs="Calibri"/>
        </w:rPr>
        <w:t>er</w:t>
      </w:r>
      <w:r w:rsidR="001D5294" w:rsidRPr="00D636C4">
        <w:rPr>
          <w:rFonts w:ascii="Calibri" w:eastAsia="Calibri" w:hAnsi="Calibri" w:cs="Calibri"/>
        </w:rPr>
        <w:t xml:space="preserve"> </w:t>
      </w:r>
      <w:r w:rsidRPr="00D636C4">
        <w:rPr>
          <w:rFonts w:ascii="Calibri" w:eastAsia="Calibri" w:hAnsi="Calibri" w:cs="Calibri"/>
        </w:rPr>
        <w:t xml:space="preserve">au fil de la mise en </w:t>
      </w:r>
      <w:r w:rsidR="005C7D89" w:rsidRPr="00D636C4">
        <w:rPr>
          <w:rFonts w:ascii="Calibri" w:eastAsia="Calibri" w:hAnsi="Calibri" w:cs="Calibri"/>
        </w:rPr>
        <w:t>œuvre</w:t>
      </w:r>
      <w:r w:rsidRPr="00D636C4">
        <w:rPr>
          <w:rFonts w:ascii="Calibri" w:eastAsia="Calibri" w:hAnsi="Calibri" w:cs="Calibri"/>
        </w:rPr>
        <w:t xml:space="preserve">. Les cibles clés autour du financement de la santé pour la CSU serviront de points visés à l’horizon 2030. </w:t>
      </w:r>
    </w:p>
    <w:p w14:paraId="4E111207" w14:textId="77777777" w:rsidR="00FC3632" w:rsidRPr="00D636C4" w:rsidRDefault="00FC3632">
      <w:pPr>
        <w:spacing w:after="80" w:line="256" w:lineRule="auto"/>
        <w:jc w:val="both"/>
        <w:rPr>
          <w:rFonts w:ascii="Calibri" w:eastAsia="Calibri" w:hAnsi="Calibri" w:cs="Calibri"/>
        </w:rPr>
      </w:pPr>
    </w:p>
    <w:p w14:paraId="7FED8476" w14:textId="77777777" w:rsidR="00FC3632" w:rsidRPr="00D636C4" w:rsidRDefault="002E43B8" w:rsidP="000607E9">
      <w:pPr>
        <w:spacing w:after="80" w:line="256" w:lineRule="auto"/>
        <w:jc w:val="both"/>
        <w:rPr>
          <w:rFonts w:ascii="Calibri" w:eastAsia="Calibri" w:hAnsi="Calibri" w:cs="Calibri"/>
        </w:rPr>
      </w:pPr>
      <w:r w:rsidRPr="00D636C4">
        <w:rPr>
          <w:rFonts w:ascii="Calibri" w:eastAsia="Calibri" w:hAnsi="Calibri" w:cs="Calibri"/>
        </w:rPr>
        <w:lastRenderedPageBreak/>
        <w:t xml:space="preserve">Le suivi-évaluation de la mise en œuvre de la SNFS sera donc réalisé à travers la conception d’une matrice de suivi-évaluation qui fera ressortir les réalisations </w:t>
      </w:r>
      <w:r w:rsidR="00C260E8" w:rsidRPr="00D636C4">
        <w:rPr>
          <w:rFonts w:ascii="Calibri" w:eastAsia="Calibri" w:hAnsi="Calibri" w:cs="Calibri"/>
        </w:rPr>
        <w:t>sur le</w:t>
      </w:r>
      <w:r w:rsidRPr="00D636C4">
        <w:rPr>
          <w:rFonts w:ascii="Calibri" w:eastAsia="Calibri" w:hAnsi="Calibri" w:cs="Calibri"/>
        </w:rPr>
        <w:t xml:space="preserve"> plan technique et financier des actions planifiées. Sous la responsabilité de </w:t>
      </w:r>
      <w:r w:rsidR="008F12D0" w:rsidRPr="00D636C4">
        <w:rPr>
          <w:rFonts w:ascii="Calibri" w:eastAsia="Calibri" w:hAnsi="Calibri" w:cs="Calibri"/>
        </w:rPr>
        <w:t>la Cellule</w:t>
      </w:r>
      <w:r w:rsidR="000607E9" w:rsidRPr="00D636C4">
        <w:rPr>
          <w:rFonts w:ascii="Calibri" w:eastAsia="Calibri" w:hAnsi="Calibri" w:cs="Calibri"/>
        </w:rPr>
        <w:t xml:space="preserve"> de Dévelo</w:t>
      </w:r>
      <w:r w:rsidR="00C10173" w:rsidRPr="00D636C4">
        <w:rPr>
          <w:rFonts w:ascii="Calibri" w:eastAsia="Calibri" w:hAnsi="Calibri" w:cs="Calibri"/>
        </w:rPr>
        <w:t>pp</w:t>
      </w:r>
      <w:r w:rsidR="000607E9" w:rsidRPr="00D636C4">
        <w:rPr>
          <w:rFonts w:ascii="Calibri" w:eastAsia="Calibri" w:hAnsi="Calibri" w:cs="Calibri"/>
        </w:rPr>
        <w:t>e</w:t>
      </w:r>
      <w:r w:rsidR="00C10173" w:rsidRPr="00D636C4">
        <w:rPr>
          <w:rFonts w:ascii="Calibri" w:eastAsia="Calibri" w:hAnsi="Calibri" w:cs="Calibri"/>
        </w:rPr>
        <w:t>m</w:t>
      </w:r>
      <w:r w:rsidR="000607E9" w:rsidRPr="00D636C4">
        <w:rPr>
          <w:rFonts w:ascii="Calibri" w:eastAsia="Calibri" w:hAnsi="Calibri" w:cs="Calibri"/>
        </w:rPr>
        <w:t>ent Sanitaire</w:t>
      </w:r>
      <w:r w:rsidRPr="00D636C4">
        <w:rPr>
          <w:rFonts w:ascii="Calibri" w:eastAsia="Calibri" w:hAnsi="Calibri" w:cs="Calibri"/>
        </w:rPr>
        <w:t>, des revues ou évaluations semestrielles et annuelles devraient se faire</w:t>
      </w:r>
      <w:r w:rsidR="001D5294">
        <w:rPr>
          <w:rFonts w:ascii="Calibri" w:eastAsia="Calibri" w:hAnsi="Calibri" w:cs="Calibri"/>
        </w:rPr>
        <w:t>,</w:t>
      </w:r>
      <w:r w:rsidRPr="00D636C4">
        <w:rPr>
          <w:rFonts w:ascii="Calibri" w:eastAsia="Calibri" w:hAnsi="Calibri" w:cs="Calibri"/>
        </w:rPr>
        <w:t xml:space="preserve"> suivies de l’élaboration de rapports de progrès périodiques. Par ailleurs, des évaluations indépendantes devront être menées afin d’assurer le suivi des processus et des effets. Les résultats issus de ces évaluations serviront aux ajustements et à la révision de la SNFS. Ces actions permettront de combler les insuffisances relevées dans le suivi des performances en matière de financement de la santé.</w:t>
      </w:r>
    </w:p>
    <w:p w14:paraId="55FF8E9D" w14:textId="77777777" w:rsidR="00FC3632" w:rsidRPr="00CD641D" w:rsidRDefault="002E43B8" w:rsidP="00CD641D">
      <w:pPr>
        <w:pStyle w:val="Heading2"/>
        <w:keepNext w:val="0"/>
        <w:keepLines w:val="0"/>
        <w:spacing w:after="80"/>
        <w:rPr>
          <w:rFonts w:ascii="Calibri" w:eastAsia="Calibri" w:hAnsi="Calibri" w:cs="Calibri"/>
          <w:b/>
          <w:sz w:val="22"/>
          <w:szCs w:val="22"/>
        </w:rPr>
      </w:pPr>
      <w:bookmarkStart w:id="46" w:name="_Toc137847501"/>
      <w:bookmarkStart w:id="47" w:name="_Toc140268449"/>
      <w:r w:rsidRPr="00D636C4">
        <w:rPr>
          <w:rFonts w:ascii="Calibri" w:eastAsia="Calibri" w:hAnsi="Calibri" w:cs="Calibri"/>
          <w:b/>
          <w:sz w:val="22"/>
          <w:szCs w:val="22"/>
        </w:rPr>
        <w:t>5.3. Conditions de succès et risques</w:t>
      </w:r>
      <w:bookmarkEnd w:id="46"/>
      <w:bookmarkEnd w:id="47"/>
    </w:p>
    <w:p w14:paraId="480EFEAB" w14:textId="77777777" w:rsidR="00FC3632" w:rsidRPr="00D636C4" w:rsidRDefault="002E43B8">
      <w:pPr>
        <w:spacing w:after="160" w:line="256" w:lineRule="auto"/>
        <w:rPr>
          <w:rFonts w:ascii="Calibri" w:eastAsia="Calibri" w:hAnsi="Calibri" w:cs="Calibri"/>
        </w:rPr>
      </w:pPr>
      <w:bookmarkStart w:id="48" w:name="_Hlk151466836"/>
      <w:r w:rsidRPr="00D636C4">
        <w:rPr>
          <w:rFonts w:ascii="Calibri" w:eastAsia="Calibri" w:hAnsi="Calibri" w:cs="Calibri"/>
        </w:rPr>
        <w:t>Le succès dans la mise en œuvre de la présente SNFS dépendra essentiellement</w:t>
      </w:r>
      <w:r w:rsidR="00780C33">
        <w:rPr>
          <w:rFonts w:ascii="Calibri" w:eastAsia="Calibri" w:hAnsi="Calibri" w:cs="Calibri"/>
        </w:rPr>
        <w:t xml:space="preserve"> </w:t>
      </w:r>
      <w:r w:rsidRPr="00D636C4">
        <w:rPr>
          <w:rFonts w:ascii="Calibri" w:eastAsia="Calibri" w:hAnsi="Calibri" w:cs="Calibri"/>
        </w:rPr>
        <w:t>de deux aspects :</w:t>
      </w:r>
    </w:p>
    <w:p w14:paraId="024CB39A" w14:textId="77777777" w:rsidR="00FC3632" w:rsidRPr="00D636C4" w:rsidRDefault="002E43B8">
      <w:pPr>
        <w:numPr>
          <w:ilvl w:val="0"/>
          <w:numId w:val="9"/>
        </w:numPr>
        <w:spacing w:line="256" w:lineRule="auto"/>
        <w:jc w:val="both"/>
        <w:rPr>
          <w:rFonts w:ascii="Calibri" w:eastAsia="Calibri" w:hAnsi="Calibri" w:cs="Calibri"/>
        </w:rPr>
      </w:pPr>
      <w:r w:rsidRPr="00D636C4">
        <w:rPr>
          <w:rFonts w:ascii="Calibri" w:eastAsia="Calibri" w:hAnsi="Calibri" w:cs="Calibri"/>
        </w:rPr>
        <w:t xml:space="preserve">L’engagement politique de haut niveau en faveur de la santé. Cet engagement s’est manifesté à maintes reprises, entre autres par l’ampleur et l’ambition du </w:t>
      </w:r>
      <w:proofErr w:type="spellStart"/>
      <w:r w:rsidR="00EC5FBE" w:rsidRPr="00D636C4">
        <w:rPr>
          <w:rFonts w:ascii="Calibri" w:eastAsia="Calibri" w:hAnsi="Calibri" w:cs="Calibri"/>
        </w:rPr>
        <w:t>ProPep</w:t>
      </w:r>
      <w:proofErr w:type="spellEnd"/>
      <w:r w:rsidR="001D5294">
        <w:rPr>
          <w:rFonts w:ascii="Calibri" w:eastAsia="Calibri" w:hAnsi="Calibri" w:cs="Calibri"/>
        </w:rPr>
        <w:t xml:space="preserve"> porté</w:t>
      </w:r>
      <w:r w:rsidR="001D5294" w:rsidRPr="00D636C4">
        <w:rPr>
          <w:rFonts w:ascii="Calibri" w:eastAsia="Calibri" w:hAnsi="Calibri" w:cs="Calibri"/>
        </w:rPr>
        <w:t xml:space="preserve"> </w:t>
      </w:r>
      <w:r w:rsidRPr="00D636C4">
        <w:rPr>
          <w:rFonts w:ascii="Calibri" w:eastAsia="Calibri" w:hAnsi="Calibri" w:cs="Calibri"/>
        </w:rPr>
        <w:t xml:space="preserve">par le premier haut responsable du Pays, son Excellence Mr Le Président de la République. La présente stratégie constitue un des outils pour la </w:t>
      </w:r>
      <w:r w:rsidR="001D5294">
        <w:rPr>
          <w:rFonts w:ascii="Calibri" w:eastAsia="Calibri" w:hAnsi="Calibri" w:cs="Calibri"/>
        </w:rPr>
        <w:t>concrétisation</w:t>
      </w:r>
      <w:r w:rsidR="001D5294" w:rsidRPr="00D636C4">
        <w:rPr>
          <w:rFonts w:ascii="Calibri" w:eastAsia="Calibri" w:hAnsi="Calibri" w:cs="Calibri"/>
        </w:rPr>
        <w:t xml:space="preserve"> </w:t>
      </w:r>
      <w:r w:rsidRPr="00D636C4">
        <w:rPr>
          <w:rFonts w:ascii="Calibri" w:eastAsia="Calibri" w:hAnsi="Calibri" w:cs="Calibri"/>
        </w:rPr>
        <w:t xml:space="preserve">de cet engagement en faveur du financement d’une action de santé équitable, efficace, efficiente et durable pour une couverture sanitaire universelle, </w:t>
      </w:r>
      <w:r w:rsidR="001D5294">
        <w:rPr>
          <w:rFonts w:ascii="Calibri" w:eastAsia="Calibri" w:hAnsi="Calibri" w:cs="Calibri"/>
        </w:rPr>
        <w:t xml:space="preserve">qui </w:t>
      </w:r>
      <w:r w:rsidR="001D5294" w:rsidRPr="00D636C4">
        <w:rPr>
          <w:rFonts w:ascii="Calibri" w:eastAsia="Calibri" w:hAnsi="Calibri" w:cs="Calibri"/>
        </w:rPr>
        <w:t>bénéfici</w:t>
      </w:r>
      <w:r w:rsidR="001D5294">
        <w:rPr>
          <w:rFonts w:ascii="Calibri" w:eastAsia="Calibri" w:hAnsi="Calibri" w:cs="Calibri"/>
        </w:rPr>
        <w:t>era</w:t>
      </w:r>
      <w:r w:rsidR="001D5294" w:rsidRPr="00D636C4">
        <w:rPr>
          <w:rFonts w:ascii="Calibri" w:eastAsia="Calibri" w:hAnsi="Calibri" w:cs="Calibri"/>
        </w:rPr>
        <w:t xml:space="preserve"> </w:t>
      </w:r>
      <w:r w:rsidRPr="00D636C4">
        <w:rPr>
          <w:rFonts w:ascii="Calibri" w:eastAsia="Calibri" w:hAnsi="Calibri" w:cs="Calibri"/>
        </w:rPr>
        <w:t>en particulier aux groupes les plus vulnérables.</w:t>
      </w:r>
    </w:p>
    <w:p w14:paraId="5392C760" w14:textId="77777777" w:rsidR="00FC3632" w:rsidRPr="00D636C4" w:rsidRDefault="002E43B8">
      <w:pPr>
        <w:numPr>
          <w:ilvl w:val="0"/>
          <w:numId w:val="9"/>
        </w:numPr>
        <w:spacing w:line="256" w:lineRule="auto"/>
        <w:jc w:val="both"/>
        <w:rPr>
          <w:rFonts w:ascii="Calibri" w:eastAsia="Calibri" w:hAnsi="Calibri" w:cs="Calibri"/>
        </w:rPr>
      </w:pPr>
      <w:r w:rsidRPr="00D636C4">
        <w:rPr>
          <w:rFonts w:ascii="Calibri" w:eastAsia="Calibri" w:hAnsi="Calibri" w:cs="Calibri"/>
        </w:rPr>
        <w:t xml:space="preserve">L’engagement et </w:t>
      </w:r>
      <w:r w:rsidR="001D5294">
        <w:rPr>
          <w:rFonts w:ascii="Calibri" w:eastAsia="Calibri" w:hAnsi="Calibri" w:cs="Calibri"/>
        </w:rPr>
        <w:t>la</w:t>
      </w:r>
      <w:r w:rsidR="001D5294" w:rsidRPr="00D636C4">
        <w:rPr>
          <w:rFonts w:ascii="Calibri" w:eastAsia="Calibri" w:hAnsi="Calibri" w:cs="Calibri"/>
        </w:rPr>
        <w:t xml:space="preserve"> </w:t>
      </w:r>
      <w:r w:rsidRPr="00D636C4">
        <w:rPr>
          <w:rFonts w:ascii="Calibri" w:eastAsia="Calibri" w:hAnsi="Calibri" w:cs="Calibri"/>
        </w:rPr>
        <w:t xml:space="preserve">participation effective des PTF </w:t>
      </w:r>
      <w:r w:rsidR="001D5294">
        <w:rPr>
          <w:rFonts w:ascii="Calibri" w:eastAsia="Calibri" w:hAnsi="Calibri" w:cs="Calibri"/>
        </w:rPr>
        <w:t>dans l’accompagnement</w:t>
      </w:r>
      <w:r w:rsidR="006C5F0D">
        <w:rPr>
          <w:rFonts w:ascii="Calibri" w:eastAsia="Calibri" w:hAnsi="Calibri" w:cs="Calibri"/>
        </w:rPr>
        <w:t xml:space="preserve"> </w:t>
      </w:r>
      <w:r w:rsidR="001D5294">
        <w:rPr>
          <w:rFonts w:ascii="Calibri" w:eastAsia="Calibri" w:hAnsi="Calibri" w:cs="Calibri"/>
        </w:rPr>
        <w:t>de</w:t>
      </w:r>
      <w:r w:rsidRPr="00D636C4">
        <w:rPr>
          <w:rFonts w:ascii="Calibri" w:eastAsia="Calibri" w:hAnsi="Calibri" w:cs="Calibri"/>
        </w:rPr>
        <w:t xml:space="preserve"> cet élan et </w:t>
      </w:r>
      <w:r w:rsidR="006C5F0D">
        <w:rPr>
          <w:rFonts w:ascii="Calibri" w:eastAsia="Calibri" w:hAnsi="Calibri" w:cs="Calibri"/>
        </w:rPr>
        <w:t xml:space="preserve">au </w:t>
      </w:r>
      <w:r w:rsidR="006C5F0D" w:rsidRPr="00D636C4">
        <w:rPr>
          <w:rFonts w:ascii="Calibri" w:eastAsia="Calibri" w:hAnsi="Calibri" w:cs="Calibri"/>
        </w:rPr>
        <w:t>renforce</w:t>
      </w:r>
      <w:r w:rsidR="006C5F0D">
        <w:rPr>
          <w:rFonts w:ascii="Calibri" w:eastAsia="Calibri" w:hAnsi="Calibri" w:cs="Calibri"/>
        </w:rPr>
        <w:t>ment de</w:t>
      </w:r>
      <w:r w:rsidR="006C5F0D" w:rsidRPr="00D636C4">
        <w:rPr>
          <w:rFonts w:ascii="Calibri" w:eastAsia="Calibri" w:hAnsi="Calibri" w:cs="Calibri"/>
        </w:rPr>
        <w:t xml:space="preserve"> </w:t>
      </w:r>
      <w:r w:rsidRPr="00D636C4">
        <w:rPr>
          <w:rFonts w:ascii="Calibri" w:eastAsia="Calibri" w:hAnsi="Calibri" w:cs="Calibri"/>
        </w:rPr>
        <w:t>ce leadership du Département en charge de la santé pour une planification, une mobilisation des ressources, une mise en œuvre et un suivi conjoint et responsable, transparent et inclusif. Le renforcement du Compact à travers la participation de tous les PTF constitue une matérialisation de cet accompagnement pour plus d’appropriation nationale, d’harmonisation et de redevabilité en conformité avec les déclarations internationales sur l’aide publique au développement et sur le financement de la santé.</w:t>
      </w:r>
    </w:p>
    <w:bookmarkEnd w:id="48"/>
    <w:p w14:paraId="40F7A311" w14:textId="77777777" w:rsidR="00FC3632" w:rsidRPr="00D636C4" w:rsidRDefault="00FC3632">
      <w:pPr>
        <w:spacing w:after="160" w:line="256" w:lineRule="auto"/>
        <w:ind w:left="-80"/>
        <w:jc w:val="both"/>
        <w:rPr>
          <w:rFonts w:ascii="Calibri" w:eastAsia="Calibri" w:hAnsi="Calibri" w:cs="Calibri"/>
        </w:rPr>
      </w:pPr>
    </w:p>
    <w:p w14:paraId="773790F3" w14:textId="77777777" w:rsidR="00FC3632" w:rsidRPr="00D636C4" w:rsidRDefault="002E43B8">
      <w:pPr>
        <w:rPr>
          <w:rFonts w:ascii="Calibri" w:eastAsia="Calibri" w:hAnsi="Calibri" w:cs="Calibri"/>
        </w:rPr>
      </w:pPr>
      <w:r w:rsidRPr="00D636C4">
        <w:rPr>
          <w:rFonts w:ascii="Calibri" w:eastAsia="Calibri" w:hAnsi="Calibri" w:cs="Calibri"/>
        </w:rPr>
        <w:t xml:space="preserve"> </w:t>
      </w:r>
    </w:p>
    <w:p w14:paraId="29C0A8F3" w14:textId="77777777" w:rsidR="00FC3632" w:rsidRPr="00D636C4" w:rsidRDefault="002E43B8">
      <w:pPr>
        <w:rPr>
          <w:rFonts w:ascii="Calibri" w:eastAsia="Calibri" w:hAnsi="Calibri" w:cs="Calibri"/>
          <w:b/>
          <w:u w:val="single"/>
        </w:rPr>
      </w:pPr>
      <w:r w:rsidRPr="00D636C4">
        <w:rPr>
          <w:rFonts w:ascii="Calibri" w:eastAsia="Calibri" w:hAnsi="Calibri" w:cs="Calibri"/>
          <w:b/>
          <w:u w:val="single"/>
        </w:rPr>
        <w:t xml:space="preserve"> </w:t>
      </w:r>
    </w:p>
    <w:p w14:paraId="5F1E30B1" w14:textId="77777777" w:rsidR="00FC3632" w:rsidRPr="00D636C4" w:rsidRDefault="002E43B8">
      <w:pPr>
        <w:rPr>
          <w:rFonts w:ascii="Calibri" w:eastAsia="Calibri" w:hAnsi="Calibri" w:cs="Calibri"/>
        </w:rPr>
      </w:pPr>
      <w:r w:rsidRPr="00D636C4">
        <w:rPr>
          <w:rFonts w:ascii="Calibri" w:eastAsia="Calibri" w:hAnsi="Calibri" w:cs="Calibri"/>
        </w:rPr>
        <w:t xml:space="preserve"> </w:t>
      </w:r>
    </w:p>
    <w:p w14:paraId="243EDBE8" w14:textId="77777777" w:rsidR="00D636C4" w:rsidRPr="00D636C4" w:rsidRDefault="00D636C4">
      <w:pPr>
        <w:rPr>
          <w:rFonts w:ascii="Calibri" w:eastAsia="Calibri" w:hAnsi="Calibri" w:cs="Calibri"/>
          <w:sz w:val="20"/>
          <w:szCs w:val="20"/>
        </w:rPr>
      </w:pPr>
      <w:r w:rsidRPr="00D636C4">
        <w:rPr>
          <w:rFonts w:ascii="Calibri" w:eastAsia="Calibri" w:hAnsi="Calibri" w:cs="Calibri"/>
          <w:sz w:val="20"/>
          <w:szCs w:val="20"/>
        </w:rPr>
        <w:br w:type="page"/>
      </w:r>
    </w:p>
    <w:p w14:paraId="1A871273" w14:textId="77777777" w:rsidR="00EC5FBE" w:rsidRPr="00D636C4" w:rsidRDefault="00EC5FBE" w:rsidP="00EC5FBE">
      <w:pPr>
        <w:pStyle w:val="Heading1"/>
        <w:keepNext w:val="0"/>
        <w:keepLines w:val="0"/>
        <w:spacing w:before="480"/>
        <w:rPr>
          <w:rFonts w:ascii="Calibri" w:eastAsia="Calibri" w:hAnsi="Calibri" w:cs="Calibri"/>
          <w:b/>
          <w:color w:val="2F5496"/>
          <w:sz w:val="30"/>
          <w:szCs w:val="30"/>
        </w:rPr>
      </w:pPr>
      <w:bookmarkStart w:id="49" w:name="_Toc137847502"/>
      <w:bookmarkStart w:id="50" w:name="_Toc140268451"/>
      <w:r w:rsidRPr="00D636C4">
        <w:rPr>
          <w:rFonts w:ascii="Calibri" w:eastAsia="Calibri" w:hAnsi="Calibri" w:cs="Calibri"/>
          <w:b/>
          <w:color w:val="2F5496"/>
          <w:sz w:val="30"/>
          <w:szCs w:val="30"/>
        </w:rPr>
        <w:lastRenderedPageBreak/>
        <w:t>Bibliographie</w:t>
      </w:r>
      <w:bookmarkEnd w:id="49"/>
      <w:bookmarkEnd w:id="50"/>
    </w:p>
    <w:p w14:paraId="4ADB7DF9" w14:textId="77777777" w:rsidR="00EC5FBE" w:rsidRPr="00D636C4" w:rsidRDefault="00EC5FBE" w:rsidP="00EC5FBE"/>
    <w:p w14:paraId="617C9C23" w14:textId="77777777" w:rsidR="00EC5FBE" w:rsidRPr="00C260E8" w:rsidRDefault="009904F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D636C4">
        <w:rPr>
          <w:rFonts w:asciiTheme="majorHAnsi" w:hAnsiTheme="majorHAnsi" w:cstheme="majorHAnsi"/>
        </w:rPr>
        <w:fldChar w:fldCharType="begin" w:fldLock="1"/>
      </w:r>
      <w:r w:rsidR="00EC5FBE" w:rsidRPr="00D636C4">
        <w:rPr>
          <w:rFonts w:asciiTheme="majorHAnsi" w:hAnsiTheme="majorHAnsi" w:cstheme="majorHAnsi"/>
        </w:rPr>
        <w:instrText xml:space="preserve">ADDIN Mendeley Bibliography CSL_BIBLIOGRAPHY </w:instrText>
      </w:r>
      <w:r w:rsidRPr="00D636C4">
        <w:rPr>
          <w:rFonts w:asciiTheme="majorHAnsi" w:hAnsiTheme="majorHAnsi" w:cstheme="majorHAnsi"/>
        </w:rPr>
        <w:fldChar w:fldCharType="separate"/>
      </w:r>
      <w:r w:rsidR="000E7865" w:rsidRPr="00D636C4">
        <w:rPr>
          <w:rFonts w:asciiTheme="majorHAnsi" w:hAnsiTheme="majorHAnsi" w:cstheme="majorHAnsi"/>
          <w:noProof/>
        </w:rPr>
        <w:t>[1]</w:t>
      </w:r>
      <w:r w:rsidR="000E7865" w:rsidRPr="00D636C4">
        <w:rPr>
          <w:rFonts w:asciiTheme="majorHAnsi" w:hAnsiTheme="majorHAnsi" w:cstheme="majorHAnsi"/>
          <w:noProof/>
        </w:rPr>
        <w:tab/>
        <w:t xml:space="preserve">Ministère de la </w:t>
      </w:r>
      <w:r w:rsidR="006C5F0D">
        <w:rPr>
          <w:rFonts w:asciiTheme="majorHAnsi" w:hAnsiTheme="majorHAnsi" w:cstheme="majorHAnsi"/>
          <w:noProof/>
        </w:rPr>
        <w:t>S</w:t>
      </w:r>
      <w:r w:rsidR="006C5F0D" w:rsidRPr="00D636C4">
        <w:rPr>
          <w:rFonts w:asciiTheme="majorHAnsi" w:hAnsiTheme="majorHAnsi" w:cstheme="majorHAnsi"/>
          <w:noProof/>
        </w:rPr>
        <w:t>anté</w:t>
      </w:r>
      <w:r w:rsidR="000E7865" w:rsidRPr="00D636C4">
        <w:rPr>
          <w:rFonts w:asciiTheme="majorHAnsi" w:hAnsiTheme="majorHAnsi" w:cstheme="majorHAnsi"/>
          <w:noProof/>
        </w:rPr>
        <w:t xml:space="preserve">, “Plan National de Développement Sanitaire Volume I : Analyse situationnelle et Plan,” vol. </w:t>
      </w:r>
      <w:r w:rsidR="00EC5FBE" w:rsidRPr="00C260E8">
        <w:rPr>
          <w:rFonts w:asciiTheme="majorHAnsi" w:hAnsiTheme="majorHAnsi" w:cstheme="majorHAnsi"/>
          <w:noProof/>
          <w:lang w:val="en-US"/>
        </w:rPr>
        <w:t>I. Nouakchott, 2021.</w:t>
      </w:r>
    </w:p>
    <w:p w14:paraId="047ECD06"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[2]</w:t>
      </w:r>
      <w:r w:rsidRPr="00C260E8">
        <w:rPr>
          <w:rFonts w:asciiTheme="majorHAnsi" w:hAnsiTheme="majorHAnsi" w:cstheme="majorHAnsi"/>
          <w:noProof/>
          <w:lang w:val="en-US"/>
        </w:rPr>
        <w:tab/>
        <w:t xml:space="preserve">World Bank Group, “World Bank Data - Mauritania,” </w:t>
      </w:r>
      <w:r w:rsidRPr="00C260E8">
        <w:rPr>
          <w:rFonts w:asciiTheme="majorHAnsi" w:hAnsiTheme="majorHAnsi" w:cstheme="majorHAnsi"/>
          <w:i/>
          <w:iCs/>
          <w:noProof/>
          <w:lang w:val="en-US"/>
        </w:rPr>
        <w:t>data.worldbank.org</w:t>
      </w:r>
      <w:r w:rsidRPr="00C260E8">
        <w:rPr>
          <w:rFonts w:asciiTheme="majorHAnsi" w:hAnsiTheme="majorHAnsi" w:cstheme="majorHAnsi"/>
          <w:noProof/>
          <w:lang w:val="en-US"/>
        </w:rPr>
        <w:t>, 2023. [Online]. Available: https://data.worldbank.org/country/mauritania.</w:t>
      </w:r>
    </w:p>
    <w:p w14:paraId="0F8C1EA6" w14:textId="77777777" w:rsidR="00EC5FBE" w:rsidRPr="00D636C4" w:rsidRDefault="00EC5FBE" w:rsidP="00EC5FBE">
      <w:pPr>
        <w:widowControl w:val="0"/>
        <w:autoSpaceDE w:val="0"/>
        <w:autoSpaceDN w:val="0"/>
        <w:adjustRightInd w:val="0"/>
        <w:spacing w:line="240" w:lineRule="auto"/>
        <w:ind w:left="640" w:hanging="640"/>
        <w:rPr>
          <w:rFonts w:asciiTheme="majorHAnsi" w:hAnsiTheme="majorHAnsi" w:cstheme="majorHAnsi"/>
          <w:noProof/>
        </w:rPr>
      </w:pPr>
      <w:r w:rsidRPr="00C260E8">
        <w:rPr>
          <w:rFonts w:asciiTheme="majorHAnsi" w:hAnsiTheme="majorHAnsi" w:cstheme="majorHAnsi"/>
          <w:noProof/>
          <w:lang w:val="en-US"/>
        </w:rPr>
        <w:t>[3]</w:t>
      </w:r>
      <w:r w:rsidRPr="00C260E8">
        <w:rPr>
          <w:rFonts w:asciiTheme="majorHAnsi" w:hAnsiTheme="majorHAnsi" w:cstheme="majorHAnsi"/>
          <w:noProof/>
          <w:lang w:val="en-US"/>
        </w:rPr>
        <w:tab/>
        <w:t xml:space="preserve">IMF, “IMF Datasets World Economic Outlook 2023 - Mauritania,” </w:t>
      </w:r>
      <w:r w:rsidRPr="00C260E8">
        <w:rPr>
          <w:rFonts w:asciiTheme="majorHAnsi" w:hAnsiTheme="majorHAnsi" w:cstheme="majorHAnsi"/>
          <w:i/>
          <w:iCs/>
          <w:noProof/>
          <w:lang w:val="en-US"/>
        </w:rPr>
        <w:t>imf.org</w:t>
      </w:r>
      <w:r w:rsidRPr="00C260E8">
        <w:rPr>
          <w:rFonts w:asciiTheme="majorHAnsi" w:hAnsiTheme="majorHAnsi" w:cstheme="majorHAnsi"/>
          <w:noProof/>
          <w:lang w:val="en-US"/>
        </w:rPr>
        <w:t xml:space="preserve">. [Online]. </w:t>
      </w:r>
      <w:r w:rsidR="000E7865" w:rsidRPr="00D636C4">
        <w:rPr>
          <w:rFonts w:asciiTheme="majorHAnsi" w:hAnsiTheme="majorHAnsi" w:cstheme="majorHAnsi"/>
          <w:noProof/>
        </w:rPr>
        <w:t>Available: source: https://www.imf.org/external/datamapper/NGDP_RPCH@WEO/MRT?year=2023.</w:t>
      </w:r>
    </w:p>
    <w:p w14:paraId="0D807404"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[4]</w:t>
      </w:r>
      <w:r w:rsidRPr="00C260E8">
        <w:rPr>
          <w:rFonts w:asciiTheme="majorHAnsi" w:hAnsiTheme="majorHAnsi" w:cstheme="majorHAnsi"/>
          <w:noProof/>
          <w:lang w:val="en-US"/>
        </w:rPr>
        <w:tab/>
        <w:t>International Monetary Fund, “IMF Country Report - Islamic Republic of Mauritania (2022 Article IV Consultation),” Washington DC, 2023.</w:t>
      </w:r>
    </w:p>
    <w:p w14:paraId="13EF694A"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[5]</w:t>
      </w:r>
      <w:r w:rsidRPr="00D636C4">
        <w:rPr>
          <w:rFonts w:asciiTheme="majorHAnsi" w:hAnsiTheme="majorHAnsi" w:cstheme="majorHAnsi"/>
          <w:noProof/>
        </w:rPr>
        <w:tab/>
        <w:t>Banque Mondiale, “Revue des dépenses publiques - Mauritanie (2021) Pistes pour maintenir la viabilité budgétaire et soutenir une reprise économique plus inclusive après la COVID-19,” Nouakchott, 2021.</w:t>
      </w:r>
    </w:p>
    <w:p w14:paraId="62A6F952"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[6]</w:t>
      </w:r>
      <w:r w:rsidRPr="00D636C4">
        <w:rPr>
          <w:rFonts w:asciiTheme="majorHAnsi" w:hAnsiTheme="majorHAnsi" w:cstheme="majorHAnsi"/>
          <w:noProof/>
        </w:rPr>
        <w:tab/>
        <w:t xml:space="preserve">Groupe de la Banque Africaine de Développement (BAD), “Mauritanie - Note de </w:t>
      </w:r>
      <w:r w:rsidR="006C5F0D" w:rsidRPr="00D636C4">
        <w:rPr>
          <w:rFonts w:asciiTheme="majorHAnsi" w:hAnsiTheme="majorHAnsi" w:cstheme="majorHAnsi"/>
          <w:noProof/>
        </w:rPr>
        <w:t>Diagnosti</w:t>
      </w:r>
      <w:r w:rsidR="006C5F0D">
        <w:rPr>
          <w:rFonts w:asciiTheme="majorHAnsi" w:hAnsiTheme="majorHAnsi" w:cstheme="majorHAnsi"/>
          <w:noProof/>
        </w:rPr>
        <w:t xml:space="preserve">c </w:t>
      </w:r>
      <w:r w:rsidRPr="00D636C4">
        <w:rPr>
          <w:rFonts w:asciiTheme="majorHAnsi" w:hAnsiTheme="majorHAnsi" w:cstheme="majorHAnsi"/>
          <w:noProof/>
        </w:rPr>
        <w:t>Pays 2023,” Nouakchott, 2023.</w:t>
      </w:r>
    </w:p>
    <w:p w14:paraId="3AB7BCE5"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[7]</w:t>
      </w:r>
      <w:r w:rsidRPr="00C260E8">
        <w:rPr>
          <w:rFonts w:asciiTheme="majorHAnsi" w:hAnsiTheme="majorHAnsi" w:cstheme="majorHAnsi"/>
          <w:noProof/>
          <w:lang w:val="en-US"/>
        </w:rPr>
        <w:tab/>
        <w:t>OECD, “Revenue Statistics in Africa 2022 - Mauritania,” 2022.</w:t>
      </w:r>
    </w:p>
    <w:p w14:paraId="35D66B91"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[8]</w:t>
      </w:r>
      <w:r w:rsidRPr="00C260E8">
        <w:rPr>
          <w:rFonts w:asciiTheme="majorHAnsi" w:hAnsiTheme="majorHAnsi" w:cstheme="majorHAnsi"/>
          <w:noProof/>
          <w:lang w:val="en-US"/>
        </w:rPr>
        <w:tab/>
        <w:t>T. W. B. Group, “Report on the Economic Situation in Mauritania - 5th edition - Leveraging the private sector to drive economic transformation and job creation,” Nouakchott, 2022.</w:t>
      </w:r>
    </w:p>
    <w:p w14:paraId="7DE9735D"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[9]</w:t>
      </w:r>
      <w:r w:rsidRPr="00C260E8">
        <w:rPr>
          <w:rFonts w:asciiTheme="majorHAnsi" w:hAnsiTheme="majorHAnsi" w:cstheme="majorHAnsi"/>
          <w:noProof/>
          <w:lang w:val="en-US"/>
        </w:rPr>
        <w:tab/>
        <w:t xml:space="preserve">R. Cardarelli </w:t>
      </w:r>
      <w:r w:rsidRPr="00C260E8">
        <w:rPr>
          <w:rFonts w:asciiTheme="majorHAnsi" w:hAnsiTheme="majorHAnsi" w:cstheme="majorHAnsi"/>
          <w:i/>
          <w:iCs/>
          <w:noProof/>
          <w:lang w:val="en-US"/>
        </w:rPr>
        <w:t>et al.</w:t>
      </w:r>
      <w:r w:rsidRPr="00C260E8">
        <w:rPr>
          <w:rFonts w:asciiTheme="majorHAnsi" w:hAnsiTheme="majorHAnsi" w:cstheme="majorHAnsi"/>
          <w:noProof/>
          <w:lang w:val="en-US"/>
        </w:rPr>
        <w:t>, “Informality, Development, and the Business Cycle in North Africa,” 2022.</w:t>
      </w:r>
    </w:p>
    <w:p w14:paraId="7FFBA0E1"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[10]</w:t>
      </w:r>
      <w:r w:rsidRPr="00C260E8">
        <w:rPr>
          <w:rFonts w:asciiTheme="majorHAnsi" w:hAnsiTheme="majorHAnsi" w:cstheme="majorHAnsi"/>
          <w:noProof/>
          <w:lang w:val="en-US"/>
        </w:rPr>
        <w:tab/>
        <w:t xml:space="preserve">UNPD, “Human Development Reports - Mauritania,” </w:t>
      </w:r>
      <w:r w:rsidRPr="00C260E8">
        <w:rPr>
          <w:rFonts w:asciiTheme="majorHAnsi" w:hAnsiTheme="majorHAnsi" w:cstheme="majorHAnsi"/>
          <w:i/>
          <w:iCs/>
          <w:noProof/>
          <w:lang w:val="en-US"/>
        </w:rPr>
        <w:t>hdr.undp.org</w:t>
      </w:r>
      <w:r w:rsidRPr="00C260E8">
        <w:rPr>
          <w:rFonts w:asciiTheme="majorHAnsi" w:hAnsiTheme="majorHAnsi" w:cstheme="majorHAnsi"/>
          <w:noProof/>
          <w:lang w:val="en-US"/>
        </w:rPr>
        <w:t>, 2022. [Online]. Available: https://hdr.undp.org/data-center/specific-country-data#/countries/MRT.</w:t>
      </w:r>
    </w:p>
    <w:p w14:paraId="7357DFBB"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[11]</w:t>
      </w:r>
      <w:r w:rsidRPr="00C260E8">
        <w:rPr>
          <w:rFonts w:asciiTheme="majorHAnsi" w:hAnsiTheme="majorHAnsi" w:cstheme="majorHAnsi"/>
          <w:noProof/>
          <w:lang w:val="en-US"/>
        </w:rPr>
        <w:tab/>
        <w:t>UNDP, “Multidimensional Poverty Index - Mauritania Briefing note,” 2022.</w:t>
      </w:r>
    </w:p>
    <w:p w14:paraId="0D2EFCDA"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[12]</w:t>
      </w:r>
      <w:r w:rsidRPr="00C260E8">
        <w:rPr>
          <w:rFonts w:asciiTheme="majorHAnsi" w:hAnsiTheme="majorHAnsi" w:cstheme="majorHAnsi"/>
          <w:noProof/>
          <w:lang w:val="en-US"/>
        </w:rPr>
        <w:tab/>
        <w:t>A. Dahmani-scuitti, J. Doyle, M. Lefebvre, M. Meyer, and A. Rajashekar, “Mapping Deprivations in Mauritania,” Nouakchott, 34, 2020.</w:t>
      </w:r>
    </w:p>
    <w:p w14:paraId="5EA6EAAB"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[13]</w:t>
      </w:r>
      <w:r w:rsidRPr="00D636C4">
        <w:rPr>
          <w:rFonts w:asciiTheme="majorHAnsi" w:hAnsiTheme="majorHAnsi" w:cstheme="majorHAnsi"/>
          <w:noProof/>
        </w:rPr>
        <w:tab/>
        <w:t>ANSADE, “Etude Santé, Nutrition et Pauvreté en Mauritanie - Situation et Défis - Rapport 2023,” 2023.</w:t>
      </w:r>
    </w:p>
    <w:p w14:paraId="44859A28"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[14]</w:t>
      </w:r>
      <w:r w:rsidRPr="00D636C4">
        <w:rPr>
          <w:rFonts w:asciiTheme="majorHAnsi" w:hAnsiTheme="majorHAnsi" w:cstheme="majorHAnsi"/>
          <w:noProof/>
        </w:rPr>
        <w:tab/>
        <w:t>ONS, “Enquête Démographique et de Santé de la Mauritanie (EDSM) - 2019-2021,” Nouakchott, 2022.</w:t>
      </w:r>
    </w:p>
    <w:p w14:paraId="5477C9EB"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[15]</w:t>
      </w:r>
      <w:r w:rsidRPr="00D636C4">
        <w:rPr>
          <w:rFonts w:asciiTheme="majorHAnsi" w:hAnsiTheme="majorHAnsi" w:cstheme="majorHAnsi"/>
          <w:noProof/>
        </w:rPr>
        <w:tab/>
        <w:t xml:space="preserve">République Islamique de Mauritanie, “Dossier d’Investissement pour l’amélioration de la </w:t>
      </w:r>
      <w:r w:rsidR="004C4CFE">
        <w:rPr>
          <w:rFonts w:asciiTheme="majorHAnsi" w:hAnsiTheme="majorHAnsi" w:cstheme="majorHAnsi"/>
          <w:noProof/>
        </w:rPr>
        <w:t xml:space="preserve">santé </w:t>
      </w:r>
      <w:r w:rsidRPr="00D636C4">
        <w:rPr>
          <w:rFonts w:asciiTheme="majorHAnsi" w:hAnsiTheme="majorHAnsi" w:cstheme="majorHAnsi"/>
          <w:noProof/>
        </w:rPr>
        <w:t xml:space="preserve"> de la reproduction, maternelle, néonatale et infanto-juvenile, adolescents et la nutrition en Mauritanie (2022-2025),” 2022.</w:t>
      </w:r>
    </w:p>
    <w:p w14:paraId="128A30F6"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[16]</w:t>
      </w:r>
      <w:r w:rsidRPr="00D636C4">
        <w:rPr>
          <w:rFonts w:asciiTheme="majorHAnsi" w:hAnsiTheme="majorHAnsi" w:cstheme="majorHAnsi"/>
          <w:noProof/>
        </w:rPr>
        <w:tab/>
        <w:t>ONS, “MAURITANIE Enquête par grappes à indicateurs multiples MICS5 2015,” 2017.</w:t>
      </w:r>
    </w:p>
    <w:p w14:paraId="5A85191E"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[17]</w:t>
      </w:r>
      <w:r w:rsidRPr="00D636C4">
        <w:rPr>
          <w:rFonts w:asciiTheme="majorHAnsi" w:hAnsiTheme="majorHAnsi" w:cstheme="majorHAnsi"/>
          <w:noProof/>
        </w:rPr>
        <w:tab/>
        <w:t>Ministère de la santé de la République Islamique de Mauritanie, “</w:t>
      </w:r>
      <w:r w:rsidR="006C5F0D" w:rsidRPr="00D636C4">
        <w:rPr>
          <w:rFonts w:asciiTheme="majorHAnsi" w:hAnsiTheme="majorHAnsi" w:cstheme="majorHAnsi"/>
          <w:noProof/>
        </w:rPr>
        <w:t>Diagnosti</w:t>
      </w:r>
      <w:r w:rsidR="006C5F0D">
        <w:rPr>
          <w:rFonts w:asciiTheme="majorHAnsi" w:hAnsiTheme="majorHAnsi" w:cstheme="majorHAnsi"/>
          <w:noProof/>
        </w:rPr>
        <w:t>c</w:t>
      </w:r>
      <w:r w:rsidR="006C5F0D" w:rsidRPr="00D636C4">
        <w:rPr>
          <w:rFonts w:asciiTheme="majorHAnsi" w:hAnsiTheme="majorHAnsi" w:cstheme="majorHAnsi"/>
          <w:noProof/>
        </w:rPr>
        <w:t xml:space="preserve"> </w:t>
      </w:r>
      <w:r w:rsidRPr="00D636C4">
        <w:rPr>
          <w:rFonts w:asciiTheme="majorHAnsi" w:hAnsiTheme="majorHAnsi" w:cstheme="majorHAnsi"/>
          <w:noProof/>
        </w:rPr>
        <w:t>du Système de Financement de la Santé - Rapport Provisoire,” 2019.</w:t>
      </w:r>
    </w:p>
    <w:p w14:paraId="3F21863D"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[18]</w:t>
      </w:r>
      <w:r w:rsidRPr="00D636C4">
        <w:rPr>
          <w:rFonts w:asciiTheme="majorHAnsi" w:hAnsiTheme="majorHAnsi" w:cstheme="majorHAnsi"/>
          <w:noProof/>
        </w:rPr>
        <w:tab/>
        <w:t>Bureau Mauritanien d’Études en Santé Publique (BUMESP), “Carte Sanitaire Nationale de la Mauritanie - 2020,” Nouakchott, 2020.</w:t>
      </w:r>
    </w:p>
    <w:p w14:paraId="0427B30C"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[19]</w:t>
      </w:r>
      <w:r w:rsidRPr="00D636C4">
        <w:rPr>
          <w:rFonts w:asciiTheme="majorHAnsi" w:hAnsiTheme="majorHAnsi" w:cstheme="majorHAnsi"/>
          <w:noProof/>
        </w:rPr>
        <w:tab/>
        <w:t>SARA, “Evaluation de la disponibilité, de la capacité opérationnelle des services de santé et la revue de la qualité des données,” Bamako, 2018.</w:t>
      </w:r>
    </w:p>
    <w:p w14:paraId="020C8185" w14:textId="77777777" w:rsidR="00EC5FBE" w:rsidRPr="00C260E8" w:rsidRDefault="000E7865"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D636C4">
        <w:rPr>
          <w:rFonts w:asciiTheme="majorHAnsi" w:hAnsiTheme="majorHAnsi" w:cstheme="majorHAnsi"/>
          <w:noProof/>
        </w:rPr>
        <w:t>[20]</w:t>
      </w:r>
      <w:r w:rsidRPr="00D636C4">
        <w:rPr>
          <w:rFonts w:asciiTheme="majorHAnsi" w:hAnsiTheme="majorHAnsi" w:cstheme="majorHAnsi"/>
          <w:noProof/>
        </w:rPr>
        <w:tab/>
        <w:t xml:space="preserve">D. Mcintyre and J. Kutzin, </w:t>
      </w:r>
      <w:r w:rsidRPr="00D636C4">
        <w:rPr>
          <w:rFonts w:asciiTheme="majorHAnsi" w:hAnsiTheme="majorHAnsi" w:cstheme="majorHAnsi"/>
          <w:i/>
          <w:iCs/>
          <w:noProof/>
        </w:rPr>
        <w:t>Diagnostic pour le financement de la santé : les bases de l’élaboration d’une stratégie nationale</w:t>
      </w:r>
      <w:r w:rsidRPr="00D636C4">
        <w:rPr>
          <w:rFonts w:asciiTheme="majorHAnsi" w:hAnsiTheme="majorHAnsi" w:cstheme="majorHAnsi"/>
          <w:noProof/>
        </w:rPr>
        <w:t xml:space="preserve">. </w:t>
      </w:r>
      <w:r w:rsidR="00EC5FBE" w:rsidRPr="00C260E8">
        <w:rPr>
          <w:rFonts w:asciiTheme="majorHAnsi" w:hAnsiTheme="majorHAnsi" w:cstheme="majorHAnsi"/>
          <w:noProof/>
          <w:lang w:val="en-US"/>
        </w:rPr>
        <w:t>2017.</w:t>
      </w:r>
    </w:p>
    <w:p w14:paraId="34D17A99"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[21]</w:t>
      </w:r>
      <w:r w:rsidRPr="00C260E8">
        <w:rPr>
          <w:rFonts w:asciiTheme="majorHAnsi" w:hAnsiTheme="majorHAnsi" w:cstheme="majorHAnsi"/>
          <w:noProof/>
          <w:lang w:val="en-US"/>
        </w:rPr>
        <w:tab/>
        <w:t xml:space="preserve">WHO, “WHO Global Health Expenditure Database (GHED) Update 2022,” </w:t>
      </w:r>
      <w:r w:rsidRPr="00C260E8">
        <w:rPr>
          <w:rFonts w:asciiTheme="majorHAnsi" w:hAnsiTheme="majorHAnsi" w:cstheme="majorHAnsi"/>
          <w:i/>
          <w:iCs/>
          <w:noProof/>
          <w:lang w:val="en-US"/>
        </w:rPr>
        <w:t>https://apps.who.int/nha/database</w:t>
      </w:r>
      <w:r w:rsidRPr="00C260E8">
        <w:rPr>
          <w:rFonts w:asciiTheme="majorHAnsi" w:hAnsiTheme="majorHAnsi" w:cstheme="majorHAnsi"/>
          <w:noProof/>
          <w:lang w:val="en-US"/>
        </w:rPr>
        <w:t>, 2022. [Online]. Available: https://apps.who.int/nha/database.</w:t>
      </w:r>
    </w:p>
    <w:p w14:paraId="63590AA9" w14:textId="77777777" w:rsidR="00EC5FBE" w:rsidRPr="00D636C4" w:rsidRDefault="00EC5FBE" w:rsidP="00EC5FBE">
      <w:pPr>
        <w:widowControl w:val="0"/>
        <w:autoSpaceDE w:val="0"/>
        <w:autoSpaceDN w:val="0"/>
        <w:adjustRightInd w:val="0"/>
        <w:spacing w:line="240" w:lineRule="auto"/>
        <w:ind w:left="640" w:hanging="640"/>
        <w:rPr>
          <w:rFonts w:asciiTheme="majorHAnsi" w:hAnsiTheme="majorHAnsi" w:cstheme="majorHAnsi"/>
          <w:noProof/>
        </w:rPr>
      </w:pPr>
      <w:r w:rsidRPr="00C260E8">
        <w:rPr>
          <w:rFonts w:asciiTheme="majorHAnsi" w:hAnsiTheme="majorHAnsi" w:cstheme="majorHAnsi"/>
          <w:noProof/>
          <w:lang w:val="en-US"/>
        </w:rPr>
        <w:t>[22]</w:t>
      </w:r>
      <w:r w:rsidRPr="00C260E8">
        <w:rPr>
          <w:rFonts w:asciiTheme="majorHAnsi" w:hAnsiTheme="majorHAnsi" w:cstheme="majorHAnsi"/>
          <w:noProof/>
          <w:lang w:val="en-US"/>
        </w:rPr>
        <w:tab/>
        <w:t xml:space="preserve">D. Mcintyre, F. Meheus, and J.-A. Røttingen, “What level of domestic government health expenditure should we aspire to for universal health coverage?,” </w:t>
      </w:r>
      <w:r w:rsidRPr="00C260E8">
        <w:rPr>
          <w:rFonts w:asciiTheme="majorHAnsi" w:hAnsiTheme="majorHAnsi" w:cstheme="majorHAnsi"/>
          <w:i/>
          <w:iCs/>
          <w:noProof/>
          <w:lang w:val="en-US"/>
        </w:rPr>
        <w:t xml:space="preserve">Heal. </w:t>
      </w:r>
      <w:r w:rsidR="000E7865" w:rsidRPr="00D636C4">
        <w:rPr>
          <w:rFonts w:asciiTheme="majorHAnsi" w:hAnsiTheme="majorHAnsi" w:cstheme="majorHAnsi"/>
          <w:i/>
          <w:iCs/>
          <w:noProof/>
        </w:rPr>
        <w:t>Econ. Policy Law</w:t>
      </w:r>
      <w:r w:rsidR="000E7865" w:rsidRPr="00D636C4">
        <w:rPr>
          <w:rFonts w:asciiTheme="majorHAnsi" w:hAnsiTheme="majorHAnsi" w:cstheme="majorHAnsi"/>
          <w:noProof/>
        </w:rPr>
        <w:t>, vol. 12, no. 2, pp. 125–137, 2017.</w:t>
      </w:r>
    </w:p>
    <w:p w14:paraId="69FAE662"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[23]</w:t>
      </w:r>
      <w:r w:rsidRPr="00D636C4">
        <w:rPr>
          <w:rFonts w:asciiTheme="majorHAnsi" w:hAnsiTheme="majorHAnsi" w:cstheme="majorHAnsi"/>
          <w:noProof/>
        </w:rPr>
        <w:tab/>
        <w:t xml:space="preserve">Y. Tapsoba, “Analyse de l’espace budgétaire pour la santé et la vaccination en République </w:t>
      </w:r>
      <w:r w:rsidRPr="00D636C4">
        <w:rPr>
          <w:rFonts w:asciiTheme="majorHAnsi" w:hAnsiTheme="majorHAnsi" w:cstheme="majorHAnsi"/>
          <w:noProof/>
        </w:rPr>
        <w:lastRenderedPageBreak/>
        <w:t>Islamique de Mauritanie,” Nouakchott, 2020.</w:t>
      </w:r>
    </w:p>
    <w:p w14:paraId="59653A81"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[24]</w:t>
      </w:r>
      <w:r w:rsidRPr="00C260E8">
        <w:rPr>
          <w:rFonts w:asciiTheme="majorHAnsi" w:hAnsiTheme="majorHAnsi" w:cstheme="majorHAnsi"/>
          <w:noProof/>
          <w:lang w:val="en-US"/>
        </w:rPr>
        <w:tab/>
        <w:t xml:space="preserve">M. P. Waelkens, Y. Coppieters, S. Laokri, and B. Criel, “An in-depth investigation of the causes of persistent low membership of community-based health insurance: A case study of the mutual health organisation of Dar Naïm, Mauritania,” </w:t>
      </w:r>
      <w:r w:rsidRPr="00C260E8">
        <w:rPr>
          <w:rFonts w:asciiTheme="majorHAnsi" w:hAnsiTheme="majorHAnsi" w:cstheme="majorHAnsi"/>
          <w:i/>
          <w:iCs/>
          <w:noProof/>
          <w:lang w:val="en-US"/>
        </w:rPr>
        <w:t>BMC Health Serv. Res.</w:t>
      </w:r>
      <w:r w:rsidRPr="00C260E8">
        <w:rPr>
          <w:rFonts w:asciiTheme="majorHAnsi" w:hAnsiTheme="majorHAnsi" w:cstheme="majorHAnsi"/>
          <w:noProof/>
          <w:lang w:val="en-US"/>
        </w:rPr>
        <w:t>, vol. 17, no. 1, pp. 1–18, 2017.</w:t>
      </w:r>
    </w:p>
    <w:p w14:paraId="1B825F33" w14:textId="77777777" w:rsidR="00EC5FBE" w:rsidRPr="00C260E8" w:rsidRDefault="00EC5FBE" w:rsidP="00EC5FBE">
      <w:pPr>
        <w:widowControl w:val="0"/>
        <w:autoSpaceDE w:val="0"/>
        <w:autoSpaceDN w:val="0"/>
        <w:adjustRightInd w:val="0"/>
        <w:spacing w:line="240" w:lineRule="auto"/>
        <w:ind w:left="640" w:hanging="640"/>
        <w:rPr>
          <w:rFonts w:asciiTheme="majorHAnsi" w:hAnsiTheme="majorHAnsi" w:cstheme="majorHAnsi"/>
          <w:noProof/>
          <w:lang w:val="en-US"/>
        </w:rPr>
      </w:pPr>
      <w:r w:rsidRPr="00C260E8">
        <w:rPr>
          <w:rFonts w:asciiTheme="majorHAnsi" w:hAnsiTheme="majorHAnsi" w:cstheme="majorHAnsi"/>
          <w:noProof/>
          <w:lang w:val="en-US"/>
        </w:rPr>
        <w:t>[25]</w:t>
      </w:r>
      <w:r w:rsidRPr="00C260E8">
        <w:rPr>
          <w:rFonts w:asciiTheme="majorHAnsi" w:hAnsiTheme="majorHAnsi" w:cstheme="majorHAnsi"/>
          <w:noProof/>
          <w:lang w:val="en-US"/>
        </w:rPr>
        <w:tab/>
        <w:t xml:space="preserve">World Bank Group, “Mauritania BOOST Public Expenditure Database,” </w:t>
      </w:r>
      <w:r w:rsidRPr="00C260E8">
        <w:rPr>
          <w:rFonts w:asciiTheme="majorHAnsi" w:hAnsiTheme="majorHAnsi" w:cstheme="majorHAnsi"/>
          <w:i/>
          <w:iCs/>
          <w:noProof/>
          <w:lang w:val="en-US"/>
        </w:rPr>
        <w:t>datacatalog.worldbank.org</w:t>
      </w:r>
      <w:r w:rsidRPr="00C260E8">
        <w:rPr>
          <w:rFonts w:asciiTheme="majorHAnsi" w:hAnsiTheme="majorHAnsi" w:cstheme="majorHAnsi"/>
          <w:noProof/>
          <w:lang w:val="en-US"/>
        </w:rPr>
        <w:t>, 2023. .</w:t>
      </w:r>
    </w:p>
    <w:p w14:paraId="738AF66D"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[26]</w:t>
      </w:r>
      <w:r w:rsidRPr="00D636C4">
        <w:rPr>
          <w:rFonts w:asciiTheme="majorHAnsi" w:hAnsiTheme="majorHAnsi" w:cstheme="majorHAnsi"/>
          <w:noProof/>
        </w:rPr>
        <w:tab/>
        <w:t>Banque Mondiale and Ministère de la santé de la République Islamique de Mauritanie, “Conditions propices à l’intégration du financement basé sur la performance dans les systèmes de gestion des finances publiques de la santé en Mauritanie - Conclusions préliminaires – Analyse de la situation (Draft Avril 2023).” Nouakchott, 2023.</w:t>
      </w:r>
    </w:p>
    <w:p w14:paraId="351C97B4"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[27]</w:t>
      </w:r>
      <w:r w:rsidRPr="00D636C4">
        <w:rPr>
          <w:rFonts w:asciiTheme="majorHAnsi" w:hAnsiTheme="majorHAnsi" w:cstheme="majorHAnsi"/>
          <w:noProof/>
        </w:rPr>
        <w:tab/>
        <w:t>M. KADDAR and A. O. EL VALLY, “Évaluation Rapide du Compact National Santé 2018-2020 en République Islamique de Mauritanie,” Nouakchott, 2023.</w:t>
      </w:r>
    </w:p>
    <w:p w14:paraId="24F4A1A5"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[28]</w:t>
      </w:r>
      <w:r w:rsidRPr="00D636C4">
        <w:rPr>
          <w:rFonts w:asciiTheme="majorHAnsi" w:hAnsiTheme="majorHAnsi" w:cstheme="majorHAnsi"/>
          <w:noProof/>
        </w:rPr>
        <w:tab/>
        <w:t>Ministère de la Santé, “Revue des dépenses publique de santé (RDPS) 2010-2013,” Nouakchott, 2014.</w:t>
      </w:r>
    </w:p>
    <w:p w14:paraId="57E9F4D5"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[29]</w:t>
      </w:r>
      <w:r w:rsidRPr="00D636C4">
        <w:rPr>
          <w:rFonts w:asciiTheme="majorHAnsi" w:hAnsiTheme="majorHAnsi" w:cstheme="majorHAnsi"/>
          <w:noProof/>
        </w:rPr>
        <w:tab/>
        <w:t>République Islamique de Mauritanie, “Évaluation de la performance du système de gestion des finances publiques de la Mauritanie selon la méthodologie PEFA 2016 - Rapport Final,” 2020.</w:t>
      </w:r>
    </w:p>
    <w:p w14:paraId="45626A91"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[30]</w:t>
      </w:r>
      <w:r w:rsidRPr="00D636C4">
        <w:rPr>
          <w:rFonts w:asciiTheme="majorHAnsi" w:hAnsiTheme="majorHAnsi" w:cstheme="majorHAnsi"/>
          <w:noProof/>
        </w:rPr>
        <w:tab/>
        <w:t>Ministère de la Santé, “</w:t>
      </w:r>
      <w:r w:rsidR="006C5F0D" w:rsidRPr="00D636C4">
        <w:rPr>
          <w:rFonts w:asciiTheme="majorHAnsi" w:hAnsiTheme="majorHAnsi" w:cstheme="majorHAnsi"/>
          <w:noProof/>
        </w:rPr>
        <w:t>Strat</w:t>
      </w:r>
      <w:r w:rsidR="006C5F0D">
        <w:rPr>
          <w:rFonts w:asciiTheme="majorHAnsi" w:hAnsiTheme="majorHAnsi" w:cstheme="majorHAnsi"/>
          <w:noProof/>
        </w:rPr>
        <w:t>é</w:t>
      </w:r>
      <w:r w:rsidR="006C5F0D" w:rsidRPr="00D636C4">
        <w:rPr>
          <w:rFonts w:asciiTheme="majorHAnsi" w:hAnsiTheme="majorHAnsi" w:cstheme="majorHAnsi"/>
          <w:noProof/>
        </w:rPr>
        <w:t xml:space="preserve">gie </w:t>
      </w:r>
      <w:r w:rsidRPr="00D636C4">
        <w:rPr>
          <w:rFonts w:asciiTheme="majorHAnsi" w:hAnsiTheme="majorHAnsi" w:cstheme="majorHAnsi"/>
          <w:noProof/>
        </w:rPr>
        <w:t xml:space="preserve">nationale du financement </w:t>
      </w:r>
      <w:r w:rsidR="006C5F0D" w:rsidRPr="00D636C4">
        <w:rPr>
          <w:rFonts w:asciiTheme="majorHAnsi" w:hAnsiTheme="majorHAnsi" w:cstheme="majorHAnsi"/>
          <w:noProof/>
        </w:rPr>
        <w:t>bas</w:t>
      </w:r>
      <w:r w:rsidR="006C5F0D">
        <w:rPr>
          <w:rFonts w:asciiTheme="majorHAnsi" w:hAnsiTheme="majorHAnsi" w:cstheme="majorHAnsi"/>
          <w:noProof/>
        </w:rPr>
        <w:t>é</w:t>
      </w:r>
      <w:r w:rsidR="006C5F0D" w:rsidRPr="00D636C4">
        <w:rPr>
          <w:rFonts w:asciiTheme="majorHAnsi" w:hAnsiTheme="majorHAnsi" w:cstheme="majorHAnsi"/>
          <w:noProof/>
        </w:rPr>
        <w:t xml:space="preserve"> </w:t>
      </w:r>
      <w:r w:rsidRPr="00D636C4">
        <w:rPr>
          <w:rFonts w:asciiTheme="majorHAnsi" w:hAnsiTheme="majorHAnsi" w:cstheme="majorHAnsi"/>
          <w:noProof/>
        </w:rPr>
        <w:t xml:space="preserve">sur les </w:t>
      </w:r>
      <w:r w:rsidR="006C5F0D" w:rsidRPr="00D636C4">
        <w:rPr>
          <w:rFonts w:asciiTheme="majorHAnsi" w:hAnsiTheme="majorHAnsi" w:cstheme="majorHAnsi"/>
          <w:noProof/>
        </w:rPr>
        <w:t>r</w:t>
      </w:r>
      <w:r w:rsidR="006C5F0D">
        <w:rPr>
          <w:rFonts w:asciiTheme="majorHAnsi" w:hAnsiTheme="majorHAnsi" w:cstheme="majorHAnsi"/>
          <w:noProof/>
        </w:rPr>
        <w:t>é</w:t>
      </w:r>
      <w:r w:rsidR="006C5F0D" w:rsidRPr="00D636C4">
        <w:rPr>
          <w:rFonts w:asciiTheme="majorHAnsi" w:hAnsiTheme="majorHAnsi" w:cstheme="majorHAnsi"/>
          <w:noProof/>
        </w:rPr>
        <w:t xml:space="preserve">sultats </w:t>
      </w:r>
      <w:r w:rsidRPr="00D636C4">
        <w:rPr>
          <w:rFonts w:asciiTheme="majorHAnsi" w:hAnsiTheme="majorHAnsi" w:cstheme="majorHAnsi"/>
          <w:noProof/>
        </w:rPr>
        <w:t xml:space="preserve">dans le secteur de la </w:t>
      </w:r>
      <w:r w:rsidR="004C4CFE">
        <w:rPr>
          <w:rFonts w:asciiTheme="majorHAnsi" w:hAnsiTheme="majorHAnsi" w:cstheme="majorHAnsi"/>
          <w:noProof/>
        </w:rPr>
        <w:t xml:space="preserve">santé </w:t>
      </w:r>
      <w:r w:rsidRPr="00D636C4">
        <w:rPr>
          <w:rFonts w:asciiTheme="majorHAnsi" w:hAnsiTheme="majorHAnsi" w:cstheme="majorHAnsi"/>
          <w:noProof/>
        </w:rPr>
        <w:t>,” 2015.</w:t>
      </w:r>
    </w:p>
    <w:p w14:paraId="6B9F18AF" w14:textId="77777777" w:rsidR="00EC5FBE" w:rsidRPr="00D636C4" w:rsidRDefault="000E7865" w:rsidP="00EC5FBE">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[31]</w:t>
      </w:r>
      <w:r w:rsidRPr="00D636C4">
        <w:rPr>
          <w:rFonts w:asciiTheme="majorHAnsi" w:hAnsiTheme="majorHAnsi" w:cstheme="majorHAnsi"/>
          <w:noProof/>
        </w:rPr>
        <w:tab/>
        <w:t>D. Tamga Magne and Unité Technique du Financement Basé sur les Performances, “Rapport de la Mission d’Évaluation du Dispositif du Financement Basé sur les Performances (mars 2022),” 2022.</w:t>
      </w:r>
    </w:p>
    <w:p w14:paraId="5182F3E0" w14:textId="77777777" w:rsidR="006A4045" w:rsidRPr="00D636C4" w:rsidRDefault="000E7865" w:rsidP="006A4045">
      <w:pPr>
        <w:widowControl w:val="0"/>
        <w:autoSpaceDE w:val="0"/>
        <w:autoSpaceDN w:val="0"/>
        <w:adjustRightInd w:val="0"/>
        <w:spacing w:line="240" w:lineRule="auto"/>
        <w:ind w:left="640" w:hanging="640"/>
        <w:rPr>
          <w:rFonts w:asciiTheme="majorHAnsi" w:hAnsiTheme="majorHAnsi" w:cstheme="majorHAnsi"/>
          <w:noProof/>
        </w:rPr>
      </w:pPr>
      <w:r w:rsidRPr="00D636C4">
        <w:rPr>
          <w:rFonts w:asciiTheme="majorHAnsi" w:hAnsiTheme="majorHAnsi" w:cstheme="majorHAnsi"/>
          <w:noProof/>
        </w:rPr>
        <w:t>[32]</w:t>
      </w:r>
      <w:r w:rsidRPr="00D636C4">
        <w:rPr>
          <w:rFonts w:asciiTheme="majorHAnsi" w:hAnsiTheme="majorHAnsi" w:cstheme="majorHAnsi"/>
          <w:noProof/>
        </w:rPr>
        <w:tab/>
        <w:t>Ministère de la santé and ICHESS, “Analyse situationnelle du système de santé communautaire en République Islamique de Mauritanie - Rapport final (Draft),” Nouakchott, 2023.</w:t>
      </w:r>
    </w:p>
    <w:p w14:paraId="27D2AD6C" w14:textId="77777777" w:rsidR="00EC5FBE" w:rsidRPr="00D636C4" w:rsidRDefault="009904FE" w:rsidP="00EC5FBE">
      <w:pPr>
        <w:rPr>
          <w:rFonts w:asciiTheme="majorHAnsi" w:hAnsiTheme="majorHAnsi" w:cstheme="majorHAnsi"/>
        </w:rPr>
      </w:pPr>
      <w:r w:rsidRPr="00D636C4">
        <w:rPr>
          <w:rFonts w:asciiTheme="majorHAnsi" w:hAnsiTheme="majorHAnsi" w:cstheme="majorHAnsi"/>
        </w:rPr>
        <w:fldChar w:fldCharType="end"/>
      </w:r>
      <w:r w:rsidR="006A4045" w:rsidRPr="00D636C4">
        <w:rPr>
          <w:rFonts w:asciiTheme="majorHAnsi" w:hAnsiTheme="majorHAnsi" w:cstheme="majorHAnsi"/>
          <w:noProof/>
        </w:rPr>
        <w:t>[3</w:t>
      </w:r>
      <w:r w:rsidR="006A4045">
        <w:rPr>
          <w:rFonts w:asciiTheme="majorHAnsi" w:hAnsiTheme="majorHAnsi" w:cstheme="majorHAnsi"/>
          <w:noProof/>
        </w:rPr>
        <w:t>3</w:t>
      </w:r>
      <w:r w:rsidR="006A4045" w:rsidRPr="00D636C4">
        <w:rPr>
          <w:rFonts w:asciiTheme="majorHAnsi" w:hAnsiTheme="majorHAnsi" w:cstheme="majorHAnsi"/>
          <w:noProof/>
        </w:rPr>
        <w:t>]</w:t>
      </w:r>
      <w:r w:rsidR="006A4045">
        <w:rPr>
          <w:rFonts w:asciiTheme="majorHAnsi" w:hAnsiTheme="majorHAnsi" w:cstheme="majorHAnsi"/>
          <w:noProof/>
        </w:rPr>
        <w:tab/>
      </w:r>
      <w:r w:rsidR="006A4045" w:rsidRPr="00D636C4">
        <w:rPr>
          <w:rFonts w:asciiTheme="majorHAnsi" w:hAnsiTheme="majorHAnsi" w:cstheme="majorHAnsi"/>
          <w:noProof/>
        </w:rPr>
        <w:t>Ministère de la Santé</w:t>
      </w:r>
      <w:r w:rsidR="006A4045">
        <w:rPr>
          <w:rFonts w:asciiTheme="majorHAnsi" w:hAnsiTheme="majorHAnsi" w:cstheme="majorHAnsi"/>
          <w:noProof/>
        </w:rPr>
        <w:t xml:space="preserve"> (2023), Comptes Nationaux de la S</w:t>
      </w:r>
      <w:r w:rsidR="006A4045" w:rsidRPr="00D636C4">
        <w:rPr>
          <w:rFonts w:asciiTheme="majorHAnsi" w:hAnsiTheme="majorHAnsi" w:cstheme="majorHAnsi"/>
          <w:noProof/>
        </w:rPr>
        <w:t xml:space="preserve">anté </w:t>
      </w:r>
      <w:r w:rsidR="006A4045">
        <w:rPr>
          <w:rFonts w:asciiTheme="majorHAnsi" w:hAnsiTheme="majorHAnsi" w:cstheme="majorHAnsi"/>
          <w:noProof/>
        </w:rPr>
        <w:t>2018-2021</w:t>
      </w:r>
      <w:r w:rsidR="00E6730B">
        <w:rPr>
          <w:rFonts w:asciiTheme="majorHAnsi" w:hAnsiTheme="majorHAnsi" w:cstheme="majorHAnsi"/>
          <w:noProof/>
        </w:rPr>
        <w:t>, Nouakchott</w:t>
      </w:r>
    </w:p>
    <w:p w14:paraId="5853C1EE" w14:textId="77777777" w:rsidR="00FC3632" w:rsidRPr="00D636C4" w:rsidRDefault="00FC3632">
      <w:pPr>
        <w:rPr>
          <w:rFonts w:ascii="Calibri" w:eastAsia="Calibri" w:hAnsi="Calibri" w:cs="Calibri"/>
          <w:sz w:val="20"/>
          <w:szCs w:val="20"/>
        </w:rPr>
      </w:pPr>
    </w:p>
    <w:sectPr w:rsidR="00FC3632" w:rsidRPr="00D636C4" w:rsidSect="00C365A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2763" w14:textId="77777777" w:rsidR="0097547D" w:rsidRDefault="0097547D">
      <w:pPr>
        <w:spacing w:line="240" w:lineRule="auto"/>
      </w:pPr>
      <w:r>
        <w:separator/>
      </w:r>
    </w:p>
  </w:endnote>
  <w:endnote w:type="continuationSeparator" w:id="0">
    <w:p w14:paraId="49991B69" w14:textId="77777777" w:rsidR="0097547D" w:rsidRDefault="00975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6328563"/>
      <w:docPartObj>
        <w:docPartGallery w:val="Page Numbers (Bottom of Page)"/>
        <w:docPartUnique/>
      </w:docPartObj>
    </w:sdtPr>
    <w:sdtEndPr>
      <w:rPr>
        <w:rStyle w:val="PageNumber"/>
      </w:rPr>
    </w:sdtEndPr>
    <w:sdtContent>
      <w:p w14:paraId="53DE01F3" w14:textId="77777777" w:rsidR="00980A9B" w:rsidRDefault="009904FE" w:rsidP="002E43B8">
        <w:pPr>
          <w:pStyle w:val="Footer"/>
          <w:framePr w:wrap="none" w:vAnchor="text" w:hAnchor="margin" w:xAlign="right" w:y="1"/>
          <w:rPr>
            <w:rStyle w:val="PageNumber"/>
          </w:rPr>
        </w:pPr>
        <w:r>
          <w:rPr>
            <w:rStyle w:val="PageNumber"/>
          </w:rPr>
          <w:fldChar w:fldCharType="begin"/>
        </w:r>
        <w:r w:rsidR="00980A9B">
          <w:rPr>
            <w:rStyle w:val="PageNumber"/>
          </w:rPr>
          <w:instrText xml:space="preserve"> PAGE </w:instrText>
        </w:r>
        <w:r>
          <w:rPr>
            <w:rStyle w:val="PageNumber"/>
          </w:rPr>
          <w:fldChar w:fldCharType="separate"/>
        </w:r>
        <w:r w:rsidR="00980A9B">
          <w:rPr>
            <w:rStyle w:val="PageNumber"/>
            <w:noProof/>
          </w:rPr>
          <w:t>9</w:t>
        </w:r>
        <w:r>
          <w:rPr>
            <w:rStyle w:val="PageNumber"/>
          </w:rPr>
          <w:fldChar w:fldCharType="end"/>
        </w:r>
      </w:p>
    </w:sdtContent>
  </w:sdt>
  <w:p w14:paraId="06FDB966" w14:textId="77777777" w:rsidR="00980A9B" w:rsidRDefault="00980A9B" w:rsidP="00070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5646357"/>
      <w:docPartObj>
        <w:docPartGallery w:val="Page Numbers (Bottom of Page)"/>
        <w:docPartUnique/>
      </w:docPartObj>
    </w:sdtPr>
    <w:sdtEndPr>
      <w:rPr>
        <w:rStyle w:val="PageNumber"/>
      </w:rPr>
    </w:sdtEndPr>
    <w:sdtContent>
      <w:p w14:paraId="6F6B3800" w14:textId="77777777" w:rsidR="00980A9B" w:rsidRDefault="009904FE" w:rsidP="0007019D">
        <w:pPr>
          <w:pStyle w:val="Footer"/>
          <w:framePr w:wrap="notBeside" w:vAnchor="text" w:hAnchor="margin" w:xAlign="right" w:y="1"/>
          <w:rPr>
            <w:rStyle w:val="PageNumber"/>
          </w:rPr>
        </w:pPr>
        <w:r>
          <w:rPr>
            <w:rStyle w:val="PageNumber"/>
          </w:rPr>
          <w:fldChar w:fldCharType="begin"/>
        </w:r>
        <w:r w:rsidR="00980A9B">
          <w:rPr>
            <w:rStyle w:val="PageNumber"/>
          </w:rPr>
          <w:instrText xml:space="preserve"> PAGE </w:instrText>
        </w:r>
        <w:r>
          <w:rPr>
            <w:rStyle w:val="PageNumber"/>
          </w:rPr>
          <w:fldChar w:fldCharType="separate"/>
        </w:r>
        <w:r w:rsidR="003C059A">
          <w:rPr>
            <w:rStyle w:val="PageNumber"/>
            <w:noProof/>
          </w:rPr>
          <w:t>6</w:t>
        </w:r>
        <w:r>
          <w:rPr>
            <w:rStyle w:val="PageNumber"/>
          </w:rPr>
          <w:fldChar w:fldCharType="end"/>
        </w:r>
      </w:p>
    </w:sdtContent>
  </w:sdt>
  <w:p w14:paraId="7F5052E1" w14:textId="77777777" w:rsidR="00980A9B" w:rsidRDefault="00980A9B" w:rsidP="000701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618811"/>
      <w:docPartObj>
        <w:docPartGallery w:val="Page Numbers (Bottom of Page)"/>
        <w:docPartUnique/>
      </w:docPartObj>
    </w:sdtPr>
    <w:sdtEndPr>
      <w:rPr>
        <w:rStyle w:val="PageNumber"/>
      </w:rPr>
    </w:sdtEndPr>
    <w:sdtContent>
      <w:p w14:paraId="796321A2" w14:textId="77777777" w:rsidR="00980A9B" w:rsidRDefault="009904FE" w:rsidP="002E43B8">
        <w:pPr>
          <w:pStyle w:val="Footer"/>
          <w:framePr w:wrap="none" w:vAnchor="text" w:hAnchor="margin" w:xAlign="right" w:y="1"/>
          <w:rPr>
            <w:rStyle w:val="PageNumber"/>
          </w:rPr>
        </w:pPr>
        <w:r>
          <w:rPr>
            <w:rStyle w:val="PageNumber"/>
          </w:rPr>
          <w:fldChar w:fldCharType="begin"/>
        </w:r>
        <w:r w:rsidR="00980A9B">
          <w:rPr>
            <w:rStyle w:val="PageNumber"/>
          </w:rPr>
          <w:instrText xml:space="preserve"> PAGE </w:instrText>
        </w:r>
        <w:r>
          <w:rPr>
            <w:rStyle w:val="PageNumber"/>
          </w:rPr>
          <w:fldChar w:fldCharType="separate"/>
        </w:r>
        <w:r w:rsidR="00980A9B">
          <w:rPr>
            <w:rStyle w:val="PageNumber"/>
            <w:noProof/>
          </w:rPr>
          <w:t>9</w:t>
        </w:r>
        <w:r>
          <w:rPr>
            <w:rStyle w:val="PageNumber"/>
          </w:rPr>
          <w:fldChar w:fldCharType="end"/>
        </w:r>
      </w:p>
    </w:sdtContent>
  </w:sdt>
  <w:p w14:paraId="6B0E3D4F" w14:textId="77777777" w:rsidR="00980A9B" w:rsidRDefault="00980A9B" w:rsidP="000701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921167"/>
      <w:docPartObj>
        <w:docPartGallery w:val="Page Numbers (Bottom of Page)"/>
        <w:docPartUnique/>
      </w:docPartObj>
    </w:sdtPr>
    <w:sdtEndPr/>
    <w:sdtContent>
      <w:p w14:paraId="33F9F7A7" w14:textId="77777777" w:rsidR="00980A9B" w:rsidRDefault="009904FE">
        <w:pPr>
          <w:pStyle w:val="Footer"/>
          <w:jc w:val="center"/>
        </w:pPr>
        <w:r>
          <w:fldChar w:fldCharType="begin"/>
        </w:r>
        <w:r w:rsidR="0097547D">
          <w:instrText>PAGE   \* MERGEFORMAT</w:instrText>
        </w:r>
        <w:r>
          <w:fldChar w:fldCharType="separate"/>
        </w:r>
        <w:r w:rsidR="003C059A">
          <w:rPr>
            <w:noProof/>
          </w:rPr>
          <w:t>23</w:t>
        </w:r>
        <w:r>
          <w:rPr>
            <w:noProof/>
          </w:rPr>
          <w:fldChar w:fldCharType="end"/>
        </w:r>
      </w:p>
    </w:sdtContent>
  </w:sdt>
  <w:p w14:paraId="179E9764" w14:textId="77777777" w:rsidR="00980A9B" w:rsidRDefault="00980A9B" w:rsidP="0007019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1967256"/>
      <w:docPartObj>
        <w:docPartGallery w:val="Page Numbers (Bottom of Page)"/>
        <w:docPartUnique/>
      </w:docPartObj>
    </w:sdtPr>
    <w:sdtEndPr>
      <w:rPr>
        <w:rStyle w:val="PageNumber"/>
      </w:rPr>
    </w:sdtEndPr>
    <w:sdtContent>
      <w:p w14:paraId="2E144C8A" w14:textId="77777777" w:rsidR="00980A9B" w:rsidRDefault="009904FE" w:rsidP="0007019D">
        <w:pPr>
          <w:pStyle w:val="Footer"/>
          <w:framePr w:wrap="notBeside" w:vAnchor="text" w:hAnchor="margin" w:xAlign="right" w:y="1"/>
          <w:rPr>
            <w:rStyle w:val="PageNumber"/>
          </w:rPr>
        </w:pPr>
        <w:r>
          <w:rPr>
            <w:rStyle w:val="PageNumber"/>
          </w:rPr>
          <w:fldChar w:fldCharType="begin"/>
        </w:r>
        <w:r w:rsidR="00980A9B">
          <w:rPr>
            <w:rStyle w:val="PageNumber"/>
          </w:rPr>
          <w:instrText xml:space="preserve"> PAGE </w:instrText>
        </w:r>
        <w:r>
          <w:rPr>
            <w:rStyle w:val="PageNumber"/>
          </w:rPr>
          <w:fldChar w:fldCharType="separate"/>
        </w:r>
        <w:r w:rsidR="003C059A">
          <w:rPr>
            <w:rStyle w:val="PageNumber"/>
            <w:noProof/>
          </w:rPr>
          <w:t>43</w:t>
        </w:r>
        <w:r>
          <w:rPr>
            <w:rStyle w:val="PageNumber"/>
          </w:rPr>
          <w:fldChar w:fldCharType="end"/>
        </w:r>
      </w:p>
    </w:sdtContent>
  </w:sdt>
  <w:p w14:paraId="5BC90480" w14:textId="77777777" w:rsidR="00980A9B" w:rsidRDefault="00980A9B" w:rsidP="000701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02C0" w14:textId="77777777" w:rsidR="0097547D" w:rsidRDefault="0097547D">
      <w:pPr>
        <w:spacing w:line="240" w:lineRule="auto"/>
      </w:pPr>
      <w:r>
        <w:separator/>
      </w:r>
    </w:p>
  </w:footnote>
  <w:footnote w:type="continuationSeparator" w:id="0">
    <w:p w14:paraId="49324F49" w14:textId="77777777" w:rsidR="0097547D" w:rsidRDefault="0097547D">
      <w:pPr>
        <w:spacing w:line="240" w:lineRule="auto"/>
      </w:pPr>
      <w:r>
        <w:continuationSeparator/>
      </w:r>
    </w:p>
  </w:footnote>
  <w:footnote w:id="1">
    <w:p w14:paraId="04674FE3" w14:textId="77777777" w:rsidR="00980A9B" w:rsidRPr="004D49FD" w:rsidRDefault="00980A9B" w:rsidP="006C2DA4">
      <w:pPr>
        <w:spacing w:line="240" w:lineRule="auto"/>
        <w:rPr>
          <w:rFonts w:ascii="Calibri" w:eastAsia="Calibri" w:hAnsi="Calibri" w:cs="Calibri"/>
          <w:sz w:val="20"/>
          <w:szCs w:val="20"/>
        </w:rPr>
      </w:pPr>
      <w:r>
        <w:rPr>
          <w:vertAlign w:val="superscript"/>
        </w:rPr>
        <w:footnoteRef/>
      </w:r>
      <w:r w:rsidRPr="004D49FD">
        <w:rPr>
          <w:rFonts w:ascii="Calibri" w:eastAsia="Calibri" w:hAnsi="Calibri" w:cs="Calibri"/>
          <w:sz w:val="20"/>
          <w:szCs w:val="20"/>
        </w:rPr>
        <w:t xml:space="preserve"> Une analyse détaillée des modalités de paiements des fournisseurs de santé, des paniers de soins par acheteur et des systèmes de contractualisation et vérification est disponible dans le Diagnostic du financement de la santé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5826" w14:textId="7950F46F" w:rsidR="00980A9B" w:rsidRDefault="00DE51AE">
    <w:pPr>
      <w:pStyle w:val="Header"/>
    </w:pPr>
    <w:r>
      <w:rPr>
        <w:noProof/>
      </w:rPr>
      <mc:AlternateContent>
        <mc:Choice Requires="wps">
          <w:drawing>
            <wp:anchor distT="0" distB="0" distL="114300" distR="114300" simplePos="0" relativeHeight="251672576" behindDoc="1" locked="0" layoutInCell="0" allowOverlap="1" wp14:anchorId="2E3CE24E" wp14:editId="3FF6C784">
              <wp:simplePos x="0" y="0"/>
              <wp:positionH relativeFrom="margin">
                <wp:align>center</wp:align>
              </wp:positionH>
              <wp:positionV relativeFrom="margin">
                <wp:align>center</wp:align>
              </wp:positionV>
              <wp:extent cx="3302000" cy="1701800"/>
              <wp:effectExtent l="0" t="695325" r="0" b="584200"/>
              <wp:wrapNone/>
              <wp:docPr id="1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02000" cy="1701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D79D03" w14:textId="77777777" w:rsidR="00DE51AE" w:rsidRDefault="00DE51AE" w:rsidP="00DE51AE">
                          <w:pPr>
                            <w:jc w:val="center"/>
                            <w:rPr>
                              <w:color w:val="A6A6A6" w:themeColor="background1" w:themeShade="A6"/>
                              <w:sz w:val="240"/>
                              <w:szCs w:val="240"/>
                              <w14:textFill>
                                <w14:solidFill>
                                  <w14:schemeClr w14:val="bg1">
                                    <w14:alpha w14:val="83000"/>
                                    <w14:lumMod w14:val="65000"/>
                                  </w14:schemeClr>
                                </w14:solidFill>
                              </w14:textFill>
                            </w:rPr>
                          </w:pPr>
                          <w:r>
                            <w:rPr>
                              <w:color w:val="A6A6A6" w:themeColor="background1" w:themeShade="A6"/>
                              <w:sz w:val="240"/>
                              <w:szCs w:val="240"/>
                              <w14:textFill>
                                <w14:solidFill>
                                  <w14:schemeClr w14:val="bg1">
                                    <w14:alpha w14:val="83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3CE24E" id="_x0000_t202" coordsize="21600,21600" o:spt="202" path="m,l,21600r21600,l21600,xe">
              <v:stroke joinstyle="miter"/>
              <v:path gradientshapeok="t" o:connecttype="rect"/>
            </v:shapetype>
            <v:shape id="WordArt 5" o:spid="_x0000_s1026" type="#_x0000_t202" style="position:absolute;margin-left:0;margin-top:0;width:260pt;height:134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" o:allowincell="f" filled="f" stroked="f">
              <v:stroke joinstyle="round"/>
              <o:lock v:ext="edit" shapetype="t"/>
              <v:textbox style="mso-fit-shape-to-text:t">
                <w:txbxContent>
                  <w:p w14:paraId="55D79D03" w14:textId="77777777" w:rsidR="00DE51AE" w:rsidRDefault="00DE51AE" w:rsidP="00DE51AE">
                    <w:pPr>
                      <w:jc w:val="center"/>
                      <w:rPr>
                        <w:color w:val="A6A6A6" w:themeColor="background1" w:themeShade="A6"/>
                        <w:sz w:val="240"/>
                        <w:szCs w:val="240"/>
                        <w14:textFill>
                          <w14:solidFill>
                            <w14:schemeClr w14:val="bg1">
                              <w14:alpha w14:val="83000"/>
                              <w14:lumMod w14:val="65000"/>
                            </w14:schemeClr>
                          </w14:solidFill>
                        </w14:textFill>
                      </w:rPr>
                    </w:pPr>
                    <w:r>
                      <w:rPr>
                        <w:color w:val="A6A6A6" w:themeColor="background1" w:themeShade="A6"/>
                        <w:sz w:val="240"/>
                        <w:szCs w:val="240"/>
                        <w14:textFill>
                          <w14:solidFill>
                            <w14:schemeClr w14:val="bg1">
                              <w14:alpha w14:val="83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6F49" w14:textId="77D00DC4" w:rsidR="00980A9B" w:rsidRDefault="00DE51AE">
    <w:pPr>
      <w:pStyle w:val="Header"/>
    </w:pPr>
    <w:r>
      <w:rPr>
        <w:noProof/>
      </w:rPr>
      <mc:AlternateContent>
        <mc:Choice Requires="wps">
          <w:drawing>
            <wp:anchor distT="0" distB="0" distL="114300" distR="114300" simplePos="0" relativeHeight="251673600" behindDoc="1" locked="0" layoutInCell="0" allowOverlap="1" wp14:anchorId="70C28501" wp14:editId="03F20C57">
              <wp:simplePos x="0" y="0"/>
              <wp:positionH relativeFrom="margin">
                <wp:align>center</wp:align>
              </wp:positionH>
              <wp:positionV relativeFrom="margin">
                <wp:align>center</wp:align>
              </wp:positionV>
              <wp:extent cx="3302000" cy="1701800"/>
              <wp:effectExtent l="0" t="695325" r="0" b="58420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02000" cy="1701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D835B8" w14:textId="77777777" w:rsidR="00DE51AE" w:rsidRDefault="00DE51AE" w:rsidP="00DE51AE">
                          <w:pPr>
                            <w:jc w:val="center"/>
                            <w:rPr>
                              <w:color w:val="A6A6A6" w:themeColor="background1" w:themeShade="A6"/>
                              <w:sz w:val="240"/>
                              <w:szCs w:val="240"/>
                              <w14:textFill>
                                <w14:solidFill>
                                  <w14:schemeClr w14:val="bg1">
                                    <w14:alpha w14:val="83000"/>
                                    <w14:lumMod w14:val="65000"/>
                                  </w14:schemeClr>
                                </w14:solidFill>
                              </w14:textFill>
                            </w:rPr>
                          </w:pPr>
                          <w:r>
                            <w:rPr>
                              <w:color w:val="A6A6A6" w:themeColor="background1" w:themeShade="A6"/>
                              <w:sz w:val="240"/>
                              <w:szCs w:val="240"/>
                              <w14:textFill>
                                <w14:solidFill>
                                  <w14:schemeClr w14:val="bg1">
                                    <w14:alpha w14:val="83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C28501" id="_x0000_t202" coordsize="21600,21600" o:spt="202" path="m,l,21600r21600,l21600,xe">
              <v:stroke joinstyle="miter"/>
              <v:path gradientshapeok="t" o:connecttype="rect"/>
            </v:shapetype>
            <v:shape id="WordArt 6" o:spid="_x0000_s1027" type="#_x0000_t202" style="position:absolute;margin-left:0;margin-top:0;width:260pt;height:134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" o:allowincell="f" filled="f" stroked="f">
              <v:stroke joinstyle="round"/>
              <o:lock v:ext="edit" shapetype="t"/>
              <v:textbox style="mso-fit-shape-to-text:t">
                <w:txbxContent>
                  <w:p w14:paraId="78D835B8" w14:textId="77777777" w:rsidR="00DE51AE" w:rsidRDefault="00DE51AE" w:rsidP="00DE51AE">
                    <w:pPr>
                      <w:jc w:val="center"/>
                      <w:rPr>
                        <w:color w:val="A6A6A6" w:themeColor="background1" w:themeShade="A6"/>
                        <w:sz w:val="240"/>
                        <w:szCs w:val="240"/>
                        <w14:textFill>
                          <w14:solidFill>
                            <w14:schemeClr w14:val="bg1">
                              <w14:alpha w14:val="83000"/>
                              <w14:lumMod w14:val="65000"/>
                            </w14:schemeClr>
                          </w14:solidFill>
                        </w14:textFill>
                      </w:rPr>
                    </w:pPr>
                    <w:r>
                      <w:rPr>
                        <w:color w:val="A6A6A6" w:themeColor="background1" w:themeShade="A6"/>
                        <w:sz w:val="240"/>
                        <w:szCs w:val="240"/>
                        <w14:textFill>
                          <w14:solidFill>
                            <w14:schemeClr w14:val="bg1">
                              <w14:alpha w14:val="83000"/>
                              <w14:lumMod w14:val="6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D38A" w14:textId="0CEF776C" w:rsidR="00980A9B" w:rsidRDefault="00DE51AE">
    <w:pPr>
      <w:pStyle w:val="Header"/>
    </w:pPr>
    <w:r>
      <w:rPr>
        <w:noProof/>
      </w:rPr>
      <mc:AlternateContent>
        <mc:Choice Requires="wps">
          <w:drawing>
            <wp:anchor distT="0" distB="0" distL="114300" distR="114300" simplePos="0" relativeHeight="251671552" behindDoc="1" locked="0" layoutInCell="0" allowOverlap="1" wp14:anchorId="717559D1" wp14:editId="2336EB59">
              <wp:simplePos x="0" y="0"/>
              <wp:positionH relativeFrom="margin">
                <wp:align>center</wp:align>
              </wp:positionH>
              <wp:positionV relativeFrom="margin">
                <wp:align>center</wp:align>
              </wp:positionV>
              <wp:extent cx="3302000" cy="1701800"/>
              <wp:effectExtent l="0" t="695325" r="0" b="58420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02000" cy="1701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53B841" w14:textId="77777777" w:rsidR="00DE51AE" w:rsidRDefault="00DE51AE" w:rsidP="00DE51AE">
                          <w:pPr>
                            <w:jc w:val="center"/>
                            <w:rPr>
                              <w:color w:val="A6A6A6" w:themeColor="background1" w:themeShade="A6"/>
                              <w:sz w:val="240"/>
                              <w:szCs w:val="240"/>
                              <w14:textFill>
                                <w14:solidFill>
                                  <w14:schemeClr w14:val="bg1">
                                    <w14:alpha w14:val="83000"/>
                                    <w14:lumMod w14:val="65000"/>
                                  </w14:schemeClr>
                                </w14:solidFill>
                              </w14:textFill>
                            </w:rPr>
                          </w:pPr>
                          <w:r>
                            <w:rPr>
                              <w:color w:val="A6A6A6" w:themeColor="background1" w:themeShade="A6"/>
                              <w:sz w:val="240"/>
                              <w:szCs w:val="240"/>
                              <w14:textFill>
                                <w14:solidFill>
                                  <w14:schemeClr w14:val="bg1">
                                    <w14:alpha w14:val="83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7559D1" id="_x0000_t202" coordsize="21600,21600" o:spt="202" path="m,l,21600r21600,l21600,xe">
              <v:stroke joinstyle="miter"/>
              <v:path gradientshapeok="t" o:connecttype="rect"/>
            </v:shapetype>
            <v:shape id="WordArt 4" o:spid="_x0000_s1028" type="#_x0000_t202" style="position:absolute;margin-left:0;margin-top:0;width:260pt;height:134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" o:allowincell="f" filled="f" stroked="f">
              <v:stroke joinstyle="round"/>
              <o:lock v:ext="edit" shapetype="t"/>
              <v:textbox style="mso-fit-shape-to-text:t">
                <w:txbxContent>
                  <w:p w14:paraId="1F53B841" w14:textId="77777777" w:rsidR="00DE51AE" w:rsidRDefault="00DE51AE" w:rsidP="00DE51AE">
                    <w:pPr>
                      <w:jc w:val="center"/>
                      <w:rPr>
                        <w:color w:val="A6A6A6" w:themeColor="background1" w:themeShade="A6"/>
                        <w:sz w:val="240"/>
                        <w:szCs w:val="240"/>
                        <w14:textFill>
                          <w14:solidFill>
                            <w14:schemeClr w14:val="bg1">
                              <w14:alpha w14:val="83000"/>
                              <w14:lumMod w14:val="65000"/>
                            </w14:schemeClr>
                          </w14:solidFill>
                        </w14:textFill>
                      </w:rPr>
                    </w:pPr>
                    <w:r>
                      <w:rPr>
                        <w:color w:val="A6A6A6" w:themeColor="background1" w:themeShade="A6"/>
                        <w:sz w:val="240"/>
                        <w:szCs w:val="240"/>
                        <w14:textFill>
                          <w14:solidFill>
                            <w14:schemeClr w14:val="bg1">
                              <w14:alpha w14:val="83000"/>
                              <w14:lumMod w14:val="65000"/>
                            </w14:scheme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EBD7" w14:textId="77777777" w:rsidR="00980A9B" w:rsidRDefault="00342E28">
    <w:pPr>
      <w:pStyle w:val="Header"/>
    </w:pPr>
    <w:r>
      <w:rPr>
        <w:noProof/>
      </w:rPr>
      <w:pict w14:anchorId="3E039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198332" o:spid="_x0000_s1027" type="#_x0000_t136" style="position:absolute;margin-left:0;margin-top:0;width:260pt;height:134pt;rotation:315;z-index:-251651072;mso-wrap-edited:f;mso-position-horizontal:center;mso-position-horizontal-relative:margin;mso-position-vertical:center;mso-position-vertical-relative:margin" o:allowincell="f" fillcolor="#a5a5a5 [2092]" stroked="f">
          <v:fill opacity="11141f"/>
          <v:textpath style="font-family:&quot;Arial&quot;;font-size:12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1BB" w14:textId="77777777" w:rsidR="00980A9B" w:rsidRDefault="00342E28">
    <w:pPr>
      <w:pStyle w:val="Header"/>
    </w:pPr>
    <w:r>
      <w:rPr>
        <w:noProof/>
      </w:rPr>
      <w:pict w14:anchorId="2B580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198333" o:spid="_x0000_s1026" type="#_x0000_t136" style="position:absolute;margin-left:0;margin-top:0;width:260pt;height:134pt;rotation:315;z-index:-251646976;mso-wrap-edited:f;mso-position-horizontal:center;mso-position-horizontal-relative:margin;mso-position-vertical:center;mso-position-vertical-relative:margin" o:allowincell="f" fillcolor="#a5a5a5 [2092]" stroked="f">
          <v:fill opacity="11141f"/>
          <v:textpath style="font-family:&quot;Arial&quot;;font-size:12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FF5" w14:textId="77777777" w:rsidR="00980A9B" w:rsidRDefault="00342E28">
    <w:pPr>
      <w:pStyle w:val="Header"/>
    </w:pPr>
    <w:r>
      <w:rPr>
        <w:noProof/>
      </w:rPr>
      <w:pict w14:anchorId="6A9C2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198331" o:spid="_x0000_s1025" type="#_x0000_t136" style="position:absolute;margin-left:0;margin-top:0;width:260pt;height:134pt;rotation:315;z-index:-251655168;mso-wrap-edited:f;mso-position-horizontal:center;mso-position-horizontal-relative:margin;mso-position-vertical:center;mso-position-vertical-relative:margin" o:allowincell="f" fillcolor="#a5a5a5 [2092]" stroked="f">
          <v:fill opacity="11141f"/>
          <v:textpath style="font-family:&quot;Arial&quot;;font-size:12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F70"/>
    <w:multiLevelType w:val="multilevel"/>
    <w:tmpl w:val="73A4F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5B13B0"/>
    <w:multiLevelType w:val="multilevel"/>
    <w:tmpl w:val="FCA01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3336E"/>
    <w:multiLevelType w:val="multilevel"/>
    <w:tmpl w:val="9788A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64F19"/>
    <w:multiLevelType w:val="multilevel"/>
    <w:tmpl w:val="8FF2D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35566"/>
    <w:multiLevelType w:val="multilevel"/>
    <w:tmpl w:val="F7A2B5C0"/>
    <w:lvl w:ilvl="0">
      <w:start w:val="1"/>
      <w:numFmt w:val="bullet"/>
      <w:lvlText w:val=""/>
      <w:lvlJc w:val="left"/>
      <w:pPr>
        <w:ind w:left="720" w:hanging="360"/>
      </w:pPr>
      <w:rPr>
        <w:rFonts w:ascii="Symbol" w:hAnsi="Symbo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DF1A50"/>
    <w:multiLevelType w:val="multilevel"/>
    <w:tmpl w:val="55529B20"/>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0C4EE6"/>
    <w:multiLevelType w:val="multilevel"/>
    <w:tmpl w:val="366ACB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2912B94"/>
    <w:multiLevelType w:val="hybridMultilevel"/>
    <w:tmpl w:val="FC84033E"/>
    <w:lvl w:ilvl="0" w:tplc="0ACE0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B2A4C"/>
    <w:multiLevelType w:val="multilevel"/>
    <w:tmpl w:val="E1CE1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D35765"/>
    <w:multiLevelType w:val="multilevel"/>
    <w:tmpl w:val="2D381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EE6B8C"/>
    <w:multiLevelType w:val="multilevel"/>
    <w:tmpl w:val="30A81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E56BC9"/>
    <w:multiLevelType w:val="multilevel"/>
    <w:tmpl w:val="A146A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E90D41"/>
    <w:multiLevelType w:val="multilevel"/>
    <w:tmpl w:val="4EF48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593D46"/>
    <w:multiLevelType w:val="multilevel"/>
    <w:tmpl w:val="BBA2E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153F03"/>
    <w:multiLevelType w:val="multilevel"/>
    <w:tmpl w:val="2A9AC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CE6E42"/>
    <w:multiLevelType w:val="multilevel"/>
    <w:tmpl w:val="71568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DE35F3"/>
    <w:multiLevelType w:val="multilevel"/>
    <w:tmpl w:val="F5C2B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5914D4"/>
    <w:multiLevelType w:val="multilevel"/>
    <w:tmpl w:val="59F22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123F72"/>
    <w:multiLevelType w:val="multilevel"/>
    <w:tmpl w:val="84564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D9600A"/>
    <w:multiLevelType w:val="multilevel"/>
    <w:tmpl w:val="4C9A2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981ABC"/>
    <w:multiLevelType w:val="multilevel"/>
    <w:tmpl w:val="AF3AC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385150"/>
    <w:multiLevelType w:val="multilevel"/>
    <w:tmpl w:val="7EE6E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2C5BEA"/>
    <w:multiLevelType w:val="multilevel"/>
    <w:tmpl w:val="CF185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B13C88"/>
    <w:multiLevelType w:val="multilevel"/>
    <w:tmpl w:val="EE9C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AC2277"/>
    <w:multiLevelType w:val="multilevel"/>
    <w:tmpl w:val="D9120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672946"/>
    <w:multiLevelType w:val="multilevel"/>
    <w:tmpl w:val="168C4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232F36"/>
    <w:multiLevelType w:val="multilevel"/>
    <w:tmpl w:val="CD18C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0"/>
  </w:num>
  <w:num w:numId="3">
    <w:abstractNumId w:val="24"/>
  </w:num>
  <w:num w:numId="4">
    <w:abstractNumId w:val="0"/>
  </w:num>
  <w:num w:numId="5">
    <w:abstractNumId w:val="5"/>
  </w:num>
  <w:num w:numId="6">
    <w:abstractNumId w:val="17"/>
  </w:num>
  <w:num w:numId="7">
    <w:abstractNumId w:val="3"/>
  </w:num>
  <w:num w:numId="8">
    <w:abstractNumId w:val="23"/>
  </w:num>
  <w:num w:numId="9">
    <w:abstractNumId w:val="12"/>
  </w:num>
  <w:num w:numId="10">
    <w:abstractNumId w:val="2"/>
  </w:num>
  <w:num w:numId="11">
    <w:abstractNumId w:val="15"/>
  </w:num>
  <w:num w:numId="12">
    <w:abstractNumId w:val="10"/>
  </w:num>
  <w:num w:numId="13">
    <w:abstractNumId w:val="19"/>
  </w:num>
  <w:num w:numId="14">
    <w:abstractNumId w:val="16"/>
  </w:num>
  <w:num w:numId="15">
    <w:abstractNumId w:val="1"/>
  </w:num>
  <w:num w:numId="16">
    <w:abstractNumId w:val="8"/>
  </w:num>
  <w:num w:numId="17">
    <w:abstractNumId w:val="11"/>
  </w:num>
  <w:num w:numId="18">
    <w:abstractNumId w:val="13"/>
  </w:num>
  <w:num w:numId="19">
    <w:abstractNumId w:val="21"/>
  </w:num>
  <w:num w:numId="20">
    <w:abstractNumId w:val="9"/>
  </w:num>
  <w:num w:numId="21">
    <w:abstractNumId w:val="22"/>
  </w:num>
  <w:num w:numId="22">
    <w:abstractNumId w:val="7"/>
  </w:num>
  <w:num w:numId="23">
    <w:abstractNumId w:val="18"/>
  </w:num>
  <w:num w:numId="24">
    <w:abstractNumId w:val="26"/>
  </w:num>
  <w:num w:numId="25">
    <w:abstractNumId w:val="6"/>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32"/>
    <w:rsid w:val="00005B28"/>
    <w:rsid w:val="000171E3"/>
    <w:rsid w:val="00017D16"/>
    <w:rsid w:val="00020E11"/>
    <w:rsid w:val="00031092"/>
    <w:rsid w:val="00037AC2"/>
    <w:rsid w:val="0005150B"/>
    <w:rsid w:val="000607E9"/>
    <w:rsid w:val="00066EE1"/>
    <w:rsid w:val="0007019D"/>
    <w:rsid w:val="00084FD3"/>
    <w:rsid w:val="00086722"/>
    <w:rsid w:val="000B29C5"/>
    <w:rsid w:val="000B5E33"/>
    <w:rsid w:val="000C5A3A"/>
    <w:rsid w:val="000D0BB7"/>
    <w:rsid w:val="000D326E"/>
    <w:rsid w:val="000E7865"/>
    <w:rsid w:val="000F0FE6"/>
    <w:rsid w:val="00103D5A"/>
    <w:rsid w:val="00111DD9"/>
    <w:rsid w:val="001139F2"/>
    <w:rsid w:val="001207C8"/>
    <w:rsid w:val="00121D0E"/>
    <w:rsid w:val="0013005D"/>
    <w:rsid w:val="00133F96"/>
    <w:rsid w:val="0014256A"/>
    <w:rsid w:val="00155973"/>
    <w:rsid w:val="0016798D"/>
    <w:rsid w:val="001825C3"/>
    <w:rsid w:val="0019003D"/>
    <w:rsid w:val="001924DD"/>
    <w:rsid w:val="001A7184"/>
    <w:rsid w:val="001B6FA3"/>
    <w:rsid w:val="001D385C"/>
    <w:rsid w:val="001D5294"/>
    <w:rsid w:val="001D5A16"/>
    <w:rsid w:val="001D64D9"/>
    <w:rsid w:val="00207BFD"/>
    <w:rsid w:val="00210882"/>
    <w:rsid w:val="0021102C"/>
    <w:rsid w:val="00216C93"/>
    <w:rsid w:val="002340C2"/>
    <w:rsid w:val="0023716E"/>
    <w:rsid w:val="002533F3"/>
    <w:rsid w:val="00253425"/>
    <w:rsid w:val="00264B59"/>
    <w:rsid w:val="00273E9B"/>
    <w:rsid w:val="002751FA"/>
    <w:rsid w:val="002818CC"/>
    <w:rsid w:val="00282C4B"/>
    <w:rsid w:val="002B6DFB"/>
    <w:rsid w:val="002C32EE"/>
    <w:rsid w:val="002D54D8"/>
    <w:rsid w:val="002E43B8"/>
    <w:rsid w:val="002F4A42"/>
    <w:rsid w:val="00300EB7"/>
    <w:rsid w:val="00322CB9"/>
    <w:rsid w:val="00324BCA"/>
    <w:rsid w:val="00325D8C"/>
    <w:rsid w:val="00332841"/>
    <w:rsid w:val="003440E9"/>
    <w:rsid w:val="00354AC0"/>
    <w:rsid w:val="00354B1F"/>
    <w:rsid w:val="00362FE9"/>
    <w:rsid w:val="003632BC"/>
    <w:rsid w:val="00370F2E"/>
    <w:rsid w:val="00371806"/>
    <w:rsid w:val="0038164A"/>
    <w:rsid w:val="00381EE6"/>
    <w:rsid w:val="0039625C"/>
    <w:rsid w:val="003A13DD"/>
    <w:rsid w:val="003B095B"/>
    <w:rsid w:val="003C059A"/>
    <w:rsid w:val="003D25C3"/>
    <w:rsid w:val="00406204"/>
    <w:rsid w:val="0041608E"/>
    <w:rsid w:val="00430B3E"/>
    <w:rsid w:val="0043188B"/>
    <w:rsid w:val="00431E21"/>
    <w:rsid w:val="0044501B"/>
    <w:rsid w:val="004467D9"/>
    <w:rsid w:val="0045005C"/>
    <w:rsid w:val="00451738"/>
    <w:rsid w:val="00457086"/>
    <w:rsid w:val="00461179"/>
    <w:rsid w:val="00475AD4"/>
    <w:rsid w:val="00485ED7"/>
    <w:rsid w:val="004B3523"/>
    <w:rsid w:val="004C22D4"/>
    <w:rsid w:val="004C4CFE"/>
    <w:rsid w:val="004C6ADB"/>
    <w:rsid w:val="004D49FD"/>
    <w:rsid w:val="004D5C9C"/>
    <w:rsid w:val="004D6A23"/>
    <w:rsid w:val="004E4E8D"/>
    <w:rsid w:val="005101F9"/>
    <w:rsid w:val="005123F4"/>
    <w:rsid w:val="0056125D"/>
    <w:rsid w:val="00564FE0"/>
    <w:rsid w:val="00565398"/>
    <w:rsid w:val="0057447F"/>
    <w:rsid w:val="005777D3"/>
    <w:rsid w:val="005C7D89"/>
    <w:rsid w:val="005D6C85"/>
    <w:rsid w:val="00602D9F"/>
    <w:rsid w:val="006163E4"/>
    <w:rsid w:val="006169BC"/>
    <w:rsid w:val="00622161"/>
    <w:rsid w:val="00634D8F"/>
    <w:rsid w:val="006350D2"/>
    <w:rsid w:val="006541F1"/>
    <w:rsid w:val="00657BA8"/>
    <w:rsid w:val="0066726F"/>
    <w:rsid w:val="006748A8"/>
    <w:rsid w:val="006867A3"/>
    <w:rsid w:val="00686D3A"/>
    <w:rsid w:val="00687A78"/>
    <w:rsid w:val="006A3D1C"/>
    <w:rsid w:val="006A4045"/>
    <w:rsid w:val="006B0717"/>
    <w:rsid w:val="006B7546"/>
    <w:rsid w:val="006B76BF"/>
    <w:rsid w:val="006C2DA4"/>
    <w:rsid w:val="006C5F0D"/>
    <w:rsid w:val="006D0250"/>
    <w:rsid w:val="006D15DC"/>
    <w:rsid w:val="006E35C7"/>
    <w:rsid w:val="006F209D"/>
    <w:rsid w:val="00700010"/>
    <w:rsid w:val="0070238E"/>
    <w:rsid w:val="007243A4"/>
    <w:rsid w:val="007324D5"/>
    <w:rsid w:val="00736E3E"/>
    <w:rsid w:val="0073712E"/>
    <w:rsid w:val="007475EC"/>
    <w:rsid w:val="0075603D"/>
    <w:rsid w:val="0076372A"/>
    <w:rsid w:val="00773925"/>
    <w:rsid w:val="00780C33"/>
    <w:rsid w:val="007A0344"/>
    <w:rsid w:val="007A3E73"/>
    <w:rsid w:val="007D4BEE"/>
    <w:rsid w:val="007D56AB"/>
    <w:rsid w:val="007D6E00"/>
    <w:rsid w:val="00832196"/>
    <w:rsid w:val="00874840"/>
    <w:rsid w:val="008843DA"/>
    <w:rsid w:val="0089090A"/>
    <w:rsid w:val="008C26A4"/>
    <w:rsid w:val="008C390A"/>
    <w:rsid w:val="008C4850"/>
    <w:rsid w:val="008E2E66"/>
    <w:rsid w:val="008E330D"/>
    <w:rsid w:val="008E602B"/>
    <w:rsid w:val="008E7269"/>
    <w:rsid w:val="008F12D0"/>
    <w:rsid w:val="008F1518"/>
    <w:rsid w:val="008F47D2"/>
    <w:rsid w:val="009048F1"/>
    <w:rsid w:val="00905AF2"/>
    <w:rsid w:val="00910B8B"/>
    <w:rsid w:val="00913954"/>
    <w:rsid w:val="0095355C"/>
    <w:rsid w:val="00972AFE"/>
    <w:rsid w:val="00972E74"/>
    <w:rsid w:val="009742E1"/>
    <w:rsid w:val="0097547D"/>
    <w:rsid w:val="00980A9B"/>
    <w:rsid w:val="009904FE"/>
    <w:rsid w:val="009A48FA"/>
    <w:rsid w:val="009C080F"/>
    <w:rsid w:val="009D5140"/>
    <w:rsid w:val="009F2629"/>
    <w:rsid w:val="00A00B3E"/>
    <w:rsid w:val="00A0615B"/>
    <w:rsid w:val="00A12B01"/>
    <w:rsid w:val="00A162BC"/>
    <w:rsid w:val="00A17B0F"/>
    <w:rsid w:val="00A3582A"/>
    <w:rsid w:val="00A36DE6"/>
    <w:rsid w:val="00A3742B"/>
    <w:rsid w:val="00A40511"/>
    <w:rsid w:val="00A4134D"/>
    <w:rsid w:val="00A6197A"/>
    <w:rsid w:val="00AB3BDC"/>
    <w:rsid w:val="00AE002F"/>
    <w:rsid w:val="00AF0165"/>
    <w:rsid w:val="00B14E47"/>
    <w:rsid w:val="00B168E1"/>
    <w:rsid w:val="00B305D2"/>
    <w:rsid w:val="00B3791B"/>
    <w:rsid w:val="00B623D4"/>
    <w:rsid w:val="00B8433E"/>
    <w:rsid w:val="00B851B4"/>
    <w:rsid w:val="00B8622B"/>
    <w:rsid w:val="00B908F9"/>
    <w:rsid w:val="00B92FC2"/>
    <w:rsid w:val="00B95AE3"/>
    <w:rsid w:val="00BB64C4"/>
    <w:rsid w:val="00BD1899"/>
    <w:rsid w:val="00BD1A40"/>
    <w:rsid w:val="00BD3B0E"/>
    <w:rsid w:val="00BD5CB2"/>
    <w:rsid w:val="00BE1225"/>
    <w:rsid w:val="00BF28BB"/>
    <w:rsid w:val="00C04266"/>
    <w:rsid w:val="00C10173"/>
    <w:rsid w:val="00C17FDB"/>
    <w:rsid w:val="00C260E8"/>
    <w:rsid w:val="00C335A7"/>
    <w:rsid w:val="00C35BBD"/>
    <w:rsid w:val="00C35C63"/>
    <w:rsid w:val="00C365A6"/>
    <w:rsid w:val="00C408C6"/>
    <w:rsid w:val="00C47904"/>
    <w:rsid w:val="00C54A4B"/>
    <w:rsid w:val="00C564E4"/>
    <w:rsid w:val="00C62C4E"/>
    <w:rsid w:val="00C91220"/>
    <w:rsid w:val="00C91559"/>
    <w:rsid w:val="00C94009"/>
    <w:rsid w:val="00CA524B"/>
    <w:rsid w:val="00CB6A88"/>
    <w:rsid w:val="00CD641D"/>
    <w:rsid w:val="00D02B56"/>
    <w:rsid w:val="00D124ED"/>
    <w:rsid w:val="00D144E4"/>
    <w:rsid w:val="00D20E3C"/>
    <w:rsid w:val="00D50EDC"/>
    <w:rsid w:val="00D54073"/>
    <w:rsid w:val="00D57B21"/>
    <w:rsid w:val="00D636C4"/>
    <w:rsid w:val="00D6578C"/>
    <w:rsid w:val="00D80419"/>
    <w:rsid w:val="00D90A1D"/>
    <w:rsid w:val="00D922A6"/>
    <w:rsid w:val="00DA7A4F"/>
    <w:rsid w:val="00DC30A6"/>
    <w:rsid w:val="00DC3264"/>
    <w:rsid w:val="00DD4A37"/>
    <w:rsid w:val="00DE51AE"/>
    <w:rsid w:val="00E03A53"/>
    <w:rsid w:val="00E16227"/>
    <w:rsid w:val="00E3605C"/>
    <w:rsid w:val="00E607A0"/>
    <w:rsid w:val="00E6730B"/>
    <w:rsid w:val="00E9730F"/>
    <w:rsid w:val="00EB1049"/>
    <w:rsid w:val="00EC04D0"/>
    <w:rsid w:val="00EC38D7"/>
    <w:rsid w:val="00EC5405"/>
    <w:rsid w:val="00EC5FBE"/>
    <w:rsid w:val="00EE3ACA"/>
    <w:rsid w:val="00F10507"/>
    <w:rsid w:val="00F116A6"/>
    <w:rsid w:val="00F11DE7"/>
    <w:rsid w:val="00F12520"/>
    <w:rsid w:val="00F21E94"/>
    <w:rsid w:val="00F2408A"/>
    <w:rsid w:val="00F335B0"/>
    <w:rsid w:val="00F33F78"/>
    <w:rsid w:val="00F3689B"/>
    <w:rsid w:val="00F47620"/>
    <w:rsid w:val="00F51EF8"/>
    <w:rsid w:val="00F640CC"/>
    <w:rsid w:val="00F7695E"/>
    <w:rsid w:val="00F835B3"/>
    <w:rsid w:val="00F96420"/>
    <w:rsid w:val="00FA5610"/>
    <w:rsid w:val="00FB13EB"/>
    <w:rsid w:val="00FC3632"/>
    <w:rsid w:val="00FF51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57609"/>
  <w15:docId w15:val="{B2E09209-4E24-4581-826C-4D9E3BD2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98"/>
  </w:style>
  <w:style w:type="paragraph" w:styleId="Heading1">
    <w:name w:val="heading 1"/>
    <w:basedOn w:val="Normal"/>
    <w:next w:val="Normal"/>
    <w:uiPriority w:val="9"/>
    <w:qFormat/>
    <w:rsid w:val="00565398"/>
    <w:pPr>
      <w:keepNext/>
      <w:keepLines/>
      <w:spacing w:before="400" w:after="120"/>
      <w:outlineLvl w:val="0"/>
    </w:pPr>
    <w:rPr>
      <w:sz w:val="40"/>
      <w:szCs w:val="40"/>
    </w:rPr>
  </w:style>
  <w:style w:type="paragraph" w:styleId="Heading2">
    <w:name w:val="heading 2"/>
    <w:basedOn w:val="Normal"/>
    <w:next w:val="Normal"/>
    <w:uiPriority w:val="9"/>
    <w:unhideWhenUsed/>
    <w:qFormat/>
    <w:rsid w:val="00565398"/>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565398"/>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565398"/>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565398"/>
    <w:pPr>
      <w:keepNext/>
      <w:keepLines/>
      <w:spacing w:before="240" w:after="80"/>
      <w:outlineLvl w:val="4"/>
    </w:pPr>
    <w:rPr>
      <w:color w:val="666666"/>
    </w:rPr>
  </w:style>
  <w:style w:type="paragraph" w:styleId="Heading6">
    <w:name w:val="heading 6"/>
    <w:basedOn w:val="Normal"/>
    <w:next w:val="Normal"/>
    <w:uiPriority w:val="9"/>
    <w:semiHidden/>
    <w:unhideWhenUsed/>
    <w:qFormat/>
    <w:rsid w:val="0056539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5398"/>
    <w:pPr>
      <w:keepNext/>
      <w:keepLines/>
      <w:spacing w:after="60"/>
    </w:pPr>
    <w:rPr>
      <w:sz w:val="52"/>
      <w:szCs w:val="52"/>
    </w:rPr>
  </w:style>
  <w:style w:type="paragraph" w:styleId="Subtitle">
    <w:name w:val="Subtitle"/>
    <w:basedOn w:val="Normal"/>
    <w:next w:val="Normal"/>
    <w:uiPriority w:val="11"/>
    <w:qFormat/>
    <w:rsid w:val="00565398"/>
    <w:pPr>
      <w:keepNext/>
      <w:keepLines/>
      <w:spacing w:after="320"/>
    </w:pPr>
    <w:rPr>
      <w:color w:val="666666"/>
      <w:sz w:val="30"/>
      <w:szCs w:val="30"/>
    </w:rPr>
  </w:style>
  <w:style w:type="table" w:customStyle="1" w:styleId="4">
    <w:name w:val="4"/>
    <w:basedOn w:val="TableNormal"/>
    <w:rsid w:val="00565398"/>
    <w:tblPr>
      <w:tblStyleRowBandSize w:val="1"/>
      <w:tblStyleColBandSize w:val="1"/>
      <w:tblCellMar>
        <w:top w:w="100" w:type="dxa"/>
        <w:left w:w="100" w:type="dxa"/>
        <w:bottom w:w="100" w:type="dxa"/>
        <w:right w:w="100" w:type="dxa"/>
      </w:tblCellMar>
    </w:tblPr>
  </w:style>
  <w:style w:type="table" w:customStyle="1" w:styleId="3">
    <w:name w:val="3"/>
    <w:basedOn w:val="TableNormal"/>
    <w:rsid w:val="00565398"/>
    <w:tblPr>
      <w:tblStyleRowBandSize w:val="1"/>
      <w:tblStyleColBandSize w:val="1"/>
      <w:tblCellMar>
        <w:top w:w="100" w:type="dxa"/>
        <w:left w:w="100" w:type="dxa"/>
        <w:bottom w:w="100" w:type="dxa"/>
        <w:right w:w="100" w:type="dxa"/>
      </w:tblCellMar>
    </w:tblPr>
  </w:style>
  <w:style w:type="table" w:customStyle="1" w:styleId="2">
    <w:name w:val="2"/>
    <w:basedOn w:val="TableNormal"/>
    <w:rsid w:val="00565398"/>
    <w:tblPr>
      <w:tblStyleRowBandSize w:val="1"/>
      <w:tblStyleColBandSize w:val="1"/>
      <w:tblCellMar>
        <w:top w:w="100" w:type="dxa"/>
        <w:left w:w="100" w:type="dxa"/>
        <w:bottom w:w="100" w:type="dxa"/>
        <w:right w:w="100" w:type="dxa"/>
      </w:tblCellMar>
    </w:tblPr>
  </w:style>
  <w:style w:type="table" w:customStyle="1" w:styleId="1">
    <w:name w:val="1"/>
    <w:basedOn w:val="TableNormal"/>
    <w:rsid w:val="00565398"/>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565398"/>
    <w:pPr>
      <w:spacing w:line="240" w:lineRule="auto"/>
    </w:pPr>
    <w:rPr>
      <w:sz w:val="20"/>
      <w:szCs w:val="20"/>
    </w:rPr>
  </w:style>
  <w:style w:type="character" w:customStyle="1" w:styleId="CommentTextChar">
    <w:name w:val="Comment Text Char"/>
    <w:basedOn w:val="DefaultParagraphFont"/>
    <w:link w:val="CommentText"/>
    <w:uiPriority w:val="99"/>
    <w:rsid w:val="00565398"/>
    <w:rPr>
      <w:sz w:val="20"/>
      <w:szCs w:val="20"/>
    </w:rPr>
  </w:style>
  <w:style w:type="character" w:styleId="CommentReference">
    <w:name w:val="annotation reference"/>
    <w:basedOn w:val="DefaultParagraphFont"/>
    <w:uiPriority w:val="99"/>
    <w:semiHidden/>
    <w:unhideWhenUsed/>
    <w:rsid w:val="00565398"/>
    <w:rPr>
      <w:sz w:val="16"/>
      <w:szCs w:val="16"/>
    </w:rPr>
  </w:style>
  <w:style w:type="paragraph" w:styleId="TOC1">
    <w:name w:val="toc 1"/>
    <w:basedOn w:val="Normal"/>
    <w:next w:val="Normal"/>
    <w:autoRedefine/>
    <w:uiPriority w:val="39"/>
    <w:unhideWhenUsed/>
    <w:rsid w:val="004D49FD"/>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B851B4"/>
    <w:pPr>
      <w:tabs>
        <w:tab w:val="right" w:leader="dot" w:pos="9350"/>
      </w:tabs>
      <w:spacing w:before="120"/>
      <w:ind w:left="220"/>
    </w:pPr>
    <w:rPr>
      <w:rFonts w:asciiTheme="minorHAnsi" w:hAnsiTheme="minorHAnsi"/>
      <w:b/>
      <w:bCs/>
    </w:rPr>
  </w:style>
  <w:style w:type="character" w:styleId="Hyperlink">
    <w:name w:val="Hyperlink"/>
    <w:basedOn w:val="DefaultParagraphFont"/>
    <w:uiPriority w:val="99"/>
    <w:unhideWhenUsed/>
    <w:rsid w:val="004D49FD"/>
    <w:rPr>
      <w:color w:val="0000FF" w:themeColor="hyperlink"/>
      <w:u w:val="single"/>
    </w:rPr>
  </w:style>
  <w:style w:type="paragraph" w:styleId="FootnoteText">
    <w:name w:val="footnote text"/>
    <w:basedOn w:val="Normal"/>
    <w:link w:val="FootnoteTextChar"/>
    <w:uiPriority w:val="99"/>
    <w:semiHidden/>
    <w:unhideWhenUsed/>
    <w:rsid w:val="00B305D2"/>
    <w:pPr>
      <w:spacing w:line="240" w:lineRule="auto"/>
    </w:pPr>
    <w:rPr>
      <w:sz w:val="20"/>
      <w:szCs w:val="20"/>
    </w:rPr>
  </w:style>
  <w:style w:type="character" w:customStyle="1" w:styleId="FootnoteTextChar">
    <w:name w:val="Footnote Text Char"/>
    <w:basedOn w:val="DefaultParagraphFont"/>
    <w:link w:val="FootnoteText"/>
    <w:uiPriority w:val="99"/>
    <w:semiHidden/>
    <w:rsid w:val="00B305D2"/>
    <w:rPr>
      <w:sz w:val="20"/>
      <w:szCs w:val="20"/>
    </w:rPr>
  </w:style>
  <w:style w:type="character" w:styleId="FootnoteReference">
    <w:name w:val="footnote reference"/>
    <w:basedOn w:val="DefaultParagraphFont"/>
    <w:uiPriority w:val="99"/>
    <w:semiHidden/>
    <w:unhideWhenUsed/>
    <w:rsid w:val="00B305D2"/>
    <w:rPr>
      <w:vertAlign w:val="superscript"/>
    </w:rPr>
  </w:style>
  <w:style w:type="paragraph" w:styleId="Header">
    <w:name w:val="header"/>
    <w:basedOn w:val="Normal"/>
    <w:link w:val="HeaderChar"/>
    <w:uiPriority w:val="99"/>
    <w:unhideWhenUsed/>
    <w:rsid w:val="0007019D"/>
    <w:pPr>
      <w:tabs>
        <w:tab w:val="center" w:pos="4680"/>
        <w:tab w:val="right" w:pos="9360"/>
      </w:tabs>
      <w:spacing w:line="240" w:lineRule="auto"/>
    </w:pPr>
  </w:style>
  <w:style w:type="character" w:customStyle="1" w:styleId="HeaderChar">
    <w:name w:val="Header Char"/>
    <w:basedOn w:val="DefaultParagraphFont"/>
    <w:link w:val="Header"/>
    <w:uiPriority w:val="99"/>
    <w:rsid w:val="0007019D"/>
  </w:style>
  <w:style w:type="paragraph" w:styleId="Footer">
    <w:name w:val="footer"/>
    <w:basedOn w:val="Normal"/>
    <w:link w:val="FooterChar"/>
    <w:uiPriority w:val="99"/>
    <w:unhideWhenUsed/>
    <w:rsid w:val="0007019D"/>
    <w:pPr>
      <w:tabs>
        <w:tab w:val="center" w:pos="4680"/>
        <w:tab w:val="right" w:pos="9360"/>
      </w:tabs>
      <w:spacing w:line="240" w:lineRule="auto"/>
    </w:pPr>
  </w:style>
  <w:style w:type="character" w:customStyle="1" w:styleId="FooterChar">
    <w:name w:val="Footer Char"/>
    <w:basedOn w:val="DefaultParagraphFont"/>
    <w:link w:val="Footer"/>
    <w:uiPriority w:val="99"/>
    <w:rsid w:val="0007019D"/>
  </w:style>
  <w:style w:type="character" w:styleId="PageNumber">
    <w:name w:val="page number"/>
    <w:basedOn w:val="DefaultParagraphFont"/>
    <w:uiPriority w:val="99"/>
    <w:semiHidden/>
    <w:unhideWhenUsed/>
    <w:rsid w:val="0007019D"/>
  </w:style>
  <w:style w:type="paragraph" w:styleId="TOCHeading">
    <w:name w:val="TOC Heading"/>
    <w:basedOn w:val="Heading1"/>
    <w:next w:val="Normal"/>
    <w:uiPriority w:val="39"/>
    <w:unhideWhenUsed/>
    <w:qFormat/>
    <w:rsid w:val="005123F4"/>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3">
    <w:name w:val="toc 3"/>
    <w:basedOn w:val="Normal"/>
    <w:next w:val="Normal"/>
    <w:autoRedefine/>
    <w:uiPriority w:val="39"/>
    <w:semiHidden/>
    <w:unhideWhenUsed/>
    <w:rsid w:val="005123F4"/>
    <w:pPr>
      <w:ind w:left="440"/>
    </w:pPr>
    <w:rPr>
      <w:rFonts w:asciiTheme="minorHAnsi" w:hAnsiTheme="minorHAnsi"/>
      <w:sz w:val="20"/>
      <w:szCs w:val="20"/>
    </w:rPr>
  </w:style>
  <w:style w:type="paragraph" w:styleId="TOC4">
    <w:name w:val="toc 4"/>
    <w:basedOn w:val="Normal"/>
    <w:next w:val="Normal"/>
    <w:autoRedefine/>
    <w:uiPriority w:val="39"/>
    <w:semiHidden/>
    <w:unhideWhenUsed/>
    <w:rsid w:val="005123F4"/>
    <w:pPr>
      <w:ind w:left="660"/>
    </w:pPr>
    <w:rPr>
      <w:rFonts w:asciiTheme="minorHAnsi" w:hAnsiTheme="minorHAnsi"/>
      <w:sz w:val="20"/>
      <w:szCs w:val="20"/>
    </w:rPr>
  </w:style>
  <w:style w:type="paragraph" w:styleId="TOC5">
    <w:name w:val="toc 5"/>
    <w:basedOn w:val="Normal"/>
    <w:next w:val="Normal"/>
    <w:autoRedefine/>
    <w:uiPriority w:val="39"/>
    <w:semiHidden/>
    <w:unhideWhenUsed/>
    <w:rsid w:val="005123F4"/>
    <w:pPr>
      <w:ind w:left="880"/>
    </w:pPr>
    <w:rPr>
      <w:rFonts w:asciiTheme="minorHAnsi" w:hAnsiTheme="minorHAnsi"/>
      <w:sz w:val="20"/>
      <w:szCs w:val="20"/>
    </w:rPr>
  </w:style>
  <w:style w:type="paragraph" w:styleId="TOC6">
    <w:name w:val="toc 6"/>
    <w:basedOn w:val="Normal"/>
    <w:next w:val="Normal"/>
    <w:autoRedefine/>
    <w:uiPriority w:val="39"/>
    <w:semiHidden/>
    <w:unhideWhenUsed/>
    <w:rsid w:val="005123F4"/>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5123F4"/>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5123F4"/>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5123F4"/>
    <w:pPr>
      <w:ind w:left="1760"/>
    </w:pPr>
    <w:rPr>
      <w:rFonts w:asciiTheme="minorHAnsi" w:hAnsiTheme="minorHAnsi"/>
      <w:sz w:val="20"/>
      <w:szCs w:val="20"/>
    </w:rPr>
  </w:style>
  <w:style w:type="paragraph" w:styleId="BalloonText">
    <w:name w:val="Balloon Text"/>
    <w:basedOn w:val="Normal"/>
    <w:link w:val="BalloonTextChar"/>
    <w:uiPriority w:val="99"/>
    <w:semiHidden/>
    <w:unhideWhenUsed/>
    <w:rsid w:val="002E43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B8"/>
    <w:rPr>
      <w:rFonts w:ascii="Tahoma" w:hAnsi="Tahoma" w:cs="Tahoma"/>
      <w:sz w:val="16"/>
      <w:szCs w:val="16"/>
    </w:rPr>
  </w:style>
  <w:style w:type="paragraph" w:customStyle="1" w:styleId="c13">
    <w:name w:val="c13"/>
    <w:basedOn w:val="Normal"/>
    <w:rsid w:val="000607E9"/>
    <w:pPr>
      <w:widowControl w:val="0"/>
      <w:autoSpaceDE w:val="0"/>
      <w:autoSpaceDN w:val="0"/>
      <w:adjustRightInd w:val="0"/>
      <w:spacing w:line="240" w:lineRule="auto"/>
      <w:jc w:val="center"/>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10173"/>
    <w:pPr>
      <w:spacing w:after="160" w:line="256" w:lineRule="auto"/>
      <w:ind w:left="720"/>
      <w:contextualSpacing/>
    </w:pPr>
    <w:rPr>
      <w:rFonts w:asciiTheme="minorHAnsi" w:eastAsiaTheme="minorHAnsi" w:hAnsiTheme="minorHAnsi" w:cstheme="minorBidi"/>
      <w:lang w:val="fr-SN"/>
    </w:rPr>
  </w:style>
  <w:style w:type="paragraph" w:styleId="CommentSubject">
    <w:name w:val="annotation subject"/>
    <w:basedOn w:val="CommentText"/>
    <w:next w:val="CommentText"/>
    <w:link w:val="CommentSubjectChar"/>
    <w:uiPriority w:val="99"/>
    <w:semiHidden/>
    <w:unhideWhenUsed/>
    <w:rsid w:val="00AB3BDC"/>
    <w:rPr>
      <w:b/>
      <w:bCs/>
    </w:rPr>
  </w:style>
  <w:style w:type="character" w:customStyle="1" w:styleId="CommentSubjectChar">
    <w:name w:val="Comment Subject Char"/>
    <w:basedOn w:val="CommentTextChar"/>
    <w:link w:val="CommentSubject"/>
    <w:uiPriority w:val="99"/>
    <w:semiHidden/>
    <w:rsid w:val="00AB3BDC"/>
    <w:rPr>
      <w:b/>
      <w:bCs/>
      <w:sz w:val="20"/>
      <w:szCs w:val="20"/>
    </w:rPr>
  </w:style>
  <w:style w:type="paragraph" w:styleId="Revision">
    <w:name w:val="Revision"/>
    <w:hidden/>
    <w:uiPriority w:val="99"/>
    <w:semiHidden/>
    <w:rsid w:val="00700010"/>
    <w:pPr>
      <w:spacing w:line="240" w:lineRule="auto"/>
    </w:pPr>
  </w:style>
  <w:style w:type="table" w:styleId="TableGrid">
    <w:name w:val="Table Grid"/>
    <w:basedOn w:val="TableNormal"/>
    <w:uiPriority w:val="39"/>
    <w:rsid w:val="00A12B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41">
    <w:name w:val="Tableau simple 41"/>
    <w:basedOn w:val="TableNormal"/>
    <w:uiPriority w:val="44"/>
    <w:rsid w:val="00D636C4"/>
    <w:pPr>
      <w:spacing w:line="240" w:lineRule="auto"/>
    </w:pPr>
    <w:rPr>
      <w:rFonts w:asciiTheme="minorHAnsi" w:eastAsiaTheme="minorHAnsi" w:hAnsiTheme="minorHAnsi" w:cstheme="minorBidi"/>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semiHidden/>
    <w:unhideWhenUsed/>
    <w:rsid w:val="00B84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B8433E"/>
    <w:rPr>
      <w:rFonts w:ascii="Courier New" w:eastAsia="Times New Roman" w:hAnsi="Courier New" w:cs="Courier New"/>
      <w:sz w:val="20"/>
      <w:szCs w:val="20"/>
      <w:lang w:eastAsia="fr-FR"/>
    </w:rPr>
  </w:style>
  <w:style w:type="character" w:customStyle="1" w:styleId="y2iqfc">
    <w:name w:val="y2iqfc"/>
    <w:basedOn w:val="DefaultParagraphFont"/>
    <w:rsid w:val="00B8433E"/>
  </w:style>
  <w:style w:type="character" w:styleId="Emphasis">
    <w:name w:val="Emphasis"/>
    <w:basedOn w:val="DefaultParagraphFont"/>
    <w:uiPriority w:val="20"/>
    <w:qFormat/>
    <w:rsid w:val="006C2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1252">
      <w:bodyDiv w:val="1"/>
      <w:marLeft w:val="0"/>
      <w:marRight w:val="0"/>
      <w:marTop w:val="0"/>
      <w:marBottom w:val="0"/>
      <w:divBdr>
        <w:top w:val="none" w:sz="0" w:space="0" w:color="auto"/>
        <w:left w:val="none" w:sz="0" w:space="0" w:color="auto"/>
        <w:bottom w:val="none" w:sz="0" w:space="0" w:color="auto"/>
        <w:right w:val="none" w:sz="0" w:space="0" w:color="auto"/>
      </w:divBdr>
    </w:div>
    <w:div w:id="94669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sers\dominique\Google%20Drive\Consulting\WB-GFF\Mauritania%20-%20HFSA\_Mauritania%20Data\Tableaux-SNFS_2023-06-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dominique\Google%20Drive\Consulting\WB-GFF\Mauritania%20-%20HFSA\_Mauritania%20Data\Tableaux-SNFS_2023-06-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dominique\Google%20Drive\Consulting\WB-GFF\Mauritania%20-%20HFSA\_Mauritania%20Data\Tableaux-SNFS_2023-06-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dominique\Google%20Drive\Consulting\WB-GFF\Mauritania%20-%20HFSA\_Mauritania%20Data\Tableaux-SNFS_2023-06-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dominique\Google%20Drive\Consulting\WB-GFF\Mauritania%20-%20HFSA\_Mauritania%20Data\Tableaux-SNFS_2023-06-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dominique\Google%20Drive\Consulting\WB-GFF\Mauritania%20-%20HFSA\_Mauritania%20Data\Tableaux-SNFS_2023-06-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'1_Context_econ'!$A$90</c:f>
              <c:strCache>
                <c:ptCount val="1"/>
                <c:pt idx="0">
                  <c:v>Mauritanie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3"/>
            <c:bubble3D val="0"/>
            <c:spPr>
              <a:ln w="28575" cap="rnd">
                <a:solidFill>
                  <a:schemeClr val="accent1"/>
                </a:solidFill>
                <a:round/>
              </a:ln>
              <a:effectLst/>
            </c:spPr>
            <c:extLst>
              <c:ext xmlns:c16="http://schemas.microsoft.com/office/drawing/2014/chart" uri="{C3380CC4-5D6E-409C-BE32-E72D297353CC}">
                <c16:uniqueId val="{00000001-6CB6-8548-8757-68908B40274C}"/>
              </c:ext>
            </c:extLst>
          </c:dPt>
          <c:dPt>
            <c:idx val="14"/>
            <c:bubble3D val="0"/>
            <c:spPr>
              <a:ln w="28575" cap="rnd">
                <a:solidFill>
                  <a:schemeClr val="accent1"/>
                </a:solidFill>
                <a:round/>
              </a:ln>
              <a:effectLst/>
            </c:spPr>
            <c:extLst>
              <c:ext xmlns:c16="http://schemas.microsoft.com/office/drawing/2014/chart" uri="{C3380CC4-5D6E-409C-BE32-E72D297353CC}">
                <c16:uniqueId val="{00000003-6CB6-8548-8757-68908B40274C}"/>
              </c:ext>
            </c:extLst>
          </c:dPt>
          <c:cat>
            <c:numRef>
              <c:f>'1_Context_econ'!$B$89:$P$89</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'1_Context_econ'!$B$90:$P$90</c:f>
              <c:numCache>
                <c:formatCode>0.0</c:formatCode>
                <c:ptCount val="15"/>
                <c:pt idx="0">
                  <c:v>2.6</c:v>
                </c:pt>
                <c:pt idx="1">
                  <c:v>4.2</c:v>
                </c:pt>
                <c:pt idx="2">
                  <c:v>4.5</c:v>
                </c:pt>
                <c:pt idx="3">
                  <c:v>4.2</c:v>
                </c:pt>
                <c:pt idx="4">
                  <c:v>4.3</c:v>
                </c:pt>
                <c:pt idx="5">
                  <c:v>5.4</c:v>
                </c:pt>
                <c:pt idx="6">
                  <c:v>1.3</c:v>
                </c:pt>
                <c:pt idx="7">
                  <c:v>6.3</c:v>
                </c:pt>
                <c:pt idx="8">
                  <c:v>4.8</c:v>
                </c:pt>
                <c:pt idx="9">
                  <c:v>5.4</c:v>
                </c:pt>
                <c:pt idx="10">
                  <c:v>-0.9</c:v>
                </c:pt>
                <c:pt idx="11">
                  <c:v>2.4</c:v>
                </c:pt>
                <c:pt idx="12">
                  <c:v>5</c:v>
                </c:pt>
                <c:pt idx="13">
                  <c:v>4.4000000000000004</c:v>
                </c:pt>
                <c:pt idx="14">
                  <c:v>5.0999999999999996</c:v>
                </c:pt>
              </c:numCache>
            </c:numRef>
          </c:val>
          <c:smooth val="0"/>
          <c:extLst>
            <c:ext xmlns:c16="http://schemas.microsoft.com/office/drawing/2014/chart" uri="{C3380CC4-5D6E-409C-BE32-E72D297353CC}">
              <c16:uniqueId val="{00000004-6CB6-8548-8757-68908B40274C}"/>
            </c:ext>
          </c:extLst>
        </c:ser>
        <c:dLbls>
          <c:showLegendKey val="0"/>
          <c:showVal val="0"/>
          <c:showCatName val="0"/>
          <c:showSerName val="0"/>
          <c:showPercent val="0"/>
          <c:showBubbleSize val="0"/>
        </c:dLbls>
        <c:marker val="1"/>
        <c:smooth val="0"/>
        <c:axId val="83078144"/>
        <c:axId val="83092224"/>
      </c:lineChart>
      <c:catAx>
        <c:axId val="830781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fr-FR"/>
          </a:p>
        </c:txPr>
        <c:crossAx val="83092224"/>
        <c:crosses val="autoZero"/>
        <c:auto val="1"/>
        <c:lblAlgn val="ctr"/>
        <c:lblOffset val="100"/>
        <c:noMultiLvlLbl val="0"/>
      </c:catAx>
      <c:valAx>
        <c:axId val="83092224"/>
        <c:scaling>
          <c:orientation val="minMax"/>
        </c:scaling>
        <c:delete val="0"/>
        <c:axPos val="l"/>
        <c:majorGridlines>
          <c:spPr>
            <a:ln w="9525" cap="flat" cmpd="sng" algn="ctr">
              <a:solidFill>
                <a:schemeClr val="accent1">
                  <a:alpha val="44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j-lt"/>
                    <a:ea typeface="+mn-ea"/>
                    <a:cs typeface="+mn-cs"/>
                  </a:defRPr>
                </a:pPr>
                <a:r>
                  <a:rPr lang="en-US" sz="1100" b="0" i="0" u="none" strike="noStrike" kern="1200" baseline="0">
                    <a:solidFill>
                      <a:sysClr val="windowText" lastClr="000000">
                        <a:lumMod val="65000"/>
                        <a:lumOff val="35000"/>
                      </a:sysClr>
                    </a:solidFill>
                    <a:latin typeface="+mj-lt"/>
                  </a:rPr>
                  <a:t>Croissance annuelle en %</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3078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092368261659602"/>
          <c:y val="4.3650793650793704E-2"/>
          <c:w val="0.65646409583417464"/>
          <c:h val="0.57503780777402824"/>
        </c:manualLayout>
      </c:layout>
      <c:barChart>
        <c:barDir val="bar"/>
        <c:grouping val="percentStacked"/>
        <c:varyColors val="0"/>
        <c:ser>
          <c:idx val="0"/>
          <c:order val="0"/>
          <c:tx>
            <c:strRef>
              <c:f>'1_Context_econ'!$A$283</c:f>
              <c:strCache>
                <c:ptCount val="1"/>
                <c:pt idx="0">
                  <c:v>Taxes sur les biens et services autres que la TVA</c:v>
                </c:pt>
              </c:strCache>
            </c:strRef>
          </c:tx>
          <c:spPr>
            <a:solidFill>
              <a:schemeClr val="accent1"/>
            </a:solidFill>
            <a:ln>
              <a:noFill/>
            </a:ln>
            <a:effectLst/>
          </c:spPr>
          <c:invertIfNegative val="0"/>
          <c:dLbls>
            <c:dLbl>
              <c:idx val="0"/>
              <c:layout>
                <c:manualLayout>
                  <c:x val="3.4188034188034192E-3"/>
                  <c:y val="-6.2501230314961917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15:layout>
                    <c:manualLayout>
                      <c:w val="6.1282051282051282E-2"/>
                      <c:h val="5.5140748031496059E-2"/>
                    </c:manualLayout>
                  </c15:layout>
                </c:ext>
                <c:ext xmlns:c16="http://schemas.microsoft.com/office/drawing/2014/chart" uri="{C3380CC4-5D6E-409C-BE32-E72D297353CC}">
                  <c16:uniqueId val="{00000000-C501-C747-9841-DAFCD31DE054}"/>
                </c:ext>
              </c:extLst>
            </c:dLbl>
            <c:dLbl>
              <c:idx val="1"/>
              <c:layout>
                <c:manualLayout>
                  <c:x val="3.5715727841711523E-3"/>
                  <c:y val="-9.3750000000000361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01-C747-9841-DAFCD31DE0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'1_Context_econ'!$B$282:$C$282</c:f>
              <c:strCache>
                <c:ptCount val="2"/>
                <c:pt idx="0">
                  <c:v>Mauritanie</c:v>
                </c:pt>
                <c:pt idx="1">
                  <c:v>Moyenne Afrique (31 pays)</c:v>
                </c:pt>
              </c:strCache>
            </c:strRef>
          </c:cat>
          <c:val>
            <c:numRef>
              <c:f>'1_Context_econ'!$B$283:$C$283</c:f>
              <c:numCache>
                <c:formatCode>0%</c:formatCode>
                <c:ptCount val="2"/>
                <c:pt idx="0">
                  <c:v>0.29683484416184885</c:v>
                </c:pt>
                <c:pt idx="1">
                  <c:v>0.23</c:v>
                </c:pt>
              </c:numCache>
            </c:numRef>
          </c:val>
          <c:extLst>
            <c:ext xmlns:c16="http://schemas.microsoft.com/office/drawing/2014/chart" uri="{C3380CC4-5D6E-409C-BE32-E72D297353CC}">
              <c16:uniqueId val="{00000002-C501-C747-9841-DAFCD31DE054}"/>
            </c:ext>
          </c:extLst>
        </c:ser>
        <c:ser>
          <c:idx val="1"/>
          <c:order val="1"/>
          <c:tx>
            <c:strRef>
              <c:f>'1_Context_econ'!$A$284</c:f>
              <c:strCache>
                <c:ptCount val="1"/>
                <c:pt idx="0">
                  <c:v>Taxes sur la valeur ajoutée (TVA)</c:v>
                </c:pt>
              </c:strCache>
            </c:strRef>
          </c:tx>
          <c:spPr>
            <a:solidFill>
              <a:schemeClr val="accent2"/>
            </a:solidFill>
            <a:ln>
              <a:noFill/>
            </a:ln>
            <a:effectLst/>
          </c:spPr>
          <c:invertIfNegative val="0"/>
          <c:dLbls>
            <c:dLbl>
              <c:idx val="0"/>
              <c:layout>
                <c:manualLayout>
                  <c:x val="-5.1282051282051282E-3"/>
                  <c:y val="-6.2500000000000116E-3"/>
                </c:manualLayout>
              </c:layout>
              <c:tx>
                <c:rich>
                  <a:bodyPr/>
                  <a:lstStyle/>
                  <a:p>
                    <a:fld id="{F4D626FE-0E22-9340-A864-01A23B7DEBEE}" type="VALUE">
                      <a:rPr lang="en-US" sz="900" b="1"/>
                      <a:pPr/>
                      <a:t>[VALUE]</a:t>
                    </a:fld>
                    <a:endParaRPr lang="fr-F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501-C747-9841-DAFCD31DE054}"/>
                </c:ext>
              </c:extLst>
            </c:dLbl>
            <c:dLbl>
              <c:idx val="1"/>
              <c:layout>
                <c:manualLayout>
                  <c:x val="6.3988155326738028E-4"/>
                  <c:y val="-3.1250000000000058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01-C747-9841-DAFCD31DE0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'1_Context_econ'!$B$282:$C$282</c:f>
              <c:strCache>
                <c:ptCount val="2"/>
                <c:pt idx="0">
                  <c:v>Mauritanie</c:v>
                </c:pt>
                <c:pt idx="1">
                  <c:v>Moyenne Afrique (31 pays)</c:v>
                </c:pt>
              </c:strCache>
            </c:strRef>
          </c:cat>
          <c:val>
            <c:numRef>
              <c:f>'1_Context_econ'!$B$284:$C$284</c:f>
              <c:numCache>
                <c:formatCode>0%</c:formatCode>
                <c:ptCount val="2"/>
                <c:pt idx="0">
                  <c:v>0.25941293680944688</c:v>
                </c:pt>
                <c:pt idx="1">
                  <c:v>0.28000000000000008</c:v>
                </c:pt>
              </c:numCache>
            </c:numRef>
          </c:val>
          <c:extLst>
            <c:ext xmlns:c16="http://schemas.microsoft.com/office/drawing/2014/chart" uri="{C3380CC4-5D6E-409C-BE32-E72D297353CC}">
              <c16:uniqueId val="{00000005-C501-C747-9841-DAFCD31DE054}"/>
            </c:ext>
          </c:extLst>
        </c:ser>
        <c:ser>
          <c:idx val="2"/>
          <c:order val="2"/>
          <c:tx>
            <c:strRef>
              <c:f>'1_Context_econ'!$A$285</c:f>
              <c:strCache>
                <c:ptCount val="1"/>
                <c:pt idx="0">
                  <c:v>Impôts sur le revenu des sociétés</c:v>
                </c:pt>
              </c:strCache>
            </c:strRef>
          </c:tx>
          <c:spPr>
            <a:solidFill>
              <a:schemeClr val="accent3"/>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0-40D3-442C-A32E-B9E1B281319B}"/>
                </c:ext>
              </c:extLst>
            </c:dLbl>
            <c:dLbl>
              <c:idx val="1"/>
              <c:layout>
                <c:manualLayout>
                  <c:x val="-5.7680866814725134E-3"/>
                  <c:y val="-9.3750000000000361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01-C747-9841-DAFCD31DE0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'1_Context_econ'!$B$282:$C$282</c:f>
              <c:strCache>
                <c:ptCount val="2"/>
                <c:pt idx="0">
                  <c:v>Mauritanie</c:v>
                </c:pt>
                <c:pt idx="1">
                  <c:v>Moyenne Afrique (31 pays)</c:v>
                </c:pt>
              </c:strCache>
            </c:strRef>
          </c:cat>
          <c:val>
            <c:numRef>
              <c:f>'1_Context_econ'!$B$285:$C$285</c:f>
              <c:numCache>
                <c:formatCode>0%</c:formatCode>
                <c:ptCount val="2"/>
                <c:pt idx="0">
                  <c:v>0.2355895093843299</c:v>
                </c:pt>
                <c:pt idx="1">
                  <c:v>0.19</c:v>
                </c:pt>
              </c:numCache>
            </c:numRef>
          </c:val>
          <c:extLst>
            <c:ext xmlns:c16="http://schemas.microsoft.com/office/drawing/2014/chart" uri="{C3380CC4-5D6E-409C-BE32-E72D297353CC}">
              <c16:uniqueId val="{00000008-C501-C747-9841-DAFCD31DE054}"/>
            </c:ext>
          </c:extLst>
        </c:ser>
        <c:ser>
          <c:idx val="3"/>
          <c:order val="3"/>
          <c:tx>
            <c:strRef>
              <c:f>'1_Context_econ'!$A$286</c:f>
              <c:strCache>
                <c:ptCount val="1"/>
                <c:pt idx="0">
                  <c:v>Impôts sur le revenu des personnes physiques</c:v>
                </c:pt>
              </c:strCache>
            </c:strRef>
          </c:tx>
          <c:spPr>
            <a:solidFill>
              <a:schemeClr val="accent4"/>
            </a:solidFill>
            <a:ln>
              <a:noFill/>
            </a:ln>
            <a:effectLst/>
          </c:spPr>
          <c:invertIfNegative val="0"/>
          <c:dLbls>
            <c:dLbl>
              <c:idx val="0"/>
              <c:layout>
                <c:manualLayout>
                  <c:x val="1.7094017094017129E-3"/>
                  <c:y val="-9.3750000000000361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01-C747-9841-DAFCD31DE054}"/>
                </c:ext>
              </c:extLst>
            </c:dLbl>
            <c:dLbl>
              <c:idx val="1"/>
              <c:layout>
                <c:manualLayout>
                  <c:x val="-2.3206137694326751E-3"/>
                  <c:y val="-6.2500000000000116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501-C747-9841-DAFCD31DE0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'1_Context_econ'!$B$282:$C$282</c:f>
              <c:strCache>
                <c:ptCount val="2"/>
                <c:pt idx="0">
                  <c:v>Mauritanie</c:v>
                </c:pt>
                <c:pt idx="1">
                  <c:v>Moyenne Afrique (31 pays)</c:v>
                </c:pt>
              </c:strCache>
            </c:strRef>
          </c:cat>
          <c:val>
            <c:numRef>
              <c:f>'1_Context_econ'!$B$286:$C$286</c:f>
              <c:numCache>
                <c:formatCode>0%</c:formatCode>
                <c:ptCount val="2"/>
                <c:pt idx="0">
                  <c:v>0.1505786216523835</c:v>
                </c:pt>
                <c:pt idx="1">
                  <c:v>0.18000000000000024</c:v>
                </c:pt>
              </c:numCache>
            </c:numRef>
          </c:val>
          <c:extLst>
            <c:ext xmlns:c16="http://schemas.microsoft.com/office/drawing/2014/chart" uri="{C3380CC4-5D6E-409C-BE32-E72D297353CC}">
              <c16:uniqueId val="{0000000B-C501-C747-9841-DAFCD31DE054}"/>
            </c:ext>
          </c:extLst>
        </c:ser>
        <c:ser>
          <c:idx val="4"/>
          <c:order val="4"/>
          <c:tx>
            <c:strRef>
              <c:f>'1_Context_econ'!$A$287</c:f>
              <c:strCache>
                <c:ptCount val="1"/>
                <c:pt idx="0">
                  <c:v>Cotisations de sécurité sociale (CNAM + CNSS)</c:v>
                </c:pt>
              </c:strCache>
            </c:strRef>
          </c:tx>
          <c:spPr>
            <a:solidFill>
              <a:schemeClr val="accent5"/>
            </a:solidFill>
            <a:ln>
              <a:noFill/>
            </a:ln>
            <a:effectLst/>
          </c:spPr>
          <c:invertIfNegative val="0"/>
          <c:dLbls>
            <c:dLbl>
              <c:idx val="0"/>
              <c:layout>
                <c:manualLayout>
                  <c:x val="0"/>
                  <c:y val="-2.87201599800024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501-C747-9841-DAFCD31DE054}"/>
                </c:ext>
              </c:extLst>
            </c:dLbl>
            <c:dLbl>
              <c:idx val="1"/>
              <c:layout>
                <c:manualLayout>
                  <c:x val="0"/>
                  <c:y val="-2.81250000000000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501-C747-9841-DAFCD31DE05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'1_Context_econ'!$B$282:$C$282</c:f>
              <c:strCache>
                <c:ptCount val="2"/>
                <c:pt idx="0">
                  <c:v>Mauritanie</c:v>
                </c:pt>
                <c:pt idx="1">
                  <c:v>Moyenne Afrique (31 pays)</c:v>
                </c:pt>
              </c:strCache>
            </c:strRef>
          </c:cat>
          <c:val>
            <c:numRef>
              <c:f>'1_Context_econ'!$B$287:$C$287</c:f>
              <c:numCache>
                <c:formatCode>0%</c:formatCode>
                <c:ptCount val="2"/>
                <c:pt idx="0">
                  <c:v>5.4391329088255592E-2</c:v>
                </c:pt>
                <c:pt idx="1">
                  <c:v>8.0000000000000043E-2</c:v>
                </c:pt>
              </c:numCache>
            </c:numRef>
          </c:val>
          <c:extLst>
            <c:ext xmlns:c16="http://schemas.microsoft.com/office/drawing/2014/chart" uri="{C3380CC4-5D6E-409C-BE32-E72D297353CC}">
              <c16:uniqueId val="{0000000E-C501-C747-9841-DAFCD31DE054}"/>
            </c:ext>
          </c:extLst>
        </c:ser>
        <c:ser>
          <c:idx val="5"/>
          <c:order val="5"/>
          <c:tx>
            <c:strRef>
              <c:f>'1_Context_econ'!$A$288</c:f>
              <c:strCache>
                <c:ptCount val="1"/>
                <c:pt idx="0">
                  <c:v>Autres taxes</c:v>
                </c:pt>
              </c:strCache>
            </c:strRef>
          </c:tx>
          <c:spPr>
            <a:solidFill>
              <a:schemeClr val="accent6"/>
            </a:solidFill>
            <a:ln>
              <a:noFill/>
            </a:ln>
            <a:effectLst/>
          </c:spPr>
          <c:invertIfNegative val="0"/>
          <c:dLbls>
            <c:dLbl>
              <c:idx val="0"/>
              <c:layout>
                <c:manualLayout>
                  <c:x val="-6.4102564102564204E-3"/>
                  <c:y val="2.78771403574554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501-C747-9841-DAFCD31DE054}"/>
                </c:ext>
              </c:extLst>
            </c:dLbl>
            <c:dLbl>
              <c:idx val="1"/>
              <c:layout>
                <c:manualLayout>
                  <c:x val="-1.7094017094017129E-3"/>
                  <c:y val="3.1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501-C747-9841-DAFCD31DE05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'1_Context_econ'!$B$282:$C$282</c:f>
              <c:strCache>
                <c:ptCount val="2"/>
                <c:pt idx="0">
                  <c:v>Mauritanie</c:v>
                </c:pt>
                <c:pt idx="1">
                  <c:v>Moyenne Afrique (31 pays)</c:v>
                </c:pt>
              </c:strCache>
            </c:strRef>
          </c:cat>
          <c:val>
            <c:numRef>
              <c:f>'1_Context_econ'!$B$288:$C$288</c:f>
              <c:numCache>
                <c:formatCode>0%</c:formatCode>
                <c:ptCount val="2"/>
                <c:pt idx="0">
                  <c:v>3.1927848099462279E-3</c:v>
                </c:pt>
                <c:pt idx="1">
                  <c:v>4.0000000000000022E-2</c:v>
                </c:pt>
              </c:numCache>
            </c:numRef>
          </c:val>
          <c:extLst>
            <c:ext xmlns:c16="http://schemas.microsoft.com/office/drawing/2014/chart" uri="{C3380CC4-5D6E-409C-BE32-E72D297353CC}">
              <c16:uniqueId val="{00000011-C501-C747-9841-DAFCD31DE054}"/>
            </c:ext>
          </c:extLst>
        </c:ser>
        <c:dLbls>
          <c:showLegendKey val="0"/>
          <c:showVal val="1"/>
          <c:showCatName val="0"/>
          <c:showSerName val="0"/>
          <c:showPercent val="0"/>
          <c:showBubbleSize val="0"/>
        </c:dLbls>
        <c:gapWidth val="75"/>
        <c:overlap val="100"/>
        <c:axId val="84006400"/>
        <c:axId val="84007936"/>
      </c:barChart>
      <c:catAx>
        <c:axId val="84006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j-lt"/>
                <a:ea typeface="+mn-ea"/>
                <a:cs typeface="+mn-cs"/>
              </a:defRPr>
            </a:pPr>
            <a:endParaRPr lang="fr-FR"/>
          </a:p>
        </c:txPr>
        <c:crossAx val="84007936"/>
        <c:crosses val="autoZero"/>
        <c:auto val="1"/>
        <c:lblAlgn val="ctr"/>
        <c:lblOffset val="100"/>
        <c:noMultiLvlLbl val="0"/>
      </c:catAx>
      <c:valAx>
        <c:axId val="8400793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fr-FR"/>
          </a:p>
        </c:txPr>
        <c:crossAx val="8400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j-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00989375812237E-2"/>
          <c:y val="0.19634031974006333"/>
          <c:w val="0.90504718901881331"/>
          <c:h val="0.70888352039392166"/>
        </c:manualLayout>
      </c:layout>
      <c:lineChart>
        <c:grouping val="standard"/>
        <c:varyColors val="0"/>
        <c:ser>
          <c:idx val="0"/>
          <c:order val="0"/>
          <c:tx>
            <c:strRef>
              <c:f>'1_Context_econ'!$A$448</c:f>
              <c:strCache>
                <c:ptCount val="1"/>
                <c:pt idx="0">
                  <c:v>Mauritanie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'1_Context_econ'!$B$447:$O$447</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'1_Context_econ'!$B$448:$O$448</c:f>
              <c:numCache>
                <c:formatCode>0.0%</c:formatCode>
                <c:ptCount val="14"/>
                <c:pt idx="0">
                  <c:v>0.43900000000000067</c:v>
                </c:pt>
                <c:pt idx="1">
                  <c:v>0.38800000000000073</c:v>
                </c:pt>
                <c:pt idx="2">
                  <c:v>0.3930000000000009</c:v>
                </c:pt>
                <c:pt idx="3">
                  <c:v>0.4</c:v>
                </c:pt>
                <c:pt idx="4">
                  <c:v>0.48500000000000032</c:v>
                </c:pt>
                <c:pt idx="5">
                  <c:v>0.58700000000000008</c:v>
                </c:pt>
                <c:pt idx="6">
                  <c:v>0.56600000000000061</c:v>
                </c:pt>
                <c:pt idx="7">
                  <c:v>0.54799999999999993</c:v>
                </c:pt>
                <c:pt idx="8">
                  <c:v>0.57900000000000063</c:v>
                </c:pt>
                <c:pt idx="9">
                  <c:v>0.55700000000000005</c:v>
                </c:pt>
                <c:pt idx="10">
                  <c:v>0.55799999999999994</c:v>
                </c:pt>
                <c:pt idx="11">
                  <c:v>0.50900000000000001</c:v>
                </c:pt>
                <c:pt idx="12">
                  <c:v>0.47700000000000031</c:v>
                </c:pt>
                <c:pt idx="13">
                  <c:v>0.47900000000000031</c:v>
                </c:pt>
              </c:numCache>
            </c:numRef>
          </c:val>
          <c:smooth val="0"/>
          <c:extLst>
            <c:ext xmlns:c16="http://schemas.microsoft.com/office/drawing/2014/chart" uri="{C3380CC4-5D6E-409C-BE32-E72D297353CC}">
              <c16:uniqueId val="{00000000-5EF0-46CD-960D-4F6190F35D16}"/>
            </c:ext>
          </c:extLst>
        </c:ser>
        <c:ser>
          <c:idx val="1"/>
          <c:order val="1"/>
          <c:tx>
            <c:strRef>
              <c:f>'1_Context_econ'!$A$449</c:f>
              <c:strCache>
                <c:ptCount val="1"/>
                <c:pt idx="0">
                  <c:v>Afrique subsaharienne (Région)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'1_Context_econ'!$B$447:$O$447</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'1_Context_econ'!$B$449:$O$449</c:f>
              <c:numCache>
                <c:formatCode>0.0%</c:formatCode>
                <c:ptCount val="14"/>
                <c:pt idx="0">
                  <c:v>0.28000000000000008</c:v>
                </c:pt>
                <c:pt idx="1">
                  <c:v>0.29900000000000032</c:v>
                </c:pt>
                <c:pt idx="2">
                  <c:v>0.30400000000000038</c:v>
                </c:pt>
                <c:pt idx="3">
                  <c:v>0.32100000000000073</c:v>
                </c:pt>
                <c:pt idx="4">
                  <c:v>0.33500000000000091</c:v>
                </c:pt>
                <c:pt idx="5">
                  <c:v>0.39700000000000091</c:v>
                </c:pt>
                <c:pt idx="6">
                  <c:v>0.45100000000000001</c:v>
                </c:pt>
                <c:pt idx="7">
                  <c:v>0.47700000000000031</c:v>
                </c:pt>
                <c:pt idx="8">
                  <c:v>0.49800000000000066</c:v>
                </c:pt>
                <c:pt idx="9">
                  <c:v>0.52600000000000002</c:v>
                </c:pt>
                <c:pt idx="10">
                  <c:v>0.61400000000000132</c:v>
                </c:pt>
                <c:pt idx="11">
                  <c:v>0.58899999999999997</c:v>
                </c:pt>
                <c:pt idx="12">
                  <c:v>0.57900000000000063</c:v>
                </c:pt>
                <c:pt idx="13">
                  <c:v>0.57500000000000062</c:v>
                </c:pt>
              </c:numCache>
            </c:numRef>
          </c:val>
          <c:smooth val="0"/>
          <c:extLst>
            <c:ext xmlns:c16="http://schemas.microsoft.com/office/drawing/2014/chart" uri="{C3380CC4-5D6E-409C-BE32-E72D297353CC}">
              <c16:uniqueId val="{00000001-5EF0-46CD-960D-4F6190F35D16}"/>
            </c:ext>
          </c:extLst>
        </c:ser>
        <c:dLbls>
          <c:showLegendKey val="0"/>
          <c:showVal val="0"/>
          <c:showCatName val="0"/>
          <c:showSerName val="0"/>
          <c:showPercent val="0"/>
          <c:showBubbleSize val="0"/>
        </c:dLbls>
        <c:marker val="1"/>
        <c:smooth val="0"/>
        <c:axId val="83063936"/>
        <c:axId val="83065472"/>
      </c:lineChart>
      <c:catAx>
        <c:axId val="8306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fr-FR"/>
          </a:p>
        </c:txPr>
        <c:crossAx val="83065472"/>
        <c:crosses val="autoZero"/>
        <c:auto val="1"/>
        <c:lblAlgn val="ctr"/>
        <c:lblOffset val="100"/>
        <c:noMultiLvlLbl val="0"/>
      </c:catAx>
      <c:valAx>
        <c:axId val="83065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fr-FR"/>
          </a:p>
        </c:txPr>
        <c:crossAx val="8306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7F-DD41-8EA9-79E06043932E}"/>
              </c:ext>
            </c:extLst>
          </c:dPt>
          <c:dPt>
            <c:idx val="1"/>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3-607F-DD41-8EA9-79E0604393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7F-DD41-8EA9-79E06043932E}"/>
              </c:ext>
            </c:extLst>
          </c:dPt>
          <c:dLbls>
            <c:dLbl>
              <c:idx val="0"/>
              <c:layout>
                <c:manualLayout>
                  <c:x val="2.089992715668245E-2"/>
                  <c:y val="7.4140727089964817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r>
                      <a:rPr lang="en-US"/>
                      <a:t>CNAM</a:t>
                    </a:r>
                    <a:r>
                      <a:rPr lang="en-US" baseline="0"/>
                      <a:t> secteur formel </a:t>
                    </a:r>
                    <a:r>
                      <a:rPr lang="en-US"/>
                      <a:t>16%</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07F-DD41-8EA9-79E06043932E}"/>
                </c:ext>
              </c:extLst>
            </c:dLbl>
            <c:dLbl>
              <c:idx val="1"/>
              <c:layout>
                <c:manualLayout>
                  <c:x val="2.4211176246141039E-2"/>
                  <c:y val="4.2716367900821159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j-lt"/>
                        <a:ea typeface="+mn-ea"/>
                        <a:cs typeface="+mn-cs"/>
                      </a:defRPr>
                    </a:pPr>
                    <a:r>
                      <a:rPr lang="en-US"/>
                      <a:t>CNAM (Indigents et Taazour)</a:t>
                    </a:r>
                    <a:r>
                      <a:rPr lang="en-US" baseline="0"/>
                      <a:t>
14%</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07F-DD41-8EA9-79E06043932E}"/>
                </c:ext>
              </c:extLst>
            </c:dLbl>
            <c:dLbl>
              <c:idx val="2"/>
              <c:layout>
                <c:manualLayout>
                  <c:x val="-1.7818723029209522E-2"/>
                  <c:y val="-0.11998961300050268"/>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j-lt"/>
                        <a:ea typeface="+mn-ea"/>
                        <a:cs typeface="+mn-cs"/>
                      </a:defRPr>
                    </a:pPr>
                    <a:fld id="{E798B3CC-948D-4F14-A1A8-9D45F0601AB2}" type="CATEGORYNAME">
                      <a:rPr lang="en-US"/>
                      <a:pPr>
                        <a:defRPr sz="1050" b="0" i="0" u="none" strike="noStrike" kern="1200" baseline="0">
                          <a:solidFill>
                            <a:schemeClr val="tx1">
                              <a:lumMod val="75000"/>
                              <a:lumOff val="25000"/>
                            </a:schemeClr>
                          </a:solidFill>
                          <a:latin typeface="+mj-lt"/>
                          <a:ea typeface="+mn-ea"/>
                          <a:cs typeface="+mn-cs"/>
                        </a:defRPr>
                      </a:pPr>
                      <a:t>[CATEGORY NAME]</a:t>
                    </a:fld>
                    <a:r>
                      <a:rPr lang="en-US" baseline="0"/>
                      <a:t>
70%</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07F-DD41-8EA9-79E06043932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'3_Pools'!$A$52:$A$54</c:f>
              <c:strCache>
                <c:ptCount val="3"/>
                <c:pt idx="0">
                  <c:v>CNAM (fonctionnaires &amp; parapublic)</c:v>
                </c:pt>
                <c:pt idx="1">
                  <c:v>CNAM (Indigents Taazour)</c:v>
                </c:pt>
                <c:pt idx="2">
                  <c:v>Sans-couverture</c:v>
                </c:pt>
              </c:strCache>
            </c:strRef>
          </c:cat>
          <c:val>
            <c:numRef>
              <c:f>'3_Pools'!$B$52:$B$54</c:f>
              <c:numCache>
                <c:formatCode>0%</c:formatCode>
                <c:ptCount val="3"/>
                <c:pt idx="0">
                  <c:v>0.15000000000000024</c:v>
                </c:pt>
                <c:pt idx="1">
                  <c:v>0.14035615368580626</c:v>
                </c:pt>
                <c:pt idx="2">
                  <c:v>0.71000000000000063</c:v>
                </c:pt>
              </c:numCache>
            </c:numRef>
          </c:val>
          <c:extLst>
            <c:ext xmlns:c16="http://schemas.microsoft.com/office/drawing/2014/chart" uri="{C3380CC4-5D6E-409C-BE32-E72D297353CC}">
              <c16:uniqueId val="{00000006-607F-DD41-8EA9-79E06043932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'4_Alloc$_Achat'!$C$934</c:f>
              <c:strCache>
                <c:ptCount val="1"/>
                <c:pt idx="0">
                  <c:v>Part budget aux hôpitaux</c:v>
                </c:pt>
              </c:strCache>
            </c:strRef>
          </c:tx>
          <c:spPr>
            <a:solidFill>
              <a:schemeClr val="accent1"/>
            </a:solidFill>
            <a:ln>
              <a:noFill/>
            </a:ln>
            <a:effectLst/>
          </c:spPr>
          <c:invertIfNegative val="0"/>
          <c:dPt>
            <c:idx val="13"/>
            <c:invertIfNegative val="0"/>
            <c:bubble3D val="0"/>
            <c:spPr>
              <a:solidFill>
                <a:schemeClr val="accent1">
                  <a:lumMod val="75000"/>
                </a:schemeClr>
              </a:solidFill>
              <a:ln>
                <a:noFill/>
              </a:ln>
              <a:effectLst/>
            </c:spPr>
            <c:extLst>
              <c:ext xmlns:c16="http://schemas.microsoft.com/office/drawing/2014/chart" uri="{C3380CC4-5D6E-409C-BE32-E72D297353CC}">
                <c16:uniqueId val="{00000001-2069-7A47-9DF3-05887FE3E2AD}"/>
              </c:ext>
            </c:extLst>
          </c:dPt>
          <c:cat>
            <c:strRef>
              <c:f>'4_Alloc$_Achat'!$B$935:$B$948</c:f>
              <c:strCache>
                <c:ptCount val="14"/>
                <c:pt idx="0">
                  <c:v>Adrar</c:v>
                </c:pt>
                <c:pt idx="1">
                  <c:v>Assaba</c:v>
                </c:pt>
                <c:pt idx="2">
                  <c:v>Brakna</c:v>
                </c:pt>
                <c:pt idx="3">
                  <c:v>Dakhlett Nouardhibou</c:v>
                </c:pt>
                <c:pt idx="4">
                  <c:v>Gorgol</c:v>
                </c:pt>
                <c:pt idx="5">
                  <c:v>Guidimagha</c:v>
                </c:pt>
                <c:pt idx="6">
                  <c:v>Hodh El charghi</c:v>
                </c:pt>
                <c:pt idx="7">
                  <c:v>Hodh El Gharbi</c:v>
                </c:pt>
                <c:pt idx="8">
                  <c:v>Inchiri</c:v>
                </c:pt>
                <c:pt idx="9">
                  <c:v>Nouakchott (Nord, Ouest, Sud)</c:v>
                </c:pt>
                <c:pt idx="10">
                  <c:v>Tagant</c:v>
                </c:pt>
                <c:pt idx="11">
                  <c:v>Tiris Zemmour</c:v>
                </c:pt>
                <c:pt idx="12">
                  <c:v>Trarza</c:v>
                </c:pt>
                <c:pt idx="13">
                  <c:v>Moyenne nationale</c:v>
                </c:pt>
              </c:strCache>
            </c:strRef>
          </c:cat>
          <c:val>
            <c:numRef>
              <c:f>'4_Alloc$_Achat'!$C$935:$C$948</c:f>
              <c:numCache>
                <c:formatCode>0%</c:formatCode>
                <c:ptCount val="14"/>
                <c:pt idx="0">
                  <c:v>0.66480202620214746</c:v>
                </c:pt>
                <c:pt idx="1">
                  <c:v>0.71837822484387781</c:v>
                </c:pt>
                <c:pt idx="2">
                  <c:v>0.58981805285098654</c:v>
                </c:pt>
                <c:pt idx="3">
                  <c:v>0.94227338146699957</c:v>
                </c:pt>
                <c:pt idx="4">
                  <c:v>0.64086925357516666</c:v>
                </c:pt>
                <c:pt idx="5">
                  <c:v>0.60200565807566464</c:v>
                </c:pt>
                <c:pt idx="6">
                  <c:v>0.42152444917059001</c:v>
                </c:pt>
                <c:pt idx="7">
                  <c:v>0.53580525601140738</c:v>
                </c:pt>
                <c:pt idx="8">
                  <c:v>0.79080953344274285</c:v>
                </c:pt>
                <c:pt idx="9">
                  <c:v>0.96091934308719962</c:v>
                </c:pt>
                <c:pt idx="10">
                  <c:v>0.62740926662003726</c:v>
                </c:pt>
                <c:pt idx="11">
                  <c:v>0.82104771745434313</c:v>
                </c:pt>
                <c:pt idx="12">
                  <c:v>0.64149166056393314</c:v>
                </c:pt>
                <c:pt idx="13">
                  <c:v>0.81579776678500771</c:v>
                </c:pt>
              </c:numCache>
            </c:numRef>
          </c:val>
          <c:extLst>
            <c:ext xmlns:c16="http://schemas.microsoft.com/office/drawing/2014/chart" uri="{C3380CC4-5D6E-409C-BE32-E72D297353CC}">
              <c16:uniqueId val="{00000002-2069-7A47-9DF3-05887FE3E2AD}"/>
            </c:ext>
          </c:extLst>
        </c:ser>
        <c:ser>
          <c:idx val="1"/>
          <c:order val="1"/>
          <c:tx>
            <c:strRef>
              <c:f>'4_Alloc$_Achat'!$D$934</c:f>
              <c:strCache>
                <c:ptCount val="1"/>
                <c:pt idx="0">
                  <c:v>Part budget aux Circ.San. et CS</c:v>
                </c:pt>
              </c:strCache>
            </c:strRef>
          </c:tx>
          <c:spPr>
            <a:solidFill>
              <a:schemeClr val="accent6">
                <a:lumMod val="60000"/>
                <a:lumOff val="40000"/>
              </a:schemeClr>
            </a:solidFill>
            <a:ln>
              <a:solidFill>
                <a:schemeClr val="bg1"/>
              </a:solidFill>
            </a:ln>
            <a:effectLst/>
          </c:spPr>
          <c:invertIfNegative val="0"/>
          <c:dPt>
            <c:idx val="13"/>
            <c:invertIfNegative val="0"/>
            <c:bubble3D val="0"/>
            <c:spPr>
              <a:solidFill>
                <a:schemeClr val="accent6">
                  <a:lumMod val="75000"/>
                </a:schemeClr>
              </a:solidFill>
              <a:ln>
                <a:solidFill>
                  <a:schemeClr val="bg1"/>
                </a:solidFill>
              </a:ln>
              <a:effectLst/>
            </c:spPr>
            <c:extLst>
              <c:ext xmlns:c16="http://schemas.microsoft.com/office/drawing/2014/chart" uri="{C3380CC4-5D6E-409C-BE32-E72D297353CC}">
                <c16:uniqueId val="{00000004-2069-7A47-9DF3-05887FE3E2AD}"/>
              </c:ext>
            </c:extLst>
          </c:dPt>
          <c:cat>
            <c:strRef>
              <c:f>'4_Alloc$_Achat'!$B$935:$B$948</c:f>
              <c:strCache>
                <c:ptCount val="14"/>
                <c:pt idx="0">
                  <c:v>Adrar</c:v>
                </c:pt>
                <c:pt idx="1">
                  <c:v>Assaba</c:v>
                </c:pt>
                <c:pt idx="2">
                  <c:v>Brakna</c:v>
                </c:pt>
                <c:pt idx="3">
                  <c:v>Dakhlett Nouardhibou</c:v>
                </c:pt>
                <c:pt idx="4">
                  <c:v>Gorgol</c:v>
                </c:pt>
                <c:pt idx="5">
                  <c:v>Guidimagha</c:v>
                </c:pt>
                <c:pt idx="6">
                  <c:v>Hodh El charghi</c:v>
                </c:pt>
                <c:pt idx="7">
                  <c:v>Hodh El Gharbi</c:v>
                </c:pt>
                <c:pt idx="8">
                  <c:v>Inchiri</c:v>
                </c:pt>
                <c:pt idx="9">
                  <c:v>Nouakchott (Nord, Ouest, Sud)</c:v>
                </c:pt>
                <c:pt idx="10">
                  <c:v>Tagant</c:v>
                </c:pt>
                <c:pt idx="11">
                  <c:v>Tiris Zemmour</c:v>
                </c:pt>
                <c:pt idx="12">
                  <c:v>Trarza</c:v>
                </c:pt>
                <c:pt idx="13">
                  <c:v>Moyenne nationale</c:v>
                </c:pt>
              </c:strCache>
            </c:strRef>
          </c:cat>
          <c:val>
            <c:numRef>
              <c:f>'4_Alloc$_Achat'!$D$935:$D$948</c:f>
              <c:numCache>
                <c:formatCode>0%</c:formatCode>
                <c:ptCount val="14"/>
                <c:pt idx="0">
                  <c:v>0.33519797379785476</c:v>
                </c:pt>
                <c:pt idx="1">
                  <c:v>0.2816217751561233</c:v>
                </c:pt>
                <c:pt idx="2">
                  <c:v>0.41018194714901401</c:v>
                </c:pt>
                <c:pt idx="3">
                  <c:v>5.7726618532999714E-2</c:v>
                </c:pt>
                <c:pt idx="4">
                  <c:v>0.35913074642483506</c:v>
                </c:pt>
                <c:pt idx="5">
                  <c:v>0.39799434192433686</c:v>
                </c:pt>
                <c:pt idx="6">
                  <c:v>0.5784755508294106</c:v>
                </c:pt>
                <c:pt idx="7">
                  <c:v>0.46419474398859378</c:v>
                </c:pt>
                <c:pt idx="8">
                  <c:v>0.20919046655725745</c:v>
                </c:pt>
                <c:pt idx="9">
                  <c:v>3.9080656912800674E-2</c:v>
                </c:pt>
                <c:pt idx="10">
                  <c:v>0.3725907333799649</c:v>
                </c:pt>
                <c:pt idx="11">
                  <c:v>0.17895228254565812</c:v>
                </c:pt>
                <c:pt idx="12">
                  <c:v>0.35850833943606797</c:v>
                </c:pt>
                <c:pt idx="13">
                  <c:v>0.18420223321499277</c:v>
                </c:pt>
              </c:numCache>
            </c:numRef>
          </c:val>
          <c:extLst>
            <c:ext xmlns:c16="http://schemas.microsoft.com/office/drawing/2014/chart" uri="{C3380CC4-5D6E-409C-BE32-E72D297353CC}">
              <c16:uniqueId val="{00000005-2069-7A47-9DF3-05887FE3E2AD}"/>
            </c:ext>
          </c:extLst>
        </c:ser>
        <c:dLbls>
          <c:showLegendKey val="0"/>
          <c:showVal val="0"/>
          <c:showCatName val="0"/>
          <c:showSerName val="0"/>
          <c:showPercent val="0"/>
          <c:showBubbleSize val="0"/>
        </c:dLbls>
        <c:gapWidth val="61"/>
        <c:overlap val="100"/>
        <c:axId val="91592576"/>
        <c:axId val="91594112"/>
      </c:barChart>
      <c:catAx>
        <c:axId val="91592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fr-FR"/>
          </a:p>
        </c:txPr>
        <c:crossAx val="91594112"/>
        <c:crosses val="autoZero"/>
        <c:auto val="1"/>
        <c:lblAlgn val="ctr"/>
        <c:lblOffset val="100"/>
        <c:noMultiLvlLbl val="0"/>
      </c:catAx>
      <c:valAx>
        <c:axId val="915941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159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'4_Alloc$_Achat'!$C$452</c:f>
              <c:strCache>
                <c:ptCount val="1"/>
                <c:pt idx="0">
                  <c:v>Soins curatifs</c:v>
                </c:pt>
              </c:strCache>
            </c:strRef>
          </c:tx>
          <c:spPr>
            <a:solidFill>
              <a:schemeClr val="accent1"/>
            </a:solidFill>
            <a:ln>
              <a:noFill/>
            </a:ln>
            <a:effectLst/>
          </c:spPr>
          <c:invertIfNegative val="0"/>
          <c:dLbls>
            <c:dLbl>
              <c:idx val="1"/>
              <c:layout>
                <c:manualLayout>
                  <c:x val="1.27750177430802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38-894B-8B9E-1DAE69394AD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'4_Alloc$_Achat'!$B$453:$B$455</c:f>
              <c:strCache>
                <c:ptCount val="3"/>
                <c:pt idx="0">
                  <c:v>État</c:v>
                </c:pt>
                <c:pt idx="1">
                  <c:v>Extérieur</c:v>
                </c:pt>
                <c:pt idx="2">
                  <c:v>Privé</c:v>
                </c:pt>
              </c:strCache>
            </c:strRef>
          </c:cat>
          <c:val>
            <c:numRef>
              <c:f>'4_Alloc$_Achat'!$C$453:$C$455</c:f>
              <c:numCache>
                <c:formatCode>0%</c:formatCode>
                <c:ptCount val="3"/>
                <c:pt idx="0">
                  <c:v>0.28488598540025323</c:v>
                </c:pt>
                <c:pt idx="1">
                  <c:v>4.3852986020978223E-3</c:v>
                </c:pt>
                <c:pt idx="2">
                  <c:v>0.21415829833477276</c:v>
                </c:pt>
              </c:numCache>
            </c:numRef>
          </c:val>
          <c:extLst>
            <c:ext xmlns:c16="http://schemas.microsoft.com/office/drawing/2014/chart" uri="{C3380CC4-5D6E-409C-BE32-E72D297353CC}">
              <c16:uniqueId val="{00000001-2C38-894B-8B9E-1DAE69394ADD}"/>
            </c:ext>
          </c:extLst>
        </c:ser>
        <c:ser>
          <c:idx val="1"/>
          <c:order val="1"/>
          <c:tx>
            <c:strRef>
              <c:f>'4_Alloc$_Achat'!$D$452</c:f>
              <c:strCache>
                <c:ptCount val="1"/>
                <c:pt idx="0">
                  <c:v>Soins préventifs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'4_Alloc$_Achat'!$B$453:$B$455</c:f>
              <c:strCache>
                <c:ptCount val="3"/>
                <c:pt idx="0">
                  <c:v>État</c:v>
                </c:pt>
                <c:pt idx="1">
                  <c:v>Extérieur</c:v>
                </c:pt>
                <c:pt idx="2">
                  <c:v>Privé</c:v>
                </c:pt>
              </c:strCache>
            </c:strRef>
          </c:cat>
          <c:val>
            <c:numRef>
              <c:f>'4_Alloc$_Achat'!$D$453:$D$455</c:f>
              <c:numCache>
                <c:formatCode>0%</c:formatCode>
                <c:ptCount val="3"/>
                <c:pt idx="0">
                  <c:v>2.3891456099902147E-2</c:v>
                </c:pt>
                <c:pt idx="1">
                  <c:v>0.85686991209827024</c:v>
                </c:pt>
                <c:pt idx="2">
                  <c:v>1.527807284605814E-2</c:v>
                </c:pt>
              </c:numCache>
            </c:numRef>
          </c:val>
          <c:extLst>
            <c:ext xmlns:c16="http://schemas.microsoft.com/office/drawing/2014/chart" uri="{C3380CC4-5D6E-409C-BE32-E72D297353CC}">
              <c16:uniqueId val="{00000002-2C38-894B-8B9E-1DAE69394ADD}"/>
            </c:ext>
          </c:extLst>
        </c:ser>
        <c:ser>
          <c:idx val="2"/>
          <c:order val="2"/>
          <c:tx>
            <c:strRef>
              <c:f>'4_Alloc$_Achat'!$E$452</c:f>
              <c:strCache>
                <c:ptCount val="1"/>
                <c:pt idx="0">
                  <c:v>Produits médicaux</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'4_Alloc$_Achat'!$B$453:$B$455</c:f>
              <c:strCache>
                <c:ptCount val="3"/>
                <c:pt idx="0">
                  <c:v>État</c:v>
                </c:pt>
                <c:pt idx="1">
                  <c:v>Extérieur</c:v>
                </c:pt>
                <c:pt idx="2">
                  <c:v>Privé</c:v>
                </c:pt>
              </c:strCache>
            </c:strRef>
          </c:cat>
          <c:val>
            <c:numRef>
              <c:f>'4_Alloc$_Achat'!$E$453:$E$455</c:f>
              <c:numCache>
                <c:formatCode>0%</c:formatCode>
                <c:ptCount val="3"/>
                <c:pt idx="0">
                  <c:v>4.8668687499127006E-2</c:v>
                </c:pt>
                <c:pt idx="1">
                  <c:v>0</c:v>
                </c:pt>
                <c:pt idx="2">
                  <c:v>0.43182041865276316</c:v>
                </c:pt>
              </c:numCache>
            </c:numRef>
          </c:val>
          <c:extLst>
            <c:ext xmlns:c16="http://schemas.microsoft.com/office/drawing/2014/chart" uri="{C3380CC4-5D6E-409C-BE32-E72D297353CC}">
              <c16:uniqueId val="{00000003-2C38-894B-8B9E-1DAE69394ADD}"/>
            </c:ext>
          </c:extLst>
        </c:ser>
        <c:ser>
          <c:idx val="3"/>
          <c:order val="3"/>
          <c:tx>
            <c:strRef>
              <c:f>'4_Alloc$_Achat'!$F$452</c:f>
              <c:strCache>
                <c:ptCount val="1"/>
                <c:pt idx="0">
                  <c:v>Gouvernance et admin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'4_Alloc$_Achat'!$B$453:$B$455</c:f>
              <c:strCache>
                <c:ptCount val="3"/>
                <c:pt idx="0">
                  <c:v>État</c:v>
                </c:pt>
                <c:pt idx="1">
                  <c:v>Extérieur</c:v>
                </c:pt>
                <c:pt idx="2">
                  <c:v>Privé</c:v>
                </c:pt>
              </c:strCache>
            </c:strRef>
          </c:cat>
          <c:val>
            <c:numRef>
              <c:f>'4_Alloc$_Achat'!$F$453:$F$455</c:f>
              <c:numCache>
                <c:formatCode>0%</c:formatCode>
                <c:ptCount val="3"/>
                <c:pt idx="0">
                  <c:v>0.51079302709953744</c:v>
                </c:pt>
                <c:pt idx="1">
                  <c:v>0.12240016370127005</c:v>
                </c:pt>
                <c:pt idx="2">
                  <c:v>5.6809605707999769E-2</c:v>
                </c:pt>
              </c:numCache>
            </c:numRef>
          </c:val>
          <c:extLst>
            <c:ext xmlns:c16="http://schemas.microsoft.com/office/drawing/2014/chart" uri="{C3380CC4-5D6E-409C-BE32-E72D297353CC}">
              <c16:uniqueId val="{00000004-2C38-894B-8B9E-1DAE69394ADD}"/>
            </c:ext>
          </c:extLst>
        </c:ser>
        <c:ser>
          <c:idx val="4"/>
          <c:order val="4"/>
          <c:tx>
            <c:strRef>
              <c:f>'4_Alloc$_Achat'!$G$452</c:f>
              <c:strCache>
                <c:ptCount val="1"/>
                <c:pt idx="0">
                  <c:v>Autres soins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j-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'4_Alloc$_Achat'!$B$453:$B$455</c:f>
              <c:strCache>
                <c:ptCount val="3"/>
                <c:pt idx="0">
                  <c:v>État</c:v>
                </c:pt>
                <c:pt idx="1">
                  <c:v>Extérieur</c:v>
                </c:pt>
                <c:pt idx="2">
                  <c:v>Privé</c:v>
                </c:pt>
              </c:strCache>
            </c:strRef>
          </c:cat>
          <c:val>
            <c:numRef>
              <c:f>'4_Alloc$_Achat'!$G$453:$G$455</c:f>
              <c:numCache>
                <c:formatCode>0%</c:formatCode>
                <c:ptCount val="3"/>
                <c:pt idx="0">
                  <c:v>0.13176084390118303</c:v>
                </c:pt>
                <c:pt idx="1">
                  <c:v>1.6344625598363707E-2</c:v>
                </c:pt>
                <c:pt idx="2">
                  <c:v>0.28193360445840743</c:v>
                </c:pt>
              </c:numCache>
            </c:numRef>
          </c:val>
          <c:extLst>
            <c:ext xmlns:c16="http://schemas.microsoft.com/office/drawing/2014/chart" uri="{C3380CC4-5D6E-409C-BE32-E72D297353CC}">
              <c16:uniqueId val="{00000005-2C38-894B-8B9E-1DAE69394ADD}"/>
            </c:ext>
          </c:extLst>
        </c:ser>
        <c:dLbls>
          <c:showLegendKey val="0"/>
          <c:showVal val="1"/>
          <c:showCatName val="0"/>
          <c:showSerName val="0"/>
          <c:showPercent val="0"/>
          <c:showBubbleSize val="0"/>
        </c:dLbls>
        <c:gapWidth val="75"/>
        <c:overlap val="100"/>
        <c:axId val="101091968"/>
        <c:axId val="101114240"/>
      </c:barChart>
      <c:catAx>
        <c:axId val="101091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j-lt"/>
                <a:ea typeface="+mn-ea"/>
                <a:cs typeface="+mn-cs"/>
              </a:defRPr>
            </a:pPr>
            <a:endParaRPr lang="fr-FR"/>
          </a:p>
        </c:txPr>
        <c:crossAx val="101114240"/>
        <c:crosses val="autoZero"/>
        <c:auto val="1"/>
        <c:lblAlgn val="ctr"/>
        <c:lblOffset val="100"/>
        <c:noMultiLvlLbl val="0"/>
      </c:catAx>
      <c:valAx>
        <c:axId val="10111424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fr-FR"/>
          </a:p>
        </c:txPr>
        <c:crossAx val="10109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93ED-E896-41E5-B6D8-11F2C22E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21396</Words>
  <Characters>117680</Characters>
  <Application>Microsoft Office Word</Application>
  <DocSecurity>0</DocSecurity>
  <Lines>980</Lines>
  <Paragraphs>277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SAMAHA Marine</dc:creator>
  <cp:lastModifiedBy>NKIERE MASHENI, Nicolas</cp:lastModifiedBy>
  <cp:revision>2</cp:revision>
  <cp:lastPrinted>2023-09-29T14:57:00Z</cp:lastPrinted>
  <dcterms:created xsi:type="dcterms:W3CDTF">2025-02-21T11:54:00Z</dcterms:created>
  <dcterms:modified xsi:type="dcterms:W3CDTF">2025-02-21T11:54:00Z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68396995-7a5f-389d-9724-bc6516859f8c</vt:lpwstr>
  </property>
  <property fmtid="{D5CDD505-2E9C-101B-9397-08002B2CF9AE}" pid="24" name="Mendeley Citation Style_1">
    <vt:lpwstr>http://www.zotero.org/styles/ieee</vt:lpwstr>
  </property>
</Properties>
</file>