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35" w:firstLine="0"/>
        <w:jc w:val="center"/>
        <w:rPr>
          <w:b w:val="1"/>
          <w:color w:val="000000"/>
          <w:sz w:val="32"/>
          <w:szCs w:val="32"/>
          <w:u w:val="single"/>
        </w:rPr>
      </w:pPr>
      <w:r w:rsidDel="00000000" w:rsidR="00000000" w:rsidRPr="00000000">
        <w:rPr>
          <w:b w:val="1"/>
          <w:color w:val="000000"/>
          <w:sz w:val="32"/>
          <w:szCs w:val="32"/>
          <w:u w:val="single"/>
          <w:rtl w:val="0"/>
        </w:rPr>
        <w:t xml:space="preserve">Joint Risk Assessment Workshops</w:t>
      </w:r>
    </w:p>
    <w:p w:rsidR="00000000" w:rsidDel="00000000" w:rsidP="00000000" w:rsidRDefault="00000000" w:rsidRPr="00000000" w14:paraId="00000002">
      <w:pPr>
        <w:pStyle w:val="Heading1"/>
        <w:spacing w:before="240" w:lineRule="auto"/>
        <w:ind w:left="2835" w:firstLine="0"/>
        <w:jc w:val="center"/>
        <w:rPr>
          <w:rFonts w:ascii="Calibri" w:cs="Calibri" w:eastAsia="Calibri" w:hAnsi="Calibri"/>
          <w:color w:val="000000"/>
          <w:sz w:val="32"/>
          <w:szCs w:val="32"/>
          <w:u w:val="single"/>
        </w:rPr>
      </w:pPr>
      <w:r w:rsidDel="00000000" w:rsidR="00000000" w:rsidRPr="00000000">
        <w:rPr>
          <w:rFonts w:ascii="Calibri" w:cs="Calibri" w:eastAsia="Calibri" w:hAnsi="Calibri"/>
          <w:color w:val="000000"/>
          <w:sz w:val="32"/>
          <w:szCs w:val="32"/>
          <w:u w:val="single"/>
          <w:rtl w:val="0"/>
        </w:rPr>
        <w:t xml:space="preserve">Planning and Logistics Guide</w:t>
      </w:r>
    </w:p>
    <w:p w:rsidR="00000000" w:rsidDel="00000000" w:rsidP="00000000" w:rsidRDefault="00000000" w:rsidRPr="00000000" w14:paraId="00000003">
      <w:pPr>
        <w:rPr>
          <w:sz w:val="20"/>
          <w:szCs w:val="20"/>
        </w:rPr>
      </w:pPr>
      <w:r w:rsidDel="00000000" w:rsidR="00000000" w:rsidRPr="00000000">
        <w:rPr>
          <w:rtl w:val="0"/>
        </w:rPr>
      </w:r>
    </w:p>
    <w:tbl>
      <w:tblPr>
        <w:tblStyle w:val="Table1"/>
        <w:tblW w:w="12950.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885"/>
        <w:gridCol w:w="11065"/>
        <w:tblGridChange w:id="0">
          <w:tblGrid>
            <w:gridCol w:w="1885"/>
            <w:gridCol w:w="11065"/>
          </w:tblGrid>
        </w:tblGridChange>
      </w:tblGrid>
      <w:tr>
        <w:trPr>
          <w:trHeight w:val="380" w:hRule="atLeast"/>
        </w:trPr>
        <w:tc>
          <w:tcPr>
            <w:vAlign w:val="center"/>
          </w:tcPr>
          <w:p w:rsidR="00000000" w:rsidDel="00000000" w:rsidP="00000000" w:rsidRDefault="00000000" w:rsidRPr="00000000" w14:paraId="00000004">
            <w:pPr>
              <w:rPr>
                <w:b w:val="1"/>
              </w:rPr>
            </w:pPr>
            <w:r w:rsidDel="00000000" w:rsidR="00000000" w:rsidRPr="00000000">
              <w:rPr>
                <w:b w:val="1"/>
                <w:sz w:val="32"/>
                <w:szCs w:val="32"/>
                <w:rtl w:val="0"/>
              </w:rPr>
              <w:t xml:space="preserve">Objectives</w:t>
            </w:r>
            <w:r w:rsidDel="00000000" w:rsidR="00000000" w:rsidRPr="00000000">
              <w:rPr>
                <w:rtl w:val="0"/>
              </w:rPr>
            </w:r>
          </w:p>
        </w:tc>
        <w:tc>
          <w:tcPr>
            <w:vAlign w:val="center"/>
          </w:tcPr>
          <w:p w:rsidR="00000000" w:rsidDel="00000000" w:rsidP="00000000" w:rsidRDefault="00000000" w:rsidRPr="00000000" w14:paraId="00000005">
            <w:pPr>
              <w:numPr>
                <w:ilvl w:val="0"/>
                <w:numId w:val="3"/>
              </w:numPr>
              <w:spacing w:after="80" w:before="80" w:lineRule="auto"/>
              <w:ind w:left="360" w:hanging="360"/>
              <w:rPr/>
            </w:pPr>
            <w:r w:rsidDel="00000000" w:rsidR="00000000" w:rsidRPr="00000000">
              <w:rPr>
                <w:rtl w:val="0"/>
              </w:rPr>
              <w:t xml:space="preserve">Familiarize the relevant technical and policy level personnel in the country with the Tripartite Joint Risk Assessment tool and process</w:t>
            </w:r>
          </w:p>
          <w:p w:rsidR="00000000" w:rsidDel="00000000" w:rsidP="00000000" w:rsidRDefault="00000000" w:rsidRPr="00000000" w14:paraId="00000006">
            <w:pPr>
              <w:numPr>
                <w:ilvl w:val="0"/>
                <w:numId w:val="3"/>
              </w:numPr>
              <w:spacing w:after="80" w:before="80" w:lineRule="auto"/>
              <w:ind w:left="360" w:hanging="360"/>
              <w:rPr/>
            </w:pPr>
            <w:r w:rsidDel="00000000" w:rsidR="00000000" w:rsidRPr="00000000">
              <w:rPr>
                <w:rtl w:val="0"/>
              </w:rPr>
              <w:t xml:space="preserve">Jointly conduct risk assessments for selected priority zoonotic disease hazards, and provide options for risk-based, coordinated management, and communication approaches </w:t>
            </w:r>
          </w:p>
          <w:p w:rsidR="00000000" w:rsidDel="00000000" w:rsidP="00000000" w:rsidRDefault="00000000" w:rsidRPr="00000000" w14:paraId="00000007">
            <w:pPr>
              <w:numPr>
                <w:ilvl w:val="0"/>
                <w:numId w:val="3"/>
              </w:numPr>
              <w:spacing w:after="80" w:before="80" w:lineRule="auto"/>
              <w:ind w:left="360" w:hanging="360"/>
              <w:rPr/>
            </w:pPr>
            <w:r w:rsidDel="00000000" w:rsidR="00000000" w:rsidRPr="00000000">
              <w:rPr>
                <w:rtl w:val="0"/>
              </w:rPr>
              <w:t xml:space="preserve">Enhance coordination and trust-building between the public health, animal health, and environment sectors and all other relevant sectors  </w:t>
            </w:r>
          </w:p>
          <w:p w:rsidR="00000000" w:rsidDel="00000000" w:rsidP="00000000" w:rsidRDefault="00000000" w:rsidRPr="00000000" w14:paraId="00000008">
            <w:pPr>
              <w:numPr>
                <w:ilvl w:val="0"/>
                <w:numId w:val="3"/>
              </w:numPr>
              <w:spacing w:after="80" w:before="80" w:lineRule="auto"/>
              <w:ind w:left="360" w:hanging="360"/>
              <w:rPr/>
            </w:pPr>
            <w:r w:rsidDel="00000000" w:rsidR="00000000" w:rsidRPr="00000000">
              <w:rPr>
                <w:rtl w:val="0"/>
              </w:rPr>
              <w:t xml:space="preserve">Facilitate formal and informal communication and information sharing among stakeholders</w:t>
            </w:r>
          </w:p>
          <w:p w:rsidR="00000000" w:rsidDel="00000000" w:rsidP="00000000" w:rsidRDefault="00000000" w:rsidRPr="00000000" w14:paraId="00000009">
            <w:pPr>
              <w:numPr>
                <w:ilvl w:val="0"/>
                <w:numId w:val="3"/>
              </w:numPr>
              <w:spacing w:after="80" w:before="80" w:lineRule="auto"/>
              <w:ind w:left="360" w:hanging="360"/>
              <w:rPr/>
            </w:pPr>
            <w:r w:rsidDel="00000000" w:rsidR="00000000" w:rsidRPr="00000000">
              <w:rPr>
                <w:rtl w:val="0"/>
              </w:rPr>
              <w:t xml:space="preserve">Advocate with policy makers for sustainability of JRA in the country, including human &amp; financial resource allocation </w:t>
            </w:r>
          </w:p>
          <w:p w:rsidR="00000000" w:rsidDel="00000000" w:rsidP="00000000" w:rsidRDefault="00000000" w:rsidRPr="00000000" w14:paraId="0000000A">
            <w:pPr>
              <w:numPr>
                <w:ilvl w:val="0"/>
                <w:numId w:val="3"/>
              </w:numPr>
              <w:spacing w:after="80" w:before="80" w:lineRule="auto"/>
              <w:ind w:left="360" w:hanging="360"/>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120" w:line="240" w:lineRule="auto"/>
        <w:ind w:left="2694" w:firstLine="0"/>
        <w:jc w:val="center"/>
        <w:rPr>
          <w:b w:val="1"/>
          <w:color w:val="000000"/>
          <w:sz w:val="32"/>
          <w:szCs w:val="32"/>
        </w:rPr>
      </w:pPr>
      <w:r w:rsidDel="00000000" w:rsidR="00000000" w:rsidRPr="00000000">
        <w:rPr>
          <w:b w:val="1"/>
          <w:color w:val="000000"/>
          <w:sz w:val="32"/>
          <w:szCs w:val="32"/>
          <w:rtl w:val="0"/>
        </w:rPr>
        <w:t xml:space="preserve">Preparatory actions and decisions</w:t>
      </w:r>
    </w:p>
    <w:p w:rsidR="00000000" w:rsidDel="00000000" w:rsidP="00000000" w:rsidRDefault="00000000" w:rsidRPr="00000000" w14:paraId="0000000D">
      <w:pPr>
        <w:ind w:right="-790"/>
        <w:rPr/>
      </w:pPr>
      <w:r w:rsidDel="00000000" w:rsidR="00000000" w:rsidRPr="00000000">
        <w:rPr>
          <w:rtl w:val="0"/>
        </w:rPr>
        <w:t xml:space="preserve">Done jointly by country offices and relevant national ministries; JRA international secretariat supports as needed</w:t>
      </w:r>
    </w:p>
    <w:tbl>
      <w:tblPr>
        <w:tblStyle w:val="Table2"/>
        <w:tblW w:w="12950.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885"/>
        <w:gridCol w:w="11065"/>
        <w:tblGridChange w:id="0">
          <w:tblGrid>
            <w:gridCol w:w="1885"/>
            <w:gridCol w:w="11065"/>
          </w:tblGrid>
        </w:tblGridChange>
      </w:tblGrid>
      <w:tr>
        <w:trPr>
          <w:trHeight w:val="380" w:hRule="atLeast"/>
        </w:trPr>
        <w:tc>
          <w:tcPr>
            <w:vAlign w:val="center"/>
          </w:tcPr>
          <w:p w:rsidR="00000000" w:rsidDel="00000000" w:rsidP="00000000" w:rsidRDefault="00000000" w:rsidRPr="00000000" w14:paraId="0000000E">
            <w:pPr>
              <w:rPr/>
            </w:pPr>
            <w:r w:rsidDel="00000000" w:rsidR="00000000" w:rsidRPr="00000000">
              <w:rPr>
                <w:b w:val="1"/>
                <w:sz w:val="32"/>
                <w:szCs w:val="32"/>
                <w:rtl w:val="0"/>
              </w:rPr>
              <w:t xml:space="preserve">Hazards &amp;</w:t>
            </w:r>
            <w:r w:rsidDel="00000000" w:rsidR="00000000" w:rsidRPr="00000000">
              <w:rPr>
                <w:rtl w:val="0"/>
              </w:rPr>
              <w:t xml:space="preserve"> </w:t>
            </w:r>
            <w:r w:rsidDel="00000000" w:rsidR="00000000" w:rsidRPr="00000000">
              <w:rPr>
                <w:b w:val="1"/>
                <w:sz w:val="32"/>
                <w:szCs w:val="32"/>
                <w:rtl w:val="0"/>
              </w:rPr>
              <w:t xml:space="preserve">Risk Framing </w:t>
            </w:r>
            <w:r w:rsidDel="00000000" w:rsidR="00000000" w:rsidRPr="00000000">
              <w:rPr>
                <w:b w:val="1"/>
                <w:sz w:val="24"/>
                <w:szCs w:val="24"/>
                <w:highlight w:val="yellow"/>
                <w:rtl w:val="0"/>
              </w:rPr>
              <w:t xml:space="preserve">(JRA Tool p 21-22)</w:t>
            </w:r>
            <w:r w:rsidDel="00000000" w:rsidR="00000000" w:rsidRPr="00000000">
              <w:rPr>
                <w:rtl w:val="0"/>
              </w:rPr>
            </w:r>
          </w:p>
        </w:tc>
        <w:tc>
          <w:tcPr>
            <w:vAlign w:val="center"/>
          </w:tcPr>
          <w:p w:rsidR="00000000" w:rsidDel="00000000" w:rsidP="00000000" w:rsidRDefault="00000000" w:rsidRPr="00000000" w14:paraId="0000000F">
            <w:pPr>
              <w:numPr>
                <w:ilvl w:val="0"/>
                <w:numId w:val="3"/>
              </w:numPr>
              <w:spacing w:after="80" w:before="80" w:lineRule="auto"/>
              <w:ind w:left="360" w:hanging="360"/>
              <w:rPr/>
            </w:pPr>
            <w:r w:rsidDel="00000000" w:rsidR="00000000" w:rsidRPr="00000000">
              <w:rPr>
                <w:rtl w:val="0"/>
              </w:rPr>
              <w:t xml:space="preserve">Identify hazard(s) and/or event(s) to be assessed </w:t>
            </w:r>
          </w:p>
          <w:p w:rsidR="00000000" w:rsidDel="00000000" w:rsidP="00000000" w:rsidRDefault="00000000" w:rsidRPr="00000000" w14:paraId="00000010">
            <w:pPr>
              <w:numPr>
                <w:ilvl w:val="0"/>
                <w:numId w:val="3"/>
              </w:numPr>
              <w:spacing w:after="80" w:before="80" w:lineRule="auto"/>
              <w:ind w:left="360" w:hanging="360"/>
              <w:rPr/>
            </w:pPr>
            <w:r w:rsidDel="00000000" w:rsidR="00000000" w:rsidRPr="00000000">
              <w:rPr>
                <w:rtl w:val="0"/>
              </w:rPr>
              <w:t xml:space="preserve">Complete the Risk Framing for each proposed hazard, i.e. determine with government and/or FAO/WHO offices what are real issues /concerns associated with an event or hazard so that the JRA scope/framing reflects actual government concerns. See JRA Operational Tool for more guidance on risk framing. A briefing from the JRA secretariat is available to support this if needed. Use </w:t>
            </w:r>
            <w:r w:rsidDel="00000000" w:rsidR="00000000" w:rsidRPr="00000000">
              <w:rPr>
                <w:i w:val="1"/>
                <w:rtl w:val="0"/>
              </w:rPr>
              <w:t xml:space="preserve">Risk Framing Template</w:t>
            </w:r>
            <w:r w:rsidDel="00000000" w:rsidR="00000000" w:rsidRPr="00000000">
              <w:rPr>
                <w:rtl w:val="0"/>
              </w:rPr>
              <w:t xml:space="preserve"> for this process. Use </w:t>
            </w:r>
            <w:r w:rsidDel="00000000" w:rsidR="00000000" w:rsidRPr="00000000">
              <w:rPr>
                <w:i w:val="1"/>
                <w:rtl w:val="0"/>
              </w:rPr>
              <w:t xml:space="preserve">Risk Framing Reporting Back Template</w:t>
            </w:r>
            <w:r w:rsidDel="00000000" w:rsidR="00000000" w:rsidRPr="00000000">
              <w:rPr>
                <w:rtl w:val="0"/>
              </w:rPr>
              <w:t xml:space="preserve"> to present back during the national JRA workshop. </w:t>
            </w:r>
          </w:p>
          <w:p w:rsidR="00000000" w:rsidDel="00000000" w:rsidP="00000000" w:rsidRDefault="00000000" w:rsidRPr="00000000" w14:paraId="00000011">
            <w:pPr>
              <w:numPr>
                <w:ilvl w:val="0"/>
                <w:numId w:val="3"/>
              </w:numPr>
              <w:spacing w:after="80" w:before="80" w:lineRule="auto"/>
              <w:ind w:left="360" w:hanging="360"/>
              <w:rPr/>
            </w:pPr>
            <w:r w:rsidDel="00000000" w:rsidR="00000000" w:rsidRPr="00000000">
              <w:rPr>
                <w:rtl w:val="0"/>
              </w:rPr>
              <w:t xml:space="preserve">If possible, work with national government to map existing structures and stakeholders who could act as the JRA Steering Committee (</w:t>
            </w:r>
            <w:r w:rsidDel="00000000" w:rsidR="00000000" w:rsidRPr="00000000">
              <w:rPr>
                <w:highlight w:val="yellow"/>
                <w:rtl w:val="0"/>
              </w:rPr>
              <w:t xml:space="preserve">JRA Tool p. 11</w:t>
            </w:r>
            <w:r w:rsidDel="00000000" w:rsidR="00000000" w:rsidRPr="00000000">
              <w:rPr>
                <w:rtl w:val="0"/>
              </w:rPr>
              <w:t xml:space="preserve">) (for further discussion during Day 3 of the workshop) and begin discussions on preparing a national rolling out proposals/plan. </w:t>
            </w:r>
          </w:p>
        </w:tc>
      </w:tr>
      <w:tr>
        <w:trPr>
          <w:trHeight w:val="380" w:hRule="atLeast"/>
        </w:trPr>
        <w:tc>
          <w:tcPr>
            <w:vAlign w:val="center"/>
          </w:tcPr>
          <w:p w:rsidR="00000000" w:rsidDel="00000000" w:rsidP="00000000" w:rsidRDefault="00000000" w:rsidRPr="00000000" w14:paraId="00000012">
            <w:pPr>
              <w:rPr>
                <w:b w:val="1"/>
              </w:rPr>
            </w:pPr>
            <w:r w:rsidDel="00000000" w:rsidR="00000000" w:rsidRPr="00000000">
              <w:rPr>
                <w:b w:val="1"/>
                <w:sz w:val="32"/>
                <w:szCs w:val="32"/>
                <w:rtl w:val="0"/>
              </w:rPr>
              <w:t xml:space="preserve">Participants</w:t>
            </w:r>
            <w:r w:rsidDel="00000000" w:rsidR="00000000" w:rsidRPr="00000000">
              <w:rPr>
                <w:rtl w:val="0"/>
              </w:rPr>
            </w:r>
          </w:p>
        </w:tc>
        <w:tc>
          <w:tcPr>
            <w:vAlign w:val="center"/>
          </w:tcPr>
          <w:p w:rsidR="00000000" w:rsidDel="00000000" w:rsidP="00000000" w:rsidRDefault="00000000" w:rsidRPr="00000000" w14:paraId="00000013">
            <w:pPr>
              <w:numPr>
                <w:ilvl w:val="0"/>
                <w:numId w:val="3"/>
              </w:numPr>
              <w:spacing w:after="80" w:before="80" w:lineRule="auto"/>
              <w:ind w:left="360" w:hanging="360"/>
              <w:rPr/>
            </w:pPr>
            <w:r w:rsidDel="00000000" w:rsidR="00000000" w:rsidRPr="00000000">
              <w:rPr>
                <w:rtl w:val="0"/>
              </w:rPr>
              <w:t xml:space="preserve">The national JRA workshop will have a duration of 3 days, with an optional ‘Day 0’ for a national facilitator briefing</w:t>
            </w:r>
          </w:p>
          <w:p w:rsidR="00000000" w:rsidDel="00000000" w:rsidP="00000000" w:rsidRDefault="00000000" w:rsidRPr="00000000" w14:paraId="00000014">
            <w:pPr>
              <w:numPr>
                <w:ilvl w:val="0"/>
                <w:numId w:val="3"/>
              </w:numPr>
              <w:spacing w:after="80" w:before="80" w:lineRule="auto"/>
              <w:ind w:left="360" w:hanging="360"/>
              <w:rPr/>
            </w:pPr>
            <w:r w:rsidDel="00000000" w:rsidR="00000000" w:rsidRPr="00000000">
              <w:rPr>
                <w:rtl w:val="0"/>
              </w:rPr>
              <w:t xml:space="preserve">National Decision makers from all relevant ministries should be invited for Day 1 (at least morning) and Day 3 (at least afternoon)</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80" w:before="80" w:lineRule="auto"/>
              <w:ind w:left="720" w:hanging="360"/>
              <w:rPr/>
            </w:pPr>
            <w:r w:rsidDel="00000000" w:rsidR="00000000" w:rsidRPr="00000000">
              <w:rPr>
                <w:rtl w:val="0"/>
              </w:rPr>
              <w:t xml:space="preserve">They will provide the context and provide guidance to the contextualization of the JRA in the future. Their engagement will facilitate rolling out the JRA. </w:t>
            </w:r>
          </w:p>
          <w:p w:rsidR="00000000" w:rsidDel="00000000" w:rsidP="00000000" w:rsidRDefault="00000000" w:rsidRPr="00000000" w14:paraId="00000016">
            <w:pPr>
              <w:numPr>
                <w:ilvl w:val="0"/>
                <w:numId w:val="3"/>
              </w:numPr>
              <w:spacing w:after="80" w:before="80" w:lineRule="auto"/>
              <w:ind w:left="360" w:hanging="360"/>
              <w:rPr/>
            </w:pPr>
            <w:r w:rsidDel="00000000" w:rsidR="00000000" w:rsidRPr="00000000">
              <w:rPr>
                <w:rtl w:val="0"/>
              </w:rPr>
              <w:t xml:space="preserve">National JRA facilitators/JRA leads: Government staff actively engaged in addressing zoonotic diseases in the country  e.g. epidemiologists from the epidemiological units in the central or subnational levels of government from the animal health, public health, and environment (including wildlife) sectors, and all other relevant sectors (e.g. Food Safety) invited for Days 0-3.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80" w:before="80" w:lineRule="auto"/>
              <w:ind w:left="720" w:hanging="360"/>
              <w:rPr/>
            </w:pPr>
            <w:r w:rsidDel="00000000" w:rsidR="00000000" w:rsidRPr="00000000">
              <w:rPr>
                <w:rtl w:val="0"/>
              </w:rPr>
              <w:t xml:space="preserve">These individuals will be briefed on Day 0 in order to be ready to facilitate group discussions during the JRA Workshop on Day 2, and to serve as national JRA Leads for future joint risk assessments.</w:t>
            </w:r>
          </w:p>
          <w:p w:rsidR="00000000" w:rsidDel="00000000" w:rsidP="00000000" w:rsidRDefault="00000000" w:rsidRPr="00000000" w14:paraId="00000018">
            <w:pPr>
              <w:numPr>
                <w:ilvl w:val="0"/>
                <w:numId w:val="3"/>
              </w:numPr>
              <w:spacing w:after="80" w:before="80" w:lineRule="auto"/>
              <w:ind w:left="360" w:hanging="360"/>
              <w:rPr/>
            </w:pPr>
            <w:r w:rsidDel="00000000" w:rsidR="00000000" w:rsidRPr="00000000">
              <w:rPr>
                <w:rtl w:val="0"/>
              </w:rPr>
              <w:t xml:space="preserve">JRA technical experts: National staff from government (e.g. MoH/MoA/MoE/others at national or subnational levels) or key partner technical institutes/laboratories/academia that have the needed expertise and/or information based on the specific event or hazard to be assessed invited for Days 1-3. </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80" w:before="80" w:lineRule="auto"/>
              <w:ind w:left="720" w:hanging="360"/>
              <w:rPr/>
            </w:pPr>
            <w:r w:rsidDel="00000000" w:rsidR="00000000" w:rsidRPr="00000000">
              <w:rPr>
                <w:rtl w:val="0"/>
              </w:rPr>
              <w:t xml:space="preserve">They will bring the information and expertise. </w:t>
            </w:r>
          </w:p>
          <w:p w:rsidR="00000000" w:rsidDel="00000000" w:rsidP="00000000" w:rsidRDefault="00000000" w:rsidRPr="00000000" w14:paraId="0000001A">
            <w:pPr>
              <w:spacing w:after="80" w:before="80" w:lineRule="auto"/>
              <w:rPr/>
            </w:pPr>
            <w:r w:rsidDel="00000000" w:rsidR="00000000" w:rsidRPr="00000000">
              <w:rPr>
                <w:rtl w:val="0"/>
              </w:rPr>
              <w:t xml:space="preserve">Important: </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before="80" w:lineRule="auto"/>
              <w:ind w:left="720" w:hanging="360"/>
              <w:rPr/>
            </w:pPr>
            <w:r w:rsidDel="00000000" w:rsidR="00000000" w:rsidRPr="00000000">
              <w:rPr>
                <w:rtl w:val="0"/>
              </w:rPr>
              <w:t xml:space="preserve">Select participants based on the identified hazards and the risk framing</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Subnational staff should be included as appropriate</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80" w:lineRule="auto"/>
              <w:ind w:left="720" w:hanging="360"/>
              <w:rPr/>
            </w:pPr>
            <w:r w:rsidDel="00000000" w:rsidR="00000000" w:rsidRPr="00000000">
              <w:rPr>
                <w:rtl w:val="0"/>
              </w:rPr>
              <w:t xml:space="preserve">Have sectoral balance and sufficient scope of expertise across sectors and disciplines and with access to required information to be able to do the technical assessment for each hazard</w:t>
            </w:r>
          </w:p>
          <w:p w:rsidR="00000000" w:rsidDel="00000000" w:rsidP="00000000" w:rsidRDefault="00000000" w:rsidRPr="00000000" w14:paraId="0000001E">
            <w:pPr>
              <w:spacing w:after="80" w:before="80" w:lineRule="auto"/>
              <w:rPr/>
            </w:pP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tl w:val="0"/>
              </w:rPr>
              <w:t xml:space="preserve">Support staff (decided by Tripartite offices)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80" w:lineRule="auto"/>
              <w:ind w:left="720" w:hanging="360"/>
              <w:rPr/>
            </w:pPr>
            <w:bookmarkStart w:colFirst="0" w:colLast="0" w:name="_heading=h.gjdgxs" w:id="0"/>
            <w:bookmarkEnd w:id="0"/>
            <w:r w:rsidDel="00000000" w:rsidR="00000000" w:rsidRPr="00000000">
              <w:rPr>
                <w:rtl w:val="0"/>
              </w:rPr>
              <w:t xml:space="preserve">WHO and FAO country office focal points; OIE engaged as appropriate via OIE Headquarters focal points</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80" w:lineRule="auto"/>
              <w:ind w:left="720" w:hanging="360"/>
              <w:rPr>
                <w:rFonts w:ascii="Times New Roman" w:cs="Times New Roman" w:eastAsia="Times New Roman" w:hAnsi="Times New Roman"/>
                <w:sz w:val="24"/>
                <w:szCs w:val="24"/>
              </w:rPr>
            </w:pPr>
            <w:r w:rsidDel="00000000" w:rsidR="00000000" w:rsidRPr="00000000">
              <w:rPr>
                <w:rtl w:val="0"/>
              </w:rPr>
              <w:t xml:space="preserve">JRA international secretariat and/or JRA regional facilitators</w:t>
            </w:r>
            <w:r w:rsidDel="00000000" w:rsidR="00000000" w:rsidRPr="00000000">
              <w:rPr>
                <w:rFonts w:ascii="Times New Roman" w:cs="Times New Roman" w:eastAsia="Times New Roman" w:hAnsi="Times New Roman"/>
                <w:sz w:val="24"/>
                <w:szCs w:val="24"/>
                <w:rtl w:val="0"/>
              </w:rPr>
              <w:t xml:space="preserve"> </w:t>
            </w:r>
          </w:p>
        </w:tc>
      </w:tr>
      <w:tr>
        <w:trPr>
          <w:trHeight w:val="380" w:hRule="atLeast"/>
        </w:trPr>
        <w:tc>
          <w:tcPr>
            <w:vAlign w:val="center"/>
          </w:tcPr>
          <w:p w:rsidR="00000000" w:rsidDel="00000000" w:rsidP="00000000" w:rsidRDefault="00000000" w:rsidRPr="00000000" w14:paraId="00000022">
            <w:pPr>
              <w:rPr>
                <w:b w:val="1"/>
              </w:rPr>
            </w:pPr>
            <w:r w:rsidDel="00000000" w:rsidR="00000000" w:rsidRPr="00000000">
              <w:rPr>
                <w:b w:val="1"/>
                <w:sz w:val="32"/>
                <w:szCs w:val="32"/>
                <w:rtl w:val="0"/>
              </w:rPr>
              <w:t xml:space="preserve">Logistical Steps</w:t>
            </w:r>
            <w:r w:rsidDel="00000000" w:rsidR="00000000" w:rsidRPr="00000000">
              <w:rPr>
                <w:rtl w:val="0"/>
              </w:rPr>
            </w:r>
          </w:p>
        </w:tc>
        <w:tc>
          <w:tcPr>
            <w:vAlign w:val="center"/>
          </w:tcPr>
          <w:p w:rsidR="00000000" w:rsidDel="00000000" w:rsidP="00000000" w:rsidRDefault="00000000" w:rsidRPr="00000000" w14:paraId="00000023">
            <w:pPr>
              <w:numPr>
                <w:ilvl w:val="0"/>
                <w:numId w:val="3"/>
              </w:numPr>
              <w:spacing w:after="80" w:before="80" w:lineRule="auto"/>
              <w:ind w:left="360" w:hanging="360"/>
              <w:rPr/>
            </w:pPr>
            <w:r w:rsidDel="00000000" w:rsidR="00000000" w:rsidRPr="00000000">
              <w:rPr>
                <w:rtl w:val="0"/>
              </w:rPr>
              <w:t xml:space="preserve">Translate Operational Tool and other materials into local language, as needed (available from JRA international secretariat in English, French, Spanish, Russian, Arabic, and Chinese)</w:t>
            </w:r>
          </w:p>
          <w:p w:rsidR="00000000" w:rsidDel="00000000" w:rsidP="00000000" w:rsidRDefault="00000000" w:rsidRPr="00000000" w14:paraId="00000024">
            <w:pPr>
              <w:numPr>
                <w:ilvl w:val="0"/>
                <w:numId w:val="3"/>
              </w:numPr>
              <w:spacing w:after="80" w:before="80" w:lineRule="auto"/>
              <w:ind w:left="360" w:hanging="360"/>
              <w:rPr/>
            </w:pPr>
            <w:r w:rsidDel="00000000" w:rsidR="00000000" w:rsidRPr="00000000">
              <w:rPr>
                <w:rtl w:val="0"/>
              </w:rPr>
              <w:t xml:space="preserve">Decide upon venue, agenda, interpretation, responsibilities for invitations and TR/TAs, etc</w:t>
            </w:r>
          </w:p>
          <w:p w:rsidR="00000000" w:rsidDel="00000000" w:rsidP="00000000" w:rsidRDefault="00000000" w:rsidRPr="00000000" w14:paraId="00000025">
            <w:pPr>
              <w:numPr>
                <w:ilvl w:val="0"/>
                <w:numId w:val="3"/>
              </w:numPr>
              <w:spacing w:after="80" w:before="80" w:lineRule="auto"/>
              <w:ind w:left="360" w:hanging="360"/>
              <w:rPr/>
            </w:pPr>
            <w:r w:rsidDel="00000000" w:rsidR="00000000" w:rsidRPr="00000000">
              <w:rPr>
                <w:rtl w:val="0"/>
              </w:rPr>
              <w:t xml:space="preserve">Prepare participants list with pictures and affiliations </w:t>
            </w:r>
          </w:p>
          <w:p w:rsidR="00000000" w:rsidDel="00000000" w:rsidP="00000000" w:rsidRDefault="00000000" w:rsidRPr="00000000" w14:paraId="00000026">
            <w:pPr>
              <w:numPr>
                <w:ilvl w:val="0"/>
                <w:numId w:val="3"/>
              </w:numPr>
              <w:spacing w:after="80" w:before="80" w:lineRule="auto"/>
              <w:ind w:left="360" w:hanging="360"/>
              <w:rPr/>
            </w:pPr>
            <w:r w:rsidDel="00000000" w:rsidR="00000000" w:rsidRPr="00000000">
              <w:rPr>
                <w:rtl w:val="0"/>
              </w:rPr>
              <w:t xml:space="preserve">Prepare sectorally-balanced break-out group membership lists based on participants attending and hazards to be assessed</w:t>
            </w:r>
          </w:p>
          <w:p w:rsidR="00000000" w:rsidDel="00000000" w:rsidP="00000000" w:rsidRDefault="00000000" w:rsidRPr="00000000" w14:paraId="00000027">
            <w:pPr>
              <w:numPr>
                <w:ilvl w:val="0"/>
                <w:numId w:val="3"/>
              </w:numPr>
              <w:spacing w:after="80" w:before="80" w:lineRule="auto"/>
              <w:ind w:left="360" w:hanging="360"/>
              <w:rPr/>
            </w:pPr>
            <w:r w:rsidDel="00000000" w:rsidR="00000000" w:rsidRPr="00000000">
              <w:rPr>
                <w:rtl w:val="0"/>
              </w:rPr>
              <w:t xml:space="preserve">Prepare list of national acronyms with translations for external facilitators  </w:t>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b w:val="1"/>
          <w:color w:val="000000"/>
          <w:sz w:val="32"/>
          <w:szCs w:val="32"/>
          <w:rtl w:val="0"/>
        </w:rPr>
        <w:t xml:space="preserve">Documents and materials</w:t>
      </w:r>
      <w:r w:rsidDel="00000000" w:rsidR="00000000" w:rsidRPr="00000000">
        <w:rPr>
          <w:rtl w:val="0"/>
        </w:rPr>
      </w:r>
    </w:p>
    <w:tbl>
      <w:tblPr>
        <w:tblStyle w:val="Table3"/>
        <w:tblW w:w="12950.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883"/>
        <w:gridCol w:w="11067"/>
        <w:tblGridChange w:id="0">
          <w:tblGrid>
            <w:gridCol w:w="1883"/>
            <w:gridCol w:w="11067"/>
          </w:tblGrid>
        </w:tblGridChange>
      </w:tblGrid>
      <w:tr>
        <w:trPr>
          <w:trHeight w:val="380" w:hRule="atLeast"/>
        </w:trPr>
        <w:tc>
          <w:tcPr>
            <w:vAlign w:val="center"/>
          </w:tcPr>
          <w:p w:rsidR="00000000" w:rsidDel="00000000" w:rsidP="00000000" w:rsidRDefault="00000000" w:rsidRPr="00000000" w14:paraId="0000002A">
            <w:pPr>
              <w:rPr>
                <w:b w:val="1"/>
              </w:rPr>
            </w:pPr>
            <w:r w:rsidDel="00000000" w:rsidR="00000000" w:rsidRPr="00000000">
              <w:rPr>
                <w:b w:val="1"/>
                <w:sz w:val="32"/>
                <w:szCs w:val="32"/>
                <w:rtl w:val="0"/>
              </w:rPr>
              <w:t xml:space="preserve">Materials to support preparation</w:t>
            </w:r>
            <w:r w:rsidDel="00000000" w:rsidR="00000000" w:rsidRPr="00000000">
              <w:rPr>
                <w:rtl w:val="0"/>
              </w:rPr>
            </w:r>
          </w:p>
        </w:tc>
        <w:tc>
          <w:tcPr>
            <w:vAlign w:val="center"/>
          </w:tcPr>
          <w:p w:rsidR="00000000" w:rsidDel="00000000" w:rsidP="00000000" w:rsidRDefault="00000000" w:rsidRPr="00000000" w14:paraId="0000002B">
            <w:pPr>
              <w:numPr>
                <w:ilvl w:val="0"/>
                <w:numId w:val="3"/>
              </w:numPr>
              <w:spacing w:after="80" w:before="80" w:lineRule="auto"/>
              <w:ind w:left="360" w:hanging="360"/>
              <w:rPr/>
            </w:pPr>
            <w:r w:rsidDel="00000000" w:rsidR="00000000" w:rsidRPr="00000000">
              <w:rPr>
                <w:rtl w:val="0"/>
              </w:rPr>
              <w:t xml:space="preserve">Logistics and agenda templates document (this one)</w:t>
            </w:r>
          </w:p>
          <w:p w:rsidR="00000000" w:rsidDel="00000000" w:rsidP="00000000" w:rsidRDefault="00000000" w:rsidRPr="00000000" w14:paraId="0000002C">
            <w:pPr>
              <w:numPr>
                <w:ilvl w:val="0"/>
                <w:numId w:val="3"/>
              </w:numPr>
              <w:spacing w:after="80" w:before="80" w:lineRule="auto"/>
              <w:ind w:left="360" w:hanging="360"/>
              <w:rPr/>
            </w:pPr>
            <w:r w:rsidDel="00000000" w:rsidR="00000000" w:rsidRPr="00000000">
              <w:rPr>
                <w:rtl w:val="0"/>
              </w:rPr>
              <w:t xml:space="preserve">2-pager for engaging government and partners </w:t>
            </w:r>
          </w:p>
          <w:p w:rsidR="00000000" w:rsidDel="00000000" w:rsidP="00000000" w:rsidRDefault="00000000" w:rsidRPr="00000000" w14:paraId="0000002D">
            <w:pPr>
              <w:numPr>
                <w:ilvl w:val="0"/>
                <w:numId w:val="3"/>
              </w:numPr>
              <w:spacing w:after="80" w:before="80" w:lineRule="auto"/>
              <w:ind w:left="360" w:hanging="360"/>
              <w:rPr/>
            </w:pPr>
            <w:r w:rsidDel="00000000" w:rsidR="00000000" w:rsidRPr="00000000">
              <w:rPr>
                <w:rtl w:val="0"/>
              </w:rPr>
              <w:t xml:space="preserve">Risk framing template (Word and Powerpoint) </w:t>
            </w:r>
          </w:p>
        </w:tc>
      </w:tr>
      <w:tr>
        <w:trPr>
          <w:trHeight w:val="380" w:hRule="atLeast"/>
        </w:trPr>
        <w:tc>
          <w:tcPr>
            <w:tcBorders>
              <w:bottom w:color="000000" w:space="0" w:sz="4" w:val="single"/>
            </w:tcBorders>
            <w:vAlign w:val="center"/>
          </w:tcPr>
          <w:p w:rsidR="00000000" w:rsidDel="00000000" w:rsidP="00000000" w:rsidRDefault="00000000" w:rsidRPr="00000000" w14:paraId="0000002E">
            <w:pPr>
              <w:rPr>
                <w:b w:val="1"/>
              </w:rPr>
            </w:pPr>
            <w:r w:rsidDel="00000000" w:rsidR="00000000" w:rsidRPr="00000000">
              <w:rPr>
                <w:b w:val="1"/>
                <w:sz w:val="32"/>
                <w:szCs w:val="32"/>
                <w:rtl w:val="0"/>
              </w:rPr>
              <w:t xml:space="preserve">Materials for the workshop</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F">
            <w:pPr>
              <w:numPr>
                <w:ilvl w:val="0"/>
                <w:numId w:val="3"/>
              </w:numPr>
              <w:spacing w:after="80" w:before="80" w:lineRule="auto"/>
              <w:ind w:left="360" w:hanging="360"/>
              <w:rPr/>
            </w:pPr>
            <w:r w:rsidDel="00000000" w:rsidR="00000000" w:rsidRPr="00000000">
              <w:rPr>
                <w:rtl w:val="0"/>
              </w:rPr>
              <w:t xml:space="preserve">Experts to bring all information and data required relevant to conducting the risk assessment based on the Risk Framing</w:t>
            </w:r>
          </w:p>
          <w:p w:rsidR="00000000" w:rsidDel="00000000" w:rsidP="00000000" w:rsidRDefault="00000000" w:rsidRPr="00000000" w14:paraId="00000030">
            <w:pPr>
              <w:numPr>
                <w:ilvl w:val="0"/>
                <w:numId w:val="3"/>
              </w:numPr>
              <w:spacing w:after="80" w:before="80" w:lineRule="auto"/>
              <w:ind w:left="360" w:hanging="360"/>
              <w:rPr/>
            </w:pPr>
            <w:r w:rsidDel="00000000" w:rsidR="00000000" w:rsidRPr="00000000">
              <w:rPr>
                <w:rtl w:val="0"/>
              </w:rPr>
              <w:t xml:space="preserve">Powerpoint presentation for facilitators</w:t>
            </w:r>
          </w:p>
          <w:p w:rsidR="00000000" w:rsidDel="00000000" w:rsidP="00000000" w:rsidRDefault="00000000" w:rsidRPr="00000000" w14:paraId="00000031">
            <w:pPr>
              <w:numPr>
                <w:ilvl w:val="0"/>
                <w:numId w:val="3"/>
              </w:numPr>
              <w:spacing w:after="80" w:before="80" w:lineRule="auto"/>
              <w:ind w:left="360" w:hanging="360"/>
              <w:rPr/>
            </w:pPr>
            <w:r w:rsidDel="00000000" w:rsidR="00000000" w:rsidRPr="00000000">
              <w:rPr>
                <w:rtl w:val="0"/>
              </w:rPr>
              <w:t xml:space="preserve">Nametags with first name and agency</w:t>
            </w:r>
          </w:p>
          <w:p w:rsidR="00000000" w:rsidDel="00000000" w:rsidP="00000000" w:rsidRDefault="00000000" w:rsidRPr="00000000" w14:paraId="00000032">
            <w:pPr>
              <w:spacing w:after="80" w:before="80" w:lineRule="auto"/>
              <w:rPr/>
            </w:pPr>
            <w:r w:rsidDel="00000000" w:rsidR="00000000" w:rsidRPr="00000000">
              <w:rPr>
                <w:rtl w:val="0"/>
              </w:rPr>
            </w:r>
          </w:p>
          <w:p w:rsidR="00000000" w:rsidDel="00000000" w:rsidP="00000000" w:rsidRDefault="00000000" w:rsidRPr="00000000" w14:paraId="00000033">
            <w:pPr>
              <w:spacing w:after="80" w:before="80" w:lineRule="auto"/>
              <w:rPr/>
            </w:pPr>
            <w:r w:rsidDel="00000000" w:rsidR="00000000" w:rsidRPr="00000000">
              <w:rPr>
                <w:rtl w:val="0"/>
              </w:rPr>
              <w:t xml:space="preserve"> To print for all participants </w:t>
            </w:r>
          </w:p>
          <w:p w:rsidR="00000000" w:rsidDel="00000000" w:rsidP="00000000" w:rsidRDefault="00000000" w:rsidRPr="00000000" w14:paraId="00000034">
            <w:pPr>
              <w:numPr>
                <w:ilvl w:val="0"/>
                <w:numId w:val="3"/>
              </w:numPr>
              <w:spacing w:after="80" w:before="80" w:lineRule="auto"/>
              <w:ind w:left="360" w:hanging="360"/>
              <w:rPr/>
            </w:pPr>
            <w:r w:rsidDel="00000000" w:rsidR="00000000" w:rsidRPr="00000000">
              <w:rPr>
                <w:rtl w:val="0"/>
              </w:rPr>
              <w:t xml:space="preserve">JRA operational tool and annexes </w:t>
            </w:r>
          </w:p>
          <w:p w:rsidR="00000000" w:rsidDel="00000000" w:rsidP="00000000" w:rsidRDefault="00000000" w:rsidRPr="00000000" w14:paraId="00000035">
            <w:pPr>
              <w:numPr>
                <w:ilvl w:val="0"/>
                <w:numId w:val="3"/>
              </w:numPr>
              <w:spacing w:after="80" w:before="80" w:lineRule="auto"/>
              <w:ind w:left="360" w:hanging="360"/>
              <w:rPr/>
            </w:pPr>
            <w:r w:rsidDel="00000000" w:rsidR="00000000" w:rsidRPr="00000000">
              <w:rPr>
                <w:rtl w:val="0"/>
              </w:rPr>
              <w:t xml:space="preserve">Concept note</w:t>
            </w:r>
          </w:p>
          <w:p w:rsidR="00000000" w:rsidDel="00000000" w:rsidP="00000000" w:rsidRDefault="00000000" w:rsidRPr="00000000" w14:paraId="00000036">
            <w:pPr>
              <w:numPr>
                <w:ilvl w:val="0"/>
                <w:numId w:val="3"/>
              </w:numPr>
              <w:spacing w:after="80" w:before="80" w:lineRule="auto"/>
              <w:ind w:left="360" w:hanging="360"/>
              <w:rPr/>
            </w:pPr>
            <w:r w:rsidDel="00000000" w:rsidR="00000000" w:rsidRPr="00000000">
              <w:rPr>
                <w:rtl w:val="0"/>
              </w:rPr>
              <w:t xml:space="preserve">Agenda</w:t>
            </w:r>
          </w:p>
          <w:p w:rsidR="00000000" w:rsidDel="00000000" w:rsidP="00000000" w:rsidRDefault="00000000" w:rsidRPr="00000000" w14:paraId="00000037">
            <w:pPr>
              <w:numPr>
                <w:ilvl w:val="0"/>
                <w:numId w:val="3"/>
              </w:numPr>
              <w:spacing w:after="80" w:before="80" w:lineRule="auto"/>
              <w:ind w:left="360" w:hanging="360"/>
              <w:rPr/>
            </w:pPr>
            <w:r w:rsidDel="00000000" w:rsidR="00000000" w:rsidRPr="00000000">
              <w:rPr>
                <w:rtl w:val="0"/>
              </w:rPr>
              <w:t xml:space="preserve">List of participants</w:t>
            </w:r>
          </w:p>
          <w:p w:rsidR="00000000" w:rsidDel="00000000" w:rsidP="00000000" w:rsidRDefault="00000000" w:rsidRPr="00000000" w14:paraId="00000038">
            <w:pPr>
              <w:numPr>
                <w:ilvl w:val="0"/>
                <w:numId w:val="3"/>
              </w:numPr>
              <w:spacing w:after="80" w:before="80" w:lineRule="auto"/>
              <w:ind w:left="360" w:hanging="360"/>
              <w:rPr/>
            </w:pPr>
            <w:r w:rsidDel="00000000" w:rsidR="00000000" w:rsidRPr="00000000">
              <w:rPr>
                <w:rtl w:val="0"/>
              </w:rPr>
              <w:t xml:space="preserve">2-pager</w:t>
            </w:r>
          </w:p>
          <w:p w:rsidR="00000000" w:rsidDel="00000000" w:rsidP="00000000" w:rsidRDefault="00000000" w:rsidRPr="00000000" w14:paraId="00000039">
            <w:pPr>
              <w:spacing w:after="80" w:before="80" w:lineRule="auto"/>
              <w:rPr/>
            </w:pPr>
            <w:r w:rsidDel="00000000" w:rsidR="00000000" w:rsidRPr="00000000">
              <w:rPr>
                <w:rtl w:val="0"/>
              </w:rPr>
            </w:r>
          </w:p>
          <w:p w:rsidR="00000000" w:rsidDel="00000000" w:rsidP="00000000" w:rsidRDefault="00000000" w:rsidRPr="00000000" w14:paraId="0000003A">
            <w:pPr>
              <w:spacing w:after="80" w:before="80" w:lineRule="auto"/>
              <w:rPr/>
            </w:pPr>
            <w:r w:rsidDel="00000000" w:rsidR="00000000" w:rsidRPr="00000000">
              <w:rPr>
                <w:rtl w:val="0"/>
              </w:rPr>
              <w:t xml:space="preserve">Soft copies for group work results</w:t>
            </w:r>
          </w:p>
          <w:p w:rsidR="00000000" w:rsidDel="00000000" w:rsidP="00000000" w:rsidRDefault="00000000" w:rsidRPr="00000000" w14:paraId="0000003B">
            <w:pPr>
              <w:numPr>
                <w:ilvl w:val="0"/>
                <w:numId w:val="3"/>
              </w:numPr>
              <w:spacing w:after="80" w:before="80" w:lineRule="auto"/>
              <w:ind w:left="360" w:hanging="360"/>
              <w:rPr/>
            </w:pPr>
            <w:r w:rsidDel="00000000" w:rsidR="00000000" w:rsidRPr="00000000">
              <w:rPr>
                <w:rtl w:val="0"/>
              </w:rPr>
              <w:t xml:space="preserve">JRA Report template (word)</w:t>
            </w:r>
          </w:p>
          <w:p w:rsidR="00000000" w:rsidDel="00000000" w:rsidP="00000000" w:rsidRDefault="00000000" w:rsidRPr="00000000" w14:paraId="0000003C">
            <w:pPr>
              <w:numPr>
                <w:ilvl w:val="0"/>
                <w:numId w:val="3"/>
              </w:numPr>
              <w:spacing w:after="80" w:before="80" w:lineRule="auto"/>
              <w:ind w:left="360" w:hanging="360"/>
              <w:rPr/>
            </w:pPr>
            <w:r w:rsidDel="00000000" w:rsidR="00000000" w:rsidRPr="00000000">
              <w:rPr>
                <w:rtl w:val="0"/>
              </w:rPr>
              <w:t xml:space="preserve">Reporting back template (powerpoint) </w:t>
            </w:r>
          </w:p>
          <w:p w:rsidR="00000000" w:rsidDel="00000000" w:rsidP="00000000" w:rsidRDefault="00000000" w:rsidRPr="00000000" w14:paraId="0000003D">
            <w:pPr>
              <w:spacing w:after="80" w:before="80" w:lineRule="auto"/>
              <w:rPr/>
            </w:pPr>
            <w:r w:rsidDel="00000000" w:rsidR="00000000" w:rsidRPr="00000000">
              <w:rPr>
                <w:rtl w:val="0"/>
              </w:rPr>
            </w:r>
          </w:p>
          <w:p w:rsidR="00000000" w:rsidDel="00000000" w:rsidP="00000000" w:rsidRDefault="00000000" w:rsidRPr="00000000" w14:paraId="0000003E">
            <w:pPr>
              <w:spacing w:after="80" w:before="80" w:lineRule="auto"/>
              <w:rPr/>
            </w:pPr>
            <w:r w:rsidDel="00000000" w:rsidR="00000000" w:rsidRPr="00000000">
              <w:rPr>
                <w:rtl w:val="0"/>
              </w:rPr>
              <w:t xml:space="preserve">Soft copies for USB sticks </w:t>
            </w:r>
          </w:p>
          <w:p w:rsidR="00000000" w:rsidDel="00000000" w:rsidP="00000000" w:rsidRDefault="00000000" w:rsidRPr="00000000" w14:paraId="0000003F">
            <w:pPr>
              <w:numPr>
                <w:ilvl w:val="0"/>
                <w:numId w:val="3"/>
              </w:numPr>
              <w:spacing w:after="80" w:before="80" w:lineRule="auto"/>
              <w:ind w:left="360" w:hanging="360"/>
              <w:rPr/>
            </w:pPr>
            <w:r w:rsidDel="00000000" w:rsidR="00000000" w:rsidRPr="00000000">
              <w:rPr>
                <w:rtl w:val="0"/>
              </w:rPr>
              <w:t xml:space="preserve">JRA tool</w:t>
            </w:r>
          </w:p>
          <w:p w:rsidR="00000000" w:rsidDel="00000000" w:rsidP="00000000" w:rsidRDefault="00000000" w:rsidRPr="00000000" w14:paraId="00000040">
            <w:pPr>
              <w:numPr>
                <w:ilvl w:val="0"/>
                <w:numId w:val="3"/>
              </w:numPr>
              <w:spacing w:after="80" w:before="80" w:lineRule="auto"/>
              <w:ind w:left="360" w:hanging="360"/>
              <w:rPr/>
            </w:pPr>
            <w:r w:rsidDel="00000000" w:rsidR="00000000" w:rsidRPr="00000000">
              <w:rPr>
                <w:rtl w:val="0"/>
              </w:rPr>
              <w:t xml:space="preserve">2-pager</w:t>
            </w:r>
          </w:p>
          <w:p w:rsidR="00000000" w:rsidDel="00000000" w:rsidP="00000000" w:rsidRDefault="00000000" w:rsidRPr="00000000" w14:paraId="00000041">
            <w:pPr>
              <w:numPr>
                <w:ilvl w:val="0"/>
                <w:numId w:val="3"/>
              </w:numPr>
              <w:spacing w:after="80" w:before="80" w:lineRule="auto"/>
              <w:ind w:left="360" w:hanging="360"/>
              <w:rPr/>
            </w:pPr>
            <w:r w:rsidDel="00000000" w:rsidR="00000000" w:rsidRPr="00000000">
              <w:rPr>
                <w:rtl w:val="0"/>
              </w:rPr>
              <w:t xml:space="preserve">JRA Report template (word)</w:t>
            </w:r>
          </w:p>
          <w:p w:rsidR="00000000" w:rsidDel="00000000" w:rsidP="00000000" w:rsidRDefault="00000000" w:rsidRPr="00000000" w14:paraId="00000042">
            <w:pPr>
              <w:numPr>
                <w:ilvl w:val="0"/>
                <w:numId w:val="3"/>
              </w:numPr>
              <w:spacing w:after="80" w:before="80" w:lineRule="auto"/>
              <w:ind w:left="360" w:hanging="360"/>
              <w:rPr/>
            </w:pPr>
            <w:r w:rsidDel="00000000" w:rsidR="00000000" w:rsidRPr="00000000">
              <w:rPr>
                <w:rtl w:val="0"/>
              </w:rPr>
              <w:t xml:space="preserve">JRA Report template (powerpoint)</w:t>
            </w:r>
          </w:p>
          <w:p w:rsidR="00000000" w:rsidDel="00000000" w:rsidP="00000000" w:rsidRDefault="00000000" w:rsidRPr="00000000" w14:paraId="00000043">
            <w:pPr>
              <w:numPr>
                <w:ilvl w:val="0"/>
                <w:numId w:val="3"/>
              </w:numPr>
              <w:spacing w:after="80" w:before="80" w:lineRule="auto"/>
              <w:ind w:left="360" w:hanging="360"/>
              <w:rPr/>
            </w:pPr>
            <w:r w:rsidDel="00000000" w:rsidR="00000000" w:rsidRPr="00000000">
              <w:rPr>
                <w:rtl w:val="0"/>
              </w:rPr>
              <w:t xml:space="preserve">Tripartite Zoonoses Guide </w:t>
            </w:r>
          </w:p>
          <w:p w:rsidR="00000000" w:rsidDel="00000000" w:rsidP="00000000" w:rsidRDefault="00000000" w:rsidRPr="00000000" w14:paraId="00000044">
            <w:pPr>
              <w:numPr>
                <w:ilvl w:val="0"/>
                <w:numId w:val="3"/>
              </w:numPr>
              <w:spacing w:after="80" w:before="80" w:lineRule="auto"/>
              <w:ind w:left="360" w:hanging="360"/>
              <w:rPr/>
            </w:pPr>
            <w:r w:rsidDel="00000000" w:rsidR="00000000" w:rsidRPr="00000000">
              <w:rPr>
                <w:rtl w:val="0"/>
              </w:rPr>
              <w:t xml:space="preserve">Agenda</w:t>
            </w:r>
          </w:p>
          <w:p w:rsidR="00000000" w:rsidDel="00000000" w:rsidP="00000000" w:rsidRDefault="00000000" w:rsidRPr="00000000" w14:paraId="00000045">
            <w:pPr>
              <w:numPr>
                <w:ilvl w:val="0"/>
                <w:numId w:val="3"/>
              </w:numPr>
              <w:spacing w:after="80" w:before="80" w:lineRule="auto"/>
              <w:ind w:left="360" w:hanging="360"/>
              <w:rPr/>
            </w:pPr>
            <w:r w:rsidDel="00000000" w:rsidR="00000000" w:rsidRPr="00000000">
              <w:rPr>
                <w:rtl w:val="0"/>
              </w:rPr>
              <w:t xml:space="preserve">List of participants</w:t>
            </w:r>
          </w:p>
        </w:tc>
      </w:tr>
    </w:tbl>
    <w:p w:rsidR="00000000" w:rsidDel="00000000" w:rsidP="00000000" w:rsidRDefault="00000000" w:rsidRPr="00000000" w14:paraId="00000046">
      <w:pPr>
        <w:spacing w:after="120" w:lineRule="auto"/>
        <w:rPr>
          <w:sz w:val="16"/>
          <w:szCs w:val="16"/>
        </w:rPr>
      </w:pPr>
      <w:bookmarkStart w:colFirst="0" w:colLast="0" w:name="_heading=h.30j0zll" w:id="1"/>
      <w:bookmarkEnd w:id="1"/>
      <w:r w:rsidDel="00000000" w:rsidR="00000000" w:rsidRPr="00000000">
        <w:rPr>
          <w:rtl w:val="0"/>
        </w:rPr>
      </w:r>
    </w:p>
    <w:tbl>
      <w:tblPr>
        <w:tblStyle w:val="Table4"/>
        <w:tblW w:w="12950.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629"/>
        <w:gridCol w:w="11321"/>
        <w:tblGridChange w:id="0">
          <w:tblGrid>
            <w:gridCol w:w="1629"/>
            <w:gridCol w:w="11321"/>
          </w:tblGrid>
        </w:tblGridChange>
      </w:tblGrid>
      <w:tr>
        <w:trPr>
          <w:trHeight w:val="380" w:hRule="atLeast"/>
        </w:trPr>
        <w:tc>
          <w:tcPr>
            <w:vAlign w:val="center"/>
          </w:tcPr>
          <w:p w:rsidR="00000000" w:rsidDel="00000000" w:rsidP="00000000" w:rsidRDefault="00000000" w:rsidRPr="00000000" w14:paraId="00000047">
            <w:pPr>
              <w:rPr>
                <w:b w:val="1"/>
              </w:rPr>
            </w:pPr>
            <w:r w:rsidDel="00000000" w:rsidR="00000000" w:rsidRPr="00000000">
              <w:rPr>
                <w:b w:val="1"/>
                <w:sz w:val="32"/>
                <w:szCs w:val="32"/>
                <w:rtl w:val="0"/>
              </w:rPr>
              <w:t xml:space="preserve">Materials for the Venue</w:t>
            </w:r>
            <w:r w:rsidDel="00000000" w:rsidR="00000000" w:rsidRPr="00000000">
              <w:rPr>
                <w:b w:val="1"/>
                <w:rtl w:val="0"/>
              </w:rPr>
              <w:t xml:space="preserve"> </w:t>
            </w:r>
          </w:p>
        </w:tc>
        <w:tc>
          <w:tcPr>
            <w:vAlign w:val="center"/>
          </w:tcPr>
          <w:p w:rsidR="00000000" w:rsidDel="00000000" w:rsidP="00000000" w:rsidRDefault="00000000" w:rsidRPr="00000000" w14:paraId="00000048">
            <w:pPr>
              <w:rPr/>
            </w:pPr>
            <w:r w:rsidDel="00000000" w:rsidR="00000000" w:rsidRPr="00000000">
              <w:rPr>
                <w:rtl w:val="0"/>
              </w:rPr>
              <w:t xml:space="preserve">General</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Projector and screen for plenary room </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Interpretation equipment (1 device per participant) and sufficient number of interpreters (depending on the number of RA groups)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Moveable tables in all rooms </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Fixed coffee breaks </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Microphones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Break-out Group Work room(s)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Decide if separate rooms or solid room dividers needed (for group work)</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At least 1 laptop/group for note-taker</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At least 1 flip chart per group, marker pens, tape</w:t>
            </w:r>
          </w:p>
        </w:tc>
      </w:tr>
    </w:tbl>
    <w:p w:rsidR="00000000" w:rsidDel="00000000" w:rsidP="00000000" w:rsidRDefault="00000000" w:rsidRPr="00000000" w14:paraId="00000053">
      <w:pPr>
        <w:pStyle w:val="Heading1"/>
        <w:spacing w:before="240"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4">
      <w:pPr>
        <w:rPr>
          <w:b w:val="1"/>
          <w:color w:val="000080"/>
        </w:rPr>
      </w:pPr>
      <w:r w:rsidDel="00000000" w:rsidR="00000000" w:rsidRPr="00000000">
        <w:rPr>
          <w:rtl w:val="0"/>
        </w:rPr>
      </w:r>
    </w:p>
    <w:sectPr>
      <w:headerReference r:id="rId7" w:type="default"/>
      <w:footerReference r:id="rId8" w:type="default"/>
      <w:pgSz w:h="12240" w:w="1584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16"/>
        <w:szCs w:val="16"/>
      </w:rPr>
    </w:pPr>
    <w:r w:rsidDel="00000000" w:rsidR="00000000" w:rsidRPr="00000000">
      <w:rPr>
        <w:i w:val="1"/>
        <w:color w:val="000000"/>
        <w:sz w:val="16"/>
        <w:szCs w:val="16"/>
        <w:rtl w:val="0"/>
      </w:rPr>
      <w:t xml:space="preserve">JRA OT pilots logistics_9 may 2019.docx</w:t>
      <w:tab/>
    </w:r>
    <w:r w:rsidDel="00000000" w:rsidR="00000000" w:rsidRPr="00000000">
      <w:rPr>
        <w:i w:val="1"/>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Arimo" w:cs="Arimo" w:eastAsia="Arimo" w:hAnsi="Arimo"/>
        <w:sz w:val="24"/>
        <w:szCs w:val="2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374EB"/>
    <w:rPr>
      <w:lang w:val="en-GB"/>
    </w:rPr>
  </w:style>
  <w:style w:type="paragraph" w:styleId="Heading1">
    <w:name w:val="heading 1"/>
    <w:basedOn w:val="Normal"/>
    <w:next w:val="Normal"/>
    <w:link w:val="Heading1Char"/>
    <w:uiPriority w:val="9"/>
    <w:qFormat w:val="1"/>
    <w:rsid w:val="00656324"/>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656324"/>
    <w:rPr>
      <w:rFonts w:asciiTheme="majorHAnsi" w:cstheme="majorBidi" w:eastAsiaTheme="majorEastAsia" w:hAnsiTheme="majorHAnsi"/>
      <w:b w:val="1"/>
      <w:bCs w:val="1"/>
      <w:color w:val="365f91" w:themeColor="accent1" w:themeShade="0000BF"/>
      <w:sz w:val="28"/>
      <w:szCs w:val="28"/>
      <w:lang w:val="en-GB"/>
    </w:rPr>
  </w:style>
  <w:style w:type="paragraph" w:styleId="ListParagraph">
    <w:name w:val="List Paragraph"/>
    <w:basedOn w:val="Normal"/>
    <w:uiPriority w:val="34"/>
    <w:qFormat w:val="1"/>
    <w:rsid w:val="00656324"/>
    <w:pPr>
      <w:spacing w:after="0" w:line="240" w:lineRule="auto"/>
      <w:ind w:left="720"/>
      <w:contextualSpacing w:val="1"/>
    </w:pPr>
    <w:rPr>
      <w:rFonts w:ascii="Times New Roman" w:cs="Times New Roman" w:eastAsia="Times New Roman" w:hAnsi="Times New Roman"/>
      <w:sz w:val="24"/>
      <w:szCs w:val="24"/>
      <w:lang w:eastAsia="fr-FR" w:val="fr-FR"/>
    </w:rPr>
  </w:style>
  <w:style w:type="character" w:styleId="Hyperlink">
    <w:name w:val="Hyperlink"/>
    <w:basedOn w:val="DefaultParagraphFont"/>
    <w:uiPriority w:val="99"/>
    <w:unhideWhenUsed w:val="1"/>
    <w:rsid w:val="00656324"/>
    <w:rPr>
      <w:color w:val="0000ff" w:themeColor="hyperlink"/>
      <w:u w:val="single"/>
    </w:rPr>
  </w:style>
  <w:style w:type="table" w:styleId="TableGrid">
    <w:name w:val="Table Grid"/>
    <w:basedOn w:val="TableNormal"/>
    <w:uiPriority w:val="59"/>
    <w:rsid w:val="00A07BA8"/>
    <w:pPr>
      <w:spacing w:after="0" w:line="240" w:lineRule="auto"/>
    </w:pPr>
    <w:rPr>
      <w:rFonts w:eastAsiaTheme="minorHAnsi"/>
      <w:lang w:eastAsia="en-US"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A07BA8"/>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1" w:customStyle="1">
    <w:name w:val="Light Shading1"/>
    <w:basedOn w:val="TableNormal"/>
    <w:next w:val="LightShading"/>
    <w:uiPriority w:val="60"/>
    <w:rsid w:val="00DB264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CommentReference">
    <w:name w:val="annotation reference"/>
    <w:basedOn w:val="DefaultParagraphFont"/>
    <w:uiPriority w:val="99"/>
    <w:semiHidden w:val="1"/>
    <w:unhideWhenUsed w:val="1"/>
    <w:rsid w:val="00BB2947"/>
    <w:rPr>
      <w:sz w:val="16"/>
      <w:szCs w:val="16"/>
    </w:rPr>
  </w:style>
  <w:style w:type="paragraph" w:styleId="CommentText">
    <w:name w:val="annotation text"/>
    <w:basedOn w:val="Normal"/>
    <w:link w:val="CommentTextChar"/>
    <w:uiPriority w:val="99"/>
    <w:semiHidden w:val="1"/>
    <w:unhideWhenUsed w:val="1"/>
    <w:rsid w:val="00BB2947"/>
    <w:pPr>
      <w:spacing w:line="240" w:lineRule="auto"/>
    </w:pPr>
    <w:rPr>
      <w:sz w:val="20"/>
      <w:szCs w:val="20"/>
    </w:rPr>
  </w:style>
  <w:style w:type="character" w:styleId="CommentTextChar" w:customStyle="1">
    <w:name w:val="Comment Text Char"/>
    <w:basedOn w:val="DefaultParagraphFont"/>
    <w:link w:val="CommentText"/>
    <w:uiPriority w:val="99"/>
    <w:semiHidden w:val="1"/>
    <w:rsid w:val="00BB2947"/>
    <w:rPr>
      <w:sz w:val="20"/>
      <w:szCs w:val="20"/>
      <w:lang w:val="en-GB"/>
    </w:rPr>
  </w:style>
  <w:style w:type="paragraph" w:styleId="CommentSubject">
    <w:name w:val="annotation subject"/>
    <w:basedOn w:val="CommentText"/>
    <w:next w:val="CommentText"/>
    <w:link w:val="CommentSubjectChar"/>
    <w:uiPriority w:val="99"/>
    <w:semiHidden w:val="1"/>
    <w:unhideWhenUsed w:val="1"/>
    <w:rsid w:val="00BB2947"/>
    <w:rPr>
      <w:b w:val="1"/>
      <w:bCs w:val="1"/>
    </w:rPr>
  </w:style>
  <w:style w:type="character" w:styleId="CommentSubjectChar" w:customStyle="1">
    <w:name w:val="Comment Subject Char"/>
    <w:basedOn w:val="CommentTextChar"/>
    <w:link w:val="CommentSubject"/>
    <w:uiPriority w:val="99"/>
    <w:semiHidden w:val="1"/>
    <w:rsid w:val="00BB2947"/>
    <w:rPr>
      <w:b w:val="1"/>
      <w:bCs w:val="1"/>
      <w:sz w:val="20"/>
      <w:szCs w:val="20"/>
      <w:lang w:val="en-GB"/>
    </w:rPr>
  </w:style>
  <w:style w:type="paragraph" w:styleId="BalloonText">
    <w:name w:val="Balloon Text"/>
    <w:basedOn w:val="Normal"/>
    <w:link w:val="BalloonTextChar"/>
    <w:uiPriority w:val="99"/>
    <w:semiHidden w:val="1"/>
    <w:unhideWhenUsed w:val="1"/>
    <w:rsid w:val="00BB294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947"/>
    <w:rPr>
      <w:rFonts w:ascii="Tahoma" w:cs="Tahoma" w:hAnsi="Tahoma"/>
      <w:sz w:val="16"/>
      <w:szCs w:val="16"/>
      <w:lang w:val="en-GB"/>
    </w:rPr>
  </w:style>
  <w:style w:type="paragraph" w:styleId="Header">
    <w:name w:val="header"/>
    <w:basedOn w:val="Normal"/>
    <w:link w:val="HeaderChar"/>
    <w:uiPriority w:val="99"/>
    <w:unhideWhenUsed w:val="1"/>
    <w:rsid w:val="00AA40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01C"/>
    <w:rPr>
      <w:lang w:val="en-GB"/>
    </w:rPr>
  </w:style>
  <w:style w:type="paragraph" w:styleId="Footer">
    <w:name w:val="footer"/>
    <w:basedOn w:val="Normal"/>
    <w:link w:val="FooterChar"/>
    <w:uiPriority w:val="99"/>
    <w:unhideWhenUsed w:val="1"/>
    <w:rsid w:val="00AA40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01C"/>
    <w:rPr>
      <w:lang w:val="en-GB"/>
    </w:rPr>
  </w:style>
  <w:style w:type="character" w:styleId="PageNumber">
    <w:name w:val="page number"/>
    <w:uiPriority w:val="99"/>
    <w:rsid w:val="00AA401C"/>
    <w:rPr>
      <w:rFonts w:cs="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rPr>
    <w:tblPr>
      <w:tblStyleRowBandSize w:val="1"/>
      <w:tblStyleColBandSize w:val="1"/>
    </w:tblPr>
  </w:style>
  <w:style w:type="table" w:styleId="a0" w:customStyle="1">
    <w:basedOn w:val="TableNormal"/>
    <w:pPr>
      <w:spacing w:after="0" w:line="240" w:lineRule="auto"/>
    </w:pPr>
    <w:rPr>
      <w:color w:val="000000"/>
    </w:rPr>
    <w:tblPr>
      <w:tblStyleRowBandSize w:val="1"/>
      <w:tblStyleColBandSize w:val="1"/>
    </w:tblPr>
  </w:style>
  <w:style w:type="table" w:styleId="a1" w:customStyle="1">
    <w:basedOn w:val="TableNormal"/>
    <w:pPr>
      <w:spacing w:after="0" w:line="240" w:lineRule="auto"/>
    </w:pPr>
    <w:rPr>
      <w:color w:val="000000"/>
    </w:rPr>
    <w:tblPr>
      <w:tblStyleRowBandSize w:val="1"/>
      <w:tblStyleColBandSize w:val="1"/>
    </w:tblPr>
  </w:style>
  <w:style w:type="table" w:styleId="a2" w:customStyle="1">
    <w:basedOn w:val="TableNormal"/>
    <w:pPr>
      <w:spacing w:after="0" w:line="240" w:lineRule="auto"/>
    </w:pPr>
    <w:rPr>
      <w:color w:val="000000"/>
    </w:rPr>
    <w:tblPr>
      <w:tblStyleRowBandSize w:val="1"/>
      <w:tblStyleColBandSize w:val="1"/>
    </w:tblPr>
  </w:style>
  <w:style w:type="table" w:styleId="a3" w:customStyle="1">
    <w:basedOn w:val="TableNormal"/>
    <w:pPr>
      <w:spacing w:after="0" w:line="240" w:lineRule="auto"/>
    </w:pPr>
    <w:rPr>
      <w:color w:val="000000"/>
    </w:rPr>
    <w:tblPr>
      <w:tblStyleRowBandSize w:val="1"/>
      <w:tblStyleColBandSize w:val="1"/>
    </w:tblPr>
  </w:style>
  <w:style w:type="table" w:styleId="a4" w:customStyle="1">
    <w:basedOn w:val="TableNormal"/>
    <w:pPr>
      <w:spacing w:after="0" w:line="240" w:lineRule="auto"/>
    </w:pPr>
    <w:rPr>
      <w:color w:val="000000"/>
    </w:rPr>
    <w:tblPr>
      <w:tblStyleRowBandSize w:val="1"/>
      <w:tblStyleColBandSize w:val="1"/>
    </w:tblPr>
  </w:style>
  <w:style w:type="table" w:styleId="a5" w:customStyle="1">
    <w:basedOn w:val="TableNormal"/>
    <w:pPr>
      <w:spacing w:after="0" w:line="240" w:lineRule="auto"/>
    </w:pPr>
    <w:rPr>
      <w:color w:val="000000"/>
    </w:rPr>
    <w:tblPr>
      <w:tblStyleRowBandSize w:val="1"/>
      <w:tblStyleColBandSize w:val="1"/>
    </w:tblPr>
  </w:style>
  <w:style w:type="table" w:styleId="a6" w:customStyle="1">
    <w:basedOn w:val="TableNormal"/>
    <w:pPr>
      <w:spacing w:after="0" w:line="240" w:lineRule="auto"/>
    </w:pPr>
    <w:rPr>
      <w:color w:val="000000"/>
    </w:rPr>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b6/VU0Smfvyx7j7huNU4hXhYQ==">AMUW2mXNc3KsU/WbfiTxeMmBRysC0Z7VpO0+/NGk1L1sIhCxLABapLepaaR5vDD/fHMPP0OgEkm83INYE/hK6ABzOVgCXnH7dmkzuEIdblLWaQyDz8UxDuKuUD79py3ewNGcPxUmRcFt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2020-10-27T16:22:00Z</dcterms:created>
  <dc:creator>MARTINS, Sara</dc:creator>
</cp:coreProperties>
</file>