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C87CA" w14:textId="77777777" w:rsidR="004B12A3" w:rsidRPr="00FF0E59" w:rsidRDefault="00382D93" w:rsidP="00FF0E59">
      <w:pPr>
        <w:jc w:val="center"/>
        <w:rPr>
          <w:rFonts w:cs="Times New Roman"/>
          <w:color w:val="000000" w:themeColor="text1"/>
          <w:sz w:val="22"/>
          <w:szCs w:val="22"/>
        </w:rPr>
      </w:pPr>
      <w:r w:rsidRPr="00FF0E59">
        <w:rPr>
          <w:rFonts w:cs="Times New Roman"/>
          <w:noProof/>
          <w:color w:val="000000" w:themeColor="text1"/>
          <w:sz w:val="22"/>
          <w:szCs w:val="22"/>
        </w:rPr>
        <w:drawing>
          <wp:inline distT="0" distB="0" distL="0" distR="0" wp14:anchorId="428A1654" wp14:editId="4687649D">
            <wp:extent cx="6359652" cy="80575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9652" cy="805758"/>
                    </a:xfrm>
                    <a:prstGeom prst="rect">
                      <a:avLst/>
                    </a:prstGeom>
                    <a:noFill/>
                    <a:ln>
                      <a:noFill/>
                    </a:ln>
                  </pic:spPr>
                </pic:pic>
              </a:graphicData>
            </a:graphic>
          </wp:inline>
        </w:drawing>
      </w:r>
    </w:p>
    <w:p w14:paraId="34421877" w14:textId="77777777" w:rsidR="00382D93" w:rsidRPr="00FF0E59" w:rsidRDefault="00382D93" w:rsidP="00FF0E59">
      <w:pPr>
        <w:jc w:val="center"/>
        <w:rPr>
          <w:rFonts w:cs="Times New Roman"/>
          <w:b/>
          <w:bCs/>
          <w:color w:val="000000" w:themeColor="text1"/>
          <w:sz w:val="22"/>
          <w:szCs w:val="22"/>
        </w:rPr>
      </w:pPr>
    </w:p>
    <w:p w14:paraId="66B15D07" w14:textId="77777777" w:rsidR="00382D93" w:rsidRPr="00FF0E59" w:rsidRDefault="00382D93" w:rsidP="00FF0E59">
      <w:pPr>
        <w:jc w:val="center"/>
        <w:rPr>
          <w:rFonts w:cs="Times New Roman"/>
          <w:b/>
          <w:bCs/>
          <w:color w:val="000000" w:themeColor="text1"/>
          <w:sz w:val="22"/>
          <w:szCs w:val="22"/>
        </w:rPr>
      </w:pPr>
    </w:p>
    <w:p w14:paraId="3D4AC08B" w14:textId="3ABC128B" w:rsidR="00603150" w:rsidRPr="00FF0E59" w:rsidRDefault="00603150" w:rsidP="00FF0E59">
      <w:pPr>
        <w:jc w:val="center"/>
        <w:rPr>
          <w:rFonts w:cs="Times New Roman"/>
          <w:b/>
          <w:bCs/>
          <w:color w:val="000000" w:themeColor="text1"/>
          <w:sz w:val="22"/>
          <w:szCs w:val="22"/>
        </w:rPr>
      </w:pPr>
      <w:r w:rsidRPr="00FF0E59">
        <w:rPr>
          <w:rFonts w:cs="Times New Roman"/>
          <w:b/>
          <w:bCs/>
          <w:color w:val="000000" w:themeColor="text1"/>
          <w:sz w:val="22"/>
          <w:szCs w:val="22"/>
        </w:rPr>
        <w:t xml:space="preserve">WORKSHOP ON JOINT RISK ASSESSMENT </w:t>
      </w:r>
      <w:r w:rsidR="00252CF6" w:rsidRPr="00FF0E59">
        <w:rPr>
          <w:rFonts w:cs="Times New Roman"/>
          <w:b/>
          <w:bCs/>
          <w:color w:val="000000" w:themeColor="text1"/>
          <w:sz w:val="22"/>
          <w:szCs w:val="22"/>
        </w:rPr>
        <w:t>FOR</w:t>
      </w:r>
      <w:r w:rsidRPr="00FF0E59">
        <w:rPr>
          <w:rFonts w:cs="Times New Roman"/>
          <w:b/>
          <w:bCs/>
          <w:color w:val="000000" w:themeColor="text1"/>
          <w:sz w:val="22"/>
          <w:szCs w:val="22"/>
        </w:rPr>
        <w:t xml:space="preserve"> </w:t>
      </w:r>
    </w:p>
    <w:p w14:paraId="77C956A8" w14:textId="2DB29F41" w:rsidR="004B12A3" w:rsidRDefault="00603150" w:rsidP="00FF0E59">
      <w:pPr>
        <w:jc w:val="center"/>
        <w:rPr>
          <w:rFonts w:cs="Times New Roman"/>
          <w:b/>
          <w:bCs/>
          <w:color w:val="000000" w:themeColor="text1"/>
          <w:sz w:val="22"/>
          <w:szCs w:val="22"/>
        </w:rPr>
      </w:pPr>
      <w:r w:rsidRPr="00FF0E59">
        <w:rPr>
          <w:rFonts w:cs="Times New Roman"/>
          <w:b/>
          <w:bCs/>
          <w:color w:val="000000" w:themeColor="text1"/>
          <w:sz w:val="22"/>
          <w:szCs w:val="22"/>
        </w:rPr>
        <w:t>ZOONOTIC DISEASES</w:t>
      </w:r>
    </w:p>
    <w:p w14:paraId="2E67856D" w14:textId="77777777" w:rsidR="00FD2CE4" w:rsidRPr="00FD2CE4" w:rsidRDefault="00FD2CE4" w:rsidP="00FD2CE4">
      <w:pPr>
        <w:widowControl w:val="0"/>
        <w:jc w:val="center"/>
        <w:rPr>
          <w:sz w:val="22"/>
          <w:szCs w:val="22"/>
        </w:rPr>
      </w:pPr>
      <w:r w:rsidRPr="00FD2CE4">
        <w:rPr>
          <w:sz w:val="22"/>
          <w:szCs w:val="22"/>
        </w:rPr>
        <w:t xml:space="preserve">An Operational Tool of the Tripartite Zoonoses Guide </w:t>
      </w:r>
    </w:p>
    <w:p w14:paraId="38945AAE" w14:textId="77777777" w:rsidR="00FD2CE4" w:rsidRPr="00FF0E59" w:rsidRDefault="00FD2CE4" w:rsidP="00FF0E59">
      <w:pPr>
        <w:jc w:val="center"/>
        <w:rPr>
          <w:rFonts w:cs="Times New Roman"/>
          <w:b/>
          <w:bCs/>
          <w:color w:val="000000" w:themeColor="text1"/>
          <w:sz w:val="22"/>
          <w:szCs w:val="22"/>
        </w:rPr>
      </w:pPr>
    </w:p>
    <w:p w14:paraId="020E53C9" w14:textId="77777777" w:rsidR="00603150" w:rsidRPr="00FF0E59" w:rsidRDefault="00603150" w:rsidP="00FF0E59">
      <w:pPr>
        <w:jc w:val="center"/>
        <w:rPr>
          <w:rFonts w:cs="Times New Roman"/>
          <w:b/>
          <w:color w:val="000000" w:themeColor="text1"/>
          <w:sz w:val="22"/>
          <w:szCs w:val="22"/>
          <w:lang w:val="en-GB"/>
        </w:rPr>
      </w:pPr>
    </w:p>
    <w:p w14:paraId="68FAF302" w14:textId="462BAE74" w:rsidR="00252CF6" w:rsidRPr="00FF0E59" w:rsidRDefault="00252CF6" w:rsidP="00FF0E59">
      <w:pPr>
        <w:jc w:val="center"/>
        <w:rPr>
          <w:rFonts w:cs="Times New Roman"/>
          <w:b/>
          <w:color w:val="000000" w:themeColor="text1"/>
          <w:sz w:val="22"/>
          <w:szCs w:val="22"/>
          <w:lang w:val="en-GB"/>
        </w:rPr>
      </w:pPr>
      <w:r w:rsidRPr="00B572CC">
        <w:rPr>
          <w:rFonts w:cs="Times New Roman"/>
          <w:b/>
          <w:color w:val="000000" w:themeColor="text1"/>
          <w:sz w:val="22"/>
          <w:szCs w:val="22"/>
          <w:highlight w:val="yellow"/>
          <w:lang w:val="en-GB"/>
        </w:rPr>
        <w:t>Date</w:t>
      </w:r>
      <w:r w:rsidR="00B572CC" w:rsidRPr="00B572CC">
        <w:rPr>
          <w:rFonts w:cs="Times New Roman"/>
          <w:b/>
          <w:color w:val="000000" w:themeColor="text1"/>
          <w:sz w:val="22"/>
          <w:szCs w:val="22"/>
          <w:highlight w:val="yellow"/>
          <w:lang w:val="en-GB"/>
        </w:rPr>
        <w:t xml:space="preserve"> of Workshop</w:t>
      </w:r>
    </w:p>
    <w:p w14:paraId="720452F2" w14:textId="441A9BCB" w:rsidR="00603150" w:rsidRPr="00FF0E59" w:rsidRDefault="00B572CC" w:rsidP="00FF0E59">
      <w:pPr>
        <w:jc w:val="center"/>
        <w:rPr>
          <w:rFonts w:cs="Times New Roman"/>
          <w:b/>
          <w:color w:val="000000" w:themeColor="text1"/>
          <w:sz w:val="22"/>
          <w:szCs w:val="22"/>
          <w:lang w:val="en-GB"/>
        </w:rPr>
      </w:pPr>
      <w:r w:rsidRPr="00B572CC">
        <w:rPr>
          <w:rFonts w:cs="Times New Roman"/>
          <w:b/>
          <w:color w:val="000000" w:themeColor="text1"/>
          <w:sz w:val="22"/>
          <w:szCs w:val="22"/>
          <w:highlight w:val="yellow"/>
          <w:lang w:val="en-GB"/>
        </w:rPr>
        <w:t>City, Country</w:t>
      </w:r>
    </w:p>
    <w:p w14:paraId="3025A4D6" w14:textId="77777777" w:rsidR="004B12A3" w:rsidRPr="00FF0E59" w:rsidRDefault="004B12A3" w:rsidP="00FF0E59">
      <w:pPr>
        <w:jc w:val="center"/>
        <w:rPr>
          <w:rFonts w:cs="Times New Roman"/>
          <w:b/>
          <w:color w:val="000000" w:themeColor="text1"/>
          <w:sz w:val="22"/>
          <w:szCs w:val="22"/>
          <w:lang w:val="en-GB"/>
        </w:rPr>
      </w:pPr>
    </w:p>
    <w:p w14:paraId="2F3172C5" w14:textId="40F3329D" w:rsidR="004B12A3" w:rsidRPr="00FF0E59" w:rsidRDefault="004B12A3" w:rsidP="00FF0E59">
      <w:pPr>
        <w:jc w:val="center"/>
        <w:rPr>
          <w:rFonts w:cs="Times New Roman"/>
          <w:b/>
          <w:color w:val="000000" w:themeColor="text1"/>
          <w:sz w:val="22"/>
          <w:szCs w:val="22"/>
          <w:lang w:val="en-GB"/>
        </w:rPr>
      </w:pPr>
      <w:r w:rsidRPr="00FD2CE4">
        <w:rPr>
          <w:rFonts w:cs="Times New Roman"/>
          <w:i/>
          <w:color w:val="000000" w:themeColor="text1"/>
          <w:sz w:val="22"/>
          <w:szCs w:val="22"/>
          <w:highlight w:val="yellow"/>
          <w:u w:val="single"/>
          <w:lang w:val="en-GB"/>
        </w:rPr>
        <w:t>Concept note</w:t>
      </w:r>
      <w:r w:rsidR="009009A3" w:rsidRPr="00FD2CE4">
        <w:rPr>
          <w:rFonts w:cs="Times New Roman"/>
          <w:i/>
          <w:color w:val="000000" w:themeColor="text1"/>
          <w:sz w:val="22"/>
          <w:szCs w:val="22"/>
          <w:highlight w:val="yellow"/>
          <w:u w:val="single"/>
          <w:lang w:val="en-GB"/>
        </w:rPr>
        <w:t>:</w:t>
      </w:r>
      <w:r w:rsidR="009009A3" w:rsidRPr="00B572CC">
        <w:rPr>
          <w:rFonts w:cs="Times New Roman"/>
          <w:i/>
          <w:color w:val="000000" w:themeColor="text1"/>
          <w:sz w:val="22"/>
          <w:szCs w:val="22"/>
          <w:highlight w:val="yellow"/>
          <w:u w:val="single"/>
          <w:lang w:val="en-GB"/>
        </w:rPr>
        <w:t xml:space="preserve"> </w:t>
      </w:r>
      <w:r w:rsidR="00B572CC" w:rsidRPr="00B572CC">
        <w:rPr>
          <w:rFonts w:cs="Times New Roman"/>
          <w:i/>
          <w:color w:val="000000" w:themeColor="text1"/>
          <w:sz w:val="22"/>
          <w:szCs w:val="22"/>
          <w:highlight w:val="yellow"/>
          <w:u w:val="single"/>
          <w:lang w:val="en-GB"/>
        </w:rPr>
        <w:t>date</w:t>
      </w:r>
    </w:p>
    <w:p w14:paraId="170CBEEB" w14:textId="77777777" w:rsidR="004B12A3" w:rsidRPr="00FF0E59" w:rsidRDefault="004B12A3" w:rsidP="00FF0E59">
      <w:pPr>
        <w:jc w:val="center"/>
        <w:rPr>
          <w:rFonts w:cs="Times New Roman"/>
          <w:b/>
          <w:color w:val="000000" w:themeColor="text1"/>
          <w:sz w:val="22"/>
          <w:szCs w:val="22"/>
          <w:lang w:val="en-GB"/>
        </w:rPr>
      </w:pPr>
    </w:p>
    <w:p w14:paraId="5F04FE8F" w14:textId="77777777" w:rsidR="004B12A3" w:rsidRPr="00FF0E59" w:rsidRDefault="004B12A3" w:rsidP="00FF0E59">
      <w:pPr>
        <w:jc w:val="center"/>
        <w:rPr>
          <w:rFonts w:cs="Times New Roman"/>
          <w:b/>
          <w:color w:val="000000" w:themeColor="text1"/>
          <w:sz w:val="22"/>
          <w:szCs w:val="22"/>
          <w:lang w:val="en-GB"/>
        </w:rPr>
      </w:pPr>
    </w:p>
    <w:p w14:paraId="4BA6CF47" w14:textId="6A1474BE" w:rsidR="003B6666" w:rsidRPr="00FF0E59" w:rsidRDefault="003B6666" w:rsidP="00FF0E59">
      <w:pPr>
        <w:jc w:val="both"/>
        <w:rPr>
          <w:rFonts w:cs="Times New Roman"/>
          <w:b/>
          <w:bCs/>
          <w:color w:val="000000" w:themeColor="text1"/>
          <w:sz w:val="22"/>
          <w:szCs w:val="22"/>
        </w:rPr>
      </w:pPr>
      <w:r w:rsidRPr="00FF0E59">
        <w:rPr>
          <w:rFonts w:cs="Times New Roman"/>
          <w:b/>
          <w:bCs/>
          <w:color w:val="000000" w:themeColor="text1"/>
          <w:sz w:val="22"/>
          <w:szCs w:val="22"/>
        </w:rPr>
        <w:t>Background &amp; Justification</w:t>
      </w:r>
    </w:p>
    <w:p w14:paraId="3651313B" w14:textId="616F0E09" w:rsidR="00FF0E59" w:rsidRPr="00FF0E59" w:rsidRDefault="004B12A3" w:rsidP="00FF0E59">
      <w:pPr>
        <w:jc w:val="both"/>
        <w:rPr>
          <w:rFonts w:cs="Times New Roman"/>
          <w:color w:val="000000" w:themeColor="text1"/>
          <w:sz w:val="22"/>
          <w:szCs w:val="22"/>
        </w:rPr>
      </w:pPr>
      <w:r w:rsidRPr="00FF0E59">
        <w:rPr>
          <w:rFonts w:cs="Times New Roman"/>
          <w:color w:val="000000" w:themeColor="text1"/>
          <w:sz w:val="22"/>
          <w:szCs w:val="22"/>
        </w:rPr>
        <w:t>Multidisciplinary and multisectoral collaboration in accordance with the “</w:t>
      </w:r>
      <w:r w:rsidR="003B6666" w:rsidRPr="00FF0E59">
        <w:rPr>
          <w:rFonts w:cs="Times New Roman"/>
          <w:color w:val="000000" w:themeColor="text1"/>
          <w:sz w:val="22"/>
          <w:szCs w:val="22"/>
        </w:rPr>
        <w:t>O</w:t>
      </w:r>
      <w:r w:rsidRPr="00FF0E59">
        <w:rPr>
          <w:rFonts w:cs="Times New Roman"/>
          <w:color w:val="000000" w:themeColor="text1"/>
          <w:sz w:val="22"/>
          <w:szCs w:val="22"/>
        </w:rPr>
        <w:t xml:space="preserve">ne </w:t>
      </w:r>
      <w:r w:rsidR="003B6666" w:rsidRPr="00FF0E59">
        <w:rPr>
          <w:rFonts w:cs="Times New Roman"/>
          <w:color w:val="000000" w:themeColor="text1"/>
          <w:sz w:val="22"/>
          <w:szCs w:val="22"/>
        </w:rPr>
        <w:t>H</w:t>
      </w:r>
      <w:r w:rsidRPr="00FF0E59">
        <w:rPr>
          <w:rFonts w:cs="Times New Roman"/>
          <w:color w:val="000000" w:themeColor="text1"/>
          <w:sz w:val="22"/>
          <w:szCs w:val="22"/>
        </w:rPr>
        <w:t xml:space="preserve">ealth” approach is necessary in order to effectively prepare for the detection, assessment and intervention with regard to emerging and endemic zoonoses and other health threats at the </w:t>
      </w:r>
      <w:r w:rsidR="003B6666" w:rsidRPr="00FF0E59">
        <w:rPr>
          <w:rFonts w:cs="Times New Roman"/>
          <w:color w:val="000000" w:themeColor="text1"/>
          <w:sz w:val="22"/>
          <w:szCs w:val="22"/>
        </w:rPr>
        <w:t>h</w:t>
      </w:r>
      <w:r w:rsidRPr="00FF0E59">
        <w:rPr>
          <w:rFonts w:cs="Times New Roman"/>
          <w:color w:val="000000" w:themeColor="text1"/>
          <w:sz w:val="22"/>
          <w:szCs w:val="22"/>
        </w:rPr>
        <w:t>uman-animal-environment interface, including antimicrobial resistance and food safety.</w:t>
      </w:r>
      <w:r w:rsidR="00FF0E59" w:rsidRPr="00FF0E59">
        <w:rPr>
          <w:rFonts w:cs="Times New Roman"/>
          <w:color w:val="000000" w:themeColor="text1"/>
          <w:sz w:val="22"/>
          <w:szCs w:val="22"/>
        </w:rPr>
        <w:t xml:space="preserve"> Activities to identify, assess, manage and reduce risks from zoonotic diseases benefit from coordination and collaboration between the ministries and other agencies in a country that are responsible for various aspects of human health, animal health, and the environment.</w:t>
      </w:r>
    </w:p>
    <w:p w14:paraId="34115335" w14:textId="592C8FAC" w:rsidR="00FF0E59" w:rsidRPr="00FF0E59" w:rsidRDefault="00FF0E59" w:rsidP="00FF0E59">
      <w:pPr>
        <w:pStyle w:val="NormalWeb"/>
        <w:rPr>
          <w:color w:val="000000" w:themeColor="text1"/>
          <w:sz w:val="22"/>
          <w:szCs w:val="22"/>
        </w:rPr>
      </w:pPr>
      <w:r w:rsidRPr="00FF0E59">
        <w:rPr>
          <w:color w:val="000000" w:themeColor="text1"/>
          <w:sz w:val="22"/>
          <w:szCs w:val="22"/>
        </w:rPr>
        <w:t xml:space="preserve">Since 2017, FAO-OIE-WHO have </w:t>
      </w:r>
      <w:r w:rsidR="004F635C">
        <w:rPr>
          <w:color w:val="000000" w:themeColor="text1"/>
          <w:sz w:val="22"/>
          <w:szCs w:val="22"/>
        </w:rPr>
        <w:t>worked with international experts to develop</w:t>
      </w:r>
      <w:r w:rsidRPr="00FF0E59">
        <w:rPr>
          <w:color w:val="000000" w:themeColor="text1"/>
          <w:sz w:val="22"/>
          <w:szCs w:val="22"/>
        </w:rPr>
        <w:t xml:space="preserve"> the </w:t>
      </w:r>
      <w:hyperlink r:id="rId8" w:history="1">
        <w:r w:rsidRPr="00836D05">
          <w:rPr>
            <w:rStyle w:val="Hyperlink"/>
            <w:sz w:val="22"/>
            <w:szCs w:val="22"/>
          </w:rPr>
          <w:t>Joint Risk Assessment Operational Tool (JRA OT)</w:t>
        </w:r>
      </w:hyperlink>
      <w:r>
        <w:rPr>
          <w:color w:val="000000" w:themeColor="text1"/>
          <w:sz w:val="22"/>
          <w:szCs w:val="22"/>
        </w:rPr>
        <w:t>–</w:t>
      </w:r>
      <w:r w:rsidR="005F39DD">
        <w:rPr>
          <w:color w:val="000000" w:themeColor="text1"/>
          <w:sz w:val="22"/>
          <w:szCs w:val="22"/>
        </w:rPr>
        <w:t xml:space="preserve">one of three </w:t>
      </w:r>
      <w:r w:rsidRPr="00FF0E59">
        <w:rPr>
          <w:color w:val="000000" w:themeColor="text1"/>
          <w:sz w:val="22"/>
          <w:szCs w:val="22"/>
        </w:rPr>
        <w:t>implementation tool</w:t>
      </w:r>
      <w:r w:rsidR="005F39DD">
        <w:rPr>
          <w:color w:val="000000" w:themeColor="text1"/>
          <w:sz w:val="22"/>
          <w:szCs w:val="22"/>
        </w:rPr>
        <w:t>s</w:t>
      </w:r>
      <w:r w:rsidRPr="00FF0E59">
        <w:rPr>
          <w:color w:val="000000" w:themeColor="text1"/>
          <w:sz w:val="22"/>
          <w:szCs w:val="22"/>
        </w:rPr>
        <w:t xml:space="preserve"> associated with the </w:t>
      </w:r>
      <w:hyperlink r:id="rId9" w:tooltip="https://www.who.int/initiatives/tripartite-zoonosis-guide" w:history="1">
        <w:r w:rsidRPr="00836D05">
          <w:rPr>
            <w:rStyle w:val="Hyperlink"/>
            <w:color w:val="2E74B5" w:themeColor="accent1" w:themeShade="BF"/>
            <w:sz w:val="22"/>
            <w:szCs w:val="22"/>
          </w:rPr>
          <w:t>Tripartite Zoonoses Guide</w:t>
        </w:r>
      </w:hyperlink>
      <w:r w:rsidRPr="00FF0E59">
        <w:rPr>
          <w:color w:val="000000" w:themeColor="text1"/>
          <w:sz w:val="22"/>
          <w:szCs w:val="22"/>
        </w:rPr>
        <w:t>. The JRA OT was designed to support countries in applying a consistent and harmonized approach to assessing risks posed by zoonotic disease hazards.</w:t>
      </w:r>
    </w:p>
    <w:p w14:paraId="150C4411" w14:textId="0B0E62DD" w:rsidR="00FF0E59" w:rsidRPr="00FF0E59" w:rsidRDefault="00FF0E59" w:rsidP="008207B6">
      <w:pPr>
        <w:pStyle w:val="NormalWeb"/>
        <w:rPr>
          <w:color w:val="000000" w:themeColor="text1"/>
          <w:sz w:val="22"/>
          <w:szCs w:val="22"/>
        </w:rPr>
      </w:pPr>
      <w:r w:rsidRPr="00FF0E59">
        <w:rPr>
          <w:color w:val="000000" w:themeColor="text1"/>
          <w:sz w:val="22"/>
          <w:szCs w:val="22"/>
        </w:rPr>
        <w:t xml:space="preserve">Between 2018 and 2020, the JRA OT was piloted in 19 countries in all six WHO regions, and this included two regional training of trainers in Senegal and Tunisia. Following iterative refinement and improvement, the JRA OT offers decision-makers and technical experts a 10-step approach to create a system for conducting joint qualitative risk assessments. </w:t>
      </w:r>
      <w:r w:rsidR="00836D05">
        <w:rPr>
          <w:color w:val="000000" w:themeColor="text1"/>
          <w:sz w:val="22"/>
          <w:szCs w:val="22"/>
        </w:rPr>
        <w:t xml:space="preserve">The JRA OT was published by the Tripartite in December 2020. </w:t>
      </w:r>
      <w:r w:rsidRPr="00FF0E59">
        <w:rPr>
          <w:color w:val="000000" w:themeColor="text1"/>
          <w:sz w:val="22"/>
          <w:szCs w:val="22"/>
        </w:rPr>
        <w:t xml:space="preserve">Results of the JRA OT </w:t>
      </w:r>
      <w:r w:rsidR="00836D05">
        <w:rPr>
          <w:color w:val="000000" w:themeColor="text1"/>
          <w:sz w:val="22"/>
          <w:szCs w:val="22"/>
        </w:rPr>
        <w:t xml:space="preserve">process in country </w:t>
      </w:r>
      <w:r w:rsidRPr="00FF0E59">
        <w:rPr>
          <w:color w:val="000000" w:themeColor="text1"/>
          <w:sz w:val="22"/>
          <w:szCs w:val="22"/>
        </w:rPr>
        <w:t xml:space="preserve">are used to support policy communication, risk mitigation, and improved planning and preparedness for zoonotic diseases, contributing to health security at the </w:t>
      </w:r>
      <w:r w:rsidR="004F635C">
        <w:rPr>
          <w:color w:val="000000" w:themeColor="text1"/>
          <w:sz w:val="22"/>
          <w:szCs w:val="22"/>
        </w:rPr>
        <w:t xml:space="preserve">sub-national, </w:t>
      </w:r>
      <w:r w:rsidRPr="00FF0E59">
        <w:rPr>
          <w:color w:val="000000" w:themeColor="text1"/>
          <w:sz w:val="22"/>
          <w:szCs w:val="22"/>
        </w:rPr>
        <w:t>national, regional, and global levels. </w:t>
      </w:r>
    </w:p>
    <w:p w14:paraId="129BEE2F" w14:textId="01962E31" w:rsidR="00FF0E59" w:rsidRPr="00FF0E59" w:rsidRDefault="004F635C" w:rsidP="00FF0E59">
      <w:pPr>
        <w:pStyle w:val="Body"/>
        <w:jc w:val="both"/>
        <w:rPr>
          <w:color w:val="000000" w:themeColor="text1"/>
          <w:sz w:val="22"/>
          <w:szCs w:val="22"/>
        </w:rPr>
      </w:pPr>
      <w:r>
        <w:rPr>
          <w:color w:val="000000" w:themeColor="text1"/>
          <w:sz w:val="22"/>
          <w:szCs w:val="22"/>
        </w:rPr>
        <w:t>However, the</w:t>
      </w:r>
      <w:r w:rsidR="00FF0E59" w:rsidRPr="00FF0E59">
        <w:rPr>
          <w:color w:val="000000" w:themeColor="text1"/>
          <w:sz w:val="22"/>
          <w:szCs w:val="22"/>
        </w:rPr>
        <w:t xml:space="preserve"> concept</w:t>
      </w:r>
      <w:r>
        <w:rPr>
          <w:color w:val="000000" w:themeColor="text1"/>
          <w:sz w:val="22"/>
          <w:szCs w:val="22"/>
        </w:rPr>
        <w:t>s presented in the JRA OT go</w:t>
      </w:r>
      <w:r w:rsidR="00FF0E59" w:rsidRPr="00FF0E59">
        <w:rPr>
          <w:color w:val="000000" w:themeColor="text1"/>
          <w:sz w:val="22"/>
          <w:szCs w:val="22"/>
        </w:rPr>
        <w:t xml:space="preserve"> beyond risk assessment. </w:t>
      </w:r>
      <w:r>
        <w:rPr>
          <w:color w:val="000000" w:themeColor="text1"/>
          <w:sz w:val="22"/>
          <w:szCs w:val="22"/>
        </w:rPr>
        <w:t>The JRA OT</w:t>
      </w:r>
      <w:r w:rsidR="00FF0E59" w:rsidRPr="00FF0E59">
        <w:rPr>
          <w:color w:val="000000" w:themeColor="text1"/>
          <w:sz w:val="22"/>
          <w:szCs w:val="22"/>
        </w:rPr>
        <w:t xml:space="preserve"> includes discussion of risk management options and communication needs (often referred to all together as risk analysis) and provides recommendations, allowing decision-makers to build and implement science-based risk management measures and communication messages that are aligned between the sectors, or even implemented jointly. </w:t>
      </w:r>
    </w:p>
    <w:p w14:paraId="030D48C9" w14:textId="77777777" w:rsidR="00FF0E59" w:rsidRPr="00FF0E59" w:rsidRDefault="00FF0E59" w:rsidP="00FF0E59">
      <w:pPr>
        <w:pStyle w:val="Body"/>
        <w:jc w:val="both"/>
        <w:rPr>
          <w:color w:val="000000" w:themeColor="text1"/>
          <w:sz w:val="22"/>
          <w:szCs w:val="22"/>
        </w:rPr>
      </w:pPr>
    </w:p>
    <w:p w14:paraId="2FADF3FA" w14:textId="7B8369E2" w:rsidR="00FF0E59" w:rsidRDefault="004F635C" w:rsidP="00FF0E59">
      <w:pPr>
        <w:pStyle w:val="Body"/>
        <w:jc w:val="both"/>
        <w:rPr>
          <w:color w:val="000000" w:themeColor="text1"/>
          <w:sz w:val="22"/>
          <w:szCs w:val="22"/>
        </w:rPr>
      </w:pPr>
      <w:r>
        <w:rPr>
          <w:color w:val="000000" w:themeColor="text1"/>
          <w:sz w:val="22"/>
          <w:szCs w:val="22"/>
        </w:rPr>
        <w:t>The s</w:t>
      </w:r>
      <w:r w:rsidR="00FF0E59" w:rsidRPr="00FF0E59">
        <w:rPr>
          <w:color w:val="000000" w:themeColor="text1"/>
          <w:sz w:val="22"/>
          <w:szCs w:val="22"/>
        </w:rPr>
        <w:t xml:space="preserve">uccess of </w:t>
      </w:r>
      <w:r>
        <w:rPr>
          <w:color w:val="000000" w:themeColor="text1"/>
          <w:sz w:val="22"/>
          <w:szCs w:val="22"/>
        </w:rPr>
        <w:t xml:space="preserve">the JRA OT, and </w:t>
      </w:r>
      <w:r w:rsidR="00FF0E59" w:rsidRPr="00FF0E59">
        <w:rPr>
          <w:color w:val="000000" w:themeColor="text1"/>
          <w:sz w:val="22"/>
          <w:szCs w:val="22"/>
        </w:rPr>
        <w:t>risk assessments</w:t>
      </w:r>
      <w:r>
        <w:rPr>
          <w:color w:val="000000" w:themeColor="text1"/>
          <w:sz w:val="22"/>
          <w:szCs w:val="22"/>
        </w:rPr>
        <w:t xml:space="preserve"> in general,</w:t>
      </w:r>
      <w:r w:rsidR="00FF0E59" w:rsidRPr="00FF0E59">
        <w:rPr>
          <w:color w:val="000000" w:themeColor="text1"/>
          <w:sz w:val="22"/>
          <w:szCs w:val="22"/>
        </w:rPr>
        <w:t xml:space="preserve"> </w:t>
      </w:r>
      <w:r>
        <w:rPr>
          <w:color w:val="000000" w:themeColor="text1"/>
          <w:sz w:val="22"/>
          <w:szCs w:val="22"/>
        </w:rPr>
        <w:t>will</w:t>
      </w:r>
      <w:r w:rsidR="00FF0E59" w:rsidRPr="00FF0E59">
        <w:rPr>
          <w:color w:val="000000" w:themeColor="text1"/>
          <w:sz w:val="22"/>
          <w:szCs w:val="22"/>
        </w:rPr>
        <w:t xml:space="preserve"> depend on commitment and buy-in from national ministries and other stakeholders, who provide financial resources and institutional support to conduct and sustain them. Integration of risk assessment processes into existing institutional processes and infrastructure facilitates sustainability.</w:t>
      </w:r>
    </w:p>
    <w:p w14:paraId="7B8205D9" w14:textId="462754B0" w:rsidR="00284FA5" w:rsidRDefault="00284FA5" w:rsidP="00FF0E59">
      <w:pPr>
        <w:pStyle w:val="Body"/>
        <w:jc w:val="both"/>
        <w:rPr>
          <w:color w:val="000000" w:themeColor="text1"/>
          <w:sz w:val="22"/>
          <w:szCs w:val="22"/>
        </w:rPr>
      </w:pPr>
    </w:p>
    <w:p w14:paraId="6DE8AB57" w14:textId="4BE403CF" w:rsidR="00284FA5" w:rsidRPr="00FF0E59" w:rsidRDefault="00284FA5" w:rsidP="00FF0E59">
      <w:pPr>
        <w:pStyle w:val="Body"/>
        <w:jc w:val="both"/>
        <w:rPr>
          <w:color w:val="000000" w:themeColor="text1"/>
          <w:sz w:val="22"/>
          <w:szCs w:val="22"/>
        </w:rPr>
      </w:pPr>
      <w:r>
        <w:rPr>
          <w:color w:val="000000" w:themeColor="text1"/>
          <w:sz w:val="22"/>
          <w:szCs w:val="22"/>
        </w:rPr>
        <w:t>The JRA OT will be useful in Sierra Leone to establish and strengthen a system and a process for conducting the modules and steps of the JRA OT process. The Tripartite</w:t>
      </w:r>
      <w:r w:rsidR="00930D19">
        <w:rPr>
          <w:color w:val="000000" w:themeColor="text1"/>
          <w:sz w:val="22"/>
          <w:szCs w:val="22"/>
        </w:rPr>
        <w:t xml:space="preserve"> regional offices and headquarters staff </w:t>
      </w:r>
      <w:r>
        <w:rPr>
          <w:color w:val="000000" w:themeColor="text1"/>
          <w:sz w:val="22"/>
          <w:szCs w:val="22"/>
        </w:rPr>
        <w:t>will be available to support the technical implementation of the workshop.</w:t>
      </w:r>
    </w:p>
    <w:p w14:paraId="79E5931B" w14:textId="77777777" w:rsidR="00FF0E59" w:rsidRPr="00FF0E59" w:rsidRDefault="00FF0E59" w:rsidP="00FF0E59">
      <w:pPr>
        <w:jc w:val="both"/>
        <w:rPr>
          <w:rFonts w:cs="Times New Roman"/>
          <w:b/>
          <w:bCs/>
          <w:color w:val="000000" w:themeColor="text1"/>
          <w:sz w:val="22"/>
          <w:szCs w:val="22"/>
        </w:rPr>
      </w:pPr>
    </w:p>
    <w:p w14:paraId="4573E92C" w14:textId="012EC26D" w:rsidR="004B12A3" w:rsidRPr="00FF0E59" w:rsidRDefault="004B12A3" w:rsidP="00FF0E59">
      <w:pPr>
        <w:jc w:val="both"/>
        <w:rPr>
          <w:rFonts w:cs="Times New Roman"/>
          <w:b/>
          <w:bCs/>
          <w:color w:val="000000" w:themeColor="text1"/>
          <w:sz w:val="22"/>
          <w:szCs w:val="22"/>
        </w:rPr>
      </w:pPr>
      <w:r w:rsidRPr="00FF0E59">
        <w:rPr>
          <w:rFonts w:cs="Times New Roman"/>
          <w:b/>
          <w:bCs/>
          <w:color w:val="000000" w:themeColor="text1"/>
          <w:sz w:val="22"/>
          <w:szCs w:val="22"/>
        </w:rPr>
        <w:t>Objectives</w:t>
      </w:r>
    </w:p>
    <w:p w14:paraId="0AC51315" w14:textId="09065FD0" w:rsidR="004B12A3" w:rsidRDefault="004F635C" w:rsidP="00FF0E59">
      <w:pPr>
        <w:pStyle w:val="Default"/>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Participants in the </w:t>
      </w:r>
      <w:r w:rsidR="00B572CC" w:rsidRPr="00B572CC">
        <w:rPr>
          <w:rFonts w:ascii="Times New Roman" w:hAnsi="Times New Roman" w:cs="Times New Roman"/>
          <w:color w:val="000000" w:themeColor="text1"/>
          <w:sz w:val="22"/>
          <w:szCs w:val="22"/>
          <w:highlight w:val="yellow"/>
        </w:rPr>
        <w:t>4</w:t>
      </w:r>
      <w:r w:rsidR="00FD2CE4" w:rsidRPr="00B572CC">
        <w:rPr>
          <w:rFonts w:ascii="Times New Roman" w:hAnsi="Times New Roman" w:cs="Times New Roman"/>
          <w:color w:val="000000" w:themeColor="text1"/>
          <w:sz w:val="22"/>
          <w:szCs w:val="22"/>
          <w:highlight w:val="yellow"/>
        </w:rPr>
        <w:t xml:space="preserve">-day </w:t>
      </w:r>
      <w:r w:rsidRPr="00B572CC">
        <w:rPr>
          <w:rFonts w:ascii="Times New Roman" w:hAnsi="Times New Roman" w:cs="Times New Roman"/>
          <w:color w:val="000000" w:themeColor="text1"/>
          <w:sz w:val="22"/>
          <w:szCs w:val="22"/>
          <w:highlight w:val="yellow"/>
        </w:rPr>
        <w:t xml:space="preserve">JRA OT </w:t>
      </w:r>
      <w:r w:rsidR="005F39DD" w:rsidRPr="00B572CC">
        <w:rPr>
          <w:rFonts w:ascii="Times New Roman" w:hAnsi="Times New Roman" w:cs="Times New Roman"/>
          <w:color w:val="000000" w:themeColor="text1"/>
          <w:sz w:val="22"/>
          <w:szCs w:val="22"/>
          <w:highlight w:val="yellow"/>
        </w:rPr>
        <w:t>workshop</w:t>
      </w:r>
      <w:r w:rsidR="005F39DD">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will</w:t>
      </w:r>
      <w:r w:rsidR="004B12A3" w:rsidRPr="00FF0E59">
        <w:rPr>
          <w:rFonts w:ascii="Times New Roman" w:hAnsi="Times New Roman" w:cs="Times New Roman"/>
          <w:color w:val="000000" w:themeColor="text1"/>
          <w:sz w:val="22"/>
          <w:szCs w:val="22"/>
        </w:rPr>
        <w:t xml:space="preserve"> </w:t>
      </w:r>
      <w:r w:rsidR="005F39DD">
        <w:rPr>
          <w:rFonts w:ascii="Times New Roman" w:hAnsi="Times New Roman" w:cs="Times New Roman"/>
          <w:color w:val="000000" w:themeColor="text1"/>
          <w:sz w:val="22"/>
          <w:szCs w:val="22"/>
        </w:rPr>
        <w:t xml:space="preserve">master and utilize the 10-step JRA process for priority zoonotic diseases in </w:t>
      </w:r>
      <w:r w:rsidR="00B572CC" w:rsidRPr="00B572CC">
        <w:rPr>
          <w:rFonts w:ascii="Times New Roman" w:hAnsi="Times New Roman" w:cs="Times New Roman"/>
          <w:color w:val="000000" w:themeColor="text1"/>
          <w:sz w:val="22"/>
          <w:szCs w:val="22"/>
          <w:highlight w:val="yellow"/>
        </w:rPr>
        <w:t>Country X</w:t>
      </w:r>
      <w:r w:rsidR="008207B6">
        <w:rPr>
          <w:rFonts w:ascii="Times New Roman" w:hAnsi="Times New Roman" w:cs="Times New Roman"/>
          <w:color w:val="000000" w:themeColor="text1"/>
          <w:sz w:val="22"/>
          <w:szCs w:val="22"/>
        </w:rPr>
        <w:t xml:space="preserve">, ultimately </w:t>
      </w:r>
      <w:r w:rsidR="00284FA5">
        <w:rPr>
          <w:rFonts w:ascii="Times New Roman" w:hAnsi="Times New Roman" w:cs="Times New Roman"/>
          <w:color w:val="000000" w:themeColor="text1"/>
          <w:sz w:val="22"/>
          <w:szCs w:val="22"/>
        </w:rPr>
        <w:t xml:space="preserve">creating a system for conducting JRAs in the future, as well as </w:t>
      </w:r>
      <w:r w:rsidR="008207B6">
        <w:rPr>
          <w:rFonts w:ascii="Times New Roman" w:hAnsi="Times New Roman" w:cs="Times New Roman"/>
          <w:color w:val="000000" w:themeColor="text1"/>
          <w:sz w:val="22"/>
          <w:szCs w:val="22"/>
        </w:rPr>
        <w:t>arriving at target</w:t>
      </w:r>
      <w:r w:rsidR="005F39DD">
        <w:rPr>
          <w:rFonts w:ascii="Times New Roman" w:hAnsi="Times New Roman" w:cs="Times New Roman"/>
          <w:color w:val="000000" w:themeColor="text1"/>
          <w:sz w:val="22"/>
          <w:szCs w:val="22"/>
        </w:rPr>
        <w:t>ed</w:t>
      </w:r>
      <w:r w:rsidR="008207B6">
        <w:rPr>
          <w:rFonts w:ascii="Times New Roman" w:hAnsi="Times New Roman" w:cs="Times New Roman"/>
          <w:color w:val="000000" w:themeColor="text1"/>
          <w:sz w:val="22"/>
          <w:szCs w:val="22"/>
        </w:rPr>
        <w:t xml:space="preserve"> risk communication and management options</w:t>
      </w:r>
      <w:r w:rsidR="005F39DD">
        <w:rPr>
          <w:rFonts w:ascii="Times New Roman" w:hAnsi="Times New Roman" w:cs="Times New Roman"/>
          <w:color w:val="000000" w:themeColor="text1"/>
          <w:sz w:val="22"/>
          <w:szCs w:val="22"/>
        </w:rPr>
        <w:t xml:space="preserve"> that can be implemented at the human-animal-environmental interface</w:t>
      </w:r>
      <w:r w:rsidR="00284FA5">
        <w:rPr>
          <w:rFonts w:ascii="Times New Roman" w:hAnsi="Times New Roman" w:cs="Times New Roman"/>
          <w:color w:val="000000" w:themeColor="text1"/>
          <w:sz w:val="22"/>
          <w:szCs w:val="22"/>
        </w:rPr>
        <w:t xml:space="preserve"> for the selected </w:t>
      </w:r>
      <w:r w:rsidR="00FD2CE4">
        <w:rPr>
          <w:rFonts w:ascii="Times New Roman" w:hAnsi="Times New Roman" w:cs="Times New Roman"/>
          <w:color w:val="000000" w:themeColor="text1"/>
          <w:sz w:val="22"/>
          <w:szCs w:val="22"/>
        </w:rPr>
        <w:t>zoonotic disease hazards</w:t>
      </w:r>
      <w:r w:rsidR="008207B6">
        <w:rPr>
          <w:rFonts w:ascii="Times New Roman" w:hAnsi="Times New Roman" w:cs="Times New Roman"/>
          <w:color w:val="000000" w:themeColor="text1"/>
          <w:sz w:val="22"/>
          <w:szCs w:val="22"/>
        </w:rPr>
        <w:t xml:space="preserve">. </w:t>
      </w:r>
    </w:p>
    <w:p w14:paraId="351A4D2F" w14:textId="77777777" w:rsidR="008207B6" w:rsidRPr="00FF0E59" w:rsidRDefault="008207B6" w:rsidP="00FF0E59">
      <w:pPr>
        <w:pStyle w:val="Default"/>
        <w:jc w:val="both"/>
        <w:rPr>
          <w:rFonts w:ascii="Times New Roman" w:hAnsi="Times New Roman" w:cs="Times New Roman"/>
          <w:color w:val="000000" w:themeColor="text1"/>
          <w:sz w:val="22"/>
          <w:szCs w:val="22"/>
        </w:rPr>
      </w:pPr>
    </w:p>
    <w:p w14:paraId="4579B4CA" w14:textId="6FB5D25D" w:rsidR="004B12A3" w:rsidRPr="00FF0E59" w:rsidRDefault="004B12A3" w:rsidP="00FF0E59">
      <w:pPr>
        <w:pStyle w:val="Default"/>
        <w:jc w:val="both"/>
        <w:rPr>
          <w:rFonts w:ascii="Times New Roman" w:hAnsi="Times New Roman" w:cs="Times New Roman"/>
          <w:b/>
          <w:bCs/>
          <w:i/>
          <w:iCs/>
          <w:color w:val="000000" w:themeColor="text1"/>
          <w:sz w:val="22"/>
          <w:szCs w:val="22"/>
        </w:rPr>
      </w:pPr>
      <w:r w:rsidRPr="00FF0E59">
        <w:rPr>
          <w:rFonts w:ascii="Times New Roman" w:hAnsi="Times New Roman" w:cs="Times New Roman"/>
          <w:b/>
          <w:bCs/>
          <w:i/>
          <w:iCs/>
          <w:color w:val="000000" w:themeColor="text1"/>
          <w:sz w:val="22"/>
          <w:szCs w:val="22"/>
        </w:rPr>
        <w:t xml:space="preserve">The </w:t>
      </w:r>
      <w:r w:rsidR="004353DB">
        <w:rPr>
          <w:rFonts w:ascii="Times New Roman" w:hAnsi="Times New Roman" w:cs="Times New Roman"/>
          <w:b/>
          <w:bCs/>
          <w:i/>
          <w:iCs/>
          <w:color w:val="000000" w:themeColor="text1"/>
          <w:sz w:val="22"/>
          <w:szCs w:val="22"/>
        </w:rPr>
        <w:t>direct</w:t>
      </w:r>
      <w:r w:rsidRPr="00FF0E59">
        <w:rPr>
          <w:rFonts w:ascii="Times New Roman" w:hAnsi="Times New Roman" w:cs="Times New Roman"/>
          <w:b/>
          <w:bCs/>
          <w:i/>
          <w:iCs/>
          <w:color w:val="000000" w:themeColor="text1"/>
          <w:sz w:val="22"/>
          <w:szCs w:val="22"/>
        </w:rPr>
        <w:t xml:space="preserve"> objectives of this workshop are</w:t>
      </w:r>
      <w:r w:rsidR="004353DB">
        <w:rPr>
          <w:rFonts w:ascii="Times New Roman" w:hAnsi="Times New Roman" w:cs="Times New Roman"/>
          <w:b/>
          <w:bCs/>
          <w:i/>
          <w:iCs/>
          <w:color w:val="000000" w:themeColor="text1"/>
          <w:sz w:val="22"/>
          <w:szCs w:val="22"/>
        </w:rPr>
        <w:t xml:space="preserve"> to</w:t>
      </w:r>
      <w:r w:rsidRPr="00FF0E59">
        <w:rPr>
          <w:rFonts w:ascii="Times New Roman" w:hAnsi="Times New Roman" w:cs="Times New Roman"/>
          <w:b/>
          <w:bCs/>
          <w:i/>
          <w:iCs/>
          <w:color w:val="000000" w:themeColor="text1"/>
          <w:sz w:val="22"/>
          <w:szCs w:val="22"/>
        </w:rPr>
        <w:t>:</w:t>
      </w:r>
    </w:p>
    <w:p w14:paraId="3899304C" w14:textId="044AA542" w:rsidR="005F39DD" w:rsidRDefault="005F39DD" w:rsidP="00FF0E59">
      <w:pPr>
        <w:numPr>
          <w:ilvl w:val="0"/>
          <w:numId w:val="19"/>
        </w:numPr>
        <w:ind w:left="806" w:right="14"/>
        <w:jc w:val="both"/>
        <w:rPr>
          <w:rFonts w:cs="Times New Roman"/>
          <w:color w:val="000000" w:themeColor="text1"/>
          <w:sz w:val="22"/>
          <w:szCs w:val="22"/>
          <w:lang w:val="en-GB" w:eastAsia="zh-CN"/>
        </w:rPr>
      </w:pPr>
      <w:r>
        <w:rPr>
          <w:rFonts w:cs="Times New Roman"/>
          <w:color w:val="000000" w:themeColor="text1"/>
          <w:sz w:val="22"/>
          <w:szCs w:val="22"/>
          <w:lang w:val="en-GB" w:eastAsia="zh-CN"/>
        </w:rPr>
        <w:t xml:space="preserve">Create a </w:t>
      </w:r>
      <w:r w:rsidR="00284FA5">
        <w:rPr>
          <w:rFonts w:cs="Times New Roman"/>
          <w:color w:val="000000" w:themeColor="text1"/>
          <w:sz w:val="22"/>
          <w:szCs w:val="22"/>
          <w:lang w:val="en-GB" w:eastAsia="zh-CN"/>
        </w:rPr>
        <w:t xml:space="preserve">JRA </w:t>
      </w:r>
      <w:r>
        <w:rPr>
          <w:rFonts w:cs="Times New Roman"/>
          <w:color w:val="000000" w:themeColor="text1"/>
          <w:sz w:val="22"/>
          <w:szCs w:val="22"/>
          <w:lang w:val="en-GB" w:eastAsia="zh-CN"/>
        </w:rPr>
        <w:t xml:space="preserve">steering committee </w:t>
      </w:r>
      <w:r w:rsidR="00284FA5">
        <w:rPr>
          <w:rFonts w:cs="Times New Roman"/>
          <w:color w:val="000000" w:themeColor="text1"/>
          <w:sz w:val="22"/>
          <w:szCs w:val="22"/>
          <w:lang w:val="en-GB" w:eastAsia="zh-CN"/>
        </w:rPr>
        <w:t xml:space="preserve">and identify a JRA lead who will plan for the workshop, </w:t>
      </w:r>
      <w:r>
        <w:rPr>
          <w:rFonts w:cs="Times New Roman"/>
          <w:color w:val="000000" w:themeColor="text1"/>
          <w:sz w:val="22"/>
          <w:szCs w:val="22"/>
          <w:lang w:val="en-GB" w:eastAsia="zh-CN"/>
        </w:rPr>
        <w:t xml:space="preserve">identify </w:t>
      </w:r>
      <w:r w:rsidR="00284FA5">
        <w:rPr>
          <w:rFonts w:cs="Times New Roman"/>
          <w:color w:val="000000" w:themeColor="text1"/>
          <w:sz w:val="22"/>
          <w:szCs w:val="22"/>
          <w:lang w:val="en-GB" w:eastAsia="zh-CN"/>
        </w:rPr>
        <w:t xml:space="preserve">priority </w:t>
      </w:r>
      <w:r>
        <w:rPr>
          <w:rFonts w:cs="Times New Roman"/>
          <w:color w:val="000000" w:themeColor="text1"/>
          <w:sz w:val="22"/>
          <w:szCs w:val="22"/>
          <w:lang w:val="en-GB" w:eastAsia="zh-CN"/>
        </w:rPr>
        <w:t>hazards</w:t>
      </w:r>
      <w:r w:rsidR="00284FA5">
        <w:rPr>
          <w:rFonts w:cs="Times New Roman"/>
          <w:color w:val="000000" w:themeColor="text1"/>
          <w:sz w:val="22"/>
          <w:szCs w:val="22"/>
          <w:lang w:val="en-GB" w:eastAsia="zh-CN"/>
        </w:rPr>
        <w:t>,</w:t>
      </w:r>
      <w:r>
        <w:rPr>
          <w:rFonts w:cs="Times New Roman"/>
          <w:color w:val="000000" w:themeColor="text1"/>
          <w:sz w:val="22"/>
          <w:szCs w:val="22"/>
          <w:lang w:val="en-GB" w:eastAsia="zh-CN"/>
        </w:rPr>
        <w:t xml:space="preserve"> and conduct risk framing </w:t>
      </w:r>
      <w:r w:rsidR="00284FA5">
        <w:rPr>
          <w:rFonts w:cs="Times New Roman"/>
          <w:color w:val="000000" w:themeColor="text1"/>
          <w:sz w:val="22"/>
          <w:szCs w:val="22"/>
          <w:lang w:val="en-GB" w:eastAsia="zh-CN"/>
        </w:rPr>
        <w:t>prior to the JRA OT workshop</w:t>
      </w:r>
    </w:p>
    <w:p w14:paraId="6DAD61A4" w14:textId="3842C9D5" w:rsidR="005F39DD" w:rsidRDefault="005F39DD" w:rsidP="00FF0E59">
      <w:pPr>
        <w:numPr>
          <w:ilvl w:val="0"/>
          <w:numId w:val="19"/>
        </w:numPr>
        <w:ind w:left="806" w:right="14"/>
        <w:jc w:val="both"/>
        <w:rPr>
          <w:rFonts w:cs="Times New Roman"/>
          <w:color w:val="000000" w:themeColor="text1"/>
          <w:sz w:val="22"/>
          <w:szCs w:val="22"/>
          <w:lang w:val="en-GB" w:eastAsia="zh-CN"/>
        </w:rPr>
      </w:pPr>
      <w:r>
        <w:rPr>
          <w:rFonts w:cs="Times New Roman"/>
          <w:color w:val="000000" w:themeColor="text1"/>
          <w:sz w:val="22"/>
          <w:szCs w:val="22"/>
          <w:lang w:val="en-GB" w:eastAsia="zh-CN"/>
        </w:rPr>
        <w:t>Train</w:t>
      </w:r>
      <w:r w:rsidR="00603150" w:rsidRPr="00FF0E59">
        <w:rPr>
          <w:rFonts w:cs="Times New Roman"/>
          <w:color w:val="000000" w:themeColor="text1"/>
          <w:sz w:val="22"/>
          <w:szCs w:val="22"/>
          <w:lang w:val="en-GB" w:eastAsia="zh-CN"/>
        </w:rPr>
        <w:t xml:space="preserve"> </w:t>
      </w:r>
      <w:r w:rsidR="004F635C">
        <w:rPr>
          <w:rFonts w:cs="Times New Roman"/>
          <w:color w:val="000000" w:themeColor="text1"/>
          <w:sz w:val="22"/>
          <w:szCs w:val="22"/>
          <w:lang w:val="en-GB" w:eastAsia="zh-CN"/>
        </w:rPr>
        <w:t xml:space="preserve">a sub-group of </w:t>
      </w:r>
      <w:r w:rsidR="00284FA5">
        <w:rPr>
          <w:rFonts w:cs="Times New Roman"/>
          <w:color w:val="000000" w:themeColor="text1"/>
          <w:sz w:val="22"/>
          <w:szCs w:val="22"/>
          <w:lang w:val="en-GB" w:eastAsia="zh-CN"/>
        </w:rPr>
        <w:t xml:space="preserve">national </w:t>
      </w:r>
      <w:r>
        <w:rPr>
          <w:rFonts w:cs="Times New Roman"/>
          <w:color w:val="000000" w:themeColor="text1"/>
          <w:sz w:val="22"/>
          <w:szCs w:val="22"/>
          <w:lang w:val="en-GB" w:eastAsia="zh-CN"/>
        </w:rPr>
        <w:t xml:space="preserve">participants </w:t>
      </w:r>
      <w:r w:rsidR="00284FA5">
        <w:rPr>
          <w:rFonts w:cs="Times New Roman"/>
          <w:color w:val="000000" w:themeColor="text1"/>
          <w:sz w:val="22"/>
          <w:szCs w:val="22"/>
          <w:lang w:val="en-GB" w:eastAsia="zh-CN"/>
        </w:rPr>
        <w:t xml:space="preserve">to facilitate </w:t>
      </w:r>
      <w:r>
        <w:rPr>
          <w:rFonts w:cs="Times New Roman"/>
          <w:color w:val="000000" w:themeColor="text1"/>
          <w:sz w:val="22"/>
          <w:szCs w:val="22"/>
          <w:lang w:val="en-GB" w:eastAsia="zh-CN"/>
        </w:rPr>
        <w:t>the 10-step JRA process (</w:t>
      </w:r>
      <w:r w:rsidR="00B572CC">
        <w:rPr>
          <w:rFonts w:cs="Times New Roman"/>
          <w:color w:val="000000" w:themeColor="text1"/>
          <w:sz w:val="22"/>
          <w:szCs w:val="22"/>
          <w:lang w:val="en-GB" w:eastAsia="zh-CN"/>
        </w:rPr>
        <w:t>JRA Day 0/</w:t>
      </w:r>
      <w:r>
        <w:rPr>
          <w:rFonts w:cs="Times New Roman"/>
          <w:color w:val="000000" w:themeColor="text1"/>
          <w:sz w:val="22"/>
          <w:szCs w:val="22"/>
          <w:lang w:val="en-GB" w:eastAsia="zh-CN"/>
        </w:rPr>
        <w:t>Workshop Day 1)</w:t>
      </w:r>
    </w:p>
    <w:p w14:paraId="15164D1E" w14:textId="52187C1B" w:rsidR="005F39DD" w:rsidRDefault="005F39DD" w:rsidP="00FF0E59">
      <w:pPr>
        <w:numPr>
          <w:ilvl w:val="0"/>
          <w:numId w:val="19"/>
        </w:numPr>
        <w:ind w:left="806" w:right="14"/>
        <w:jc w:val="both"/>
        <w:rPr>
          <w:rFonts w:cs="Times New Roman"/>
          <w:color w:val="000000" w:themeColor="text1"/>
          <w:sz w:val="22"/>
          <w:szCs w:val="22"/>
          <w:lang w:val="en-GB" w:eastAsia="zh-CN"/>
        </w:rPr>
      </w:pPr>
      <w:r>
        <w:rPr>
          <w:rFonts w:cs="Times New Roman"/>
          <w:color w:val="000000" w:themeColor="text1"/>
          <w:sz w:val="22"/>
          <w:szCs w:val="22"/>
          <w:lang w:val="en-GB" w:eastAsia="zh-CN"/>
        </w:rPr>
        <w:t>Conduct the 10-step JRA process with national participants</w:t>
      </w:r>
      <w:r w:rsidR="00284FA5">
        <w:rPr>
          <w:rFonts w:cs="Times New Roman"/>
          <w:color w:val="000000" w:themeColor="text1"/>
          <w:sz w:val="22"/>
          <w:szCs w:val="22"/>
          <w:lang w:val="en-GB" w:eastAsia="zh-CN"/>
        </w:rPr>
        <w:t xml:space="preserve"> for the identified hazards, and report results to the JRA steering committee</w:t>
      </w:r>
      <w:r>
        <w:rPr>
          <w:rFonts w:cs="Times New Roman"/>
          <w:color w:val="000000" w:themeColor="text1"/>
          <w:sz w:val="22"/>
          <w:szCs w:val="22"/>
          <w:lang w:val="en-GB" w:eastAsia="zh-CN"/>
        </w:rPr>
        <w:t xml:space="preserve"> </w:t>
      </w:r>
      <w:r w:rsidRPr="00B572CC">
        <w:rPr>
          <w:rFonts w:cs="Times New Roman"/>
          <w:color w:val="000000" w:themeColor="text1"/>
          <w:sz w:val="22"/>
          <w:szCs w:val="22"/>
          <w:highlight w:val="yellow"/>
          <w:lang w:val="en-GB" w:eastAsia="zh-CN"/>
        </w:rPr>
        <w:t>(</w:t>
      </w:r>
      <w:r w:rsidR="00B572CC" w:rsidRPr="00B572CC">
        <w:rPr>
          <w:rFonts w:cs="Times New Roman"/>
          <w:color w:val="000000" w:themeColor="text1"/>
          <w:sz w:val="22"/>
          <w:szCs w:val="22"/>
          <w:highlight w:val="yellow"/>
          <w:lang w:val="en-GB" w:eastAsia="zh-CN"/>
        </w:rPr>
        <w:t>JRA Day 1-3/</w:t>
      </w:r>
      <w:r w:rsidRPr="00B572CC">
        <w:rPr>
          <w:rFonts w:cs="Times New Roman"/>
          <w:color w:val="000000" w:themeColor="text1"/>
          <w:sz w:val="22"/>
          <w:szCs w:val="22"/>
          <w:highlight w:val="yellow"/>
          <w:lang w:val="en-GB" w:eastAsia="zh-CN"/>
        </w:rPr>
        <w:t>Workshop Day 2</w:t>
      </w:r>
      <w:r w:rsidR="00284FA5" w:rsidRPr="00B572CC">
        <w:rPr>
          <w:rFonts w:cs="Times New Roman"/>
          <w:color w:val="000000" w:themeColor="text1"/>
          <w:sz w:val="22"/>
          <w:szCs w:val="22"/>
          <w:highlight w:val="yellow"/>
          <w:lang w:val="en-GB" w:eastAsia="zh-CN"/>
        </w:rPr>
        <w:t>-4)</w:t>
      </w:r>
    </w:p>
    <w:p w14:paraId="49C80AAC" w14:textId="7AD68F07" w:rsidR="00284FA5" w:rsidRDefault="00284FA5" w:rsidP="00FF0E59">
      <w:pPr>
        <w:numPr>
          <w:ilvl w:val="0"/>
          <w:numId w:val="19"/>
        </w:numPr>
        <w:ind w:left="806" w:right="14"/>
        <w:jc w:val="both"/>
        <w:rPr>
          <w:rFonts w:cs="Times New Roman"/>
          <w:color w:val="000000" w:themeColor="text1"/>
          <w:sz w:val="22"/>
          <w:szCs w:val="22"/>
          <w:lang w:val="en-GB" w:eastAsia="zh-CN"/>
        </w:rPr>
      </w:pPr>
      <w:r>
        <w:rPr>
          <w:rFonts w:cs="Times New Roman"/>
          <w:color w:val="000000" w:themeColor="text1"/>
          <w:sz w:val="22"/>
          <w:szCs w:val="22"/>
          <w:lang w:val="en-GB" w:eastAsia="zh-CN"/>
        </w:rPr>
        <w:t xml:space="preserve">Establish next steps for </w:t>
      </w:r>
      <w:r w:rsidR="00B572CC">
        <w:rPr>
          <w:rFonts w:cs="Times New Roman"/>
          <w:color w:val="000000" w:themeColor="text1"/>
          <w:sz w:val="22"/>
          <w:szCs w:val="22"/>
          <w:lang w:val="en-GB" w:eastAsia="zh-CN"/>
        </w:rPr>
        <w:t xml:space="preserve">use of </w:t>
      </w:r>
      <w:proofErr w:type="spellStart"/>
      <w:r>
        <w:rPr>
          <w:rFonts w:cs="Times New Roman"/>
          <w:color w:val="000000" w:themeColor="text1"/>
          <w:sz w:val="22"/>
          <w:szCs w:val="22"/>
          <w:lang w:val="en-GB" w:eastAsia="zh-CN"/>
        </w:rPr>
        <w:t>the J</w:t>
      </w:r>
      <w:proofErr w:type="spellEnd"/>
      <w:r>
        <w:rPr>
          <w:rFonts w:cs="Times New Roman"/>
          <w:color w:val="000000" w:themeColor="text1"/>
          <w:sz w:val="22"/>
          <w:szCs w:val="22"/>
          <w:lang w:val="en-GB" w:eastAsia="zh-CN"/>
        </w:rPr>
        <w:t xml:space="preserve">RA OT in </w:t>
      </w:r>
      <w:r w:rsidR="00B572CC" w:rsidRPr="00B572CC">
        <w:rPr>
          <w:rFonts w:cs="Times New Roman"/>
          <w:color w:val="000000" w:themeColor="text1"/>
          <w:sz w:val="22"/>
          <w:szCs w:val="22"/>
          <w:highlight w:val="yellow"/>
          <w:lang w:val="en-GB" w:eastAsia="zh-CN"/>
        </w:rPr>
        <w:t>Country X</w:t>
      </w:r>
      <w:r w:rsidR="00B572CC">
        <w:rPr>
          <w:rFonts w:cs="Times New Roman"/>
          <w:color w:val="000000" w:themeColor="text1"/>
          <w:sz w:val="22"/>
          <w:szCs w:val="22"/>
          <w:lang w:val="en-GB" w:eastAsia="zh-CN"/>
        </w:rPr>
        <w:t>.</w:t>
      </w:r>
    </w:p>
    <w:p w14:paraId="0FB7F953" w14:textId="1FE491F6" w:rsidR="004353DB" w:rsidRDefault="004353DB" w:rsidP="004353DB">
      <w:pPr>
        <w:ind w:right="14"/>
        <w:jc w:val="both"/>
        <w:rPr>
          <w:rFonts w:cs="Times New Roman"/>
          <w:color w:val="000000" w:themeColor="text1"/>
          <w:sz w:val="22"/>
          <w:szCs w:val="22"/>
          <w:lang w:val="en-GB" w:eastAsia="zh-CN"/>
        </w:rPr>
      </w:pPr>
    </w:p>
    <w:p w14:paraId="6124944C" w14:textId="71FF585C" w:rsidR="004353DB" w:rsidRPr="004353DB" w:rsidRDefault="004353DB" w:rsidP="004353DB">
      <w:pPr>
        <w:rPr>
          <w:b/>
          <w:bCs/>
          <w:i/>
          <w:sz w:val="22"/>
          <w:szCs w:val="22"/>
        </w:rPr>
      </w:pPr>
      <w:r w:rsidRPr="004353DB">
        <w:rPr>
          <w:b/>
          <w:bCs/>
          <w:i/>
          <w:sz w:val="22"/>
          <w:szCs w:val="22"/>
        </w:rPr>
        <w:t>The indirect objectives of the workshop are to:</w:t>
      </w:r>
    </w:p>
    <w:p w14:paraId="535A0AE3" w14:textId="77777777" w:rsidR="004353DB" w:rsidRPr="009D50A1" w:rsidRDefault="004353DB" w:rsidP="004353DB">
      <w:pPr>
        <w:pStyle w:val="ListParagraph"/>
        <w:numPr>
          <w:ilvl w:val="0"/>
          <w:numId w:val="21"/>
        </w:numPr>
        <w:spacing w:after="160"/>
        <w:rPr>
          <w:rFonts w:ascii="Times New Roman" w:hAnsi="Times New Roman"/>
          <w:sz w:val="22"/>
          <w:szCs w:val="22"/>
          <w:lang w:val="en-US"/>
        </w:rPr>
      </w:pPr>
      <w:r w:rsidRPr="009D50A1">
        <w:rPr>
          <w:rFonts w:ascii="Times New Roman" w:hAnsi="Times New Roman"/>
          <w:sz w:val="22"/>
          <w:szCs w:val="22"/>
          <w:lang w:val="en-US"/>
        </w:rPr>
        <w:t xml:space="preserve">Enhance coordination and establish trust among all relevant sectors, including a minimum of the public health, animal health, and environment sectors.  </w:t>
      </w:r>
    </w:p>
    <w:p w14:paraId="40609A28" w14:textId="77777777" w:rsidR="004353DB" w:rsidRPr="009D50A1" w:rsidRDefault="004353DB" w:rsidP="004353DB">
      <w:pPr>
        <w:pStyle w:val="ListParagraph"/>
        <w:numPr>
          <w:ilvl w:val="0"/>
          <w:numId w:val="21"/>
        </w:numPr>
        <w:spacing w:after="160"/>
        <w:rPr>
          <w:rFonts w:ascii="Times New Roman" w:hAnsi="Times New Roman"/>
          <w:sz w:val="22"/>
          <w:szCs w:val="22"/>
          <w:lang w:val="en-US"/>
        </w:rPr>
      </w:pPr>
      <w:r w:rsidRPr="009D50A1">
        <w:rPr>
          <w:rFonts w:ascii="Times New Roman" w:hAnsi="Times New Roman"/>
          <w:sz w:val="22"/>
          <w:szCs w:val="22"/>
          <w:lang w:val="en-US"/>
        </w:rPr>
        <w:t>Facilitate formal and informal communication and information sharing among stakeholders.</w:t>
      </w:r>
    </w:p>
    <w:p w14:paraId="26C9426A" w14:textId="5700652E" w:rsidR="00FD2CE4" w:rsidRDefault="004353DB" w:rsidP="00FD2CE4">
      <w:pPr>
        <w:pStyle w:val="ListParagraph"/>
        <w:numPr>
          <w:ilvl w:val="0"/>
          <w:numId w:val="21"/>
        </w:numPr>
        <w:spacing w:after="160"/>
        <w:rPr>
          <w:rFonts w:ascii="Times New Roman" w:hAnsi="Times New Roman"/>
          <w:sz w:val="22"/>
          <w:szCs w:val="22"/>
          <w:lang w:val="en-US"/>
        </w:rPr>
      </w:pPr>
      <w:r>
        <w:rPr>
          <w:rFonts w:ascii="Times New Roman" w:hAnsi="Times New Roman"/>
          <w:sz w:val="22"/>
          <w:szCs w:val="22"/>
          <w:lang w:val="en-US"/>
        </w:rPr>
        <w:t xml:space="preserve">Identify shared opportunities and priorities </w:t>
      </w:r>
      <w:r w:rsidRPr="009D50A1">
        <w:rPr>
          <w:rFonts w:ascii="Times New Roman" w:hAnsi="Times New Roman"/>
          <w:sz w:val="22"/>
          <w:szCs w:val="22"/>
          <w:lang w:val="en-US"/>
        </w:rPr>
        <w:t xml:space="preserve">for the continued use of the </w:t>
      </w:r>
      <w:r>
        <w:rPr>
          <w:rFonts w:ascii="Times New Roman" w:hAnsi="Times New Roman"/>
          <w:sz w:val="22"/>
          <w:szCs w:val="22"/>
          <w:lang w:val="en-US"/>
        </w:rPr>
        <w:t>JRA OT</w:t>
      </w:r>
      <w:r w:rsidR="00B572CC">
        <w:rPr>
          <w:rFonts w:ascii="Times New Roman" w:hAnsi="Times New Roman"/>
          <w:sz w:val="22"/>
          <w:szCs w:val="22"/>
          <w:lang w:val="en-US"/>
        </w:rPr>
        <w:t xml:space="preserve"> in country</w:t>
      </w:r>
    </w:p>
    <w:p w14:paraId="6589FC7D" w14:textId="4992FB8E" w:rsidR="004353DB" w:rsidRPr="00FD2CE4" w:rsidRDefault="004353DB" w:rsidP="00FD2CE4">
      <w:pPr>
        <w:rPr>
          <w:sz w:val="22"/>
          <w:szCs w:val="22"/>
        </w:rPr>
      </w:pPr>
      <w:r w:rsidRPr="00FD2CE4">
        <w:rPr>
          <w:b/>
          <w:color w:val="000000"/>
          <w:sz w:val="22"/>
          <w:szCs w:val="22"/>
        </w:rPr>
        <w:t>Participants</w:t>
      </w:r>
    </w:p>
    <w:p w14:paraId="1E9C1979" w14:textId="6E4107A4" w:rsidR="004353DB" w:rsidRDefault="004353DB" w:rsidP="00FD2CE4">
      <w:pPr>
        <w:jc w:val="both"/>
        <w:rPr>
          <w:color w:val="000000"/>
          <w:sz w:val="22"/>
          <w:szCs w:val="22"/>
        </w:rPr>
      </w:pPr>
      <w:r w:rsidRPr="0081778D">
        <w:rPr>
          <w:color w:val="000000"/>
          <w:sz w:val="22"/>
          <w:szCs w:val="22"/>
        </w:rPr>
        <w:t xml:space="preserve">FAO and WHO country offices will work with </w:t>
      </w:r>
      <w:r w:rsidR="0081778D" w:rsidRPr="0081778D">
        <w:rPr>
          <w:color w:val="000000"/>
          <w:sz w:val="22"/>
          <w:szCs w:val="22"/>
          <w:highlight w:val="yellow"/>
        </w:rPr>
        <w:t xml:space="preserve">_____ </w:t>
      </w:r>
      <w:r w:rsidR="0081778D">
        <w:rPr>
          <w:color w:val="000000"/>
          <w:sz w:val="22"/>
          <w:szCs w:val="22"/>
          <w:highlight w:val="yellow"/>
        </w:rPr>
        <w:t xml:space="preserve">(usually One Health Platform and/or ministerial focal point) </w:t>
      </w:r>
      <w:r w:rsidR="0081778D" w:rsidRPr="0081778D">
        <w:rPr>
          <w:color w:val="000000"/>
          <w:sz w:val="22"/>
          <w:szCs w:val="22"/>
          <w:highlight w:val="yellow"/>
        </w:rPr>
        <w:t>in country X</w:t>
      </w:r>
      <w:r w:rsidRPr="0081778D">
        <w:rPr>
          <w:color w:val="000000"/>
          <w:sz w:val="22"/>
          <w:szCs w:val="22"/>
        </w:rPr>
        <w:t xml:space="preserve"> to establish the JRA steering committee and identify the JRA technical lead.</w:t>
      </w:r>
      <w:r>
        <w:rPr>
          <w:color w:val="000000"/>
          <w:sz w:val="22"/>
          <w:szCs w:val="22"/>
        </w:rPr>
        <w:t xml:space="preserve"> Working together, the </w:t>
      </w:r>
      <w:r w:rsidR="00FD2CE4">
        <w:rPr>
          <w:color w:val="000000"/>
          <w:sz w:val="22"/>
          <w:szCs w:val="22"/>
        </w:rPr>
        <w:t xml:space="preserve">JRA </w:t>
      </w:r>
      <w:r>
        <w:rPr>
          <w:color w:val="000000"/>
          <w:sz w:val="22"/>
          <w:szCs w:val="22"/>
        </w:rPr>
        <w:t xml:space="preserve">steering committee and the </w:t>
      </w:r>
      <w:r w:rsidR="00FD2CE4">
        <w:rPr>
          <w:color w:val="000000"/>
          <w:sz w:val="22"/>
          <w:szCs w:val="22"/>
        </w:rPr>
        <w:t xml:space="preserve">JRA </w:t>
      </w:r>
      <w:r>
        <w:rPr>
          <w:color w:val="000000"/>
          <w:sz w:val="22"/>
          <w:szCs w:val="22"/>
        </w:rPr>
        <w:t xml:space="preserve">technical lead will identify national facilitators </w:t>
      </w:r>
      <w:r w:rsidR="00FD2CE4">
        <w:rPr>
          <w:color w:val="000000"/>
          <w:sz w:val="22"/>
          <w:szCs w:val="22"/>
        </w:rPr>
        <w:t xml:space="preserve">(workshop Day 1) </w:t>
      </w:r>
      <w:r>
        <w:rPr>
          <w:color w:val="000000"/>
          <w:sz w:val="22"/>
          <w:szCs w:val="22"/>
        </w:rPr>
        <w:t xml:space="preserve">and participants </w:t>
      </w:r>
      <w:r w:rsidR="00FD2CE4" w:rsidRPr="0081778D">
        <w:rPr>
          <w:color w:val="000000"/>
          <w:sz w:val="22"/>
          <w:szCs w:val="22"/>
          <w:highlight w:val="yellow"/>
        </w:rPr>
        <w:t>(workshop Day 2-</w:t>
      </w:r>
      <w:r w:rsidR="0081778D" w:rsidRPr="0081778D">
        <w:rPr>
          <w:color w:val="000000"/>
          <w:sz w:val="22"/>
          <w:szCs w:val="22"/>
          <w:highlight w:val="yellow"/>
        </w:rPr>
        <w:t>4</w:t>
      </w:r>
      <w:r w:rsidR="00FD2CE4" w:rsidRPr="0081778D">
        <w:rPr>
          <w:color w:val="000000"/>
          <w:sz w:val="22"/>
          <w:szCs w:val="22"/>
          <w:highlight w:val="yellow"/>
        </w:rPr>
        <w:t>)</w:t>
      </w:r>
      <w:r w:rsidR="00FD2CE4">
        <w:rPr>
          <w:color w:val="000000"/>
          <w:sz w:val="22"/>
          <w:szCs w:val="22"/>
        </w:rPr>
        <w:t xml:space="preserve"> who will attend the JRA OT workshop</w:t>
      </w:r>
      <w:r>
        <w:rPr>
          <w:color w:val="000000"/>
          <w:sz w:val="22"/>
          <w:szCs w:val="22"/>
        </w:rPr>
        <w:t xml:space="preserve">. </w:t>
      </w:r>
      <w:r w:rsidR="00FD2CE4">
        <w:rPr>
          <w:color w:val="000000"/>
          <w:sz w:val="22"/>
          <w:szCs w:val="22"/>
        </w:rPr>
        <w:t>If possible, p</w:t>
      </w:r>
      <w:r>
        <w:rPr>
          <w:color w:val="000000"/>
          <w:sz w:val="22"/>
          <w:szCs w:val="22"/>
        </w:rPr>
        <w:t>articipants will ideally be identified from the</w:t>
      </w:r>
      <w:r w:rsidRPr="009D50A1">
        <w:rPr>
          <w:color w:val="000000"/>
          <w:sz w:val="22"/>
          <w:szCs w:val="22"/>
        </w:rPr>
        <w:t xml:space="preserve"> ministries </w:t>
      </w:r>
      <w:r w:rsidR="00FD2CE4">
        <w:rPr>
          <w:color w:val="000000"/>
          <w:sz w:val="22"/>
          <w:szCs w:val="22"/>
        </w:rPr>
        <w:t xml:space="preserve">with </w:t>
      </w:r>
      <w:r w:rsidRPr="009D50A1">
        <w:rPr>
          <w:color w:val="000000"/>
          <w:sz w:val="22"/>
          <w:szCs w:val="22"/>
        </w:rPr>
        <w:t>responsib</w:t>
      </w:r>
      <w:r w:rsidR="00FD2CE4">
        <w:rPr>
          <w:color w:val="000000"/>
          <w:sz w:val="22"/>
          <w:szCs w:val="22"/>
        </w:rPr>
        <w:t>ility</w:t>
      </w:r>
      <w:r w:rsidRPr="009D50A1">
        <w:rPr>
          <w:color w:val="000000"/>
          <w:sz w:val="22"/>
          <w:szCs w:val="22"/>
        </w:rPr>
        <w:t xml:space="preserve"> for animal health, public health, environment (including wildlife), food safety, and other relevant sectors in the country</w:t>
      </w:r>
      <w:r w:rsidR="00FD2CE4">
        <w:rPr>
          <w:color w:val="000000"/>
          <w:sz w:val="22"/>
          <w:szCs w:val="22"/>
        </w:rPr>
        <w:t>.</w:t>
      </w:r>
      <w:r w:rsidRPr="009D50A1">
        <w:rPr>
          <w:color w:val="000000"/>
          <w:sz w:val="22"/>
          <w:szCs w:val="22"/>
        </w:rPr>
        <w:t xml:space="preserve"> </w:t>
      </w:r>
    </w:p>
    <w:p w14:paraId="6818028E" w14:textId="77777777" w:rsidR="00FD2CE4" w:rsidRPr="00FD2CE4" w:rsidRDefault="00FD2CE4" w:rsidP="00FD2CE4">
      <w:pPr>
        <w:jc w:val="both"/>
        <w:rPr>
          <w:color w:val="000000"/>
          <w:sz w:val="22"/>
          <w:szCs w:val="22"/>
        </w:rPr>
      </w:pPr>
    </w:p>
    <w:p w14:paraId="280BBEAC" w14:textId="77777777" w:rsidR="004353DB" w:rsidRPr="009D50A1" w:rsidRDefault="004353DB" w:rsidP="004353DB">
      <w:pPr>
        <w:jc w:val="both"/>
        <w:rPr>
          <w:b/>
          <w:color w:val="000000"/>
          <w:sz w:val="22"/>
          <w:szCs w:val="22"/>
        </w:rPr>
      </w:pPr>
      <w:r w:rsidRPr="009D50A1">
        <w:rPr>
          <w:b/>
          <w:color w:val="000000"/>
          <w:sz w:val="22"/>
          <w:szCs w:val="22"/>
        </w:rPr>
        <w:t>Logistics and financial arrangements</w:t>
      </w:r>
    </w:p>
    <w:p w14:paraId="587DA929" w14:textId="24132DC4" w:rsidR="0081778D" w:rsidRDefault="004353DB" w:rsidP="004353DB">
      <w:pPr>
        <w:numPr>
          <w:ilvl w:val="0"/>
          <w:numId w:val="22"/>
        </w:numPr>
        <w:spacing w:after="5"/>
        <w:jc w:val="both"/>
        <w:rPr>
          <w:color w:val="000000"/>
          <w:sz w:val="22"/>
          <w:szCs w:val="22"/>
        </w:rPr>
      </w:pPr>
      <w:r w:rsidRPr="009D50A1">
        <w:rPr>
          <w:color w:val="000000"/>
          <w:sz w:val="22"/>
          <w:szCs w:val="22"/>
        </w:rPr>
        <w:t>The dates, location, venue, meeting logistical details, and national participants will be identified and managed (including preparation of invitations) by the WHO and FAO country offices, with technical support from WHO, FAO, and OIE headquarters and its regional and sub-regional offices</w:t>
      </w:r>
      <w:r w:rsidR="0081778D">
        <w:rPr>
          <w:color w:val="000000"/>
          <w:sz w:val="22"/>
          <w:szCs w:val="22"/>
        </w:rPr>
        <w:t xml:space="preserve"> as appropriate</w:t>
      </w:r>
      <w:r w:rsidRPr="009D50A1">
        <w:rPr>
          <w:color w:val="000000"/>
          <w:sz w:val="22"/>
          <w:szCs w:val="22"/>
        </w:rPr>
        <w:t xml:space="preserve">. </w:t>
      </w:r>
    </w:p>
    <w:p w14:paraId="659EA725" w14:textId="22EFFFD0" w:rsidR="004353DB" w:rsidRPr="0078255C" w:rsidRDefault="004353DB" w:rsidP="004353DB">
      <w:pPr>
        <w:numPr>
          <w:ilvl w:val="0"/>
          <w:numId w:val="22"/>
        </w:numPr>
        <w:spacing w:after="5"/>
        <w:jc w:val="both"/>
        <w:rPr>
          <w:color w:val="000000"/>
          <w:sz w:val="22"/>
          <w:szCs w:val="22"/>
        </w:rPr>
      </w:pPr>
      <w:r w:rsidRPr="0078255C">
        <w:rPr>
          <w:color w:val="000000"/>
          <w:sz w:val="22"/>
          <w:szCs w:val="22"/>
        </w:rPr>
        <w:t>These activities will be funded</w:t>
      </w:r>
      <w:r>
        <w:rPr>
          <w:color w:val="000000"/>
          <w:sz w:val="22"/>
          <w:szCs w:val="22"/>
        </w:rPr>
        <w:t xml:space="preserve"> through </w:t>
      </w:r>
      <w:r w:rsidR="0081778D" w:rsidRPr="0081778D">
        <w:rPr>
          <w:color w:val="000000"/>
          <w:sz w:val="22"/>
          <w:szCs w:val="22"/>
          <w:highlight w:val="yellow"/>
        </w:rPr>
        <w:t>…</w:t>
      </w:r>
    </w:p>
    <w:p w14:paraId="127F2E68" w14:textId="7478D839" w:rsidR="004353DB" w:rsidRPr="009D50A1" w:rsidRDefault="004353DB" w:rsidP="004353DB">
      <w:pPr>
        <w:numPr>
          <w:ilvl w:val="0"/>
          <w:numId w:val="22"/>
        </w:numPr>
        <w:spacing w:after="5"/>
        <w:jc w:val="both"/>
        <w:rPr>
          <w:color w:val="000000"/>
          <w:sz w:val="22"/>
          <w:szCs w:val="22"/>
        </w:rPr>
      </w:pPr>
      <w:r>
        <w:rPr>
          <w:color w:val="000000"/>
          <w:sz w:val="22"/>
          <w:szCs w:val="22"/>
        </w:rPr>
        <w:t xml:space="preserve">Tripartite staff from regional offices and headquarters will be available to support facilitation of the 5-day JRA OT workshop. </w:t>
      </w:r>
      <w:r w:rsidRPr="009D50A1">
        <w:rPr>
          <w:color w:val="000000"/>
          <w:sz w:val="22"/>
          <w:szCs w:val="22"/>
        </w:rPr>
        <w:t xml:space="preserve"> </w:t>
      </w:r>
    </w:p>
    <w:p w14:paraId="000C1C77" w14:textId="77777777" w:rsidR="00FD2CE4" w:rsidRDefault="00FD2CE4" w:rsidP="00FD2CE4">
      <w:pPr>
        <w:pStyle w:val="Default"/>
        <w:jc w:val="both"/>
        <w:rPr>
          <w:rFonts w:ascii="Times New Roman" w:hAnsi="Times New Roman" w:cs="Times New Roman"/>
          <w:b/>
          <w:bCs/>
          <w:color w:val="000000" w:themeColor="text1"/>
          <w:sz w:val="22"/>
          <w:szCs w:val="22"/>
        </w:rPr>
      </w:pPr>
    </w:p>
    <w:p w14:paraId="243E8CA6" w14:textId="65F84215" w:rsidR="004B12A3" w:rsidRPr="00FF0E59" w:rsidRDefault="004B12A3" w:rsidP="00FD2CE4">
      <w:pPr>
        <w:pStyle w:val="Default"/>
        <w:jc w:val="both"/>
        <w:rPr>
          <w:rFonts w:ascii="Times New Roman" w:hAnsi="Times New Roman" w:cs="Times New Roman"/>
          <w:b/>
          <w:bCs/>
          <w:color w:val="000000" w:themeColor="text1"/>
          <w:sz w:val="22"/>
          <w:szCs w:val="22"/>
        </w:rPr>
      </w:pPr>
      <w:r w:rsidRPr="00FF0E59">
        <w:rPr>
          <w:rFonts w:ascii="Times New Roman" w:hAnsi="Times New Roman" w:cs="Times New Roman"/>
          <w:b/>
          <w:bCs/>
          <w:color w:val="000000" w:themeColor="text1"/>
          <w:sz w:val="22"/>
          <w:szCs w:val="22"/>
        </w:rPr>
        <w:t>Place and date</w:t>
      </w:r>
    </w:p>
    <w:p w14:paraId="7782B508" w14:textId="0574CCBB" w:rsidR="004B12A3" w:rsidRDefault="00FD2CE4" w:rsidP="00FD2CE4">
      <w:pPr>
        <w:pStyle w:val="Default"/>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 xml:space="preserve">Dates will be established in coordination with the JRA steering committee and the JRA lead. </w:t>
      </w:r>
    </w:p>
    <w:p w14:paraId="6CDED1BC" w14:textId="3B211527" w:rsidR="00FD2CE4" w:rsidRDefault="00FD2CE4" w:rsidP="00FD2CE4">
      <w:pPr>
        <w:pStyle w:val="Default"/>
        <w:jc w:val="both"/>
        <w:rPr>
          <w:rFonts w:ascii="Times New Roman" w:hAnsi="Times New Roman" w:cs="Times New Roman"/>
          <w:b/>
          <w:bCs/>
          <w:color w:val="000000" w:themeColor="text1"/>
          <w:sz w:val="22"/>
          <w:szCs w:val="22"/>
        </w:rPr>
      </w:pPr>
    </w:p>
    <w:p w14:paraId="7F355CBE" w14:textId="77777777" w:rsidR="00FD2CE4" w:rsidRPr="00FF0E59" w:rsidRDefault="00FD2CE4" w:rsidP="00FD2CE4">
      <w:pPr>
        <w:pStyle w:val="Default"/>
        <w:jc w:val="both"/>
        <w:rPr>
          <w:rFonts w:ascii="Times New Roman" w:eastAsia="Calibri" w:hAnsi="Times New Roman" w:cs="Times New Roman"/>
          <w:color w:val="000000" w:themeColor="text1"/>
          <w:sz w:val="22"/>
          <w:szCs w:val="22"/>
          <w:lang w:val="fr-FR"/>
        </w:rPr>
      </w:pPr>
    </w:p>
    <w:p w14:paraId="6C67E904"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69633B0F"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1EDD8AFD"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3429CBE6"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4280150A"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46B3FC58"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01E4A266"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3B36E225"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438E7D09"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4C5F99B6"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178B21A9"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4F9719C0"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72C3ADEB"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57F40209"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46FF023D"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4005B860"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p w14:paraId="367F0907" w14:textId="77777777" w:rsidR="004B12A3" w:rsidRPr="00FF0E59" w:rsidRDefault="004B12A3" w:rsidP="00FF0E59">
      <w:pPr>
        <w:pStyle w:val="Default"/>
        <w:jc w:val="both"/>
        <w:rPr>
          <w:rFonts w:ascii="Times New Roman" w:eastAsia="Calibri" w:hAnsi="Times New Roman" w:cs="Times New Roman"/>
          <w:color w:val="000000" w:themeColor="text1"/>
          <w:sz w:val="22"/>
          <w:szCs w:val="22"/>
          <w:lang w:val="fr-FR"/>
        </w:rPr>
      </w:pPr>
    </w:p>
    <w:sectPr w:rsidR="004B12A3" w:rsidRPr="00FF0E59" w:rsidSect="00320A6D">
      <w:headerReference w:type="default" r:id="rId10"/>
      <w:footerReference w:type="default" r:id="rId11"/>
      <w:headerReference w:type="first" r:id="rId12"/>
      <w:pgSz w:w="11907" w:h="16840" w:code="9"/>
      <w:pgMar w:top="864" w:right="1138" w:bottom="1138" w:left="1138" w:header="734" w:footer="72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B1766" w14:textId="77777777" w:rsidR="00AB03BB" w:rsidRDefault="00AB03BB">
      <w:r>
        <w:separator/>
      </w:r>
    </w:p>
  </w:endnote>
  <w:endnote w:type="continuationSeparator" w:id="0">
    <w:p w14:paraId="2F02E861" w14:textId="77777777" w:rsidR="00AB03BB" w:rsidRDefault="00AB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9462710"/>
      <w:docPartObj>
        <w:docPartGallery w:val="Page Numbers (Bottom of Page)"/>
        <w:docPartUnique/>
      </w:docPartObj>
    </w:sdtPr>
    <w:sdtEndPr>
      <w:rPr>
        <w:noProof/>
      </w:rPr>
    </w:sdtEndPr>
    <w:sdtContent>
      <w:p w14:paraId="260833D5" w14:textId="77777777" w:rsidR="00320A6D" w:rsidRDefault="00320A6D">
        <w:pPr>
          <w:pStyle w:val="Footer"/>
          <w:jc w:val="center"/>
        </w:pPr>
        <w:r>
          <w:fldChar w:fldCharType="begin"/>
        </w:r>
        <w:r>
          <w:instrText xml:space="preserve"> PAGE   \* MERGEFORMAT </w:instrText>
        </w:r>
        <w:r>
          <w:fldChar w:fldCharType="separate"/>
        </w:r>
        <w:r w:rsidR="0065680F">
          <w:rPr>
            <w:noProof/>
          </w:rPr>
          <w:t>- 4 -</w:t>
        </w:r>
        <w:r>
          <w:rPr>
            <w:noProof/>
          </w:rPr>
          <w:fldChar w:fldCharType="end"/>
        </w:r>
      </w:p>
    </w:sdtContent>
  </w:sdt>
  <w:p w14:paraId="23B9373D" w14:textId="77777777" w:rsidR="00382D93" w:rsidRDefault="00382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CA388" w14:textId="77777777" w:rsidR="00AB03BB" w:rsidRDefault="00AB03BB">
      <w:r>
        <w:separator/>
      </w:r>
    </w:p>
  </w:footnote>
  <w:footnote w:type="continuationSeparator" w:id="0">
    <w:p w14:paraId="54BFA87A" w14:textId="77777777" w:rsidR="00AB03BB" w:rsidRDefault="00AB0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9B312" w14:textId="77777777" w:rsidR="00F97989" w:rsidRDefault="00AB03BB" w:rsidP="00F97989">
    <w:pPr>
      <w:pStyle w:val="Header"/>
      <w:tabs>
        <w:tab w:val="clear" w:pos="93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AEB76" w14:textId="77777777" w:rsidR="00F97989" w:rsidRPr="00691284" w:rsidRDefault="00AB03BB" w:rsidP="00691284">
    <w:pPr>
      <w:pStyle w:val="Header"/>
      <w:spacing w:line="192" w:lineRule="auto"/>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0728"/>
    <w:multiLevelType w:val="hybridMultilevel"/>
    <w:tmpl w:val="8B608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29F"/>
    <w:multiLevelType w:val="hybridMultilevel"/>
    <w:tmpl w:val="949CB220"/>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 w15:restartNumberingAfterBreak="0">
    <w:nsid w:val="0DDC73CE"/>
    <w:multiLevelType w:val="hybridMultilevel"/>
    <w:tmpl w:val="07800CC8"/>
    <w:lvl w:ilvl="0" w:tplc="04090001">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D6B63"/>
    <w:multiLevelType w:val="hybridMultilevel"/>
    <w:tmpl w:val="2B023130"/>
    <w:lvl w:ilvl="0" w:tplc="521A378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77656"/>
    <w:multiLevelType w:val="hybridMultilevel"/>
    <w:tmpl w:val="0856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46C98"/>
    <w:multiLevelType w:val="hybridMultilevel"/>
    <w:tmpl w:val="80A6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07B84"/>
    <w:multiLevelType w:val="hybridMultilevel"/>
    <w:tmpl w:val="AB60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C695F"/>
    <w:multiLevelType w:val="hybridMultilevel"/>
    <w:tmpl w:val="4F68A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83711"/>
    <w:multiLevelType w:val="hybridMultilevel"/>
    <w:tmpl w:val="8B3ADA3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9" w15:restartNumberingAfterBreak="0">
    <w:nsid w:val="4B163DFC"/>
    <w:multiLevelType w:val="hybridMultilevel"/>
    <w:tmpl w:val="97482EF8"/>
    <w:lvl w:ilvl="0" w:tplc="700E4B92">
      <w:start w:val="1"/>
      <w:numFmt w:val="upperRoman"/>
      <w:lvlText w:val="%1."/>
      <w:lvlJc w:val="left"/>
      <w:pPr>
        <w:ind w:left="108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4324A"/>
    <w:multiLevelType w:val="hybridMultilevel"/>
    <w:tmpl w:val="E694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6216A"/>
    <w:multiLevelType w:val="hybridMultilevel"/>
    <w:tmpl w:val="53C42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986CDA"/>
    <w:multiLevelType w:val="hybridMultilevel"/>
    <w:tmpl w:val="B8A89642"/>
    <w:lvl w:ilvl="0" w:tplc="0409000F">
      <w:start w:val="1"/>
      <w:numFmt w:val="decimal"/>
      <w:lvlText w:val="%1."/>
      <w:lvlJc w:val="left"/>
      <w:pPr>
        <w:ind w:left="360" w:hanging="360"/>
      </w:pPr>
      <w:rPr>
        <w:rFonts w:hint="default"/>
        <w:b/>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587E97"/>
    <w:multiLevelType w:val="hybridMultilevel"/>
    <w:tmpl w:val="551C8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4B04F7"/>
    <w:multiLevelType w:val="hybridMultilevel"/>
    <w:tmpl w:val="3D8EF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A9718F"/>
    <w:multiLevelType w:val="hybridMultilevel"/>
    <w:tmpl w:val="69BCB5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89539A"/>
    <w:multiLevelType w:val="hybridMultilevel"/>
    <w:tmpl w:val="AF1C7892"/>
    <w:lvl w:ilvl="0" w:tplc="521A378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839EC"/>
    <w:multiLevelType w:val="hybridMultilevel"/>
    <w:tmpl w:val="B3F0AC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805930"/>
    <w:multiLevelType w:val="hybridMultilevel"/>
    <w:tmpl w:val="716E1264"/>
    <w:lvl w:ilvl="0" w:tplc="7F30EB30">
      <w:numFmt w:val="bullet"/>
      <w:lvlText w:val="-"/>
      <w:lvlJc w:val="left"/>
      <w:pPr>
        <w:ind w:left="720" w:hanging="360"/>
      </w:pPr>
      <w:rPr>
        <w:rFonts w:ascii="Times New Roman" w:eastAsia="Calibri" w:hAnsi="Times New Roman" w:cs="Times New Roman" w:hint="default"/>
        <w:color w:val="auto"/>
        <w:sz w:val="24"/>
      </w:rPr>
    </w:lvl>
    <w:lvl w:ilvl="1" w:tplc="0402F9A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8273C3"/>
    <w:multiLevelType w:val="hybridMultilevel"/>
    <w:tmpl w:val="B3707BE0"/>
    <w:lvl w:ilvl="0" w:tplc="7F30EB30">
      <w:numFmt w:val="bullet"/>
      <w:lvlText w:val="-"/>
      <w:lvlJc w:val="left"/>
      <w:pPr>
        <w:ind w:left="720" w:hanging="360"/>
      </w:pPr>
      <w:rPr>
        <w:rFonts w:ascii="Times New Roman" w:eastAsia="Calibri"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8A7D2E"/>
    <w:multiLevelType w:val="hybridMultilevel"/>
    <w:tmpl w:val="450C6A2A"/>
    <w:lvl w:ilvl="0" w:tplc="7F30EB30">
      <w:numFmt w:val="bullet"/>
      <w:lvlText w:val="-"/>
      <w:lvlJc w:val="left"/>
      <w:pPr>
        <w:ind w:left="1440" w:hanging="360"/>
      </w:pPr>
      <w:rPr>
        <w:rFonts w:ascii="Times New Roman" w:eastAsia="Calibri" w:hAnsi="Times New Roman" w:cs="Times New Roman"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7"/>
  </w:num>
  <w:num w:numId="3">
    <w:abstractNumId w:val="0"/>
  </w:num>
  <w:num w:numId="4">
    <w:abstractNumId w:val="16"/>
  </w:num>
  <w:num w:numId="5">
    <w:abstractNumId w:val="3"/>
  </w:num>
  <w:num w:numId="6">
    <w:abstractNumId w:val="6"/>
  </w:num>
  <w:num w:numId="7">
    <w:abstractNumId w:val="20"/>
  </w:num>
  <w:num w:numId="8">
    <w:abstractNumId w:val="19"/>
  </w:num>
  <w:num w:numId="9">
    <w:abstractNumId w:val="18"/>
  </w:num>
  <w:num w:numId="10">
    <w:abstractNumId w:val="10"/>
  </w:num>
  <w:num w:numId="11">
    <w:abstractNumId w:val="7"/>
  </w:num>
  <w:num w:numId="12">
    <w:abstractNumId w:val="5"/>
  </w:num>
  <w:num w:numId="13">
    <w:abstractNumId w:val="11"/>
  </w:num>
  <w:num w:numId="14">
    <w:abstractNumId w:val="15"/>
  </w:num>
  <w:num w:numId="15">
    <w:abstractNumId w:val="1"/>
  </w:num>
  <w:num w:numId="16">
    <w:abstractNumId w:val="13"/>
  </w:num>
  <w:num w:numId="17">
    <w:abstractNumId w:val="9"/>
  </w:num>
  <w:num w:numId="18">
    <w:abstractNumId w:val="1"/>
  </w:num>
  <w:num w:numId="19">
    <w:abstractNumId w:val="8"/>
  </w:num>
  <w:num w:numId="20">
    <w:abstractNumId w:val="2"/>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2A3"/>
    <w:rsid w:val="0005050C"/>
    <w:rsid w:val="00160315"/>
    <w:rsid w:val="001653E6"/>
    <w:rsid w:val="001E5CCD"/>
    <w:rsid w:val="00252CF6"/>
    <w:rsid w:val="00283A85"/>
    <w:rsid w:val="00284FA5"/>
    <w:rsid w:val="002873BE"/>
    <w:rsid w:val="00320A6D"/>
    <w:rsid w:val="00320AB8"/>
    <w:rsid w:val="00382D93"/>
    <w:rsid w:val="003B6666"/>
    <w:rsid w:val="004353DB"/>
    <w:rsid w:val="004B12A3"/>
    <w:rsid w:val="004D7CC8"/>
    <w:rsid w:val="004F635C"/>
    <w:rsid w:val="00523AA8"/>
    <w:rsid w:val="005E4087"/>
    <w:rsid w:val="005F39DD"/>
    <w:rsid w:val="00603150"/>
    <w:rsid w:val="0065680F"/>
    <w:rsid w:val="0076360E"/>
    <w:rsid w:val="0081778D"/>
    <w:rsid w:val="008207B6"/>
    <w:rsid w:val="00836D05"/>
    <w:rsid w:val="009009A3"/>
    <w:rsid w:val="00930D19"/>
    <w:rsid w:val="00AB03BB"/>
    <w:rsid w:val="00B572CC"/>
    <w:rsid w:val="00C35CF3"/>
    <w:rsid w:val="00CF12DF"/>
    <w:rsid w:val="00D61D98"/>
    <w:rsid w:val="00E071F1"/>
    <w:rsid w:val="00E3044A"/>
    <w:rsid w:val="00F26403"/>
    <w:rsid w:val="00F61B90"/>
    <w:rsid w:val="00FD2CE4"/>
    <w:rsid w:val="00FF0E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ECE9E"/>
  <w15:chartTrackingRefBased/>
  <w15:docId w15:val="{930B5E67-8498-4AC2-B1DD-7AA1870B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2A3"/>
    <w:pPr>
      <w:spacing w:after="0" w:line="240" w:lineRule="auto"/>
    </w:pPr>
    <w:rPr>
      <w:rFonts w:ascii="Times New Roman" w:eastAsia="Times New Roman" w:hAnsi="Times New Roman" w:cs="Sakkal Majalla"/>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12A3"/>
    <w:pPr>
      <w:tabs>
        <w:tab w:val="center" w:pos="4680"/>
        <w:tab w:val="right" w:pos="9360"/>
      </w:tabs>
    </w:pPr>
  </w:style>
  <w:style w:type="character" w:customStyle="1" w:styleId="HeaderChar">
    <w:name w:val="Header Char"/>
    <w:basedOn w:val="DefaultParagraphFont"/>
    <w:link w:val="Header"/>
    <w:uiPriority w:val="99"/>
    <w:rsid w:val="004B12A3"/>
    <w:rPr>
      <w:rFonts w:ascii="Times New Roman" w:eastAsia="Times New Roman" w:hAnsi="Times New Roman" w:cs="Sakkal Majalla"/>
      <w:sz w:val="24"/>
      <w:szCs w:val="28"/>
    </w:rPr>
  </w:style>
  <w:style w:type="paragraph" w:customStyle="1" w:styleId="1RCNoparafinal">
    <w:name w:val="1RC No para final"/>
    <w:basedOn w:val="Normal"/>
    <w:link w:val="1RCNoparafinalChar"/>
    <w:qFormat/>
    <w:rsid w:val="004B12A3"/>
    <w:pPr>
      <w:tabs>
        <w:tab w:val="left" w:pos="450"/>
        <w:tab w:val="left" w:pos="1134"/>
        <w:tab w:val="left" w:pos="1701"/>
      </w:tabs>
      <w:spacing w:after="240" w:line="260" w:lineRule="exact"/>
      <w:ind w:left="720" w:hanging="360"/>
      <w:jc w:val="both"/>
    </w:pPr>
    <w:rPr>
      <w:rFonts w:cs="Times New Roman"/>
      <w:color w:val="000000"/>
      <w:kern w:val="20"/>
      <w:sz w:val="22"/>
      <w:szCs w:val="24"/>
    </w:rPr>
  </w:style>
  <w:style w:type="character" w:customStyle="1" w:styleId="1RCNoparafinalChar">
    <w:name w:val="1RC No para final Char"/>
    <w:link w:val="1RCNoparafinal"/>
    <w:rsid w:val="004B12A3"/>
    <w:rPr>
      <w:rFonts w:ascii="Times New Roman" w:eastAsia="Times New Roman" w:hAnsi="Times New Roman" w:cs="Times New Roman"/>
      <w:color w:val="000000"/>
      <w:kern w:val="20"/>
      <w:szCs w:val="24"/>
    </w:rPr>
  </w:style>
  <w:style w:type="paragraph" w:styleId="ListParagraph">
    <w:name w:val="List Paragraph"/>
    <w:aliases w:val="Bullet List,FooterText,List Paragraph1,Colorful List Accent 1,numbered,Paragraphe de liste1,????,????1,Bulletr List Paragraph,List Paragraph2,List Paragraph21,Párrafo de lista1,Parágrafo da Lista1,?????1,Plan,Dot pt,F5 List Paragraph"/>
    <w:basedOn w:val="Normal"/>
    <w:link w:val="ListParagraphChar"/>
    <w:uiPriority w:val="34"/>
    <w:qFormat/>
    <w:rsid w:val="004B12A3"/>
    <w:pPr>
      <w:ind w:left="720"/>
      <w:contextualSpacing/>
    </w:pPr>
    <w:rPr>
      <w:rFonts w:ascii="Arial" w:hAnsi="Arial" w:cs="Arial"/>
      <w:szCs w:val="24"/>
      <w:lang w:val="en-GB"/>
    </w:rPr>
  </w:style>
  <w:style w:type="character" w:customStyle="1" w:styleId="ListParagraphChar">
    <w:name w:val="List Paragraph Char"/>
    <w:aliases w:val="Bullet List Char,FooterText Char,List Paragraph1 Char,Colorful List Accent 1 Char,numbered Char,Paragraphe de liste1 Char,???? Char,????1 Char,Bulletr List Paragraph Char,List Paragraph2 Char,List Paragraph21 Char,?????1 Char"/>
    <w:link w:val="ListParagraph"/>
    <w:uiPriority w:val="34"/>
    <w:qFormat/>
    <w:locked/>
    <w:rsid w:val="004B12A3"/>
    <w:rPr>
      <w:rFonts w:ascii="Arial" w:eastAsia="Times New Roman" w:hAnsi="Arial" w:cs="Arial"/>
      <w:sz w:val="24"/>
      <w:szCs w:val="24"/>
      <w:lang w:val="en-GB"/>
    </w:rPr>
  </w:style>
  <w:style w:type="paragraph" w:customStyle="1" w:styleId="Default">
    <w:name w:val="Default"/>
    <w:rsid w:val="004B12A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B12A3"/>
    <w:rPr>
      <w:color w:val="0563C1" w:themeColor="hyperlink"/>
      <w:u w:val="single"/>
    </w:rPr>
  </w:style>
  <w:style w:type="table" w:styleId="TableGrid">
    <w:name w:val="Table Grid"/>
    <w:basedOn w:val="TableNormal"/>
    <w:uiPriority w:val="39"/>
    <w:rsid w:val="004B1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82D93"/>
    <w:pPr>
      <w:tabs>
        <w:tab w:val="center" w:pos="4680"/>
        <w:tab w:val="right" w:pos="9360"/>
      </w:tabs>
    </w:pPr>
  </w:style>
  <w:style w:type="character" w:customStyle="1" w:styleId="FooterChar">
    <w:name w:val="Footer Char"/>
    <w:basedOn w:val="DefaultParagraphFont"/>
    <w:link w:val="Footer"/>
    <w:uiPriority w:val="99"/>
    <w:rsid w:val="00382D93"/>
    <w:rPr>
      <w:rFonts w:ascii="Times New Roman" w:eastAsia="Times New Roman" w:hAnsi="Times New Roman" w:cs="Sakkal Majalla"/>
      <w:sz w:val="24"/>
      <w:szCs w:val="28"/>
    </w:rPr>
  </w:style>
  <w:style w:type="paragraph" w:customStyle="1" w:styleId="Body">
    <w:name w:val="Body"/>
    <w:link w:val="BodyChar"/>
    <w:rsid w:val="00FF0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FootnoteText">
    <w:name w:val="footnote text"/>
    <w:link w:val="FootnoteTextChar"/>
    <w:rsid w:val="00FF0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customStyle="1" w:styleId="FootnoteTextChar">
    <w:name w:val="Footnote Text Char"/>
    <w:basedOn w:val="DefaultParagraphFont"/>
    <w:link w:val="FootnoteText"/>
    <w:rsid w:val="00FF0E59"/>
    <w:rPr>
      <w:rFonts w:ascii="Times New Roman" w:eastAsia="Times New Roman" w:hAnsi="Times New Roman" w:cs="Times New Roman"/>
      <w:color w:val="000000"/>
      <w:sz w:val="20"/>
      <w:szCs w:val="20"/>
      <w:u w:color="000000"/>
      <w:bdr w:val="nil"/>
    </w:rPr>
  </w:style>
  <w:style w:type="character" w:customStyle="1" w:styleId="BodyChar">
    <w:name w:val="Body Char"/>
    <w:basedOn w:val="DefaultParagraphFont"/>
    <w:link w:val="Body"/>
    <w:rsid w:val="00FF0E59"/>
    <w:rPr>
      <w:rFonts w:ascii="Times New Roman" w:eastAsia="Times New Roman" w:hAnsi="Times New Roman" w:cs="Times New Roman"/>
      <w:color w:val="000000"/>
      <w:sz w:val="24"/>
      <w:szCs w:val="24"/>
      <w:u w:color="000000"/>
      <w:bdr w:val="nil"/>
    </w:rPr>
  </w:style>
  <w:style w:type="paragraph" w:styleId="NormalWeb">
    <w:name w:val="Normal (Web)"/>
    <w:basedOn w:val="Normal"/>
    <w:uiPriority w:val="99"/>
    <w:unhideWhenUsed/>
    <w:rsid w:val="00FF0E59"/>
    <w:pPr>
      <w:spacing w:before="100" w:beforeAutospacing="1" w:after="100" w:afterAutospacing="1"/>
    </w:pPr>
    <w:rPr>
      <w:rFonts w:cs="Times New Roman"/>
      <w:szCs w:val="24"/>
    </w:rPr>
  </w:style>
  <w:style w:type="character" w:styleId="UnresolvedMention">
    <w:name w:val="Unresolved Mention"/>
    <w:basedOn w:val="DefaultParagraphFont"/>
    <w:uiPriority w:val="99"/>
    <w:semiHidden/>
    <w:unhideWhenUsed/>
    <w:rsid w:val="00836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037">
      <w:bodyDiv w:val="1"/>
      <w:marLeft w:val="0"/>
      <w:marRight w:val="0"/>
      <w:marTop w:val="0"/>
      <w:marBottom w:val="0"/>
      <w:divBdr>
        <w:top w:val="none" w:sz="0" w:space="0" w:color="auto"/>
        <w:left w:val="none" w:sz="0" w:space="0" w:color="auto"/>
        <w:bottom w:val="none" w:sz="0" w:space="0" w:color="auto"/>
        <w:right w:val="none" w:sz="0" w:space="0" w:color="auto"/>
      </w:divBdr>
    </w:div>
    <w:div w:id="177158823">
      <w:bodyDiv w:val="1"/>
      <w:marLeft w:val="0"/>
      <w:marRight w:val="0"/>
      <w:marTop w:val="0"/>
      <w:marBottom w:val="0"/>
      <w:divBdr>
        <w:top w:val="none" w:sz="0" w:space="0" w:color="auto"/>
        <w:left w:val="none" w:sz="0" w:space="0" w:color="auto"/>
        <w:bottom w:val="none" w:sz="0" w:space="0" w:color="auto"/>
        <w:right w:val="none" w:sz="0" w:space="0" w:color="auto"/>
      </w:divBdr>
    </w:div>
    <w:div w:id="124734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joint-risk-assessment-operational-tool-(-jra-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initiatives/tripartite-zoonosis-gui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MAHROUS, Heba</dc:creator>
  <cp:keywords/>
  <dc:description/>
  <cp:lastModifiedBy>Kaylee M Myhre Errecaborde</cp:lastModifiedBy>
  <cp:revision>3</cp:revision>
  <dcterms:created xsi:type="dcterms:W3CDTF">2021-05-05T12:15:00Z</dcterms:created>
  <dcterms:modified xsi:type="dcterms:W3CDTF">2021-05-05T12:18:00Z</dcterms:modified>
</cp:coreProperties>
</file>