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666"/>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Operational Tool for Conducting National Joint Qualitative Risk  Assessments </w:t>
      </w:r>
      <w:r w:rsidDel="00000000" w:rsidR="00000000" w:rsidRPr="00000000">
        <w:drawing>
          <wp:anchor allowOverlap="1" behindDoc="0" distB="0" distT="0" distL="0" distR="0" hidden="0" layoutInCell="1" locked="0" relativeHeight="0" simplePos="0">
            <wp:simplePos x="0" y="0"/>
            <wp:positionH relativeFrom="column">
              <wp:posOffset>-207644</wp:posOffset>
            </wp:positionH>
            <wp:positionV relativeFrom="paragraph">
              <wp:posOffset>-1170304</wp:posOffset>
            </wp:positionV>
            <wp:extent cx="6386907" cy="847690"/>
            <wp:effectExtent b="0" l="0" r="0" t="0"/>
            <wp:wrapSquare wrapText="bothSides" distB="0" distT="0" distL="0" distR="0"/>
            <wp:docPr descr="C:\Users\mumforde\AppData\Local\Microsoft\Windows\INetCache\Content.Word\Tripartite-logoblock_ENGLISH (004).jpg" id="22" name="image1.jpg"/>
            <a:graphic>
              <a:graphicData uri="http://schemas.openxmlformats.org/drawingml/2006/picture">
                <pic:pic>
                  <pic:nvPicPr>
                    <pic:cNvPr descr="C:\Users\mumforde\AppData\Local\Microsoft\Windows\INetCache\Content.Word\Tripartite-logoblock_ENGLISH (004).jpg" id="0" name="image1.jpg"/>
                    <pic:cNvPicPr preferRelativeResize="0"/>
                  </pic:nvPicPr>
                  <pic:blipFill>
                    <a:blip r:embed="rId7"/>
                    <a:srcRect b="0" l="0" r="0" t="0"/>
                    <a:stretch>
                      <a:fillRect/>
                    </a:stretch>
                  </pic:blipFill>
                  <pic:spPr>
                    <a:xfrm>
                      <a:off x="0" y="0"/>
                      <a:ext cx="6386907" cy="847690"/>
                    </a:xfrm>
                    <a:prstGeom prst="rect"/>
                    <a:ln/>
                  </pic:spPr>
                </pic:pic>
              </a:graphicData>
            </a:graphic>
          </wp:anchor>
        </w:drawing>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Joint Risk Assessment Report Template </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Title of assessment: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0A">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short sentence overview of the event being assessed; </w:t>
      </w:r>
    </w:p>
    <w:p w:rsidR="00000000" w:rsidDel="00000000" w:rsidP="00000000" w:rsidRDefault="00000000" w:rsidRPr="00000000" w14:paraId="0000000B">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e.g. “Joint Risk Assessment of (event, hazard) in (location), (month/year)”.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time, and place assessment took place, dates of previous risk assessments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0F">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date, time, and place of assessment, and the date of the last risk assessment for this event.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Participants &amp; affiliations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list of names and affiliations of participants, identifying the lead/risk assessor.</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 summary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17">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brief summary of the event or hazard being assessed. To include a brief description of who, what, where, and when, measures taken to date, and other relevant/key information.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Framing</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1B">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 hazard, scope, and purpose and objectives as defined by the JRA Steering Committee.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Assessment summary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1F">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brief “Executive Summary” of the assessment outcomes and technical interpretation including the risk assessment questions and associated estimates of likelihood, impact, and uncertainty, along with those factors contributing most to these estimates and the data gaps, and key management/communication options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 assumptions underlying JRA (see Technical Element D1, section on “Making assumptions”)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23">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general assumptions on which the JRA is based, especially in cases where very little information about the event is available;</w:t>
      </w:r>
    </w:p>
    <w:p w:rsidR="00000000" w:rsidDel="00000000" w:rsidP="00000000" w:rsidRDefault="00000000" w:rsidRPr="00000000" w14:paraId="00000024">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“This assessment is based on the assumption that there is an epidemiological link between the disease in the animal population and the human population,” if this is unknown.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Detailed risk assessment results based on risk assessment questions (see Technical Element D3)</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sections are completed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risk assessment question.</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107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8A. What is the likelihood and impact of…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2D">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Provide the entire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first risk assessment question assessed.</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Likelihood estimate A:  </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3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estimated likelihood for this risk assessment question.</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likelihood estimate A: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35">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as bullet points, the key information on which this likelihood estimate is based;</w:t>
      </w:r>
    </w:p>
    <w:p w:rsidR="00000000" w:rsidDel="00000000" w:rsidP="00000000" w:rsidRDefault="00000000" w:rsidRPr="00000000" w14:paraId="00000036">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any assumptions used to estimate this likelihood (e.g. “Assumed that this virus has the same prevalence in poultry as during the last outbreak”, “Assumed that the virus causes similar disease in poultry as during the last outbreak”).</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38"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Uncertainty level for likelihood estimate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3A">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uncertainty level assigned for the likelihood estimate</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uncertainty level associated with likelihood estimate A: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3E">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key information gaps on which this uncertainty level is based (e.g. “Virus subtype not available”; “No prevalence data on the infection in poultry”).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Impact estimate A:  </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4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estimated impact for this risk assessment question</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impact estimate A:</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46">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key information on which this impact estimate is based</w:t>
      </w:r>
    </w:p>
    <w:p w:rsidR="00000000" w:rsidDel="00000000" w:rsidP="00000000" w:rsidRDefault="00000000" w:rsidRPr="00000000" w14:paraId="00000047">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any assumptions used to estimate this impact (e.g. “Assumed that animal movement control is effective”)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Uncertainty level for impact estimate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4B">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uncertainty level assigned for this impact estimate</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uncertainty level associated with impact estimate A: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r w:rsidDel="00000000" w:rsidR="00000000" w:rsidRPr="00000000">
        <w:rPr>
          <w:rtl w:val="0"/>
        </w:rPr>
      </w:r>
    </w:p>
    <w:p w:rsidR="00000000" w:rsidDel="00000000" w:rsidP="00000000" w:rsidRDefault="00000000" w:rsidRPr="00000000" w14:paraId="0000004F">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in bullet points, the key information gaps on which this uncertainty level is based (e.g. “Virus subtype not available”; “No prevalence data on the infection in poultry”)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574" w:right="0" w:firstLine="306.0000000000002"/>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2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matrix for risk assessment question A</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431800</wp:posOffset>
                </wp:positionH>
                <wp:positionV relativeFrom="paragraph">
                  <wp:posOffset>1168400</wp:posOffset>
                </wp:positionV>
                <wp:extent cx="1685925" cy="1414145"/>
                <wp:effectExtent b="0" l="0" r="0" t="0"/>
                <wp:wrapSquare wrapText="bothSides" distB="0" distT="0" distL="0" distR="0"/>
                <wp:docPr id="19" name=""/>
                <a:graphic>
                  <a:graphicData uri="http://schemas.microsoft.com/office/word/2010/wordprocessingShape">
                    <wps:wsp>
                      <wps:cNvSpPr/>
                      <wps:cNvPr id="3" name="Shape 3"/>
                      <wps:spPr>
                        <a:xfrm>
                          <a:off x="4507800" y="3077690"/>
                          <a:ext cx="167640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Likelihood</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431800</wp:posOffset>
                </wp:positionH>
                <wp:positionV relativeFrom="paragraph">
                  <wp:posOffset>1168400</wp:posOffset>
                </wp:positionV>
                <wp:extent cx="1685925" cy="1414145"/>
                <wp:effectExtent b="0" l="0" r="0" t="0"/>
                <wp:wrapSquare wrapText="bothSides" distB="0" distT="0" distL="0" distR="0"/>
                <wp:docPr id="1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685925" cy="1414145"/>
                        </a:xfrm>
                        <a:prstGeom prst="rect"/>
                        <a:ln/>
                      </pic:spPr>
                    </pic:pic>
                  </a:graphicData>
                </a:graphic>
              </wp:anchor>
            </w:drawing>
          </mc:Fallback>
        </mc:AlternateContent>
      </w:r>
    </w:p>
    <w:tbl>
      <w:tblPr>
        <w:tblStyle w:val="Table1"/>
        <w:tblW w:w="6155.999999999999" w:type="dxa"/>
        <w:jc w:val="left"/>
        <w:tblInd w:w="1491.999999999999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67"/>
        <w:gridCol w:w="1230"/>
        <w:gridCol w:w="1046"/>
        <w:gridCol w:w="160"/>
        <w:gridCol w:w="972"/>
        <w:gridCol w:w="163"/>
        <w:gridCol w:w="927"/>
        <w:gridCol w:w="207"/>
        <w:gridCol w:w="884"/>
        <w:tblGridChange w:id="0">
          <w:tblGrid>
            <w:gridCol w:w="567"/>
            <w:gridCol w:w="1230"/>
            <w:gridCol w:w="1046"/>
            <w:gridCol w:w="160"/>
            <w:gridCol w:w="972"/>
            <w:gridCol w:w="163"/>
            <w:gridCol w:w="927"/>
            <w:gridCol w:w="207"/>
            <w:gridCol w:w="884"/>
          </w:tblGrid>
        </w:tblGridChange>
      </w:tblGrid>
      <w:tr>
        <w:trPr>
          <w:trHeight w:val="807" w:hRule="atLeast"/>
        </w:trPr>
        <w:tc>
          <w:tcPr>
            <w:vMerge w:val="restart"/>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High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Moderate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390" w:hRule="atLeast"/>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Minor</w:t>
            </w: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Moderate</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Severe</w:t>
            </w:r>
            <w:r w:rsidDel="00000000" w:rsidR="00000000" w:rsidRPr="00000000">
              <w:rPr>
                <w:rtl w:val="0"/>
              </w:rPr>
            </w:r>
          </w:p>
        </w:tc>
      </w:tr>
      <w:tr>
        <w:trPr>
          <w:trHeight w:val="290" w:hRule="atLeast"/>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7"/>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Impact</w:t>
            </w:r>
          </w:p>
        </w:tc>
      </w:tr>
    </w:tbl>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1384" w:right="0" w:hanging="13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4" w:right="0" w:hanging="283.999999999999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0</wp:posOffset>
                </wp:positionV>
                <wp:extent cx="469900" cy="469900"/>
                <wp:effectExtent b="0" l="0" r="0" t="0"/>
                <wp:wrapNone/>
                <wp:docPr id="21" name=""/>
                <a:graphic>
                  <a:graphicData uri="http://schemas.microsoft.com/office/word/2010/wordprocessingShape">
                    <wps:wsp>
                      <wps:cNvSpPr/>
                      <wps:cNvPr id="5" name="Shape 5"/>
                      <wps:spPr>
                        <a:xfrm>
                          <a:off x="5117400" y="3551400"/>
                          <a:ext cx="457200" cy="457200"/>
                        </a:xfrm>
                        <a:prstGeom prst="flowChartConnector">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0</wp:posOffset>
                </wp:positionV>
                <wp:extent cx="469900" cy="469900"/>
                <wp:effectExtent b="0" l="0" r="0" t="0"/>
                <wp:wrapNone/>
                <wp:docPr id="2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69900" cy="469900"/>
                        </a:xfrm>
                        <a:prstGeom prst="rect"/>
                        <a:ln/>
                      </pic:spPr>
                    </pic:pic>
                  </a:graphicData>
                </a:graphic>
              </wp:anchor>
            </w:drawing>
          </mc:Fallback>
        </mc:AlternateContent>
      </w:r>
    </w:p>
    <w:p w:rsidR="00000000" w:rsidDel="00000000" w:rsidP="00000000" w:rsidRDefault="00000000" w:rsidRPr="00000000" w14:paraId="0000008C">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544" w:right="0" w:hanging="283.9999999999998"/>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 the black dot to the box that correlates with the likelihood and impact estimates for this risk assessment question.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Technical interpretation of risk assessment question A </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90">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Summary of conclusions based on the estimates and uncertainly level, including which key information and information gaps were relevant. Some options for the level of risk management and risk communication messages needed may be included (see example, Technical Element D4). </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107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8B. What is the likelihood and impact of… </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94">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Provide the entire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first risk assessment question assessed.</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Likelihood estimate B:  </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9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estimated likelihood for this risk assessment question.</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likelihood estimate B: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9C">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as bullet points, the key information on which this likelihood estimate is based;</w:t>
      </w:r>
    </w:p>
    <w:p w:rsidR="00000000" w:rsidDel="00000000" w:rsidP="00000000" w:rsidRDefault="00000000" w:rsidRPr="00000000" w14:paraId="0000009D">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any assumptions used to estimate this likelihood (e.g. “Assumed that this virus has the same prevalence in poultry as during the last outbreak”, “Assumed that the virus causes similar disease in poultry as during the last outbreak”).</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38"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Uncertainty level for likelihood estimate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A1">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uncertainty level assigned for the likelihood estimate</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uncertainty level associated with likelihood estimate B: </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A5">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key information gaps on which this uncertainty level is based (e.g. “Virus subtype not available”; “No prevalence data on the infection in poultry”).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Impact estimate B:  </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A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estimated impact for this risk assessment question</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impact estimate B:</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AD">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key information on which this impact estimate is based</w:t>
      </w:r>
    </w:p>
    <w:p w:rsidR="00000000" w:rsidDel="00000000" w:rsidP="00000000" w:rsidRDefault="00000000" w:rsidRPr="00000000" w14:paraId="000000AE">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any assumptions used to estimate this impact (e.g. “Assumed that animal movement control is effective”)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Uncertainty level for impact estimate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B2">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uncertainty level assigned for this impact estimate</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Rationale for uncertainty level associated with impact estimate B: </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r w:rsidDel="00000000" w:rsidR="00000000" w:rsidRPr="00000000">
        <w:rPr>
          <w:rtl w:val="0"/>
        </w:rPr>
      </w:r>
    </w:p>
    <w:p w:rsidR="00000000" w:rsidDel="00000000" w:rsidP="00000000" w:rsidRDefault="00000000" w:rsidRPr="00000000" w14:paraId="000000B6">
      <w:pPr>
        <w:keepNext w:val="0"/>
        <w:keepLines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in bullet points, the key information gaps on which this uncertainty level is based (e.g. “Virus subtype not available”; “No prevalence data on the infection in poultry”)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7">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574" w:right="0" w:firstLine="306.0000000000002"/>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574" w:right="0" w:firstLine="306.000000000000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matrix for risk assessment question B</w:t>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bl>
      <w:tblPr>
        <w:tblStyle w:val="Table2"/>
        <w:tblW w:w="6155.999999999999" w:type="dxa"/>
        <w:jc w:val="left"/>
        <w:tblInd w:w="1491.999999999999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67"/>
        <w:gridCol w:w="1230"/>
        <w:gridCol w:w="1046"/>
        <w:gridCol w:w="160"/>
        <w:gridCol w:w="972"/>
        <w:gridCol w:w="163"/>
        <w:gridCol w:w="927"/>
        <w:gridCol w:w="207"/>
        <w:gridCol w:w="884"/>
        <w:tblGridChange w:id="0">
          <w:tblGrid>
            <w:gridCol w:w="567"/>
            <w:gridCol w:w="1230"/>
            <w:gridCol w:w="1046"/>
            <w:gridCol w:w="160"/>
            <w:gridCol w:w="972"/>
            <w:gridCol w:w="163"/>
            <w:gridCol w:w="927"/>
            <w:gridCol w:w="207"/>
            <w:gridCol w:w="884"/>
          </w:tblGrid>
        </w:tblGridChange>
      </w:tblGrid>
      <w:tr>
        <w:trPr>
          <w:trHeight w:val="807" w:hRule="atLeast"/>
        </w:trPr>
        <w:tc>
          <w:tcPr>
            <w:vMerge w:val="restart"/>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-495299</wp:posOffset>
                      </wp:positionH>
                      <wp:positionV relativeFrom="paragraph">
                        <wp:posOffset>876300</wp:posOffset>
                      </wp:positionV>
                      <wp:extent cx="1685925" cy="1414145"/>
                      <wp:effectExtent b="0" l="0" r="0" t="0"/>
                      <wp:wrapSquare wrapText="bothSides" distB="0" distT="0" distL="0" distR="0"/>
                      <wp:docPr id="18" name=""/>
                      <a:graphic>
                        <a:graphicData uri="http://schemas.microsoft.com/office/word/2010/wordprocessingShape">
                          <wps:wsp>
                            <wps:cNvSpPr/>
                            <wps:cNvPr id="2" name="Shape 2"/>
                            <wps:spPr>
                              <a:xfrm>
                                <a:off x="4507800" y="3077690"/>
                                <a:ext cx="167640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Likelihood</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-495299</wp:posOffset>
                      </wp:positionH>
                      <wp:positionV relativeFrom="paragraph">
                        <wp:posOffset>876300</wp:posOffset>
                      </wp:positionV>
                      <wp:extent cx="1685925" cy="1414145"/>
                      <wp:effectExtent b="0" l="0" r="0" t="0"/>
                      <wp:wrapSquare wrapText="bothSides" distB="0" distT="0" distL="0" distR="0"/>
                      <wp:docPr id="1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685925" cy="1414145"/>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High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Moderate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0000" w:val="clear"/>
            <w:tcMar>
              <w:top w:w="80.0" w:type="dxa"/>
              <w:left w:w="80.0" w:type="dxa"/>
              <w:bottom w:w="80.0" w:type="dxa"/>
              <w:right w:w="80.0" w:type="dxa"/>
            </w:tcMa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787" w:hRule="atLeast"/>
        </w:trPr>
        <w:tc>
          <w:tcPr>
            <w:vMerge w:val="continue"/>
            <w:tcBorders>
              <w:top w:color="000000" w:space="0" w:sz="0" w:val="nil"/>
              <w:left w:color="000000" w:space="0" w:sz="0" w:val="nil"/>
              <w:bottom w:color="000000" w:space="0" w:sz="0" w:val="nil"/>
              <w:right w:color="000000" w:space="0" w:sz="0" w:val="nil"/>
            </w:tcBorders>
            <w:shd w:fill="auto" w:val="clear"/>
            <w:tcMar>
              <w:top w:w="80.0" w:type="dxa"/>
              <w:left w:w="193.0" w:type="dxa"/>
              <w:bottom w:w="80.0" w:type="dxa"/>
              <w:right w:w="193.0" w:type="dxa"/>
            </w:tcMar>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00b050" w:val="clear"/>
            <w:tcMar>
              <w:top w:w="80.0" w:type="dxa"/>
              <w:left w:w="80.0" w:type="dxa"/>
              <w:bottom w:w="80.0" w:type="dxa"/>
              <w:right w:w="80.0" w:type="dxa"/>
            </w:tcMa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8" w:val="single"/>
              <w:bottom w:color="000000" w:space="0" w:sz="8" w:val="single"/>
              <w:right w:color="000000" w:space="0" w:sz="8" w:val="single"/>
            </w:tcBorders>
            <w:shd w:fill="ffc000" w:val="clear"/>
            <w:tcMar>
              <w:top w:w="80.0" w:type="dxa"/>
              <w:left w:w="80.0" w:type="dxa"/>
              <w:bottom w:w="80.0" w:type="dxa"/>
              <w:right w:w="80.0" w:type="dxa"/>
            </w:tcMa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trHeight w:val="390" w:hRule="atLeast"/>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Minor</w:t>
            </w:r>
            <w:r w:rsidDel="00000000" w:rsidR="00000000" w:rsidRPr="00000000">
              <w:rPr>
                <w:rtl w:val="0"/>
              </w:rPr>
            </w:r>
          </w:p>
        </w:tc>
        <w:tc>
          <w:tcPr>
            <w:gridSpan w:val="2"/>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Moderate</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Severe</w:t>
            </w:r>
            <w:r w:rsidDel="00000000" w:rsidR="00000000" w:rsidRPr="00000000">
              <w:rPr>
                <w:rtl w:val="0"/>
              </w:rPr>
            </w:r>
          </w:p>
        </w:tc>
      </w:tr>
      <w:tr>
        <w:trPr>
          <w:trHeight w:val="290" w:hRule="atLeast"/>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gridSpan w:val="7"/>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Impact</w:t>
            </w:r>
          </w:p>
        </w:tc>
      </w:tr>
    </w:tbl>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4" w:right="0" w:hanging="283.999999999999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-5092699</wp:posOffset>
                </wp:positionH>
                <wp:positionV relativeFrom="paragraph">
                  <wp:posOffset>0</wp:posOffset>
                </wp:positionV>
                <wp:extent cx="469900" cy="469900"/>
                <wp:effectExtent b="0" l="0" r="0" t="0"/>
                <wp:wrapNone/>
                <wp:docPr id="20" name=""/>
                <a:graphic>
                  <a:graphicData uri="http://schemas.microsoft.com/office/word/2010/wordprocessingShape">
                    <wps:wsp>
                      <wps:cNvSpPr/>
                      <wps:cNvPr id="4" name="Shape 4"/>
                      <wps:spPr>
                        <a:xfrm>
                          <a:off x="5117400" y="3551400"/>
                          <a:ext cx="457200" cy="457200"/>
                        </a:xfrm>
                        <a:prstGeom prst="flowChartConnector">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-5092699</wp:posOffset>
                </wp:positionH>
                <wp:positionV relativeFrom="paragraph">
                  <wp:posOffset>0</wp:posOffset>
                </wp:positionV>
                <wp:extent cx="469900" cy="469900"/>
                <wp:effectExtent b="0" l="0" r="0" t="0"/>
                <wp:wrapNone/>
                <wp:docPr id="2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469900" cy="469900"/>
                        </a:xfrm>
                        <a:prstGeom prst="rect"/>
                        <a:ln/>
                      </pic:spPr>
                    </pic:pic>
                  </a:graphicData>
                </a:graphic>
              </wp:anchor>
            </w:drawing>
          </mc:Fallback>
        </mc:AlternateContent>
      </w:r>
    </w:p>
    <w:p w:rsidR="00000000" w:rsidDel="00000000" w:rsidP="00000000" w:rsidRDefault="00000000" w:rsidRPr="00000000" w14:paraId="000000F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544" w:right="0" w:hanging="283.9999999999998"/>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 the black dot to the box that correlates with the likelihood and impact estimates for this risk assessment question. </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Technical interpretation of risk assessment question B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F7">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2138"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Summary of conclusions based on the estimates and uncertainly level, including which key information and information gaps were relevant. Some options for the level of risk management and risk communication messages needed may be included (see example, Technical Element D4).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8C, D, etc. What is the likelihood and impact of… </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0FB">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the rest of the assessments for the remainder of the risk assessment questions. </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Overall technical interpretation (optional)</w:t>
      </w:r>
    </w:p>
    <w:p w:rsidR="00000000" w:rsidDel="00000000" w:rsidP="00000000" w:rsidRDefault="00000000" w:rsidRPr="00000000" w14:paraId="000000F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00">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overall summary of conclusions if needed in addition to technical interpretations for each risk assessment question.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Information needed  (see Technical Element D2, section “Identify information gaps”)  </w:t>
      </w:r>
    </w:p>
    <w:p w:rsidR="00000000" w:rsidDel="00000000" w:rsidP="00000000" w:rsidRDefault="00000000" w:rsidRPr="00000000" w14:paraId="0000010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04">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Include specific priority information needed to inform the likelihood and impact estimates and to decrease uncertainty in the next JRA iteration;</w:t>
      </w:r>
    </w:p>
    <w:p w:rsidR="00000000" w:rsidDel="00000000" w:rsidP="00000000" w:rsidRDefault="00000000" w:rsidRPr="00000000" w14:paraId="00000105">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May include identification of potential sources for this information. </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management options for consideration by Steering Committee (see Technical Element E)</w:t>
      </w:r>
    </w:p>
    <w:p w:rsidR="00000000" w:rsidDel="00000000" w:rsidP="00000000" w:rsidRDefault="00000000" w:rsidRPr="00000000" w14:paraId="0000010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09">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Summarise proposed risk management options, especially any priorities.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communication options for consideration by Steering Committee (see Technical Element E)</w:t>
      </w:r>
    </w:p>
    <w:p w:rsidR="00000000" w:rsidDel="00000000" w:rsidP="00000000" w:rsidRDefault="00000000" w:rsidRPr="00000000" w14:paraId="0000010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  </w:t>
      </w:r>
    </w:p>
    <w:p w:rsidR="00000000" w:rsidDel="00000000" w:rsidP="00000000" w:rsidRDefault="00000000" w:rsidRPr="00000000" w14:paraId="0000010D">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Summarise proposed risk communication options, especially any priorities.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Any other issues for the record</w:t>
      </w:r>
    </w:p>
    <w:p w:rsidR="00000000" w:rsidDel="00000000" w:rsidP="00000000" w:rsidRDefault="00000000" w:rsidRPr="00000000" w14:paraId="0000011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11">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significant sources of conflict or lack of agreement among experts. </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Recommended next steps </w:t>
      </w:r>
    </w:p>
    <w:p w:rsidR="00000000" w:rsidDel="00000000" w:rsidP="00000000" w:rsidRDefault="00000000" w:rsidRPr="00000000" w14:paraId="0000011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15">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Summarise steps to collect priority data as identified in this JRA Report Template Section 10 above, including potentially conducting sector-specific risk assessments.</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Proposed interval until next joint risk assessment for this event</w:t>
      </w:r>
    </w:p>
    <w:p w:rsidR="00000000" w:rsidDel="00000000" w:rsidP="00000000" w:rsidRDefault="00000000" w:rsidRPr="00000000" w14:paraId="0000011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19">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Proposed interval until the next iteration or the trigger for the next iteration based on urgency or other factors (e.g. data collection).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1"/>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Attachments:</w:t>
      </w:r>
    </w:p>
    <w:p w:rsidR="00000000" w:rsidDel="00000000" w:rsidP="00000000" w:rsidRDefault="00000000" w:rsidRPr="00000000" w14:paraId="0000011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Notes/Instructions: </w:t>
      </w:r>
    </w:p>
    <w:p w:rsidR="00000000" w:rsidDel="00000000" w:rsidP="00000000" w:rsidRDefault="00000000" w:rsidRPr="00000000" w14:paraId="0000011D">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Options to include supporting documents as needed: </w:t>
      </w:r>
    </w:p>
    <w:p w:rsidR="00000000" w:rsidDel="00000000" w:rsidP="00000000" w:rsidRDefault="00000000" w:rsidRPr="00000000" w14:paraId="0000011E">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Data/Information used;</w:t>
      </w:r>
    </w:p>
    <w:p w:rsidR="00000000" w:rsidDel="00000000" w:rsidP="00000000" w:rsidRDefault="00000000" w:rsidRPr="00000000" w14:paraId="0000011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Risk pathway diagram(s);</w:t>
      </w:r>
    </w:p>
    <w:p w:rsidR="00000000" w:rsidDel="00000000" w:rsidP="00000000" w:rsidRDefault="00000000" w:rsidRPr="00000000" w14:paraId="0000012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Outcomes of sector-specific risk assessments.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12" w:type="default"/>
      <w:pgSz w:h="15840" w:w="12240" w:orient="portrait"/>
      <w:pgMar w:bottom="1418" w:top="1418" w:left="1418" w:right="141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84" w:hanging="284"/>
      </w:pPr>
      <w:rPr>
        <w:rFonts w:ascii="Arial" w:cs="Arial" w:eastAsia="Arial" w:hAnsi="Arial"/>
        <w:b w:val="0"/>
        <w:i w:val="0"/>
        <w:smallCaps w:val="0"/>
        <w:strike w:val="0"/>
        <w:shd w:fill="auto" w:val="clear"/>
        <w:vertAlign w:val="baseline"/>
      </w:rPr>
    </w:lvl>
    <w:lvl w:ilvl="1">
      <w:start w:val="1"/>
      <w:numFmt w:val="bullet"/>
      <w:lvlText w:val="o"/>
      <w:lvlJc w:val="left"/>
      <w:pPr>
        <w:ind w:left="1004" w:hanging="284"/>
      </w:pPr>
      <w:rPr>
        <w:rFonts w:ascii="Arial" w:cs="Arial" w:eastAsia="Arial" w:hAnsi="Arial"/>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hd w:fill="auto" w:val="clear"/>
        <w:vertAlign w:val="baseline"/>
      </w:rPr>
    </w:lvl>
    <w:lvl w:ilvl="4">
      <w:start w:val="1"/>
      <w:numFmt w:val="bullet"/>
      <w:lvlText w:val="□"/>
      <w:lvlJc w:val="left"/>
      <w:pPr>
        <w:ind w:left="3600"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hd w:fill="auto" w:val="clear"/>
        <w:vertAlign w:val="baseline"/>
      </w:rPr>
    </w:lvl>
    <w:lvl w:ilvl="7">
      <w:start w:val="1"/>
      <w:numFmt w:val="bullet"/>
      <w:lvlText w:val="□"/>
      <w:lvlJc w:val="left"/>
      <w:pPr>
        <w:ind w:left="5760"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720" w:hanging="360"/>
      </w:pPr>
      <w:rPr>
        <w:rFonts w:ascii="Courier New" w:cs="Courier New" w:eastAsia="Courier New" w:hAnsi="Courier New"/>
        <w:b w:val="0"/>
        <w:i w:val="0"/>
        <w:smallCaps w:val="0"/>
        <w:strike w:val="0"/>
        <w:shd w:fill="auto" w:val="clear"/>
        <w:vertAlign w:val="baseline"/>
      </w:rPr>
    </w:lvl>
    <w:lvl w:ilvl="1">
      <w:start w:val="1"/>
      <w:numFmt w:val="bullet"/>
      <w:lvlText w:val="-"/>
      <w:lvlJc w:val="left"/>
      <w:pPr>
        <w:ind w:left="1418" w:hanging="284"/>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2138" w:hanging="284"/>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2858" w:hanging="283.99999999999955"/>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578" w:hanging="283.99999999999955"/>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4298" w:hanging="283.99999999999955"/>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5018" w:hanging="284"/>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738" w:hanging="284"/>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6458" w:hanging="284"/>
      </w:pPr>
      <w:rPr>
        <w:rFonts w:ascii="Courier New" w:cs="Courier New" w:eastAsia="Courier New" w:hAnsi="Courier New"/>
        <w:b w:val="0"/>
        <w:i w:val="0"/>
        <w:smallCaps w:val="0"/>
        <w:strike w:val="0"/>
        <w:shd w:fill="auto" w:val="clear"/>
        <w:vertAlign w:val="baseline"/>
      </w:rPr>
    </w:lvl>
  </w:abstractNum>
  <w:abstractNum w:abstractNumId="3">
    <w:lvl w:ilvl="0">
      <w:start w:val="1"/>
      <w:numFmt w:val="decimal"/>
      <w:lvlText w:val="%1."/>
      <w:lvlJc w:val="left"/>
      <w:pPr>
        <w:ind w:left="54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abstractNum w:abstractNumId="4">
    <w:lvl w:ilvl="0">
      <w:start w:val="1"/>
      <w:numFmt w:val="bullet"/>
      <w:lvlText w:val="●"/>
      <w:lvlJc w:val="left"/>
      <w:pPr>
        <w:ind w:left="1418" w:firstLine="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shd w:fill="auto" w:val="clear"/>
        <w:vertAlign w:val="baseline"/>
      </w:rPr>
    </w:lvl>
    <w:lvl w:ilvl="2">
      <w:start w:val="1"/>
      <w:numFmt w:val="bullet"/>
      <w:lvlText w:val="▪"/>
      <w:lvlJc w:val="left"/>
      <w:pPr>
        <w:ind w:left="2880" w:hanging="360"/>
      </w:pPr>
      <w:rPr>
        <w:rFonts w:ascii="Arimo" w:cs="Arimo" w:eastAsia="Arimo" w:hAnsi="Arimo"/>
        <w:b w:val="0"/>
        <w:i w:val="0"/>
        <w:smallCaps w:val="0"/>
        <w:strike w:val="0"/>
        <w:shd w:fill="auto" w:val="clear"/>
        <w:vertAlign w:val="baseline"/>
      </w:rPr>
    </w:lvl>
    <w:lvl w:ilvl="3">
      <w:start w:val="1"/>
      <w:numFmt w:val="bullet"/>
      <w:lvlText w:val="•"/>
      <w:lvlJc w:val="left"/>
      <w:pPr>
        <w:ind w:left="3600" w:hanging="360"/>
      </w:pPr>
      <w:rPr>
        <w:rFonts w:ascii="Arimo" w:cs="Arimo" w:eastAsia="Arimo" w:hAnsi="Arimo"/>
        <w:b w:val="0"/>
        <w:i w:val="0"/>
        <w:smallCaps w:val="0"/>
        <w:strike w:val="0"/>
        <w:shd w:fill="auto" w:val="clear"/>
        <w:vertAlign w:val="baseline"/>
      </w:rPr>
    </w:lvl>
    <w:lvl w:ilvl="4">
      <w:start w:val="1"/>
      <w:numFmt w:val="bullet"/>
      <w:lvlText w:val="□"/>
      <w:lvlJc w:val="left"/>
      <w:pPr>
        <w:ind w:left="4320"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5040" w:hanging="360"/>
      </w:pPr>
      <w:rPr>
        <w:rFonts w:ascii="Arimo" w:cs="Arimo" w:eastAsia="Arimo" w:hAnsi="Arimo"/>
        <w:b w:val="0"/>
        <w:i w:val="0"/>
        <w:smallCaps w:val="0"/>
        <w:strike w:val="0"/>
        <w:shd w:fill="auto" w:val="clear"/>
        <w:vertAlign w:val="baseline"/>
      </w:rPr>
    </w:lvl>
    <w:lvl w:ilvl="6">
      <w:start w:val="1"/>
      <w:numFmt w:val="bullet"/>
      <w:lvlText w:val="•"/>
      <w:lvlJc w:val="left"/>
      <w:pPr>
        <w:ind w:left="5760" w:hanging="360"/>
      </w:pPr>
      <w:rPr>
        <w:rFonts w:ascii="Arimo" w:cs="Arimo" w:eastAsia="Arimo" w:hAnsi="Arimo"/>
        <w:b w:val="0"/>
        <w:i w:val="0"/>
        <w:smallCaps w:val="0"/>
        <w:strike w:val="0"/>
        <w:shd w:fill="auto" w:val="clear"/>
        <w:vertAlign w:val="baseline"/>
      </w:rPr>
    </w:lvl>
    <w:lvl w:ilvl="7">
      <w:start w:val="1"/>
      <w:numFmt w:val="bullet"/>
      <w:lvlText w:val="□"/>
      <w:lvlJc w:val="left"/>
      <w:pPr>
        <w:ind w:left="6480"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7200" w:hanging="360"/>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720" w:hanging="360"/>
      </w:pPr>
      <w:rPr>
        <w:rFonts w:ascii="Courier New" w:cs="Courier New" w:eastAsia="Courier New" w:hAnsi="Courier New"/>
        <w:b w:val="0"/>
        <w:i w:val="0"/>
        <w:smallCaps w:val="0"/>
        <w:strike w:val="0"/>
        <w:shd w:fill="auto" w:val="clear"/>
        <w:vertAlign w:val="baseline"/>
      </w:rPr>
    </w:lvl>
    <w:lvl w:ilvl="1">
      <w:start w:val="1"/>
      <w:numFmt w:val="bullet"/>
      <w:lvlText w:val="-"/>
      <w:lvlJc w:val="left"/>
      <w:pPr>
        <w:ind w:left="1440" w:hanging="360"/>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i w:val="0"/>
        <w:smallCaps w:val="0"/>
        <w:strike w:val="0"/>
        <w:shd w:fill="auto" w:val="clear"/>
        <w:vertAlign w:val="baseline"/>
      </w:rPr>
    </w:lvl>
  </w:abstractNum>
  <w:abstractNum w:abstractNumId="6">
    <w:lvl w:ilvl="0">
      <w:start w:val="1"/>
      <w:numFmt w:val="bullet"/>
      <w:lvlText w:val="-"/>
      <w:lvlJc w:val="left"/>
      <w:pPr>
        <w:ind w:left="720" w:hanging="360"/>
      </w:pPr>
      <w:rPr>
        <w:rFonts w:ascii="Courier New" w:cs="Courier New" w:eastAsia="Courier New" w:hAnsi="Courier New"/>
        <w:b w:val="0"/>
        <w:i w:val="0"/>
        <w:smallCaps w:val="0"/>
        <w:strike w:val="0"/>
        <w:shd w:fill="auto" w:val="clear"/>
        <w:vertAlign w:val="baseline"/>
      </w:rPr>
    </w:lvl>
    <w:lvl w:ilvl="1">
      <w:start w:val="1"/>
      <w:numFmt w:val="bullet"/>
      <w:lvlText w:val="-"/>
      <w:lvlJc w:val="left"/>
      <w:pPr>
        <w:ind w:left="3544" w:hanging="284"/>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4264" w:hanging="284"/>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4984" w:hanging="284"/>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5704" w:hanging="284"/>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6424" w:hanging="284"/>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7144" w:hanging="284"/>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7864" w:hanging="284"/>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8584" w:hanging="284"/>
      </w:pPr>
      <w:rPr>
        <w:rFonts w:ascii="Courier New" w:cs="Courier New" w:eastAsia="Courier New" w:hAnsi="Courier New"/>
        <w:b w:val="0"/>
        <w:i w:val="0"/>
        <w:smallCaps w:val="0"/>
        <w:strike w:val="0"/>
        <w:shd w:fill="auto" w:val="clear"/>
        <w:vertAlign w:val="baseline"/>
      </w:rPr>
    </w:lvl>
  </w:abstractNum>
  <w:abstractNum w:abstractNumId="7">
    <w:lvl w:ilvl="0">
      <w:start w:val="1"/>
      <w:numFmt w:val="bullet"/>
      <w:lvlText w:val="-"/>
      <w:lvlJc w:val="left"/>
      <w:pPr>
        <w:ind w:left="720" w:hanging="360"/>
      </w:pPr>
      <w:rPr>
        <w:rFonts w:ascii="Courier New" w:cs="Courier New" w:eastAsia="Courier New" w:hAnsi="Courier New"/>
        <w:b w:val="0"/>
        <w:i w:val="0"/>
        <w:smallCaps w:val="0"/>
        <w:strike w:val="0"/>
        <w:shd w:fill="auto" w:val="clear"/>
        <w:vertAlign w:val="baseline"/>
      </w:rPr>
    </w:lvl>
    <w:lvl w:ilvl="1">
      <w:start w:val="1"/>
      <w:numFmt w:val="bullet"/>
      <w:lvlText w:val="-"/>
      <w:lvlJc w:val="left"/>
      <w:pPr>
        <w:ind w:left="2138" w:hanging="360"/>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2858" w:hanging="360"/>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3578"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4298" w:hanging="360"/>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5018" w:hanging="360"/>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5738"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6458" w:hanging="360"/>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7178" w:hanging="360"/>
      </w:pPr>
      <w:rPr>
        <w:rFonts w:ascii="Courier New" w:cs="Courier New" w:eastAsia="Courier New" w:hAnsi="Courier New"/>
        <w:b w:val="0"/>
        <w:i w:val="0"/>
        <w:smallCaps w:val="0"/>
        <w:strike w:val="0"/>
        <w:shd w:fill="auto" w:val="clear"/>
        <w:vertAlign w:val="baseline"/>
      </w:rPr>
    </w:lvl>
  </w:abstractNum>
  <w:abstractNum w:abstractNumId="8">
    <w:lvl w:ilvl="0">
      <w:start w:val="2"/>
      <w:numFmt w:val="decimal"/>
      <w:lvlText w:val="%1."/>
      <w:lvlJc w:val="left"/>
      <w:pPr>
        <w:ind w:left="54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abstractNum w:abstractNumId="9">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abstractNum w:abstractNumId="10">
    <w:lvl w:ilvl="0">
      <w:start w:val="4"/>
      <w:numFmt w:val="decimal"/>
      <w:lvlText w:val="%1."/>
      <w:lvlJc w:val="left"/>
      <w:pPr>
        <w:ind w:left="54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abstractNum w:abstractNumId="11">
    <w:lvl w:ilvl="0">
      <w:start w:val="3"/>
      <w:numFmt w:val="decimal"/>
      <w:lvlText w:val="%1."/>
      <w:lvlJc w:val="left"/>
      <w:pPr>
        <w:ind w:left="54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abstractNum w:abstractNumId="12">
    <w:lvl w:ilvl="0">
      <w:start w:val="1"/>
      <w:numFmt w:val="bullet"/>
      <w:lvlText w:val="-"/>
      <w:lvlJc w:val="left"/>
      <w:pPr>
        <w:ind w:left="360" w:hanging="360"/>
      </w:pPr>
      <w:rPr>
        <w:i w:val="1"/>
        <w:smallCaps w:val="0"/>
        <w:strike w:val="0"/>
        <w:shd w:fill="auto" w:val="clear"/>
        <w:vertAlign w:val="baseline"/>
      </w:rPr>
    </w:lvl>
    <w:lvl w:ilvl="1">
      <w:start w:val="1"/>
      <w:numFmt w:val="bullet"/>
      <w:lvlText w:val="-"/>
      <w:lvlJc w:val="left"/>
      <w:pPr>
        <w:ind w:left="1440" w:hanging="360"/>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2520" w:hanging="360"/>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3600" w:hanging="360"/>
      </w:pPr>
      <w:rPr>
        <w:rFonts w:ascii="Courier New" w:cs="Courier New" w:eastAsia="Courier New" w:hAnsi="Courier New"/>
        <w:b w:val="0"/>
        <w:i w:val="0"/>
        <w:smallCaps w:val="0"/>
        <w:strike w:val="0"/>
        <w:shd w:fill="auto" w:val="clear"/>
        <w:vertAlign w:val="baseline"/>
      </w:rPr>
    </w:lvl>
    <w:lvl w:ilvl="4">
      <w:start w:val="1"/>
      <w:numFmt w:val="bullet"/>
      <w:lvlText w:val="-"/>
      <w:lvlJc w:val="left"/>
      <w:pPr>
        <w:ind w:left="4680" w:hanging="360"/>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5760" w:hanging="360"/>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6840" w:hanging="360"/>
      </w:pPr>
      <w:rPr>
        <w:rFonts w:ascii="Courier New" w:cs="Courier New" w:eastAsia="Courier New" w:hAnsi="Courier New"/>
        <w:b w:val="0"/>
        <w:i w:val="0"/>
        <w:smallCaps w:val="0"/>
        <w:strike w:val="0"/>
        <w:shd w:fill="auto" w:val="clear"/>
        <w:vertAlign w:val="baseline"/>
      </w:rPr>
    </w:lvl>
    <w:lvl w:ilvl="7">
      <w:start w:val="1"/>
      <w:numFmt w:val="bullet"/>
      <w:lvlText w:val="-"/>
      <w:lvlJc w:val="left"/>
      <w:pPr>
        <w:ind w:left="7920" w:hanging="360"/>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9000" w:hanging="360"/>
      </w:pPr>
      <w:rPr>
        <w:rFonts w:ascii="Courier New" w:cs="Courier New" w:eastAsia="Courier New" w:hAnsi="Courier New"/>
        <w:b w:val="0"/>
        <w:i w:val="0"/>
        <w:smallCaps w:val="0"/>
        <w:strike w:val="0"/>
        <w:shd w:fill="auto" w:val="clear"/>
        <w:vertAlign w:val="baseline"/>
      </w:rPr>
    </w:lvl>
  </w:abstractNum>
  <w:abstractNum w:abstractNumId="13">
    <w:lvl w:ilvl="0">
      <w:start w:val="5"/>
      <w:numFmt w:val="decimal"/>
      <w:lvlText w:val="%1."/>
      <w:lvlJc w:val="left"/>
      <w:pPr>
        <w:ind w:left="540" w:hanging="360"/>
      </w:pPr>
      <w:rPr>
        <w:b w:val="1"/>
        <w:smallCaps w:val="0"/>
        <w:strike w:val="0"/>
        <w:shd w:fill="auto" w:val="clear"/>
        <w:vertAlign w:val="baseline"/>
      </w:rPr>
    </w:lvl>
    <w:lvl w:ilvl="1">
      <w:start w:val="1"/>
      <w:numFmt w:val="decimal"/>
      <w:lvlText w:val="%2."/>
      <w:lvlJc w:val="left"/>
      <w:pPr>
        <w:ind w:left="1260" w:hanging="330"/>
      </w:pPr>
      <w:rPr>
        <w:b w:val="1"/>
        <w:smallCaps w:val="0"/>
        <w:strike w:val="0"/>
        <w:shd w:fill="auto" w:val="clear"/>
        <w:vertAlign w:val="baseline"/>
      </w:rPr>
    </w:lvl>
    <w:lvl w:ilvl="2">
      <w:start w:val="1"/>
      <w:numFmt w:val="lowerRoman"/>
      <w:lvlText w:val="%3."/>
      <w:lvlJc w:val="left"/>
      <w:pPr>
        <w:ind w:left="2160" w:hanging="30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30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300"/>
      </w:pPr>
      <w:rPr>
        <w:b w:val="1"/>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Helvetica Neue" w:cs="Helvetica Neue" w:eastAsia="Helvetica Neue" w:hAnsi="Helvetica Neue"/>
      <w:color w:val="2e75b5"/>
      <w:sz w:val="32"/>
      <w:szCs w:val="32"/>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0"/>
      <w:i w:val="1"/>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rPr>
      <w:sz w:val="24"/>
      <w:szCs w:val="24"/>
    </w:rPr>
  </w:style>
  <w:style w:type="paragraph" w:styleId="Heading1">
    <w:name w:val="heading 1"/>
    <w:basedOn w:val="Normal"/>
    <w:next w:val="Normal"/>
    <w:link w:val="Heading1Char"/>
    <w:uiPriority w:val="9"/>
    <w:qFormat w:val="1"/>
    <w:rsid w:val="00A74E30"/>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next w:val="Body"/>
    <w:link w:val="Heading2Char"/>
    <w:pPr>
      <w:keepNext w:val="1"/>
      <w:spacing w:after="60" w:before="240"/>
      <w:outlineLvl w:val="1"/>
    </w:pPr>
    <w:rPr>
      <w:rFonts w:cs="Arial Unicode MS"/>
      <w:b w:val="1"/>
      <w:bCs w:val="1"/>
      <w:color w:val="000000"/>
      <w:sz w:val="24"/>
      <w:szCs w:val="24"/>
      <w:u w:color="000000"/>
    </w:rPr>
  </w:style>
  <w:style w:type="paragraph" w:styleId="Heading3">
    <w:name w:val="heading 3"/>
    <w:next w:val="Body"/>
    <w:pPr>
      <w:keepNext w:val="1"/>
      <w:spacing w:after="60" w:before="240"/>
      <w:outlineLvl w:val="2"/>
    </w:pPr>
    <w:rPr>
      <w:rFonts w:eastAsia="Times New Roman"/>
      <w:i w:val="1"/>
      <w:iCs w:val="1"/>
      <w:color w:val="000000"/>
      <w:sz w:val="24"/>
      <w:szCs w:val="24"/>
      <w:u w:color="0000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rPr>
      <w:u w:val="single"/>
    </w:rPr>
  </w:style>
  <w:style w:type="paragraph" w:styleId="HeaderFooter" w:customStyle="1">
    <w:name w:val="Header &amp; Footer"/>
    <w:pPr>
      <w:tabs>
        <w:tab w:val="right" w:pos="9020"/>
      </w:tabs>
    </w:pPr>
    <w:rPr>
      <w:rFonts w:ascii="Helvetica Neue" w:cs="Arial Unicode MS" w:hAnsi="Helvetica Neue"/>
      <w:color w:val="000000"/>
      <w:sz w:val="24"/>
      <w:szCs w:val="24"/>
    </w:rPr>
  </w:style>
  <w:style w:type="paragraph" w:styleId="Footer">
    <w:name w:val="footer"/>
    <w:pPr>
      <w:tabs>
        <w:tab w:val="center" w:pos="4513"/>
        <w:tab w:val="right" w:pos="9026"/>
      </w:tabs>
    </w:pPr>
    <w:rPr>
      <w:rFonts w:cs="Arial Unicode MS"/>
      <w:color w:val="000000"/>
      <w:sz w:val="24"/>
      <w:szCs w:val="24"/>
      <w:u w:color="000000"/>
    </w:rPr>
  </w:style>
  <w:style w:type="paragraph" w:styleId="Header">
    <w:name w:val="header"/>
    <w:pPr>
      <w:tabs>
        <w:tab w:val="center" w:pos="4513"/>
        <w:tab w:val="right" w:pos="9026"/>
      </w:tabs>
    </w:pPr>
    <w:rPr>
      <w:rFonts w:eastAsia="Times New Roman"/>
      <w:color w:val="000000"/>
      <w:sz w:val="24"/>
      <w:szCs w:val="24"/>
      <w:u w:color="000000"/>
    </w:rPr>
  </w:style>
  <w:style w:type="paragraph" w:styleId="Body" w:customStyle="1">
    <w:name w:val="Body"/>
    <w:link w:val="BodyChar"/>
    <w:rPr>
      <w:rFonts w:eastAsia="Times New Roman"/>
      <w:color w:val="000000"/>
      <w:sz w:val="24"/>
      <w:szCs w:val="24"/>
      <w:u w:color="000000"/>
    </w:rPr>
  </w:style>
  <w:style w:type="numbering" w:styleId="ImportedStyle2" w:customStyle="1">
    <w:name w:val="Imported Style 2"/>
    <w:pPr>
      <w:numPr>
        <w:numId w:val="1"/>
      </w:numPr>
    </w:pPr>
  </w:style>
  <w:style w:type="numbering" w:styleId="ImportedStyle3" w:customStyle="1">
    <w:name w:val="Imported Style 3"/>
    <w:pPr>
      <w:numPr>
        <w:numId w:val="3"/>
      </w:numPr>
    </w:pPr>
  </w:style>
  <w:style w:type="numbering" w:styleId="ImportedStyle4" w:customStyle="1">
    <w:name w:val="Imported Style 4"/>
    <w:pPr>
      <w:numPr>
        <w:numId w:val="6"/>
      </w:numPr>
    </w:pPr>
  </w:style>
  <w:style w:type="paragraph" w:styleId="ListParagraph">
    <w:name w:val="List Paragraph"/>
    <w:rPr>
      <w:rFonts w:cs="Arial Unicode MS"/>
      <w:color w:val="000000"/>
      <w:sz w:val="24"/>
      <w:szCs w:val="24"/>
      <w:u w:color="000000"/>
    </w:rPr>
  </w:style>
  <w:style w:type="numbering" w:styleId="ImportedStyle6" w:customStyle="1">
    <w:name w:val="Imported Style 6"/>
    <w:pPr>
      <w:numPr>
        <w:numId w:val="9"/>
      </w:numPr>
    </w:pPr>
  </w:style>
  <w:style w:type="numbering" w:styleId="ImportedStyle7" w:customStyle="1">
    <w:name w:val="Imported Style 7"/>
    <w:pPr>
      <w:numPr>
        <w:numId w:val="11"/>
      </w:numPr>
    </w:pPr>
  </w:style>
  <w:style w:type="numbering" w:styleId="ImportedStyle8" w:customStyle="1">
    <w:name w:val="Imported Style 8"/>
    <w:pPr>
      <w:numPr>
        <w:numId w:val="13"/>
      </w:numPr>
    </w:pPr>
  </w:style>
  <w:style w:type="numbering" w:styleId="ImportedStyle9" w:customStyle="1">
    <w:name w:val="Imported Style 9"/>
    <w:pPr>
      <w:numPr>
        <w:numId w:val="16"/>
      </w:numPr>
    </w:pPr>
  </w:style>
  <w:style w:type="numbering" w:styleId="ImportedStyle10" w:customStyle="1">
    <w:name w:val="Imported Style 10"/>
    <w:pPr>
      <w:numPr>
        <w:numId w:val="19"/>
      </w:numPr>
    </w:pPr>
  </w:style>
  <w:style w:type="paragraph" w:styleId="Heading" w:customStyle="1">
    <w:name w:val="Heading"/>
    <w:pPr>
      <w:spacing w:after="100" w:before="100"/>
      <w:outlineLvl w:val="0"/>
    </w:pPr>
    <w:rPr>
      <w:rFonts w:cs="Arial Unicode MS"/>
      <w:b w:val="1"/>
      <w:bCs w:val="1"/>
      <w:color w:val="000000"/>
      <w:kern w:val="36"/>
      <w:sz w:val="24"/>
      <w:szCs w:val="24"/>
      <w:u w:color="000000"/>
    </w:rPr>
  </w:style>
  <w:style w:type="paragraph" w:styleId="Default" w:customStyle="1">
    <w:name w:val="Default"/>
    <w:rPr>
      <w:rFonts w:ascii="Calibri" w:cs="Calibri" w:eastAsia="Calibri" w:hAnsi="Calibri"/>
      <w:color w:val="000000"/>
      <w:sz w:val="24"/>
      <w:szCs w:val="24"/>
      <w:u w:color="000000"/>
    </w:rPr>
  </w:style>
  <w:style w:type="paragraph" w:styleId="FootnoteText">
    <w:name w:val="footnote text"/>
    <w:rPr>
      <w:rFonts w:eastAsia="Times New Roman"/>
      <w:color w:val="000000"/>
      <w:u w:color="000000"/>
    </w:rPr>
  </w:style>
  <w:style w:type="numbering" w:styleId="ImportedStyle11" w:customStyle="1">
    <w:name w:val="Imported Style 11"/>
    <w:pPr>
      <w:numPr>
        <w:numId w:val="21"/>
      </w:numPr>
    </w:pPr>
  </w:style>
  <w:style w:type="numbering" w:styleId="ImportedStyle12" w:customStyle="1">
    <w:name w:val="Imported Style 12"/>
    <w:pPr>
      <w:numPr>
        <w:numId w:val="23"/>
      </w:numPr>
    </w:pPr>
  </w:style>
  <w:style w:type="numbering" w:styleId="ImportedStyle13" w:customStyle="1">
    <w:name w:val="Imported Style 13"/>
    <w:pPr>
      <w:numPr>
        <w:numId w:val="25"/>
      </w:numPr>
    </w:pPr>
  </w:style>
  <w:style w:type="paragraph" w:styleId="NormalWeb">
    <w:name w:val="Normal (Web)"/>
    <w:pPr>
      <w:spacing w:after="100" w:before="100"/>
    </w:pPr>
    <w:rPr>
      <w:rFonts w:cs="Arial Unicode MS"/>
      <w:color w:val="000000"/>
      <w:sz w:val="24"/>
      <w:szCs w:val="24"/>
      <w:u w:color="000000"/>
    </w:rPr>
  </w:style>
  <w:style w:type="paragraph" w:styleId="CommentText">
    <w:name w:val="annotation text"/>
    <w:link w:val="CommentTextChar"/>
    <w:rPr>
      <w:rFonts w:cs="Arial Unicode MS"/>
      <w:color w:val="000000"/>
      <w:u w:color="000000"/>
    </w:rPr>
  </w:style>
  <w:style w:type="numbering" w:styleId="ImportedStyle16" w:customStyle="1">
    <w:name w:val="Imported Style 16"/>
    <w:pPr>
      <w:numPr>
        <w:numId w:val="29"/>
      </w:numPr>
    </w:pPr>
  </w:style>
  <w:style w:type="numbering" w:styleId="ImportedStyle17" w:customStyle="1">
    <w:name w:val="Imported Style 17"/>
    <w:pPr>
      <w:numPr>
        <w:numId w:val="31"/>
      </w:numPr>
    </w:pPr>
  </w:style>
  <w:style w:type="numbering" w:styleId="ImportedStyle19" w:customStyle="1">
    <w:name w:val="Imported Style 19"/>
    <w:pPr>
      <w:numPr>
        <w:numId w:val="35"/>
      </w:numPr>
    </w:pPr>
  </w:style>
  <w:style w:type="numbering" w:styleId="ImportedStyle20" w:customStyle="1">
    <w:name w:val="Imported Style 20"/>
    <w:pPr>
      <w:numPr>
        <w:numId w:val="37"/>
      </w:numPr>
    </w:pPr>
  </w:style>
  <w:style w:type="paragraph" w:styleId="ColorfulList-Accent12" w:customStyle="1">
    <w:name w:val="Colorful List - Accent 12"/>
    <w:pPr>
      <w:ind w:left="720"/>
    </w:pPr>
    <w:rPr>
      <w:rFonts w:ascii="Cambria" w:cs="Cambria" w:eastAsia="Cambria" w:hAnsi="Cambria"/>
      <w:color w:val="000000"/>
      <w:sz w:val="24"/>
      <w:szCs w:val="24"/>
      <w:u w:color="000000"/>
    </w:rPr>
  </w:style>
  <w:style w:type="numbering" w:styleId="ImportedStyle23" w:customStyle="1">
    <w:name w:val="Imported Style 23"/>
    <w:pPr>
      <w:numPr>
        <w:numId w:val="42"/>
      </w:numPr>
    </w:pPr>
  </w:style>
  <w:style w:type="numbering" w:styleId="ImportedStyle24" w:customStyle="1">
    <w:name w:val="Imported Style 24"/>
    <w:pPr>
      <w:numPr>
        <w:numId w:val="44"/>
      </w:numPr>
    </w:pPr>
  </w:style>
  <w:style w:type="numbering" w:styleId="ImportedStyle25" w:customStyle="1">
    <w:name w:val="Imported Style 25"/>
    <w:pPr>
      <w:numPr>
        <w:numId w:val="46"/>
      </w:numPr>
    </w:pPr>
  </w:style>
  <w:style w:type="numbering" w:styleId="ImportedStyle26" w:customStyle="1">
    <w:name w:val="Imported Style 26"/>
    <w:pPr>
      <w:numPr>
        <w:numId w:val="48"/>
      </w:numPr>
    </w:pPr>
  </w:style>
  <w:style w:type="numbering" w:styleId="ImportedStyle27" w:customStyle="1">
    <w:name w:val="Imported Style 27"/>
    <w:pPr>
      <w:numPr>
        <w:numId w:val="50"/>
      </w:numPr>
    </w:pPr>
  </w:style>
  <w:style w:type="numbering" w:styleId="ImportedStyle29" w:customStyle="1">
    <w:name w:val="Imported Style 29"/>
    <w:pPr>
      <w:numPr>
        <w:numId w:val="53"/>
      </w:numPr>
    </w:pPr>
  </w:style>
  <w:style w:type="numbering" w:styleId="ImportedStyle30" w:customStyle="1">
    <w:name w:val="Imported Style 30"/>
    <w:pPr>
      <w:numPr>
        <w:numId w:val="55"/>
      </w:numPr>
    </w:pPr>
  </w:style>
  <w:style w:type="numbering" w:styleId="ImportedStyle31" w:customStyle="1">
    <w:name w:val="Imported Style 31"/>
    <w:pPr>
      <w:numPr>
        <w:numId w:val="57"/>
      </w:numPr>
    </w:pPr>
  </w:style>
  <w:style w:type="numbering" w:styleId="ImportedStyle32" w:customStyle="1">
    <w:name w:val="Imported Style 32"/>
    <w:pPr>
      <w:numPr>
        <w:numId w:val="59"/>
      </w:numPr>
    </w:pPr>
  </w:style>
  <w:style w:type="numbering" w:styleId="ImportedStyle36" w:customStyle="1">
    <w:name w:val="Imported Style 36"/>
    <w:pPr>
      <w:numPr>
        <w:numId w:val="67"/>
      </w:numPr>
    </w:pPr>
  </w:style>
  <w:style w:type="numbering" w:styleId="ImportedStyle37" w:customStyle="1">
    <w:name w:val="Imported Style 37"/>
    <w:pPr>
      <w:numPr>
        <w:numId w:val="69"/>
      </w:numPr>
    </w:pPr>
  </w:style>
  <w:style w:type="numbering" w:styleId="ImportedStyle38" w:customStyle="1">
    <w:name w:val="Imported Style 38"/>
    <w:pPr>
      <w:numPr>
        <w:numId w:val="71"/>
      </w:numPr>
    </w:pPr>
  </w:style>
  <w:style w:type="numbering" w:styleId="ImportedStyle39" w:customStyle="1">
    <w:name w:val="Imported Style 39"/>
    <w:pPr>
      <w:numPr>
        <w:numId w:val="73"/>
      </w:numPr>
    </w:pPr>
  </w:style>
  <w:style w:type="paragraph" w:styleId="LightGrid-Accent31" w:customStyle="1">
    <w:name w:val="Light Grid - Accent 31"/>
    <w:pPr>
      <w:spacing w:after="200" w:line="276" w:lineRule="auto"/>
      <w:ind w:left="720"/>
    </w:pPr>
    <w:rPr>
      <w:rFonts w:cs="Arial Unicode MS"/>
      <w:color w:val="000000"/>
      <w:sz w:val="24"/>
      <w:szCs w:val="24"/>
      <w:u w:color="000000"/>
    </w:rPr>
  </w:style>
  <w:style w:type="numbering" w:styleId="ImportedStyle18" w:customStyle="1">
    <w:name w:val="Imported Style 18"/>
    <w:pPr>
      <w:numPr>
        <w:numId w:val="75"/>
      </w:numPr>
    </w:pPr>
  </w:style>
  <w:style w:type="numbering" w:styleId="ImportedStyle40" w:customStyle="1">
    <w:name w:val="Imported Style 40"/>
    <w:pPr>
      <w:numPr>
        <w:numId w:val="79"/>
      </w:numPr>
    </w:pPr>
  </w:style>
  <w:style w:type="numbering" w:styleId="ImportedStyle41" w:customStyle="1">
    <w:name w:val="Imported Style 41"/>
    <w:pPr>
      <w:numPr>
        <w:numId w:val="84"/>
      </w:numPr>
    </w:pPr>
  </w:style>
  <w:style w:type="numbering" w:styleId="ImportedStyle42" w:customStyle="1">
    <w:name w:val="Imported Style 42"/>
    <w:pPr>
      <w:numPr>
        <w:numId w:val="87"/>
      </w:numPr>
    </w:pPr>
  </w:style>
  <w:style w:type="numbering" w:styleId="ImportedStyle43" w:customStyle="1">
    <w:name w:val="Imported Style 43"/>
    <w:pPr>
      <w:numPr>
        <w:numId w:val="90"/>
      </w:numPr>
    </w:pPr>
  </w:style>
  <w:style w:type="numbering" w:styleId="ImportedStyle21" w:customStyle="1">
    <w:name w:val="Imported Style 21"/>
    <w:pPr>
      <w:numPr>
        <w:numId w:val="92"/>
      </w:numPr>
    </w:pPr>
  </w:style>
  <w:style w:type="numbering" w:styleId="ImportedStyle44" w:customStyle="1">
    <w:name w:val="Imported Style 44"/>
    <w:pPr>
      <w:numPr>
        <w:numId w:val="95"/>
      </w:numPr>
    </w:pPr>
  </w:style>
  <w:style w:type="numbering" w:styleId="ImportedStyle22" w:customStyle="1">
    <w:name w:val="Imported Style 22"/>
    <w:pPr>
      <w:numPr>
        <w:numId w:val="97"/>
      </w:numPr>
    </w:pPr>
  </w:style>
  <w:style w:type="numbering" w:styleId="ImportedStyle45" w:customStyle="1">
    <w:name w:val="Imported Style 45"/>
    <w:pPr>
      <w:numPr>
        <w:numId w:val="100"/>
      </w:numPr>
    </w:pPr>
  </w:style>
  <w:style w:type="numbering" w:styleId="ImportedStyle46" w:customStyle="1">
    <w:name w:val="Imported Style 46"/>
    <w:pPr>
      <w:numPr>
        <w:numId w:val="103"/>
      </w:numPr>
    </w:pPr>
  </w:style>
  <w:style w:type="numbering" w:styleId="ImportedStyle47" w:customStyle="1">
    <w:name w:val="Imported Style 47"/>
    <w:pPr>
      <w:numPr>
        <w:numId w:val="105"/>
      </w:numPr>
    </w:pPr>
  </w:style>
  <w:style w:type="numbering" w:styleId="ImportedStyle48" w:customStyle="1">
    <w:name w:val="Imported Style 48"/>
    <w:pPr>
      <w:numPr>
        <w:numId w:val="107"/>
      </w:numPr>
    </w:pPr>
  </w:style>
  <w:style w:type="numbering" w:styleId="ImportedStyle49" w:customStyle="1">
    <w:name w:val="Imported Style 49"/>
    <w:pPr>
      <w:numPr>
        <w:numId w:val="116"/>
      </w:numPr>
    </w:pPr>
  </w:style>
  <w:style w:type="numbering" w:styleId="ImportedStyle470" w:customStyle="1">
    <w:name w:val="Imported Style 47.0"/>
    <w:pPr>
      <w:numPr>
        <w:numId w:val="123"/>
      </w:numPr>
    </w:pPr>
  </w:style>
  <w:style w:type="numbering" w:styleId="ImportedStyle50" w:customStyle="1">
    <w:name w:val="Imported Style 50"/>
    <w:pPr>
      <w:numPr>
        <w:numId w:val="126"/>
      </w:numPr>
    </w:pPr>
  </w:style>
  <w:style w:type="numbering" w:styleId="ImportedStyle51" w:customStyle="1">
    <w:name w:val="Imported Style 51"/>
    <w:pPr>
      <w:numPr>
        <w:numId w:val="128"/>
      </w:numPr>
    </w:pPr>
  </w:style>
  <w:style w:type="numbering" w:styleId="ImportedStyle52" w:customStyle="1">
    <w:name w:val="Imported Style 52"/>
    <w:pPr>
      <w:numPr>
        <w:numId w:val="130"/>
      </w:numPr>
    </w:pPr>
  </w:style>
  <w:style w:type="numbering" w:styleId="ImportedStyle53" w:customStyle="1">
    <w:name w:val="Imported Style 53"/>
    <w:pPr>
      <w:numPr>
        <w:numId w:val="132"/>
      </w:numPr>
    </w:pPr>
  </w:style>
  <w:style w:type="numbering" w:styleId="ImportedStyle54" w:customStyle="1">
    <w:name w:val="Imported Style 54"/>
    <w:pPr>
      <w:numPr>
        <w:numId w:val="134"/>
      </w:numPr>
    </w:pPr>
  </w:style>
  <w:style w:type="numbering" w:styleId="ImportedStyle55" w:customStyle="1">
    <w:name w:val="Imported Style 55"/>
    <w:pPr>
      <w:numPr>
        <w:numId w:val="136"/>
      </w:numPr>
    </w:pPr>
  </w:style>
  <w:style w:type="numbering" w:styleId="ImportedStyle56" w:customStyle="1">
    <w:name w:val="Imported Style 56"/>
    <w:pPr>
      <w:numPr>
        <w:numId w:val="138"/>
      </w:numPr>
    </w:p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A03D50"/>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03D50"/>
    <w:rPr>
      <w:rFonts w:ascii="Segoe UI" w:cs="Segoe UI" w:hAnsi="Segoe UI"/>
      <w:sz w:val="18"/>
      <w:szCs w:val="18"/>
    </w:rPr>
  </w:style>
  <w:style w:type="paragraph" w:styleId="CommentSubject">
    <w:name w:val="annotation subject"/>
    <w:basedOn w:val="CommentText"/>
    <w:next w:val="CommentText"/>
    <w:link w:val="CommentSubjectChar"/>
    <w:uiPriority w:val="99"/>
    <w:semiHidden w:val="1"/>
    <w:unhideWhenUsed w:val="1"/>
    <w:rsid w:val="00805CF3"/>
    <w:rPr>
      <w:rFonts w:cs="Times New Roman"/>
      <w:b w:val="1"/>
      <w:bCs w:val="1"/>
      <w:color w:val="auto"/>
    </w:rPr>
  </w:style>
  <w:style w:type="character" w:styleId="CommentTextChar" w:customStyle="1">
    <w:name w:val="Comment Text Char"/>
    <w:basedOn w:val="DefaultParagraphFont"/>
    <w:link w:val="CommentText"/>
    <w:rsid w:val="00805CF3"/>
    <w:rPr>
      <w:rFonts w:cs="Arial Unicode MS"/>
      <w:color w:val="000000"/>
      <w:u w:color="000000"/>
    </w:rPr>
  </w:style>
  <w:style w:type="character" w:styleId="CommentSubjectChar" w:customStyle="1">
    <w:name w:val="Comment Subject Char"/>
    <w:basedOn w:val="CommentTextChar"/>
    <w:link w:val="CommentSubject"/>
    <w:uiPriority w:val="99"/>
    <w:semiHidden w:val="1"/>
    <w:rsid w:val="00805CF3"/>
    <w:rPr>
      <w:rFonts w:cs="Arial Unicode MS"/>
      <w:b w:val="1"/>
      <w:bCs w:val="1"/>
      <w:color w:val="000000"/>
      <w:u w:color="000000"/>
    </w:rPr>
  </w:style>
  <w:style w:type="paragraph" w:styleId="Revision">
    <w:name w:val="Revision"/>
    <w:hidden w:val="1"/>
    <w:uiPriority w:val="99"/>
    <w:semiHidden w:val="1"/>
    <w:rsid w:val="00723AD2"/>
    <w:pPr>
      <w:pBdr>
        <w:top w:color="auto" w:space="0" w:sz="0" w:val="none"/>
        <w:left w:color="auto" w:space="0" w:sz="0" w:val="none"/>
        <w:bottom w:color="auto" w:space="0" w:sz="0" w:val="none"/>
        <w:right w:color="auto" w:space="0" w:sz="0" w:val="none"/>
        <w:between w:color="auto" w:space="0" w:sz="0" w:val="none"/>
        <w:bar w:color="auto" w:space="0" w:sz="0" w:val="none"/>
      </w:pBdr>
    </w:pPr>
    <w:rPr>
      <w:sz w:val="24"/>
      <w:szCs w:val="24"/>
    </w:rPr>
  </w:style>
  <w:style w:type="paragraph" w:styleId="EndnoteText">
    <w:name w:val="endnote text"/>
    <w:basedOn w:val="Normal"/>
    <w:link w:val="EndnoteTextChar"/>
    <w:uiPriority w:val="99"/>
    <w:semiHidden w:val="1"/>
    <w:unhideWhenUsed w:val="1"/>
    <w:rsid w:val="002422D2"/>
    <w:rPr>
      <w:sz w:val="20"/>
      <w:szCs w:val="20"/>
    </w:rPr>
  </w:style>
  <w:style w:type="character" w:styleId="EndnoteTextChar" w:customStyle="1">
    <w:name w:val="Endnote Text Char"/>
    <w:basedOn w:val="DefaultParagraphFont"/>
    <w:link w:val="EndnoteText"/>
    <w:uiPriority w:val="99"/>
    <w:semiHidden w:val="1"/>
    <w:rsid w:val="002422D2"/>
  </w:style>
  <w:style w:type="character" w:styleId="EndnoteReference">
    <w:name w:val="endnote reference"/>
    <w:basedOn w:val="DefaultParagraphFont"/>
    <w:uiPriority w:val="99"/>
    <w:semiHidden w:val="1"/>
    <w:unhideWhenUsed w:val="1"/>
    <w:rsid w:val="002422D2"/>
    <w:rPr>
      <w:vertAlign w:val="superscript"/>
    </w:rPr>
  </w:style>
  <w:style w:type="character" w:styleId="FootnoteReference">
    <w:name w:val="footnote reference"/>
    <w:basedOn w:val="DefaultParagraphFont"/>
    <w:uiPriority w:val="99"/>
    <w:semiHidden w:val="1"/>
    <w:unhideWhenUsed w:val="1"/>
    <w:rsid w:val="002422D2"/>
    <w:rPr>
      <w:vertAlign w:val="superscript"/>
    </w:rPr>
  </w:style>
  <w:style w:type="character" w:styleId="Heading1Char" w:customStyle="1">
    <w:name w:val="Heading 1 Char"/>
    <w:basedOn w:val="DefaultParagraphFont"/>
    <w:link w:val="Heading1"/>
    <w:uiPriority w:val="9"/>
    <w:rsid w:val="00A74E30"/>
    <w:rPr>
      <w:rFonts w:asciiTheme="majorHAnsi" w:cstheme="majorBidi" w:eastAsiaTheme="majorEastAsia" w:hAnsiTheme="majorHAnsi"/>
      <w:color w:val="2e74b5" w:themeColor="accent1" w:themeShade="0000BF"/>
      <w:sz w:val="32"/>
      <w:szCs w:val="32"/>
    </w:rPr>
  </w:style>
  <w:style w:type="paragraph" w:styleId="Head2" w:customStyle="1">
    <w:name w:val="Head 2"/>
    <w:basedOn w:val="Heading2"/>
    <w:link w:val="Head2Char"/>
    <w:qFormat w:val="1"/>
    <w:rsid w:val="00A74E30"/>
  </w:style>
  <w:style w:type="paragraph" w:styleId="NoSpacing">
    <w:name w:val="No Spacing"/>
    <w:uiPriority w:val="1"/>
    <w:qFormat w:val="1"/>
    <w:rsid w:val="00A74E30"/>
    <w:rPr>
      <w:sz w:val="24"/>
      <w:szCs w:val="24"/>
    </w:rPr>
  </w:style>
  <w:style w:type="character" w:styleId="Heading2Char" w:customStyle="1">
    <w:name w:val="Heading 2 Char"/>
    <w:basedOn w:val="DefaultParagraphFont"/>
    <w:link w:val="Heading2"/>
    <w:rsid w:val="00A74E30"/>
    <w:rPr>
      <w:rFonts w:cs="Arial Unicode MS"/>
      <w:b w:val="1"/>
      <w:bCs w:val="1"/>
      <w:color w:val="000000"/>
      <w:sz w:val="24"/>
      <w:szCs w:val="24"/>
      <w:u w:color="000000"/>
    </w:rPr>
  </w:style>
  <w:style w:type="character" w:styleId="Head2Char" w:customStyle="1">
    <w:name w:val="Head 2 Char"/>
    <w:basedOn w:val="Heading2Char"/>
    <w:link w:val="Head2"/>
    <w:rsid w:val="00A74E30"/>
    <w:rPr>
      <w:rFonts w:cs="Arial Unicode MS"/>
      <w:b w:val="1"/>
      <w:bCs w:val="1"/>
      <w:color w:val="000000"/>
      <w:sz w:val="24"/>
      <w:szCs w:val="24"/>
      <w:u w:color="000000"/>
    </w:rPr>
  </w:style>
  <w:style w:type="paragraph" w:styleId="Head3" w:customStyle="1">
    <w:name w:val="Head 3"/>
    <w:basedOn w:val="Body"/>
    <w:link w:val="Head3Char"/>
    <w:qFormat w:val="1"/>
    <w:rsid w:val="00E072DF"/>
    <w:pPr>
      <w:jc w:val="both"/>
    </w:pPr>
    <w:rPr>
      <w:b w:val="1"/>
      <w:bCs w:val="1"/>
    </w:rPr>
  </w:style>
  <w:style w:type="paragraph" w:styleId="TOCHeading">
    <w:name w:val="TOC Heading"/>
    <w:basedOn w:val="Heading1"/>
    <w:next w:val="Normal"/>
    <w:uiPriority w:val="39"/>
    <w:unhideWhenUsed w:val="1"/>
    <w:qFormat w:val="1"/>
    <w:rsid w:val="00F14DB8"/>
    <w:pPr>
      <w:pBdr>
        <w:top w:color="auto" w:space="0" w:sz="0" w:val="none"/>
        <w:left w:color="auto" w:space="0" w:sz="0" w:val="none"/>
        <w:bottom w:color="auto" w:space="0" w:sz="0" w:val="none"/>
        <w:right w:color="auto" w:space="0" w:sz="0" w:val="none"/>
        <w:between w:color="auto" w:space="0" w:sz="0" w:val="none"/>
        <w:bar w:color="auto" w:space="0" w:sz="0" w:val="none"/>
      </w:pBdr>
      <w:spacing w:line="259" w:lineRule="auto"/>
      <w:outlineLvl w:val="9"/>
    </w:pPr>
    <w:rPr>
      <w:bdr w:color="auto" w:space="0" w:sz="0" w:val="none"/>
    </w:rPr>
  </w:style>
  <w:style w:type="character" w:styleId="BodyChar" w:customStyle="1">
    <w:name w:val="Body Char"/>
    <w:basedOn w:val="DefaultParagraphFont"/>
    <w:link w:val="Body"/>
    <w:rsid w:val="00E072DF"/>
    <w:rPr>
      <w:rFonts w:eastAsia="Times New Roman"/>
      <w:color w:val="000000"/>
      <w:sz w:val="24"/>
      <w:szCs w:val="24"/>
      <w:u w:color="000000"/>
    </w:rPr>
  </w:style>
  <w:style w:type="character" w:styleId="Head3Char" w:customStyle="1">
    <w:name w:val="Head 3 Char"/>
    <w:basedOn w:val="BodyChar"/>
    <w:link w:val="Head3"/>
    <w:rsid w:val="00E072DF"/>
    <w:rPr>
      <w:rFonts w:eastAsia="Times New Roman"/>
      <w:b w:val="1"/>
      <w:bCs w:val="1"/>
      <w:color w:val="000000"/>
      <w:sz w:val="24"/>
      <w:szCs w:val="24"/>
      <w:u w:color="000000"/>
    </w:rPr>
  </w:style>
  <w:style w:type="paragraph" w:styleId="TOC1">
    <w:name w:val="toc 1"/>
    <w:basedOn w:val="Normal"/>
    <w:next w:val="Normal"/>
    <w:autoRedefine w:val="1"/>
    <w:uiPriority w:val="39"/>
    <w:unhideWhenUsed w:val="1"/>
    <w:rsid w:val="00F14DB8"/>
    <w:pPr>
      <w:spacing w:after="100"/>
    </w:pPr>
  </w:style>
  <w:style w:type="paragraph" w:styleId="TOC2">
    <w:name w:val="toc 2"/>
    <w:basedOn w:val="Normal"/>
    <w:next w:val="Normal"/>
    <w:autoRedefine w:val="1"/>
    <w:uiPriority w:val="39"/>
    <w:unhideWhenUsed w:val="1"/>
    <w:rsid w:val="00F14DB8"/>
    <w:pPr>
      <w:spacing w:after="100"/>
      <w:ind w:left="240"/>
    </w:pPr>
  </w:style>
  <w:style w:type="paragraph" w:styleId="TOC3">
    <w:name w:val="toc 3"/>
    <w:basedOn w:val="Normal"/>
    <w:next w:val="Normal"/>
    <w:autoRedefine w:val="1"/>
    <w:uiPriority w:val="39"/>
    <w:unhideWhenUsed w:val="1"/>
    <w:rsid w:val="00F14DB8"/>
    <w:pPr>
      <w:spacing w:after="100"/>
      <w:ind w:left="480"/>
    </w:pPr>
  </w:style>
  <w:style w:type="paragraph" w:styleId="TOC5">
    <w:name w:val="toc 5"/>
    <w:basedOn w:val="Normal"/>
    <w:next w:val="Normal"/>
    <w:autoRedefine w:val="1"/>
    <w:uiPriority w:val="39"/>
    <w:unhideWhenUsed w:val="1"/>
    <w:rsid w:val="00F14DB8"/>
    <w:pPr>
      <w:pBdr>
        <w:top w:color="auto" w:space="0" w:sz="0" w:val="none"/>
        <w:left w:color="auto" w:space="0" w:sz="0" w:val="none"/>
        <w:bottom w:color="auto" w:space="0" w:sz="0" w:val="none"/>
        <w:right w:color="auto" w:space="0" w:sz="0" w:val="none"/>
        <w:between w:color="auto" w:space="0" w:sz="0" w:val="none"/>
        <w:bar w:color="auto" w:space="0" w:sz="0" w:val="none"/>
      </w:pBdr>
      <w:spacing w:after="100" w:line="259" w:lineRule="auto"/>
      <w:ind w:left="880"/>
    </w:pPr>
    <w:rPr>
      <w:rFonts w:asciiTheme="minorHAnsi" w:cstheme="minorBidi" w:eastAsiaTheme="minorEastAsia" w:hAnsiTheme="minorHAnsi"/>
      <w:sz w:val="22"/>
      <w:szCs w:val="22"/>
      <w:bdr w:color="auto" w:space="0" w:sz="0" w:val="none"/>
      <w:lang w:eastAsia="en-GB"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2.png"/><Relationship Id="rId12" Type="http://schemas.openxmlformats.org/officeDocument/2006/relationships/footer" Target="footer1.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HelveticaNeue-italic.ttf"/><Relationship Id="rId10" Type="http://schemas.openxmlformats.org/officeDocument/2006/relationships/font" Target="fonts/HelveticaNeue-bold.ttf"/><Relationship Id="rId12" Type="http://schemas.openxmlformats.org/officeDocument/2006/relationships/font" Target="fonts/HelveticaNeue-boldItalic.ttf"/><Relationship Id="rId9" Type="http://schemas.openxmlformats.org/officeDocument/2006/relationships/font" Target="fonts/HelveticaNeue-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3LAIpInv5WTAZwuslhSQORmQEw==">AMUW2mXkaXy34VbvnmDaIm5vD39tIBadVPdkBAb1zLxMb3c8rTh5+BgZ1MFnlB0bkHbhbfw2MPVLfIzJw7+jBVcSFGWKsqnRqfnjM6Eww+JQxNkMnBvPB4ALwTWOXNgk/i1dHT9aoU5q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2020-10-27T16:52:00Z</dcterms:created>
  <dc:creator>VonDobschuetz, Sophie (AGAH)</dc:creator>
</cp:coreProperties>
</file>