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2aa8c046db194197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9845061"/>
    <w:p w14:paraId="53AFC648" w14:textId="0CA5405D" w:rsidR="00587791" w:rsidRDefault="00E3473D" w:rsidP="001E013F">
      <w:pPr>
        <w:pStyle w:val="TableTitle"/>
      </w:pPr>
      <w:r>
        <w:fldChar w:fldCharType="begin"/>
      </w:r>
      <w:r w:rsidR="00CD76EC">
        <w:instrText xml:space="preserve"> DOCPROPERTY  "Report Title"  \* MERGEFORMAT </w:instrText>
      </w:r>
      <w:r>
        <w:fldChar w:fldCharType="separate"/>
      </w:r>
      <w:r w:rsidR="00CA238B">
        <w:t>Q</w:t>
      </w:r>
      <w:r w:rsidR="00587791">
        <w:t xml:space="preserve">uality </w:t>
      </w:r>
      <w:r w:rsidR="00CA238B">
        <w:t>I</w:t>
      </w:r>
      <w:r w:rsidR="00587791">
        <w:t xml:space="preserve">nformation </w:t>
      </w:r>
      <w:r w:rsidR="00CA238B">
        <w:t>S</w:t>
      </w:r>
      <w:r w:rsidR="00587791">
        <w:t xml:space="preserve">ummary </w:t>
      </w:r>
      <w:r w:rsidR="001E013F">
        <w:t xml:space="preserve">(QIS) </w:t>
      </w:r>
      <w:r w:rsidR="00587791">
        <w:t xml:space="preserve">of the </w:t>
      </w:r>
      <w:r w:rsidR="00CA238B">
        <w:t>F</w:t>
      </w:r>
      <w:r w:rsidR="009D41F9">
        <w:t xml:space="preserve">inished Pharmaceutical </w:t>
      </w:r>
      <w:r w:rsidR="00CA238B">
        <w:t>P</w:t>
      </w:r>
      <w:r w:rsidR="009D41F9">
        <w:t xml:space="preserve">roduct </w:t>
      </w:r>
      <w:r w:rsidR="00B70B13">
        <w:t xml:space="preserve">(FPP) </w:t>
      </w:r>
      <w:r w:rsidR="00CA238B">
        <w:t>A</w:t>
      </w:r>
      <w:r w:rsidR="00587791">
        <w:t xml:space="preserve">pproved by the </w:t>
      </w:r>
      <w:r w:rsidR="00CA238B">
        <w:t>R</w:t>
      </w:r>
      <w:r w:rsidR="00587791">
        <w:t>eference</w:t>
      </w:r>
      <w:r w:rsidR="00CA238B">
        <w:t xml:space="preserve"> S</w:t>
      </w:r>
      <w:r w:rsidR="00587791">
        <w:t xml:space="preserve">tringent </w:t>
      </w:r>
      <w:r w:rsidR="00CA238B">
        <w:t>R</w:t>
      </w:r>
      <w:r w:rsidR="00587791">
        <w:t xml:space="preserve">egulatory </w:t>
      </w:r>
      <w:r w:rsidR="00CA238B">
        <w:t>A</w:t>
      </w:r>
      <w:r w:rsidR="00587791">
        <w:t>uthorit</w:t>
      </w:r>
      <w:r w:rsidR="001E013F">
        <w:t>y (SRA)</w:t>
      </w:r>
      <w:r w:rsidR="00587791">
        <w:t xml:space="preserve"> </w:t>
      </w:r>
      <w:r w:rsidR="00982A45">
        <w:t>for use outside of the SRA Region</w:t>
      </w:r>
    </w:p>
    <w:p w14:paraId="1956A208" w14:textId="58144204" w:rsidR="00CA238B" w:rsidRDefault="00CA238B" w:rsidP="00587791">
      <w:pPr>
        <w:pStyle w:val="TableTitle"/>
      </w:pPr>
      <w:r>
        <w:t>(QIS-SRA</w:t>
      </w:r>
      <w:r w:rsidR="00982A45">
        <w:t>-MED-</w:t>
      </w:r>
      <w:proofErr w:type="spellStart"/>
      <w:r w:rsidR="00982A45">
        <w:t>crp</w:t>
      </w:r>
      <w:proofErr w:type="spellEnd"/>
      <w:r>
        <w:t>)</w:t>
      </w:r>
    </w:p>
    <w:p w14:paraId="2B92D9A2" w14:textId="77777777" w:rsidR="00CA238B" w:rsidRDefault="00CA238B" w:rsidP="00196472">
      <w:pPr>
        <w:pStyle w:val="TableTitle"/>
      </w:pPr>
    </w:p>
    <w:p w14:paraId="3BB3F5B1" w14:textId="77777777" w:rsidR="00B6497D" w:rsidRPr="00B6497D" w:rsidRDefault="00E3473D" w:rsidP="00B6497D">
      <w:pPr>
        <w:spacing w:after="120"/>
        <w:rPr>
          <w:rFonts w:cs="Arial"/>
          <w:b/>
          <w:sz w:val="22"/>
          <w:szCs w:val="22"/>
          <w:lang w:val="en-GB" w:eastAsia="en-CA"/>
        </w:rPr>
      </w:pPr>
      <w:r>
        <w:fldChar w:fldCharType="end"/>
      </w:r>
      <w:bookmarkEnd w:id="0"/>
      <w:r w:rsidR="00B6497D" w:rsidRPr="00B6497D">
        <w:rPr>
          <w:rFonts w:cs="Arial"/>
          <w:b/>
          <w:sz w:val="22"/>
          <w:szCs w:val="22"/>
          <w:lang w:val="en-GB" w:eastAsia="en-CA"/>
        </w:rPr>
        <w:t>FOREWORD</w:t>
      </w:r>
    </w:p>
    <w:p w14:paraId="01E558FA" w14:textId="77777777" w:rsidR="00B6497D" w:rsidRPr="00B6497D" w:rsidRDefault="00B6497D" w:rsidP="00B6497D">
      <w:pPr>
        <w:widowControl w:val="0"/>
        <w:autoSpaceDE w:val="0"/>
        <w:autoSpaceDN w:val="0"/>
        <w:adjustRightInd w:val="0"/>
        <w:spacing w:after="120"/>
        <w:rPr>
          <w:rFonts w:cs="Arial"/>
          <w:b/>
          <w:sz w:val="22"/>
          <w:szCs w:val="22"/>
          <w:lang w:val="en-GB" w:eastAsia="en-CA"/>
        </w:rPr>
      </w:pPr>
    </w:p>
    <w:p w14:paraId="569321D8" w14:textId="49EF6677" w:rsidR="00C660C1" w:rsidRPr="00647B28" w:rsidRDefault="00B6497D" w:rsidP="00C660C1">
      <w:pPr>
        <w:spacing w:after="120"/>
        <w:jc w:val="both"/>
      </w:pPr>
      <w:r w:rsidRPr="00B6497D">
        <w:rPr>
          <w:rFonts w:cs="Arial"/>
          <w:szCs w:val="24"/>
        </w:rPr>
        <w:t>Reference WHO guideline:</w:t>
      </w:r>
      <w:r w:rsidR="00C660C1">
        <w:rPr>
          <w:rFonts w:cs="Arial"/>
          <w:szCs w:val="24"/>
        </w:rPr>
        <w:t xml:space="preserve"> </w:t>
      </w:r>
      <w:r w:rsidR="00982A45" w:rsidRPr="00982A45">
        <w:t>Procedure to enable prequalification of products approved by SRAs for use outside the SRA region</w:t>
      </w:r>
      <w:r w:rsidR="00C660C1">
        <w:rPr>
          <w:color w:val="000000" w:themeColor="text1"/>
        </w:rPr>
        <w:t>.</w:t>
      </w:r>
    </w:p>
    <w:p w14:paraId="66634501" w14:textId="77777777" w:rsidR="00647B28" w:rsidRDefault="00647B28" w:rsidP="00685F73">
      <w:pPr>
        <w:spacing w:after="120"/>
        <w:jc w:val="both"/>
        <w:rPr>
          <w:rFonts w:cs="Arial"/>
          <w:szCs w:val="24"/>
        </w:rPr>
      </w:pPr>
    </w:p>
    <w:p w14:paraId="6CBA3234" w14:textId="003AAF49" w:rsidR="00B6497D" w:rsidRPr="00B6497D" w:rsidRDefault="00C660C1" w:rsidP="00685F73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B6497D" w:rsidRPr="00B6497D">
        <w:rPr>
          <w:rFonts w:cs="Arial"/>
          <w:szCs w:val="24"/>
        </w:rPr>
        <w:t>QIS-SRA</w:t>
      </w:r>
      <w:r w:rsidR="00982A45">
        <w:rPr>
          <w:rFonts w:cs="Arial"/>
          <w:szCs w:val="24"/>
        </w:rPr>
        <w:t>-MED-</w:t>
      </w:r>
      <w:proofErr w:type="spellStart"/>
      <w:r w:rsidR="00982A45">
        <w:rPr>
          <w:rFonts w:cs="Arial"/>
          <w:szCs w:val="24"/>
        </w:rPr>
        <w:t>crp</w:t>
      </w:r>
      <w:proofErr w:type="spellEnd"/>
      <w:r w:rsidR="00B6497D" w:rsidRPr="00B6497D">
        <w:rPr>
          <w:rFonts w:cs="Arial"/>
          <w:szCs w:val="24"/>
        </w:rPr>
        <w:t xml:space="preserve"> template should be completed </w:t>
      </w:r>
      <w:r w:rsidR="00685F73">
        <w:rPr>
          <w:rFonts w:cs="Arial"/>
          <w:szCs w:val="24"/>
        </w:rPr>
        <w:t xml:space="preserve">so that it </w:t>
      </w:r>
      <w:r w:rsidR="00B6497D" w:rsidRPr="00B6497D">
        <w:rPr>
          <w:rFonts w:cs="Arial"/>
          <w:szCs w:val="24"/>
        </w:rPr>
        <w:t>provide</w:t>
      </w:r>
      <w:r w:rsidR="00685F73">
        <w:rPr>
          <w:rFonts w:cs="Arial"/>
          <w:szCs w:val="24"/>
        </w:rPr>
        <w:t>s</w:t>
      </w:r>
      <w:r w:rsidR="00B6497D" w:rsidRPr="00B6497D">
        <w:rPr>
          <w:rFonts w:cs="Arial"/>
          <w:szCs w:val="24"/>
        </w:rPr>
        <w:t xml:space="preserve"> a condensed summary of key information of the </w:t>
      </w:r>
      <w:r w:rsidR="00DA2E41">
        <w:rPr>
          <w:rFonts w:cs="Arial"/>
          <w:szCs w:val="24"/>
        </w:rPr>
        <w:t>finished pharmaceutical product (</w:t>
      </w:r>
      <w:r w:rsidR="00B6497D" w:rsidRPr="00B6497D">
        <w:rPr>
          <w:rFonts w:cs="Arial"/>
          <w:szCs w:val="24"/>
        </w:rPr>
        <w:t>FPP</w:t>
      </w:r>
      <w:r w:rsidR="00DA2E41">
        <w:rPr>
          <w:rFonts w:cs="Arial"/>
          <w:szCs w:val="24"/>
        </w:rPr>
        <w:t>)</w:t>
      </w:r>
      <w:r w:rsidR="00B6497D" w:rsidRPr="00B6497D">
        <w:rPr>
          <w:rFonts w:cs="Arial"/>
          <w:szCs w:val="24"/>
        </w:rPr>
        <w:t xml:space="preserve"> as approved by the reference </w:t>
      </w:r>
      <w:r w:rsidR="00DA2E41">
        <w:rPr>
          <w:rFonts w:cs="Arial"/>
          <w:szCs w:val="24"/>
        </w:rPr>
        <w:t>stringent regulatory authority (</w:t>
      </w:r>
      <w:r w:rsidR="00B6497D" w:rsidRPr="00B6497D">
        <w:rPr>
          <w:rFonts w:cs="Arial"/>
          <w:szCs w:val="24"/>
        </w:rPr>
        <w:t>SRA</w:t>
      </w:r>
      <w:r w:rsidR="00B42F7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. It </w:t>
      </w:r>
      <w:r w:rsidR="00B6497D" w:rsidRPr="00B6497D">
        <w:rPr>
          <w:rFonts w:cs="Arial"/>
          <w:szCs w:val="24"/>
        </w:rPr>
        <w:t>should be submitted in Word format together with the application for prequalification of an FPP approved by an SRA</w:t>
      </w:r>
      <w:r>
        <w:rPr>
          <w:rFonts w:cs="Arial"/>
          <w:szCs w:val="24"/>
        </w:rPr>
        <w:t>,</w:t>
      </w:r>
      <w:r w:rsidR="00B6497D" w:rsidRPr="00B6497D">
        <w:rPr>
          <w:rFonts w:cs="Arial"/>
          <w:szCs w:val="24"/>
        </w:rPr>
        <w:t xml:space="preserve"> according to the requirements of the above guideline.</w:t>
      </w:r>
    </w:p>
    <w:p w14:paraId="3E24DE2A" w14:textId="77777777" w:rsidR="00B6497D" w:rsidRPr="00B6497D" w:rsidRDefault="00B6497D" w:rsidP="00B6497D">
      <w:pPr>
        <w:spacing w:after="60"/>
        <w:jc w:val="both"/>
        <w:rPr>
          <w:rFonts w:cs="Arial"/>
          <w:szCs w:val="24"/>
        </w:rPr>
      </w:pPr>
    </w:p>
    <w:p w14:paraId="276BD30B" w14:textId="6E65F19C" w:rsidR="00B6497D" w:rsidRPr="00B6497D" w:rsidRDefault="00B6497D" w:rsidP="00C660C1">
      <w:pPr>
        <w:spacing w:after="60"/>
        <w:jc w:val="both"/>
        <w:rPr>
          <w:rFonts w:cs="Arial"/>
          <w:szCs w:val="24"/>
        </w:rPr>
      </w:pPr>
      <w:r w:rsidRPr="00B6497D">
        <w:rPr>
          <w:rFonts w:cs="Arial"/>
          <w:szCs w:val="24"/>
        </w:rPr>
        <w:t>The QIS-SRA</w:t>
      </w:r>
      <w:r w:rsidR="003244B5">
        <w:rPr>
          <w:rFonts w:cs="Arial"/>
          <w:szCs w:val="24"/>
        </w:rPr>
        <w:t>-MED-</w:t>
      </w:r>
      <w:proofErr w:type="spellStart"/>
      <w:r w:rsidR="003244B5">
        <w:rPr>
          <w:rFonts w:cs="Arial"/>
          <w:szCs w:val="24"/>
        </w:rPr>
        <w:t>crp</w:t>
      </w:r>
      <w:proofErr w:type="spellEnd"/>
      <w:r w:rsidRPr="00B6497D">
        <w:rPr>
          <w:rFonts w:cs="Arial"/>
          <w:szCs w:val="24"/>
        </w:rPr>
        <w:t xml:space="preserve"> should be revised (us</w:t>
      </w:r>
      <w:r w:rsidR="00C660C1">
        <w:rPr>
          <w:rFonts w:cs="Arial"/>
          <w:szCs w:val="24"/>
        </w:rPr>
        <w:t>ing</w:t>
      </w:r>
      <w:r w:rsidRPr="00B6497D">
        <w:rPr>
          <w:rFonts w:cs="Arial"/>
          <w:szCs w:val="24"/>
        </w:rPr>
        <w:t xml:space="preserve"> track change mode) and resubmitted in Word format</w:t>
      </w:r>
      <w:r w:rsidR="00C660C1">
        <w:rPr>
          <w:rFonts w:cs="Arial"/>
          <w:szCs w:val="24"/>
        </w:rPr>
        <w:t>:</w:t>
      </w:r>
    </w:p>
    <w:p w14:paraId="6E8C020B" w14:textId="77777777" w:rsidR="00B6497D" w:rsidRPr="00B6497D" w:rsidRDefault="00B6497D" w:rsidP="00B6497D">
      <w:pPr>
        <w:spacing w:before="60" w:after="60"/>
        <w:rPr>
          <w:rFonts w:cs="Arial"/>
        </w:rPr>
      </w:pPr>
    </w:p>
    <w:p w14:paraId="0C3750EB" w14:textId="77777777" w:rsidR="00B6497D" w:rsidRPr="00B6497D" w:rsidRDefault="00C660C1" w:rsidP="00C66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cs="Arial"/>
        </w:rPr>
      </w:pPr>
      <w:r>
        <w:rPr>
          <w:rFonts w:cs="Arial"/>
        </w:rPr>
        <w:t>w</w:t>
      </w:r>
      <w:r w:rsidR="00B6497D" w:rsidRPr="00B6497D">
        <w:rPr>
          <w:rFonts w:cs="Arial"/>
        </w:rPr>
        <w:t xml:space="preserve">henever any administrative </w:t>
      </w:r>
      <w:r>
        <w:rPr>
          <w:rFonts w:cs="Arial"/>
        </w:rPr>
        <w:t>changes are necessary</w:t>
      </w:r>
      <w:r w:rsidR="00B6497D" w:rsidRPr="00B6497D">
        <w:rPr>
          <w:rFonts w:cs="Arial"/>
        </w:rPr>
        <w:t xml:space="preserve"> (e.g. </w:t>
      </w:r>
      <w:r>
        <w:rPr>
          <w:rFonts w:cs="Arial"/>
        </w:rPr>
        <w:t xml:space="preserve">change of </w:t>
      </w:r>
      <w:r w:rsidR="00B6497D" w:rsidRPr="00B6497D">
        <w:rPr>
          <w:rFonts w:cs="Arial"/>
        </w:rPr>
        <w:t>contact person), or</w:t>
      </w:r>
    </w:p>
    <w:p w14:paraId="4127F0A8" w14:textId="61F579E9" w:rsidR="00B6497D" w:rsidRPr="00B6497D" w:rsidRDefault="00C660C1" w:rsidP="00C66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120"/>
        <w:rPr>
          <w:rFonts w:cs="Arial"/>
        </w:rPr>
      </w:pPr>
      <w:r>
        <w:rPr>
          <w:rFonts w:cs="Arial"/>
        </w:rPr>
        <w:t>w</w:t>
      </w:r>
      <w:r w:rsidR="00B6497D" w:rsidRPr="00B6497D">
        <w:rPr>
          <w:rFonts w:cs="Arial"/>
        </w:rPr>
        <w:t>henever any variations to the FPP that affect the QIS-SRA</w:t>
      </w:r>
      <w:r w:rsidR="00982A45">
        <w:rPr>
          <w:rFonts w:cs="Arial"/>
        </w:rPr>
        <w:t>-MED-</w:t>
      </w:r>
      <w:proofErr w:type="spellStart"/>
      <w:r w:rsidR="00982A45">
        <w:rPr>
          <w:rFonts w:cs="Arial"/>
        </w:rPr>
        <w:t>crp</w:t>
      </w:r>
      <w:proofErr w:type="spellEnd"/>
      <w:r w:rsidR="00B6497D" w:rsidRPr="00B6497D">
        <w:rPr>
          <w:rFonts w:cs="Arial"/>
        </w:rPr>
        <w:t xml:space="preserve"> have been approved by the reference SRA, together with the regulatory letter of approval of </w:t>
      </w:r>
      <w:r>
        <w:rPr>
          <w:rFonts w:cs="Arial"/>
        </w:rPr>
        <w:t xml:space="preserve">the </w:t>
      </w:r>
      <w:r w:rsidR="00B6497D" w:rsidRPr="00B6497D">
        <w:rPr>
          <w:rFonts w:cs="Arial"/>
        </w:rPr>
        <w:t>variation</w:t>
      </w:r>
      <w:r>
        <w:rPr>
          <w:rFonts w:cs="Arial"/>
        </w:rPr>
        <w:t>(</w:t>
      </w:r>
      <w:r w:rsidR="00B6497D" w:rsidRPr="00B6497D">
        <w:rPr>
          <w:rFonts w:cs="Arial"/>
        </w:rPr>
        <w:t>s</w:t>
      </w:r>
      <w:r>
        <w:rPr>
          <w:rFonts w:cs="Arial"/>
        </w:rPr>
        <w:t>)</w:t>
      </w:r>
      <w:r w:rsidR="00B6497D" w:rsidRPr="00B6497D">
        <w:rPr>
          <w:rFonts w:cs="Arial"/>
        </w:rPr>
        <w:t>.</w:t>
      </w:r>
      <w:r w:rsidR="00982A45">
        <w:rPr>
          <w:rStyle w:val="FootnoteReference"/>
          <w:rFonts w:cs="Arial"/>
        </w:rPr>
        <w:footnoteReference w:id="1"/>
      </w:r>
    </w:p>
    <w:p w14:paraId="34483A18" w14:textId="77777777" w:rsidR="00B6497D" w:rsidRPr="00B6497D" w:rsidRDefault="00B6497D" w:rsidP="00B6497D">
      <w:pPr>
        <w:spacing w:after="60"/>
        <w:jc w:val="both"/>
        <w:rPr>
          <w:rFonts w:cs="Arial"/>
          <w:szCs w:val="24"/>
        </w:rPr>
      </w:pPr>
    </w:p>
    <w:p w14:paraId="043F0E44" w14:textId="77777777" w:rsidR="00B6497D" w:rsidRPr="00B6497D" w:rsidRDefault="00B6497D" w:rsidP="00B6497D">
      <w:pPr>
        <w:spacing w:after="60"/>
        <w:jc w:val="both"/>
        <w:rPr>
          <w:rFonts w:cs="Arial"/>
          <w:szCs w:val="24"/>
        </w:rPr>
      </w:pPr>
    </w:p>
    <w:p w14:paraId="0212FEAE" w14:textId="3D4C0229" w:rsidR="00B6497D" w:rsidRPr="00B6497D" w:rsidRDefault="00B6497D" w:rsidP="00B6497D">
      <w:pPr>
        <w:spacing w:after="60"/>
        <w:jc w:val="both"/>
        <w:rPr>
          <w:rFonts w:cs="Arial"/>
          <w:b/>
          <w:szCs w:val="24"/>
        </w:rPr>
      </w:pPr>
      <w:r w:rsidRPr="00B6497D">
        <w:rPr>
          <w:rFonts w:cs="Arial"/>
          <w:b/>
          <w:szCs w:val="24"/>
        </w:rPr>
        <w:t>When completing the QIS-SRA</w:t>
      </w:r>
      <w:r w:rsidR="00D61EB1">
        <w:rPr>
          <w:rFonts w:cs="Arial"/>
          <w:b/>
          <w:szCs w:val="24"/>
        </w:rPr>
        <w:t>-MED-</w:t>
      </w:r>
      <w:proofErr w:type="spellStart"/>
      <w:r w:rsidR="00D61EB1">
        <w:rPr>
          <w:rFonts w:cs="Arial"/>
          <w:b/>
          <w:szCs w:val="24"/>
        </w:rPr>
        <w:t>crp</w:t>
      </w:r>
      <w:proofErr w:type="spellEnd"/>
      <w:r w:rsidRPr="00B6497D">
        <w:rPr>
          <w:rFonts w:cs="Arial"/>
          <w:b/>
          <w:szCs w:val="24"/>
        </w:rPr>
        <w:t xml:space="preserve"> template, this covering </w:t>
      </w:r>
      <w:r w:rsidRPr="00B6497D">
        <w:rPr>
          <w:rFonts w:cs="Arial"/>
          <w:b/>
          <w:i/>
          <w:szCs w:val="24"/>
        </w:rPr>
        <w:t>Foreword</w:t>
      </w:r>
      <w:r w:rsidRPr="00B6497D">
        <w:rPr>
          <w:rFonts w:cs="Arial"/>
          <w:b/>
          <w:szCs w:val="24"/>
        </w:rPr>
        <w:t xml:space="preserve"> should be deleted.</w:t>
      </w:r>
    </w:p>
    <w:p w14:paraId="2DC100A0" w14:textId="77777777" w:rsidR="00B6497D" w:rsidRPr="00B6497D" w:rsidRDefault="00B6497D" w:rsidP="00C660C1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32" w:hanging="432"/>
        <w:rPr>
          <w:rFonts w:cs="Arial"/>
          <w:b/>
          <w:color w:val="000000"/>
          <w:lang w:val="en-GB" w:eastAsia="en-CA"/>
        </w:rPr>
      </w:pPr>
      <w:r w:rsidRPr="00B6497D">
        <w:rPr>
          <w:rFonts w:cs="Arial"/>
          <w:b/>
          <w:sz w:val="22"/>
          <w:szCs w:val="22"/>
          <w:lang w:val="en-GB" w:eastAsia="en-CA"/>
        </w:rPr>
        <w:br w:type="page"/>
      </w:r>
      <w:r w:rsidRPr="00B6497D">
        <w:rPr>
          <w:rFonts w:cs="Arial"/>
          <w:b/>
          <w:bCs/>
          <w:color w:val="000000"/>
          <w:lang w:val="en-GB" w:eastAsia="en-CA"/>
        </w:rPr>
        <w:lastRenderedPageBreak/>
        <w:t>A.</w:t>
      </w:r>
      <w:r w:rsidRPr="00B6497D">
        <w:rPr>
          <w:rFonts w:cs="Arial"/>
          <w:b/>
          <w:bCs/>
          <w:color w:val="000000"/>
          <w:lang w:val="en-GB" w:eastAsia="en-CA"/>
        </w:rPr>
        <w:tab/>
        <w:t>Information (</w:t>
      </w:r>
      <w:r w:rsidRPr="00B6497D">
        <w:rPr>
          <w:rFonts w:cs="Arial"/>
          <w:b/>
          <w:bCs/>
          <w:color w:val="000000"/>
          <w:u w:val="single"/>
          <w:lang w:val="en-GB" w:eastAsia="en-CA"/>
        </w:rPr>
        <w:t>as currently approved by the reference SRA</w:t>
      </w:r>
      <w:r w:rsidRPr="00B6497D">
        <w:rPr>
          <w:rFonts w:cs="Arial"/>
          <w:b/>
          <w:bCs/>
          <w:color w:val="000000"/>
          <w:lang w:val="en-GB" w:eastAsia="en-CA"/>
        </w:rPr>
        <w:t xml:space="preserve">, where relevant) that may be published on </w:t>
      </w:r>
      <w:r w:rsidR="00C660C1">
        <w:rPr>
          <w:rFonts w:cs="Arial"/>
          <w:b/>
          <w:bCs/>
          <w:color w:val="000000"/>
          <w:lang w:val="en-GB" w:eastAsia="en-CA"/>
        </w:rPr>
        <w:t xml:space="preserve">the </w:t>
      </w:r>
      <w:r w:rsidRPr="00B6497D">
        <w:rPr>
          <w:rFonts w:cs="Arial"/>
          <w:b/>
          <w:color w:val="000000"/>
          <w:lang w:val="en-GB" w:eastAsia="en-CA"/>
        </w:rPr>
        <w:t xml:space="preserve">WHO </w:t>
      </w:r>
      <w:r w:rsidR="00C660C1">
        <w:rPr>
          <w:rFonts w:cs="Arial"/>
          <w:b/>
          <w:color w:val="000000"/>
          <w:lang w:val="en-GB" w:eastAsia="en-CA"/>
        </w:rPr>
        <w:t xml:space="preserve">medicines </w:t>
      </w:r>
      <w:r w:rsidRPr="00B6497D">
        <w:rPr>
          <w:rFonts w:cs="Arial"/>
          <w:b/>
          <w:color w:val="000000"/>
          <w:lang w:val="en-GB" w:eastAsia="en-CA"/>
        </w:rPr>
        <w:t>prequalification website</w:t>
      </w:r>
    </w:p>
    <w:tbl>
      <w:tblPr>
        <w:tblStyle w:val="TableProfessional"/>
        <w:tblW w:w="940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13"/>
        <w:gridCol w:w="932"/>
        <w:gridCol w:w="5163"/>
      </w:tblGrid>
      <w:tr w:rsidR="00B6497D" w:rsidRPr="00B6497D" w14:paraId="326002B1" w14:textId="77777777" w:rsidTr="000B5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4245" w:type="dxa"/>
            <w:gridSpan w:val="2"/>
            <w:shd w:val="clear" w:color="auto" w:fill="D9D9D9" w:themeFill="background1" w:themeFillShade="D9"/>
          </w:tcPr>
          <w:p w14:paraId="6041C26E" w14:textId="0D675B19" w:rsidR="00B6497D" w:rsidRPr="00F44352" w:rsidRDefault="00B6497D" w:rsidP="00C51C42">
            <w:pPr>
              <w:keepNext/>
              <w:keepLines/>
              <w:tabs>
                <w:tab w:val="left" w:pos="616"/>
              </w:tabs>
              <w:spacing w:before="80" w:after="40"/>
              <w:ind w:left="142"/>
              <w:rPr>
                <w:rFonts w:cs="Arial"/>
                <w:b w:val="0"/>
                <w:bCs w:val="0"/>
                <w:color w:val="000000" w:themeColor="text1"/>
              </w:rPr>
            </w:pPr>
            <w:r w:rsidRPr="00F44352">
              <w:rPr>
                <w:rFonts w:cs="Arial"/>
                <w:b w:val="0"/>
                <w:bCs w:val="0"/>
                <w:color w:val="000000" w:themeColor="text1"/>
              </w:rPr>
              <w:t>A1.</w:t>
            </w:r>
            <w:r w:rsidR="00C51C42" w:rsidRPr="00F44352">
              <w:rPr>
                <w:rFonts w:cs="Arial"/>
                <w:b w:val="0"/>
                <w:bCs w:val="0"/>
                <w:color w:val="000000" w:themeColor="text1"/>
              </w:rPr>
              <w:tab/>
            </w:r>
            <w:r w:rsidRPr="00F44352">
              <w:rPr>
                <w:rFonts w:cs="Arial"/>
                <w:b w:val="0"/>
                <w:bCs w:val="0"/>
                <w:color w:val="000000" w:themeColor="text1"/>
              </w:rPr>
              <w:t>Product reference number (WHO number)</w:t>
            </w:r>
          </w:p>
        </w:tc>
        <w:tc>
          <w:tcPr>
            <w:tcW w:w="5163" w:type="dxa"/>
            <w:shd w:val="clear" w:color="auto" w:fill="D9D9D9" w:themeFill="background1" w:themeFillShade="D9"/>
          </w:tcPr>
          <w:p w14:paraId="55CCF1AB" w14:textId="511E9916" w:rsidR="00B6497D" w:rsidRPr="00F44352" w:rsidRDefault="00B6497D" w:rsidP="00C51C42">
            <w:pPr>
              <w:keepNext/>
              <w:keepLines/>
              <w:tabs>
                <w:tab w:val="left" w:pos="533"/>
              </w:tabs>
              <w:spacing w:before="80" w:after="40"/>
              <w:rPr>
                <w:rFonts w:cs="Arial"/>
                <w:b w:val="0"/>
                <w:bCs w:val="0"/>
                <w:color w:val="000000" w:themeColor="text1"/>
              </w:rPr>
            </w:pPr>
            <w:r w:rsidRPr="00F44352">
              <w:rPr>
                <w:rFonts w:cs="Arial"/>
                <w:b w:val="0"/>
                <w:bCs w:val="0"/>
                <w:color w:val="000000" w:themeColor="text1"/>
              </w:rPr>
              <w:t>A2.</w:t>
            </w:r>
            <w:r w:rsidR="00C51C42" w:rsidRPr="00F44352">
              <w:rPr>
                <w:rFonts w:cs="Arial"/>
                <w:b w:val="0"/>
                <w:bCs w:val="0"/>
                <w:color w:val="000000" w:themeColor="text1"/>
              </w:rPr>
              <w:tab/>
            </w:r>
            <w:r w:rsidRPr="00F44352">
              <w:rPr>
                <w:rFonts w:cs="Arial"/>
                <w:b w:val="0"/>
                <w:bCs w:val="0"/>
                <w:color w:val="000000" w:themeColor="text1"/>
              </w:rPr>
              <w:t>Innovator or multisource (generic) FPP?</w:t>
            </w:r>
          </w:p>
        </w:tc>
      </w:tr>
      <w:tr w:rsidR="00B6497D" w:rsidRPr="00B6497D" w14:paraId="6041B2D8" w14:textId="77777777" w:rsidTr="000B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4245" w:type="dxa"/>
            <w:gridSpan w:val="2"/>
          </w:tcPr>
          <w:p w14:paraId="2854046A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  <w:tc>
          <w:tcPr>
            <w:tcW w:w="5163" w:type="dxa"/>
          </w:tcPr>
          <w:p w14:paraId="3A3A0E41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  <w:tr w:rsidR="000B5124" w:rsidRPr="00B6497D" w14:paraId="17CE2915" w14:textId="77777777" w:rsidTr="000B5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4245" w:type="dxa"/>
            <w:gridSpan w:val="2"/>
          </w:tcPr>
          <w:p w14:paraId="2377B875" w14:textId="1DE3B404" w:rsidR="000B5124" w:rsidRPr="00B6497D" w:rsidRDefault="000B5124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A3</w:t>
            </w:r>
            <w:r w:rsidR="00B96C9C"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Reference stringent regulatory authority</w:t>
            </w:r>
          </w:p>
        </w:tc>
        <w:tc>
          <w:tcPr>
            <w:tcW w:w="5163" w:type="dxa"/>
          </w:tcPr>
          <w:p w14:paraId="53770380" w14:textId="71BED982" w:rsidR="00454B40" w:rsidRPr="00B6497D" w:rsidRDefault="00454B40" w:rsidP="007C207E">
            <w:pPr>
              <w:keepNext/>
              <w:keepLines/>
              <w:tabs>
                <w:tab w:val="left" w:pos="542"/>
              </w:tabs>
              <w:ind w:left="11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A4</w:t>
            </w:r>
            <w:r w:rsidR="00B96C9C"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</w:rPr>
              <w:tab/>
            </w:r>
            <w:r w:rsidR="00E67A96">
              <w:rPr>
                <w:rFonts w:cs="Arial"/>
                <w:sz w:val="18"/>
              </w:rPr>
              <w:t>D</w:t>
            </w:r>
            <w:r>
              <w:rPr>
                <w:rFonts w:cs="Arial"/>
                <w:sz w:val="18"/>
              </w:rPr>
              <w:t>ate</w:t>
            </w:r>
            <w:r w:rsidR="007C207E">
              <w:rPr>
                <w:rFonts w:cs="Arial"/>
                <w:sz w:val="18"/>
              </w:rPr>
              <w:t xml:space="preserve"> of </w:t>
            </w:r>
            <w:r w:rsidR="00E67A96">
              <w:rPr>
                <w:rFonts w:cs="Arial"/>
                <w:sz w:val="18"/>
              </w:rPr>
              <w:t xml:space="preserve">initial </w:t>
            </w:r>
            <w:r w:rsidR="007C207E">
              <w:rPr>
                <w:rFonts w:cs="Arial"/>
                <w:sz w:val="18"/>
              </w:rPr>
              <w:t>approval by reference SRA</w:t>
            </w:r>
          </w:p>
        </w:tc>
      </w:tr>
      <w:tr w:rsidR="00454B40" w:rsidRPr="00B6497D" w14:paraId="487928F8" w14:textId="77777777" w:rsidTr="0045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4245" w:type="dxa"/>
            <w:gridSpan w:val="2"/>
          </w:tcPr>
          <w:p w14:paraId="5541C80B" w14:textId="77777777" w:rsidR="00454B40" w:rsidRPr="00B6497D" w:rsidRDefault="00454B40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  <w:tc>
          <w:tcPr>
            <w:tcW w:w="5163" w:type="dxa"/>
          </w:tcPr>
          <w:p w14:paraId="5B0ACD77" w14:textId="3A7A6E42" w:rsidR="00454B40" w:rsidRPr="00B6497D" w:rsidRDefault="00454B40" w:rsidP="007C207E">
            <w:pPr>
              <w:keepNext/>
              <w:keepLines/>
              <w:tabs>
                <w:tab w:val="left" w:pos="628"/>
              </w:tabs>
              <w:ind w:left="0"/>
              <w:rPr>
                <w:rFonts w:cs="Arial"/>
                <w:sz w:val="18"/>
              </w:rPr>
            </w:pPr>
          </w:p>
        </w:tc>
      </w:tr>
      <w:tr w:rsidR="00454B40" w:rsidRPr="00B6497D" w14:paraId="5DB8B3C2" w14:textId="77777777" w:rsidTr="00850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D6E5B7E" w14:textId="0EE7D54E" w:rsidR="00454B40" w:rsidRDefault="00454B40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A5</w:t>
            </w:r>
            <w:r w:rsidR="00B96C9C"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</w:rPr>
              <w:tab/>
              <w:t xml:space="preserve">Type of approval (EU-M4all, USFDA tentative approval, </w:t>
            </w:r>
            <w:r w:rsidR="007C207E">
              <w:rPr>
                <w:rFonts w:cs="Arial"/>
                <w:sz w:val="18"/>
              </w:rPr>
              <w:t>Swissmedic MAGHP</w:t>
            </w:r>
            <w:r w:rsidR="008864CD">
              <w:rPr>
                <w:rFonts w:cs="Arial"/>
                <w:sz w:val="18"/>
              </w:rPr>
              <w:t>,</w:t>
            </w:r>
            <w:r w:rsidR="007C207E">
              <w:rPr>
                <w:rFonts w:cs="Arial"/>
                <w:sz w:val="18"/>
              </w:rPr>
              <w:t xml:space="preserve"> </w:t>
            </w:r>
            <w:r w:rsidR="008864CD">
              <w:rPr>
                <w:rFonts w:cs="Arial"/>
                <w:sz w:val="18"/>
              </w:rPr>
              <w:t xml:space="preserve">for marketing in SRA </w:t>
            </w:r>
            <w:r w:rsidR="00406C63">
              <w:rPr>
                <w:rFonts w:cs="Arial"/>
                <w:sz w:val="18"/>
              </w:rPr>
              <w:tab/>
            </w:r>
            <w:r w:rsidR="008864CD">
              <w:rPr>
                <w:rFonts w:cs="Arial"/>
                <w:sz w:val="18"/>
              </w:rPr>
              <w:t xml:space="preserve">country/region </w:t>
            </w:r>
            <w:r w:rsidR="007C207E">
              <w:rPr>
                <w:rFonts w:cs="Arial"/>
                <w:sz w:val="18"/>
              </w:rPr>
              <w:t>but not on SRA market)</w:t>
            </w:r>
          </w:p>
        </w:tc>
      </w:tr>
      <w:tr w:rsidR="007C207E" w:rsidRPr="00B6497D" w14:paraId="6A9A8136" w14:textId="77777777" w:rsidTr="00B11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24A1B49C" w14:textId="77777777" w:rsidR="007C207E" w:rsidRDefault="007C207E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1A4543B2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B258AA8" w14:textId="437DBAD2" w:rsidR="00B6497D" w:rsidRPr="00B6497D" w:rsidRDefault="007C207E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6</w:t>
            </w:r>
            <w:r w:rsidR="00B6497D"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>Name of the holder of the Marketing Authorization and official address</w:t>
            </w:r>
          </w:p>
        </w:tc>
      </w:tr>
      <w:tr w:rsidR="00B6497D" w:rsidRPr="00B6497D" w14:paraId="152A3BB2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E42D675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7C207E" w:rsidRPr="00B6497D" w14:paraId="4A10358A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46551B96" w14:textId="17C18A63" w:rsidR="007C207E" w:rsidRPr="00B6497D" w:rsidRDefault="007C207E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A7</w:t>
            </w:r>
            <w:r w:rsidR="00B96C9C"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</w:rPr>
              <w:tab/>
            </w:r>
            <w:r w:rsidRPr="007C207E">
              <w:rPr>
                <w:rFonts w:cs="Arial"/>
                <w:sz w:val="18"/>
              </w:rPr>
              <w:t xml:space="preserve">Name of the </w:t>
            </w:r>
            <w:r w:rsidR="00F950AF">
              <w:rPr>
                <w:rFonts w:cs="Arial"/>
                <w:sz w:val="18"/>
              </w:rPr>
              <w:t>applicant</w:t>
            </w:r>
            <w:r w:rsidRPr="007C207E">
              <w:rPr>
                <w:rFonts w:cs="Arial"/>
                <w:sz w:val="18"/>
              </w:rPr>
              <w:t xml:space="preserve"> </w:t>
            </w:r>
            <w:r w:rsidR="00F173E6">
              <w:rPr>
                <w:rFonts w:cs="Arial"/>
                <w:sz w:val="18"/>
              </w:rPr>
              <w:t xml:space="preserve">for prequalification </w:t>
            </w:r>
            <w:r w:rsidRPr="007C207E">
              <w:rPr>
                <w:rFonts w:cs="Arial"/>
                <w:sz w:val="18"/>
              </w:rPr>
              <w:t>and official address</w:t>
            </w:r>
            <w:r w:rsidR="00F950AF">
              <w:rPr>
                <w:rFonts w:cs="Arial"/>
                <w:sz w:val="18"/>
              </w:rPr>
              <w:t xml:space="preserve"> (</w:t>
            </w:r>
            <w:r w:rsidR="008C32BD">
              <w:rPr>
                <w:rFonts w:cs="Arial"/>
                <w:b/>
                <w:bCs/>
                <w:sz w:val="18"/>
              </w:rPr>
              <w:t>provide o</w:t>
            </w:r>
            <w:r w:rsidR="00F950AF" w:rsidRPr="00E67A96">
              <w:rPr>
                <w:rFonts w:cs="Arial"/>
                <w:b/>
                <w:bCs/>
                <w:sz w:val="18"/>
              </w:rPr>
              <w:t>nly if different from the MAH</w:t>
            </w:r>
            <w:r w:rsidR="00F950AF">
              <w:rPr>
                <w:rFonts w:cs="Arial"/>
                <w:sz w:val="18"/>
              </w:rPr>
              <w:t>)</w:t>
            </w:r>
            <w:r w:rsidR="0028600B">
              <w:rPr>
                <w:rStyle w:val="FootnoteReference"/>
                <w:rFonts w:cs="Arial"/>
                <w:sz w:val="18"/>
              </w:rPr>
              <w:footnoteReference w:id="2"/>
            </w:r>
          </w:p>
        </w:tc>
      </w:tr>
      <w:tr w:rsidR="007C207E" w:rsidRPr="00B6497D" w14:paraId="2947C46D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F87013F" w14:textId="77777777" w:rsidR="007C207E" w:rsidRPr="00B6497D" w:rsidRDefault="007C207E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21D5E410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1040D271" w14:textId="2304C750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8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Proprietary name of finished pharmaceutical product (FPP) </w:t>
            </w:r>
            <w:r w:rsidR="008256D0">
              <w:rPr>
                <w:rFonts w:cs="Arial"/>
                <w:sz w:val="18"/>
              </w:rPr>
              <w:t xml:space="preserve">as </w:t>
            </w:r>
            <w:r w:rsidRPr="00B6497D">
              <w:rPr>
                <w:rFonts w:cs="Arial"/>
                <w:sz w:val="18"/>
              </w:rPr>
              <w:t>in the reference SRA</w:t>
            </w:r>
            <w:r w:rsidR="008C32BD">
              <w:rPr>
                <w:rFonts w:cs="Arial"/>
                <w:sz w:val="18"/>
              </w:rPr>
              <w:t>’s</w:t>
            </w:r>
            <w:r w:rsidRPr="00B6497D">
              <w:rPr>
                <w:rFonts w:cs="Arial"/>
                <w:sz w:val="18"/>
              </w:rPr>
              <w:t xml:space="preserve"> </w:t>
            </w:r>
            <w:r w:rsidR="008256D0">
              <w:rPr>
                <w:rFonts w:cs="Arial"/>
                <w:sz w:val="18"/>
              </w:rPr>
              <w:t>product information</w:t>
            </w:r>
          </w:p>
        </w:tc>
      </w:tr>
      <w:tr w:rsidR="00B6497D" w:rsidRPr="00B6497D" w14:paraId="450F303A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259AF755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6185A937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72B9EB52" w14:textId="095EFB04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9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INN of active pharmaceutical ingredient(s) [API(s)], including form (salt, hydrate, solvate, etc</w:t>
            </w:r>
            <w:r w:rsidR="00C660C1">
              <w:rPr>
                <w:rFonts w:cs="Arial"/>
                <w:sz w:val="18"/>
              </w:rPr>
              <w:t>.</w:t>
            </w:r>
            <w:r w:rsidRPr="00B6497D">
              <w:rPr>
                <w:rFonts w:cs="Arial"/>
                <w:sz w:val="18"/>
              </w:rPr>
              <w:t>)</w:t>
            </w:r>
          </w:p>
        </w:tc>
      </w:tr>
      <w:tr w:rsidR="00B6497D" w:rsidRPr="00B6497D" w14:paraId="6BE4BFB7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5FB989B5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0EAC9EA8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419BBCF3" w14:textId="2B2608FE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10</w:t>
            </w:r>
            <w:r w:rsidRPr="00B6497D">
              <w:rPr>
                <w:rFonts w:cs="Arial"/>
                <w:sz w:val="18"/>
              </w:rPr>
              <w:t>.</w:t>
            </w:r>
            <w:r w:rsidR="00380925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Dosage form and strength </w:t>
            </w:r>
          </w:p>
        </w:tc>
      </w:tr>
      <w:tr w:rsidR="00B6497D" w:rsidRPr="00B6497D" w14:paraId="6F761937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F4F477C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71D53EEC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20B24386" w14:textId="6D33C3E0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11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Product description (as in Product Information, e.g. White, film-coated, capsule shaped tablets</w:t>
            </w:r>
            <w:r w:rsidR="00C660C1">
              <w:rPr>
                <w:rFonts w:cs="Arial"/>
                <w:sz w:val="18"/>
              </w:rPr>
              <w:t>,</w:t>
            </w:r>
            <w:r w:rsidRPr="00B6497D">
              <w:rPr>
                <w:rFonts w:cs="Arial"/>
                <w:sz w:val="18"/>
              </w:rPr>
              <w:t xml:space="preserve"> debossed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with ‘X’ and score line on one side and plain on other side.)</w:t>
            </w:r>
          </w:p>
        </w:tc>
      </w:tr>
      <w:tr w:rsidR="00B6497D" w:rsidRPr="00B6497D" w14:paraId="39A1ED12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1CDBDC5F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5ECD5E97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1410AD19" w14:textId="5204576B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12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Primary and secondary packaging material(s) and pack size(s) (all pack types)</w:t>
            </w:r>
          </w:p>
        </w:tc>
      </w:tr>
      <w:tr w:rsidR="00B6497D" w:rsidRPr="00B6497D" w14:paraId="6A5B8361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7B29DC7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544B372B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53CC00E5" w14:textId="0B9A77B8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13</w:t>
            </w:r>
            <w:r w:rsidRPr="00B6497D">
              <w:rPr>
                <w:rFonts w:cs="Arial"/>
                <w:sz w:val="18"/>
              </w:rPr>
              <w:t xml:space="preserve">.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Storage conditions (as in Product Information)</w:t>
            </w:r>
          </w:p>
        </w:tc>
      </w:tr>
      <w:tr w:rsidR="00B6497D" w:rsidRPr="00B6497D" w14:paraId="0F254072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4904EA0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06CAF203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2326139B" w14:textId="63B98784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14</w:t>
            </w:r>
            <w:r w:rsidR="00140B7E">
              <w:rPr>
                <w:rFonts w:cs="Arial"/>
                <w:sz w:val="18"/>
              </w:rPr>
              <w:tab/>
            </w:r>
            <w:r w:rsidR="00630EC9">
              <w:rPr>
                <w:rFonts w:cs="Arial"/>
                <w:sz w:val="18"/>
              </w:rPr>
              <w:t>.</w:t>
            </w:r>
            <w:r w:rsidRPr="00B6497D">
              <w:rPr>
                <w:rFonts w:cs="Arial"/>
                <w:sz w:val="18"/>
              </w:rPr>
              <w:t>Shelf-life of FPP (including in-use periods, where applicable)</w:t>
            </w:r>
          </w:p>
        </w:tc>
      </w:tr>
      <w:tr w:rsidR="00B6497D" w:rsidRPr="00B6497D" w14:paraId="186A550D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32B30241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3630FFB4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424D9A9B" w14:textId="5F90CFEF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15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Names of all approved manufacturers of FPP, physical address(es) of manufacturing site(s) (and unit if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applicable), including intermediates, primary packaging site and release testing (indicate function of each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site)</w:t>
            </w:r>
          </w:p>
        </w:tc>
      </w:tr>
      <w:tr w:rsidR="00B6497D" w:rsidRPr="00B6497D" w14:paraId="5C8EDC1C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10CE7C9A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458B43FD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F9F18E7" w14:textId="5185DCC3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16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Names of all approved API manufacturers, physical address(es) of manufacturing site(s) (and unit if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applicable), including intermediates, contractors and release testing (indicate function of each site)</w:t>
            </w:r>
          </w:p>
        </w:tc>
      </w:tr>
      <w:tr w:rsidR="00B6497D" w:rsidRPr="00B6497D" w14:paraId="6C63D48B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ABC144F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715CCFFC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4CDDBB07" w14:textId="177315FC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 w:rsidR="003B43CD">
              <w:rPr>
                <w:rFonts w:cs="Arial"/>
                <w:sz w:val="18"/>
              </w:rPr>
              <w:t>17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Storage conditions and duration over which stability, as reported to the reference SRA, was established (e.g.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30±2°C/75±5%RH for 24 months, 40±2°C/75±5%RH for 6 months):</w:t>
            </w:r>
          </w:p>
        </w:tc>
      </w:tr>
      <w:tr w:rsidR="00B6497D" w:rsidRPr="00B6497D" w14:paraId="1E0727A9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313" w:type="dxa"/>
          </w:tcPr>
          <w:p w14:paraId="10A3EB97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Long term (real time in months)</w:t>
            </w:r>
          </w:p>
        </w:tc>
        <w:tc>
          <w:tcPr>
            <w:tcW w:w="6095" w:type="dxa"/>
            <w:gridSpan w:val="2"/>
          </w:tcPr>
          <w:p w14:paraId="7B91A8D7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  <w:tr w:rsidR="00B6497D" w:rsidRPr="00B6497D" w14:paraId="6B25F636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3313" w:type="dxa"/>
          </w:tcPr>
          <w:p w14:paraId="13893312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Intermediate (duration in months)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179079E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  <w:tr w:rsidR="00B6497D" w:rsidRPr="00B6497D" w14:paraId="3EF512F5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313" w:type="dxa"/>
          </w:tcPr>
          <w:p w14:paraId="2A637034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Accelerated (duration in months)</w:t>
            </w:r>
          </w:p>
        </w:tc>
        <w:tc>
          <w:tcPr>
            <w:tcW w:w="6095" w:type="dxa"/>
            <w:gridSpan w:val="2"/>
          </w:tcPr>
          <w:p w14:paraId="43D434A9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</w:tbl>
    <w:p w14:paraId="5AE5197E" w14:textId="77777777" w:rsidR="00B6497D" w:rsidRPr="00B6497D" w:rsidRDefault="00B6497D" w:rsidP="00B42F7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120"/>
        <w:ind w:left="432" w:hanging="432"/>
        <w:rPr>
          <w:rFonts w:cs="Arial"/>
          <w:b/>
          <w:bCs/>
          <w:color w:val="000000"/>
          <w:lang w:val="en-GB" w:eastAsia="en-CA"/>
        </w:rPr>
      </w:pPr>
      <w:r w:rsidRPr="00B6497D">
        <w:rPr>
          <w:rFonts w:cs="Arial"/>
          <w:b/>
          <w:bCs/>
          <w:color w:val="000000"/>
          <w:lang w:val="en-GB" w:eastAsia="en-CA"/>
        </w:rPr>
        <w:br w:type="page"/>
      </w:r>
      <w:r w:rsidRPr="00B6497D">
        <w:rPr>
          <w:rFonts w:cs="Arial"/>
          <w:b/>
          <w:bCs/>
          <w:color w:val="000000"/>
          <w:lang w:val="en-GB" w:eastAsia="en-CA"/>
        </w:rPr>
        <w:lastRenderedPageBreak/>
        <w:t>Information (</w:t>
      </w:r>
      <w:r w:rsidRPr="00B6497D">
        <w:rPr>
          <w:rFonts w:cs="Arial"/>
          <w:b/>
          <w:bCs/>
          <w:color w:val="000000"/>
          <w:u w:val="single"/>
          <w:lang w:val="en-GB" w:eastAsia="en-CA"/>
        </w:rPr>
        <w:t>as currently approved by the reference SRA</w:t>
      </w:r>
      <w:r w:rsidRPr="00B6497D">
        <w:rPr>
          <w:rFonts w:cs="Arial"/>
          <w:b/>
          <w:bCs/>
          <w:color w:val="000000"/>
          <w:lang w:val="en-GB" w:eastAsia="en-CA"/>
        </w:rPr>
        <w:t xml:space="preserve">, where applicable) that will not be </w:t>
      </w:r>
      <w:r w:rsidR="00B42F76">
        <w:rPr>
          <w:rFonts w:cs="Arial"/>
          <w:b/>
          <w:bCs/>
          <w:color w:val="000000"/>
          <w:lang w:val="en-GB" w:eastAsia="en-CA"/>
        </w:rPr>
        <w:t xml:space="preserve">made </w:t>
      </w:r>
      <w:r w:rsidRPr="00B6497D">
        <w:rPr>
          <w:rFonts w:cs="Arial"/>
          <w:b/>
          <w:bCs/>
          <w:color w:val="000000"/>
          <w:lang w:val="en-GB" w:eastAsia="en-CA"/>
        </w:rPr>
        <w:t xml:space="preserve">publicly </w:t>
      </w:r>
      <w:r w:rsidR="00B42F76">
        <w:rPr>
          <w:rFonts w:cs="Arial"/>
          <w:b/>
          <w:bCs/>
          <w:color w:val="000000"/>
          <w:lang w:val="en-GB" w:eastAsia="en-CA"/>
        </w:rPr>
        <w:t>available</w:t>
      </w:r>
    </w:p>
    <w:tbl>
      <w:tblPr>
        <w:tblW w:w="943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701"/>
        <w:gridCol w:w="1679"/>
        <w:gridCol w:w="943"/>
        <w:gridCol w:w="1609"/>
        <w:gridCol w:w="1014"/>
      </w:tblGrid>
      <w:tr w:rsidR="00B6497D" w:rsidRPr="00140B7E" w14:paraId="56BCA66F" w14:textId="77777777" w:rsidTr="001C0A03">
        <w:trPr>
          <w:trHeight w:val="144"/>
          <w:jc w:val="center"/>
        </w:trPr>
        <w:tc>
          <w:tcPr>
            <w:tcW w:w="9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0FE478" w14:textId="77777777" w:rsidR="00B6497D" w:rsidRPr="001C0A03" w:rsidRDefault="00B6497D" w:rsidP="00140B7E">
            <w:pPr>
              <w:keepNext/>
              <w:keepLines/>
              <w:spacing w:before="80" w:after="40"/>
              <w:ind w:left="142" w:hanging="142"/>
              <w:rPr>
                <w:b/>
                <w:bCs/>
                <w:color w:val="000000" w:themeColor="text1"/>
              </w:rPr>
            </w:pPr>
            <w:r w:rsidRPr="001C0A03">
              <w:rPr>
                <w:b/>
                <w:bCs/>
                <w:color w:val="000000" w:themeColor="text1"/>
              </w:rPr>
              <w:t>B1. Composition (formulation) information</w:t>
            </w:r>
          </w:p>
        </w:tc>
      </w:tr>
      <w:tr w:rsidR="00B6497D" w:rsidRPr="00B6497D" w14:paraId="2D56BDE9" w14:textId="77777777" w:rsidTr="00140B7E">
        <w:trPr>
          <w:trHeight w:val="144"/>
          <w:jc w:val="center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49DE2C" w14:textId="39D3D2F1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Component and quality standard</w:t>
            </w:r>
            <w:r w:rsidR="00F44352" w:rsidRPr="00F44352">
              <w:rPr>
                <w:rFonts w:cs="Arial"/>
                <w:color w:val="000000" w:themeColor="text1"/>
                <w:lang w:eastAsia="en-CA"/>
              </w:rPr>
              <w:t xml:space="preserve"> (and grade, if applicable)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FC67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Function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CBBAA8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Unit composition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C4A490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Batch composition</w:t>
            </w:r>
            <w:r w:rsidRPr="00140B7E">
              <w:rPr>
                <w:rFonts w:cs="Arial"/>
                <w:color w:val="000000" w:themeColor="text1"/>
                <w:lang w:eastAsia="en-CA"/>
              </w:rPr>
              <w:br/>
              <w:t>(largest approved size)</w:t>
            </w:r>
          </w:p>
          <w:p w14:paraId="3EE9E082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</w:p>
        </w:tc>
      </w:tr>
      <w:tr w:rsidR="00B6497D" w:rsidRPr="00B6497D" w14:paraId="3547D319" w14:textId="77777777" w:rsidTr="00140B7E">
        <w:trPr>
          <w:trHeight w:val="144"/>
          <w:jc w:val="center"/>
        </w:trPr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C04F96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BA1352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8404F0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Quantity per unit or per ml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BE1DFD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915298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Theoretical quantity / batch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A6955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%</w:t>
            </w:r>
          </w:p>
        </w:tc>
      </w:tr>
      <w:tr w:rsidR="00B6497D" w:rsidRPr="00B6497D" w14:paraId="2CD6D63B" w14:textId="77777777" w:rsidTr="002C3F73">
        <w:trPr>
          <w:trHeight w:val="144"/>
          <w:jc w:val="center"/>
        </w:trPr>
        <w:tc>
          <w:tcPr>
            <w:tcW w:w="9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B2B" w14:textId="6C964BC4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&lt;complete with appropriate title e.g. core tablet</w:t>
            </w:r>
            <w:r w:rsidR="00F44352" w:rsidRPr="00F44352">
              <w:rPr>
                <w:rFonts w:cs="Arial"/>
                <w:lang w:val="en-GB" w:eastAsia="en-CA"/>
              </w:rPr>
              <w:t xml:space="preserve"> (Layer 1, Layer 2, etc. as applicable)</w:t>
            </w:r>
            <w:r w:rsidRPr="00B6497D">
              <w:rPr>
                <w:rFonts w:cs="Arial"/>
                <w:lang w:eastAsia="en-CA"/>
              </w:rPr>
              <w:t>, contents of capsule, powder for injection&gt;</w:t>
            </w:r>
          </w:p>
        </w:tc>
      </w:tr>
      <w:tr w:rsidR="00B6497D" w:rsidRPr="00B6497D" w14:paraId="506371D9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6575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130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692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D6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1B8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41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31A09F0C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6B3A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7E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979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D4B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5E0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18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6293D570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691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BB5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31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B14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48D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A8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6A450E5D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19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FD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B0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668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DBE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2A7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67ED9ED0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FEA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Subtotal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D94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03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4DA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B1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AF6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70E60859" w14:textId="77777777" w:rsidTr="002C3F73">
        <w:trPr>
          <w:trHeight w:val="144"/>
          <w:jc w:val="center"/>
        </w:trPr>
        <w:tc>
          <w:tcPr>
            <w:tcW w:w="9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BB3" w14:textId="77777777" w:rsidR="00B6497D" w:rsidRPr="00B6497D" w:rsidRDefault="00B6497D" w:rsidP="00B42F76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&lt;complete with appropriate title</w:t>
            </w:r>
            <w:r w:rsidR="00685F73">
              <w:rPr>
                <w:rFonts w:cs="Arial"/>
                <w:lang w:eastAsia="en-CA"/>
              </w:rPr>
              <w:t>,</w:t>
            </w:r>
            <w:r w:rsidRPr="00B6497D">
              <w:rPr>
                <w:rFonts w:cs="Arial"/>
                <w:lang w:eastAsia="en-CA"/>
              </w:rPr>
              <w:t xml:space="preserve"> e.g. film-coating&gt;</w:t>
            </w:r>
          </w:p>
        </w:tc>
      </w:tr>
      <w:tr w:rsidR="00B6497D" w:rsidRPr="00B6497D" w14:paraId="26551B11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29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D40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06D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AC0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B7E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E7B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7EF5E8F8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2ED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6B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5F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B40E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36B5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8B6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6D4E8FC8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5F0A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0A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D86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26C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D5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192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2AB94464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EEE8B5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Subtotal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626E1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26A92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33D82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F7C5E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700D4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241BD24E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08178A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FDC38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43FD3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5636F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888C7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3D814AB5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53986C6D" w14:textId="77777777" w:rsidTr="002C3F73">
        <w:trPr>
          <w:trHeight w:val="144"/>
          <w:jc w:val="center"/>
        </w:trPr>
        <w:tc>
          <w:tcPr>
            <w:tcW w:w="6807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5FB7E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Batch size in number of units, where applicable</w:t>
            </w:r>
          </w:p>
        </w:tc>
        <w:tc>
          <w:tcPr>
            <w:tcW w:w="26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1FE4C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6CE1E6EF" w14:textId="77777777" w:rsidTr="002C3F73">
        <w:trPr>
          <w:trHeight w:val="200"/>
          <w:jc w:val="center"/>
        </w:trPr>
        <w:tc>
          <w:tcPr>
            <w:tcW w:w="680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846C0A" w14:textId="77777777" w:rsidR="00B6497D" w:rsidRPr="00B6497D" w:rsidRDefault="00B6497D" w:rsidP="00140B7E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 xml:space="preserve">Additionally approved batch sizes </w:t>
            </w:r>
            <w:r w:rsidR="00140B7E">
              <w:rPr>
                <w:rFonts w:cs="Arial"/>
                <w:lang w:eastAsia="en-CA"/>
              </w:rPr>
              <w:t>—</w:t>
            </w:r>
            <w:r w:rsidRPr="00B6497D">
              <w:rPr>
                <w:rFonts w:cs="Arial"/>
                <w:lang w:eastAsia="en-CA"/>
              </w:rPr>
              <w:t xml:space="preserve"> in number of units or kg, where applicable (add as many rows as necessary)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85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752BC2F1" w14:textId="77777777" w:rsidTr="002C3F73">
        <w:trPr>
          <w:trHeight w:val="200"/>
          <w:jc w:val="center"/>
        </w:trPr>
        <w:tc>
          <w:tcPr>
            <w:tcW w:w="680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65566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01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61D2E41D" w14:textId="77777777" w:rsidTr="002C3F73">
        <w:trPr>
          <w:trHeight w:val="200"/>
          <w:jc w:val="center"/>
        </w:trPr>
        <w:tc>
          <w:tcPr>
            <w:tcW w:w="680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2876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50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13460B13" w14:textId="77777777" w:rsidTr="002C3F73">
        <w:trPr>
          <w:trHeight w:val="200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6180E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Composition of all components purchased as mixtures (e.g. colorants, coatings, capsule shells, imprinting inks):</w:t>
            </w:r>
          </w:p>
          <w:p w14:paraId="1D55C40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  <w:p w14:paraId="7E4E0C9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</w:tbl>
    <w:p w14:paraId="01238217" w14:textId="77777777" w:rsidR="00B6497D" w:rsidRPr="00B6497D" w:rsidRDefault="00B6497D" w:rsidP="00B6497D">
      <w:pPr>
        <w:keepNext/>
        <w:keepLines/>
        <w:tabs>
          <w:tab w:val="left" w:pos="1080"/>
        </w:tabs>
        <w:spacing w:after="120"/>
        <w:ind w:left="1080" w:hanging="994"/>
        <w:rPr>
          <w:rFonts w:ascii="Calibri" w:eastAsia="Calibri" w:hAnsi="Calibri"/>
          <w:b/>
          <w:bCs/>
          <w:color w:val="000000" w:themeColor="text1"/>
          <w:szCs w:val="18"/>
          <w:lang w:val="en-GB"/>
        </w:rPr>
      </w:pPr>
    </w:p>
    <w:tbl>
      <w:tblPr>
        <w:tblStyle w:val="TableProfessional"/>
        <w:tblW w:w="94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7"/>
        <w:gridCol w:w="2127"/>
        <w:gridCol w:w="2268"/>
        <w:gridCol w:w="2148"/>
      </w:tblGrid>
      <w:tr w:rsidR="00B6497D" w:rsidRPr="00B6497D" w14:paraId="70E74E97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9430" w:type="dxa"/>
            <w:gridSpan w:val="4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4A4269F2" w14:textId="77777777" w:rsidR="00B6497D" w:rsidRPr="00B6497D" w:rsidRDefault="00B6497D" w:rsidP="00B6497D">
            <w:pPr>
              <w:keepNext/>
              <w:keepLines/>
              <w:spacing w:before="80" w:after="40"/>
              <w:rPr>
                <w:color w:val="FFFFFF" w:themeColor="background1"/>
              </w:rPr>
            </w:pPr>
            <w:r w:rsidRPr="001C0A03">
              <w:rPr>
                <w:color w:val="000000" w:themeColor="text1"/>
              </w:rPr>
              <w:t>B2. FPP specifications</w:t>
            </w:r>
          </w:p>
        </w:tc>
      </w:tr>
      <w:tr w:rsidR="00B6497D" w:rsidRPr="00B6497D" w14:paraId="391CFAA0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7282" w:type="dxa"/>
            <w:gridSpan w:val="3"/>
            <w:shd w:val="clear" w:color="auto" w:fill="D9D9D9" w:themeFill="background1" w:themeFillShade="D9"/>
          </w:tcPr>
          <w:p w14:paraId="74BEEED0" w14:textId="3583940F" w:rsidR="00B6497D" w:rsidRPr="00B6497D" w:rsidRDefault="00B6497D" w:rsidP="00685F73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 xml:space="preserve">Standard (e.g. </w:t>
            </w:r>
            <w:proofErr w:type="spellStart"/>
            <w:r w:rsidR="00F44352">
              <w:rPr>
                <w:sz w:val="18"/>
              </w:rPr>
              <w:t>Ph.Int</w:t>
            </w:r>
            <w:proofErr w:type="spellEnd"/>
            <w:r w:rsidR="00380925">
              <w:rPr>
                <w:sz w:val="18"/>
              </w:rPr>
              <w:t>.</w:t>
            </w:r>
            <w:r w:rsidR="00685F73">
              <w:rPr>
                <w:sz w:val="18"/>
              </w:rPr>
              <w:t xml:space="preserve">, </w:t>
            </w:r>
            <w:r w:rsidR="00F44352">
              <w:rPr>
                <w:sz w:val="18"/>
              </w:rPr>
              <w:t>BP</w:t>
            </w:r>
            <w:r w:rsidR="00685F73">
              <w:rPr>
                <w:sz w:val="18"/>
              </w:rPr>
              <w:t xml:space="preserve">, </w:t>
            </w:r>
            <w:r w:rsidR="00F44352">
              <w:rPr>
                <w:sz w:val="18"/>
              </w:rPr>
              <w:t>USP</w:t>
            </w:r>
            <w:r w:rsidR="001D175A">
              <w:rPr>
                <w:sz w:val="18"/>
              </w:rPr>
              <w:t>, in-house</w:t>
            </w:r>
            <w:r w:rsidRPr="00B6497D">
              <w:rPr>
                <w:sz w:val="18"/>
              </w:rPr>
              <w:t>)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5BDC9A6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58C419C1" w14:textId="77777777" w:rsidTr="001C0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7282" w:type="dxa"/>
            <w:gridSpan w:val="3"/>
          </w:tcPr>
          <w:p w14:paraId="27C79A5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Specification reference number and version / effective date</w:t>
            </w:r>
          </w:p>
        </w:tc>
        <w:tc>
          <w:tcPr>
            <w:tcW w:w="2148" w:type="dxa"/>
          </w:tcPr>
          <w:p w14:paraId="2F793A73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518A50BC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D9D9D9" w:themeFill="background1" w:themeFillShade="D9"/>
          </w:tcPr>
          <w:p w14:paraId="761CE1FE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Test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D16C828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Acceptance criteria</w:t>
            </w:r>
            <w:r w:rsidRPr="00B6497D">
              <w:rPr>
                <w:sz w:val="18"/>
              </w:rPr>
              <w:br/>
              <w:t>(release)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097C2C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Acceptance criteria</w:t>
            </w:r>
            <w:r w:rsidRPr="00B6497D">
              <w:rPr>
                <w:sz w:val="18"/>
              </w:rPr>
              <w:br/>
              <w:t>(shelf-life)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4CED956D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Analytical procedure</w:t>
            </w:r>
            <w:r w:rsidRPr="00B6497D">
              <w:rPr>
                <w:sz w:val="18"/>
              </w:rPr>
              <w:br/>
              <w:t>(type/source/version)</w:t>
            </w:r>
          </w:p>
        </w:tc>
      </w:tr>
      <w:tr w:rsidR="00B6497D" w:rsidRPr="00B6497D" w14:paraId="2B33B852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424829D8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Description</w:t>
            </w:r>
          </w:p>
        </w:tc>
        <w:tc>
          <w:tcPr>
            <w:tcW w:w="2127" w:type="dxa"/>
            <w:shd w:val="clear" w:color="auto" w:fill="FFFFFF" w:themeFill="background1"/>
          </w:tcPr>
          <w:p w14:paraId="657A0C5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398E9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3920679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0805FCCD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7A32E3C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Identification</w:t>
            </w:r>
          </w:p>
        </w:tc>
        <w:tc>
          <w:tcPr>
            <w:tcW w:w="2127" w:type="dxa"/>
            <w:shd w:val="clear" w:color="auto" w:fill="FFFFFF" w:themeFill="background1"/>
          </w:tcPr>
          <w:p w14:paraId="0D5A0A4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49720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66A94D43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750DCB2E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68C008C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Impurities</w:t>
            </w:r>
          </w:p>
        </w:tc>
        <w:tc>
          <w:tcPr>
            <w:tcW w:w="2127" w:type="dxa"/>
            <w:shd w:val="clear" w:color="auto" w:fill="FFFFFF" w:themeFill="background1"/>
          </w:tcPr>
          <w:p w14:paraId="2A1EB9D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CCB310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02FE68F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C2EE665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2D38A2CB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Assay</w:t>
            </w:r>
          </w:p>
        </w:tc>
        <w:tc>
          <w:tcPr>
            <w:tcW w:w="2127" w:type="dxa"/>
            <w:shd w:val="clear" w:color="auto" w:fill="FFFFFF" w:themeFill="background1"/>
          </w:tcPr>
          <w:p w14:paraId="70CA12B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3C256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0573F29B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24B44CD8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3E49927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etc.</w:t>
            </w:r>
          </w:p>
        </w:tc>
        <w:tc>
          <w:tcPr>
            <w:tcW w:w="2127" w:type="dxa"/>
            <w:shd w:val="clear" w:color="auto" w:fill="FFFFFF" w:themeFill="background1"/>
          </w:tcPr>
          <w:p w14:paraId="2785075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78921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6D8865B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3C33AD8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33F4C91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D27FC5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7C864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62391AB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59941803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33B5522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E1E5CCB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DAA66B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482F4C6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12FA65D2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216A153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DBBB41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F7E404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54F34066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2B20D7D2" w14:textId="77777777" w:rsidR="00B6497D" w:rsidRPr="00B6497D" w:rsidRDefault="00B6497D" w:rsidP="00B6497D">
      <w:pPr>
        <w:keepNext/>
        <w:keepLines/>
        <w:tabs>
          <w:tab w:val="left" w:pos="1080"/>
        </w:tabs>
        <w:spacing w:after="120"/>
        <w:ind w:left="1080" w:hanging="994"/>
        <w:rPr>
          <w:rFonts w:ascii="Calibri" w:eastAsia="Calibri" w:hAnsi="Calibri"/>
          <w:b/>
          <w:bCs/>
          <w:color w:val="000000" w:themeColor="text1"/>
          <w:lang w:val="en-GB"/>
        </w:rPr>
      </w:pPr>
    </w:p>
    <w:tbl>
      <w:tblPr>
        <w:tblStyle w:val="TableProfessional"/>
        <w:tblW w:w="94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7"/>
        <w:gridCol w:w="1701"/>
        <w:gridCol w:w="4842"/>
      </w:tblGrid>
      <w:tr w:rsidR="00B6497D" w:rsidRPr="00B6497D" w14:paraId="11B349FC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9430" w:type="dxa"/>
            <w:gridSpan w:val="3"/>
            <w:shd w:val="clear" w:color="auto" w:fill="D9D9D9" w:themeFill="background1" w:themeFillShade="D9"/>
          </w:tcPr>
          <w:p w14:paraId="2604656A" w14:textId="77777777" w:rsidR="00B6497D" w:rsidRPr="00B6497D" w:rsidRDefault="00B6497D" w:rsidP="00B6497D">
            <w:pPr>
              <w:keepNext/>
              <w:keepLines/>
              <w:spacing w:before="80" w:after="40"/>
              <w:rPr>
                <w:color w:val="FFFFFF" w:themeColor="background1"/>
              </w:rPr>
            </w:pPr>
            <w:r w:rsidRPr="001C0A03">
              <w:rPr>
                <w:color w:val="000000" w:themeColor="text1"/>
              </w:rPr>
              <w:t>B3. Pharmacokinetic / safety / efficacy related information used for SRA approval of multisource products. Indicate:</w:t>
            </w:r>
          </w:p>
        </w:tc>
      </w:tr>
      <w:tr w:rsidR="00B6497D" w:rsidRPr="00B6497D" w14:paraId="3BE24D31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D9D9D9" w:themeFill="background1" w:themeFillShade="D9"/>
          </w:tcPr>
          <w:p w14:paraId="2629FE0C" w14:textId="77777777" w:rsidR="00B6497D" w:rsidRPr="00B6497D" w:rsidRDefault="00B6497D" w:rsidP="00B6497D">
            <w:pPr>
              <w:keepNext/>
              <w:keepLines/>
              <w:rPr>
                <w:b/>
                <w:sz w:val="18"/>
              </w:rPr>
            </w:pPr>
            <w:r w:rsidRPr="00B6497D">
              <w:rPr>
                <w:b/>
                <w:sz w:val="18"/>
              </w:rPr>
              <w:t>Type of study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03E05C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“X” in appropriate box</w:t>
            </w:r>
          </w:p>
        </w:tc>
        <w:tc>
          <w:tcPr>
            <w:tcW w:w="4842" w:type="dxa"/>
            <w:shd w:val="clear" w:color="auto" w:fill="D9D9D9" w:themeFill="background1" w:themeFillShade="D9"/>
          </w:tcPr>
          <w:p w14:paraId="13C306A3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Comparator product</w:t>
            </w:r>
          </w:p>
        </w:tc>
      </w:tr>
      <w:tr w:rsidR="00B6497D" w:rsidRPr="00B6497D" w14:paraId="53D1D0C4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73B8308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Bioequivalence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7C2BBD08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34FFC914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3C11C00F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3342DA80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BCS-based biowaiver</w:t>
            </w:r>
          </w:p>
        </w:tc>
        <w:tc>
          <w:tcPr>
            <w:tcW w:w="1701" w:type="dxa"/>
            <w:shd w:val="clear" w:color="auto" w:fill="FFFFFF" w:themeFill="background1"/>
          </w:tcPr>
          <w:p w14:paraId="26C53E8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77FCE608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785C398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1001E2B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Other (specify)</w:t>
            </w:r>
          </w:p>
        </w:tc>
        <w:tc>
          <w:tcPr>
            <w:tcW w:w="1701" w:type="dxa"/>
            <w:shd w:val="clear" w:color="auto" w:fill="FFFFFF" w:themeFill="background1"/>
          </w:tcPr>
          <w:p w14:paraId="3363ED43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1B91E834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2CDBF2CA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71AD7A9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No study</w:t>
            </w:r>
          </w:p>
        </w:tc>
        <w:tc>
          <w:tcPr>
            <w:tcW w:w="1701" w:type="dxa"/>
            <w:shd w:val="clear" w:color="auto" w:fill="FFFFFF" w:themeFill="background1"/>
          </w:tcPr>
          <w:p w14:paraId="274564B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2C35F3E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63DC76F6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0CFDF67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Notes / clarifications</w:t>
            </w:r>
          </w:p>
        </w:tc>
        <w:tc>
          <w:tcPr>
            <w:tcW w:w="6543" w:type="dxa"/>
            <w:gridSpan w:val="2"/>
            <w:shd w:val="clear" w:color="auto" w:fill="FFFFFF" w:themeFill="background1"/>
          </w:tcPr>
          <w:p w14:paraId="05E601B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1BCC9F06" w14:textId="77777777" w:rsidR="00B6497D" w:rsidRPr="00B6497D" w:rsidRDefault="00B6497D" w:rsidP="00B6497D">
      <w:pPr>
        <w:keepNext/>
        <w:keepLines/>
        <w:tabs>
          <w:tab w:val="left" w:pos="1080"/>
        </w:tabs>
        <w:spacing w:after="120"/>
        <w:ind w:left="1080" w:hanging="994"/>
        <w:rPr>
          <w:rFonts w:ascii="Calibri" w:eastAsia="Calibri" w:hAnsi="Calibri"/>
          <w:b/>
          <w:bCs/>
          <w:color w:val="000000" w:themeColor="text1"/>
          <w:lang w:val="en-GB"/>
        </w:rPr>
      </w:pPr>
    </w:p>
    <w:tbl>
      <w:tblPr>
        <w:tblStyle w:val="TableProfessional"/>
        <w:tblW w:w="94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38"/>
        <w:gridCol w:w="5692"/>
      </w:tblGrid>
      <w:tr w:rsidR="00B6497D" w:rsidRPr="00B6497D" w14:paraId="7D310429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13FD72FD" w14:textId="77777777" w:rsidR="00B6497D" w:rsidRPr="00B6497D" w:rsidRDefault="00B6497D" w:rsidP="00B6497D">
            <w:pPr>
              <w:keepNext/>
              <w:keepLines/>
              <w:spacing w:before="80" w:after="40"/>
              <w:rPr>
                <w:color w:val="FFFFFF" w:themeColor="background1"/>
              </w:rPr>
            </w:pPr>
            <w:r w:rsidRPr="001C0A03">
              <w:rPr>
                <w:color w:val="000000" w:themeColor="text1"/>
              </w:rPr>
              <w:t>B4. Contact information for communication with WHO</w:t>
            </w:r>
          </w:p>
        </w:tc>
      </w:tr>
      <w:tr w:rsidR="00B6497D" w:rsidRPr="00B6497D" w14:paraId="42B21FB0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  <w:shd w:val="clear" w:color="auto" w:fill="D9D9D9" w:themeFill="background1" w:themeFillShade="D9"/>
          </w:tcPr>
          <w:p w14:paraId="5C79983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Contact person and postal address</w:t>
            </w:r>
          </w:p>
        </w:tc>
        <w:tc>
          <w:tcPr>
            <w:tcW w:w="5692" w:type="dxa"/>
            <w:shd w:val="clear" w:color="auto" w:fill="FFFFFF" w:themeFill="background1"/>
          </w:tcPr>
          <w:p w14:paraId="3FD0A76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5030C1A4" w14:textId="77777777" w:rsidTr="001C0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</w:tcPr>
          <w:p w14:paraId="4676688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(International code) Telephone number</w:t>
            </w:r>
          </w:p>
        </w:tc>
        <w:tc>
          <w:tcPr>
            <w:tcW w:w="5692" w:type="dxa"/>
            <w:shd w:val="clear" w:color="auto" w:fill="FFFFFF" w:themeFill="background1"/>
          </w:tcPr>
          <w:p w14:paraId="479592E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17170C93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  <w:shd w:val="clear" w:color="auto" w:fill="D9D9D9" w:themeFill="background1" w:themeFillShade="D9"/>
          </w:tcPr>
          <w:p w14:paraId="79818CBD" w14:textId="5FC8CBED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(International code) Fax number</w:t>
            </w:r>
          </w:p>
        </w:tc>
        <w:tc>
          <w:tcPr>
            <w:tcW w:w="5692" w:type="dxa"/>
            <w:shd w:val="clear" w:color="auto" w:fill="FFFFFF" w:themeFill="background1"/>
          </w:tcPr>
          <w:p w14:paraId="7A011888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719E8241" w14:textId="77777777" w:rsidTr="001C0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</w:tcPr>
          <w:p w14:paraId="6A4A1DEB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Email address</w:t>
            </w:r>
          </w:p>
        </w:tc>
        <w:tc>
          <w:tcPr>
            <w:tcW w:w="5692" w:type="dxa"/>
            <w:shd w:val="clear" w:color="auto" w:fill="FFFFFF" w:themeFill="background1"/>
          </w:tcPr>
          <w:p w14:paraId="386ABB4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68F7E90D" w14:textId="77777777" w:rsidR="00B6497D" w:rsidRPr="00B6497D" w:rsidRDefault="00B6497D" w:rsidP="00B6497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lang w:val="en-GB" w:eastAsia="en-CA"/>
        </w:rPr>
      </w:pPr>
    </w:p>
    <w:p w14:paraId="09B4983A" w14:textId="16FCFE70" w:rsidR="00B6497D" w:rsidRPr="00B6497D" w:rsidRDefault="00B6497D" w:rsidP="00685F73">
      <w:pPr>
        <w:widowControl w:val="0"/>
        <w:autoSpaceDE w:val="0"/>
        <w:autoSpaceDN w:val="0"/>
        <w:adjustRightInd w:val="0"/>
        <w:rPr>
          <w:rFonts w:cs="Arial"/>
          <w:b/>
          <w:u w:val="single"/>
          <w:lang w:val="en-CA" w:eastAsia="en-CA"/>
        </w:rPr>
      </w:pPr>
      <w:r w:rsidRPr="00B6497D">
        <w:rPr>
          <w:rFonts w:cs="Arial"/>
          <w:b/>
          <w:u w:val="single"/>
          <w:lang w:val="en-CA" w:eastAsia="en-CA"/>
        </w:rPr>
        <w:t xml:space="preserve">Change </w:t>
      </w:r>
      <w:r w:rsidR="00685F73">
        <w:rPr>
          <w:rFonts w:cs="Arial"/>
          <w:b/>
          <w:u w:val="single"/>
          <w:lang w:val="en-CA" w:eastAsia="en-CA"/>
        </w:rPr>
        <w:t>h</w:t>
      </w:r>
      <w:r w:rsidRPr="00B6497D">
        <w:rPr>
          <w:rFonts w:cs="Arial"/>
          <w:b/>
          <w:u w:val="single"/>
          <w:lang w:val="en-CA" w:eastAsia="en-CA"/>
        </w:rPr>
        <w:t>istory to QIS-SRA</w:t>
      </w:r>
      <w:r w:rsidR="003244B5">
        <w:rPr>
          <w:rFonts w:cs="Arial"/>
          <w:b/>
          <w:u w:val="single"/>
          <w:lang w:val="en-CA" w:eastAsia="en-CA"/>
        </w:rPr>
        <w:t>-MED-</w:t>
      </w:r>
      <w:proofErr w:type="spellStart"/>
      <w:r w:rsidR="003244B5">
        <w:rPr>
          <w:rFonts w:cs="Arial"/>
          <w:b/>
          <w:u w:val="single"/>
          <w:lang w:val="en-CA" w:eastAsia="en-CA"/>
        </w:rPr>
        <w:t>crp</w:t>
      </w:r>
      <w:proofErr w:type="spellEnd"/>
      <w:r w:rsidRPr="00B6497D">
        <w:rPr>
          <w:rFonts w:cs="Arial"/>
          <w:b/>
          <w:u w:val="single"/>
          <w:lang w:val="en-CA" w:eastAsia="en-CA"/>
        </w:rPr>
        <w:t xml:space="preserve"> and </w:t>
      </w:r>
      <w:r w:rsidR="00685F73">
        <w:rPr>
          <w:rFonts w:cs="Arial"/>
          <w:b/>
          <w:u w:val="single"/>
          <w:lang w:val="en-CA" w:eastAsia="en-CA"/>
        </w:rPr>
        <w:t>product i</w:t>
      </w:r>
      <w:r w:rsidRPr="00B6497D">
        <w:rPr>
          <w:rFonts w:cs="Arial"/>
          <w:b/>
          <w:u w:val="single"/>
          <w:lang w:val="en-CA" w:eastAsia="en-CA"/>
        </w:rPr>
        <w:t>nformation</w:t>
      </w:r>
    </w:p>
    <w:p w14:paraId="7040B040" w14:textId="77777777" w:rsidR="00B6497D" w:rsidRPr="00B6497D" w:rsidRDefault="00B6497D" w:rsidP="00B6497D">
      <w:pPr>
        <w:widowControl w:val="0"/>
        <w:autoSpaceDE w:val="0"/>
        <w:autoSpaceDN w:val="0"/>
        <w:adjustRightInd w:val="0"/>
        <w:rPr>
          <w:rFonts w:cs="Arial"/>
          <w:b/>
          <w:u w:val="single"/>
          <w:lang w:val="en-CA" w:eastAsia="en-CA"/>
        </w:rPr>
      </w:pPr>
    </w:p>
    <w:p w14:paraId="7CB67684" w14:textId="33EA9324" w:rsidR="00B6497D" w:rsidRPr="00B6497D" w:rsidRDefault="00B6497D" w:rsidP="00B6497D">
      <w:pPr>
        <w:widowControl w:val="0"/>
        <w:autoSpaceDE w:val="0"/>
        <w:autoSpaceDN w:val="0"/>
        <w:adjustRightInd w:val="0"/>
        <w:spacing w:after="120"/>
        <w:rPr>
          <w:rFonts w:cs="Arial"/>
          <w:b/>
          <w:lang w:val="en-CA" w:eastAsia="en-CA"/>
        </w:rPr>
      </w:pPr>
      <w:r w:rsidRPr="00B6497D">
        <w:rPr>
          <w:rFonts w:cs="Arial"/>
          <w:b/>
          <w:lang w:val="en-CA" w:eastAsia="en-CA"/>
        </w:rPr>
        <w:t>Date of preparation of original QIS-SRA</w:t>
      </w:r>
      <w:r w:rsidR="003244B5">
        <w:rPr>
          <w:rFonts w:cs="Arial"/>
          <w:b/>
          <w:lang w:val="en-CA" w:eastAsia="en-CA"/>
        </w:rPr>
        <w:t>-MED-</w:t>
      </w:r>
      <w:proofErr w:type="spellStart"/>
      <w:r w:rsidR="003244B5">
        <w:rPr>
          <w:rFonts w:cs="Arial"/>
          <w:b/>
          <w:lang w:val="en-CA" w:eastAsia="en-CA"/>
        </w:rPr>
        <w:t>crp</w:t>
      </w:r>
      <w:proofErr w:type="spellEnd"/>
      <w:r w:rsidRPr="00B6497D">
        <w:rPr>
          <w:rFonts w:cs="Arial"/>
          <w:b/>
          <w:lang w:val="en-CA" w:eastAsia="en-CA"/>
        </w:rPr>
        <w:t>: ……………………</w:t>
      </w:r>
    </w:p>
    <w:tbl>
      <w:tblPr>
        <w:tblStyle w:val="TableProfessional"/>
        <w:tblW w:w="9284" w:type="dxa"/>
        <w:tblLayout w:type="fixed"/>
        <w:tblLook w:val="04A0" w:firstRow="1" w:lastRow="0" w:firstColumn="1" w:lastColumn="0" w:noHBand="0" w:noVBand="1"/>
      </w:tblPr>
      <w:tblGrid>
        <w:gridCol w:w="2268"/>
        <w:gridCol w:w="7016"/>
      </w:tblGrid>
      <w:tr w:rsidR="00B6497D" w:rsidRPr="00B6497D" w14:paraId="01F0090D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shd w:val="clear" w:color="auto" w:fill="D9D9D9" w:themeFill="background1" w:themeFillShade="D9"/>
          </w:tcPr>
          <w:p w14:paraId="7EED9C1D" w14:textId="77777777" w:rsidR="00B6497D" w:rsidRPr="001C0A03" w:rsidRDefault="00B6497D" w:rsidP="00B6497D">
            <w:pPr>
              <w:keepNext/>
              <w:keepLines/>
              <w:spacing w:before="80" w:after="40"/>
              <w:rPr>
                <w:color w:val="000000" w:themeColor="text1"/>
              </w:rPr>
            </w:pPr>
            <w:r w:rsidRPr="001C0A03">
              <w:rPr>
                <w:color w:val="000000" w:themeColor="text1"/>
              </w:rPr>
              <w:t>Date of revision</w:t>
            </w:r>
          </w:p>
          <w:p w14:paraId="7C8AEF9B" w14:textId="7FA52FBC" w:rsidR="00B6497D" w:rsidRPr="001C0A03" w:rsidRDefault="00B6497D" w:rsidP="00B6497D">
            <w:pPr>
              <w:keepNext/>
              <w:keepLines/>
              <w:spacing w:before="80" w:after="40"/>
              <w:rPr>
                <w:color w:val="000000" w:themeColor="text1"/>
              </w:rPr>
            </w:pPr>
            <w:r w:rsidRPr="001C0A03">
              <w:rPr>
                <w:color w:val="000000" w:themeColor="text1"/>
              </w:rPr>
              <w:t>(reported variation*)</w:t>
            </w:r>
          </w:p>
        </w:tc>
        <w:tc>
          <w:tcPr>
            <w:tcW w:w="7016" w:type="dxa"/>
            <w:shd w:val="clear" w:color="auto" w:fill="D9D9D9" w:themeFill="background1" w:themeFillShade="D9"/>
          </w:tcPr>
          <w:p w14:paraId="7916FCE0" w14:textId="77777777" w:rsidR="00B6497D" w:rsidRPr="001C0A03" w:rsidRDefault="00B6497D" w:rsidP="00B6497D">
            <w:pPr>
              <w:keepNext/>
              <w:keepLines/>
              <w:spacing w:before="80" w:after="40"/>
              <w:rPr>
                <w:color w:val="000000" w:themeColor="text1"/>
              </w:rPr>
            </w:pPr>
            <w:r w:rsidRPr="001C0A03">
              <w:rPr>
                <w:color w:val="000000" w:themeColor="text1"/>
              </w:rPr>
              <w:t>Revision/variation description</w:t>
            </w:r>
          </w:p>
        </w:tc>
      </w:tr>
      <w:tr w:rsidR="00B6497D" w:rsidRPr="00B6497D" w14:paraId="2E8E18E7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7097EBF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0F4393E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63342BC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1C5E25CB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62DCA85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665BE10C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37940F6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4620760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2DC11A66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6DD57DA5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32421F8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641E7B0B" w14:textId="4258CBFE" w:rsidR="00B96361" w:rsidRPr="00685F73" w:rsidRDefault="00B6497D" w:rsidP="00982A45">
      <w:pPr>
        <w:pStyle w:val="TableTitle"/>
        <w:adjustRightInd w:val="0"/>
        <w:spacing w:after="0"/>
        <w:ind w:left="142"/>
        <w:jc w:val="left"/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</w:pPr>
      <w:r w:rsidRPr="00685F73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*  </w:t>
      </w:r>
      <w:r w:rsidR="00B96361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 </w:t>
      </w:r>
      <w:r w:rsidRPr="00685F73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Variations approved by the </w:t>
      </w:r>
      <w:r w:rsidR="001D175A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reference </w:t>
      </w:r>
      <w:r w:rsidRPr="00685F73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SRA after prequalification of the FPP affecting only the QIS-SRA</w:t>
      </w:r>
      <w:r w:rsidR="00D61EB1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-MED-</w:t>
      </w:r>
      <w:proofErr w:type="spellStart"/>
      <w:r w:rsidR="00D61EB1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crp</w:t>
      </w:r>
      <w:proofErr w:type="spellEnd"/>
      <w:r w:rsidR="001D175A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,</w:t>
      </w:r>
      <w:r w:rsidRPr="00685F73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 Product Information</w:t>
      </w:r>
      <w:r w:rsidR="001D175A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 </w:t>
      </w:r>
      <w:bookmarkStart w:id="1" w:name="_Hlk192841937"/>
      <w:r w:rsidR="0028600B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and/</w:t>
      </w:r>
      <w:r w:rsidR="001D175A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or FPP </w:t>
      </w:r>
      <w:r w:rsidR="00903066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QC </w:t>
      </w:r>
      <w:r w:rsidR="001D175A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test procedures </w:t>
      </w:r>
      <w:r w:rsidR="001D175A" w:rsidRPr="001D175A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should be reported in the change history</w:t>
      </w:r>
      <w:r w:rsidR="00F57765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.</w:t>
      </w:r>
      <w:bookmarkEnd w:id="1"/>
    </w:p>
    <w:p w14:paraId="0063337C" w14:textId="585705FA" w:rsidR="00391908" w:rsidRPr="00685F73" w:rsidRDefault="00391908" w:rsidP="00982A45">
      <w:pPr>
        <w:pStyle w:val="TableTitle"/>
        <w:adjustRightInd w:val="0"/>
        <w:spacing w:before="0"/>
        <w:ind w:left="142"/>
        <w:jc w:val="left"/>
        <w:rPr>
          <w:rFonts w:asciiTheme="minorBidi" w:hAnsiTheme="minorBidi" w:cstheme="minorBidi"/>
          <w:sz w:val="16"/>
          <w:szCs w:val="16"/>
        </w:rPr>
      </w:pPr>
    </w:p>
    <w:sectPr w:rsidR="00391908" w:rsidRPr="00685F73" w:rsidSect="005625B0">
      <w:headerReference w:type="default" r:id="rId8"/>
      <w:footerReference w:type="default" r:id="rId9"/>
      <w:footnotePr>
        <w:numRestart w:val="eachSect"/>
      </w:footnotePr>
      <w:pgSz w:w="12240" w:h="15840" w:code="1"/>
      <w:pgMar w:top="1526" w:right="1080" w:bottom="1080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8F1A" w14:textId="77777777" w:rsidR="008B76C4" w:rsidRDefault="008B76C4" w:rsidP="00160872">
      <w:r>
        <w:separator/>
      </w:r>
    </w:p>
  </w:endnote>
  <w:endnote w:type="continuationSeparator" w:id="0">
    <w:p w14:paraId="4593CDAC" w14:textId="77777777" w:rsidR="008B76C4" w:rsidRDefault="008B76C4" w:rsidP="001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38"/>
      <w:gridCol w:w="4777"/>
    </w:tblGrid>
    <w:tr w:rsidR="00B6678D" w14:paraId="6C864815" w14:textId="77777777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405A470D" w14:textId="77777777" w:rsidR="00B6678D" w:rsidRPr="00894C85" w:rsidRDefault="00894C85" w:rsidP="00AB5055">
          <w:pPr>
            <w:pStyle w:val="Footer"/>
            <w:rPr>
              <w:bCs/>
            </w:rPr>
          </w:pPr>
          <w:r w:rsidRPr="00894C85">
            <w:rPr>
              <w:bCs/>
            </w:rPr>
            <w:t>Quality Information Summary of the FPP</w:t>
          </w:r>
        </w:p>
        <w:p w14:paraId="6264941D" w14:textId="38BE3FA9" w:rsidR="00894C85" w:rsidRPr="00082480" w:rsidRDefault="00894C85" w:rsidP="00AB5055">
          <w:pPr>
            <w:pStyle w:val="Footer"/>
            <w:rPr>
              <w:b w:val="0"/>
            </w:rPr>
          </w:pPr>
          <w:r w:rsidRPr="00894C85">
            <w:rPr>
              <w:bCs/>
            </w:rPr>
            <w:t>Approved by the Reference SRA</w:t>
          </w:r>
          <w:r>
            <w:rPr>
              <w:bCs/>
            </w:rPr>
            <w:t xml:space="preserve"> (QIS-SRA</w:t>
          </w:r>
          <w:r w:rsidR="00D61EB1">
            <w:rPr>
              <w:bCs/>
            </w:rPr>
            <w:t>-MED-</w:t>
          </w:r>
          <w:proofErr w:type="spellStart"/>
          <w:r w:rsidR="00D61EB1">
            <w:rPr>
              <w:bCs/>
            </w:rPr>
            <w:t>crp</w:t>
          </w:r>
          <w:proofErr w:type="spellEnd"/>
          <w:r>
            <w:rPr>
              <w:bCs/>
            </w:rPr>
            <w:t>)</w:t>
          </w:r>
        </w:p>
      </w:tc>
      <w:tc>
        <w:tcPr>
          <w:tcW w:w="540" w:type="dxa"/>
          <w:tcBorders>
            <w:bottom w:val="none" w:sz="0" w:space="0" w:color="auto"/>
          </w:tcBorders>
        </w:tcPr>
        <w:p w14:paraId="479306EF" w14:textId="77777777" w:rsidR="00B6678D" w:rsidRDefault="00E3473D" w:rsidP="00AB5055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="00B6678D" w:rsidRPr="005625B0">
            <w:instrText xml:space="preserve"> PAGE   \* MERGEFORMAT </w:instrText>
          </w:r>
          <w:r w:rsidRPr="005625B0">
            <w:fldChar w:fldCharType="separate"/>
          </w:r>
          <w:r w:rsidR="001E013F">
            <w:rPr>
              <w:noProof/>
            </w:rPr>
            <w:t>1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6E7DD5F7" w14:textId="77777777" w:rsidR="00B6678D" w:rsidRDefault="00B6678D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GB" w:eastAsia="zh-CN"/>
            </w:rPr>
            <w:drawing>
              <wp:inline distT="0" distB="0" distL="0" distR="0" wp14:anchorId="51B5AB7A" wp14:editId="41803B04">
                <wp:extent cx="1371600" cy="2621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88486F" w14:textId="77777777" w:rsidR="00B6678D" w:rsidRDefault="00B6678D" w:rsidP="00AB5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24FA" w14:textId="77777777" w:rsidR="008B76C4" w:rsidRDefault="008B76C4" w:rsidP="00160872">
      <w:r>
        <w:separator/>
      </w:r>
    </w:p>
  </w:footnote>
  <w:footnote w:type="continuationSeparator" w:id="0">
    <w:p w14:paraId="41BE9500" w14:textId="77777777" w:rsidR="008B76C4" w:rsidRDefault="008B76C4" w:rsidP="00160872">
      <w:r>
        <w:continuationSeparator/>
      </w:r>
    </w:p>
  </w:footnote>
  <w:footnote w:id="1">
    <w:p w14:paraId="2152CE2A" w14:textId="431F4EE0" w:rsidR="00982A45" w:rsidRDefault="00982A45">
      <w:pPr>
        <w:pStyle w:val="FootnoteText"/>
      </w:pPr>
      <w:r>
        <w:rPr>
          <w:rStyle w:val="FootnoteReference"/>
        </w:rPr>
        <w:footnoteRef/>
      </w:r>
      <w:r>
        <w:t xml:space="preserve"> Note: All changes to the product approved by the SRA regardless of whether the change affect the QIS-SRA-MED-</w:t>
      </w:r>
      <w:proofErr w:type="spellStart"/>
      <w:r>
        <w:t>crp</w:t>
      </w:r>
      <w:proofErr w:type="spellEnd"/>
      <w:r>
        <w:t xml:space="preserve"> or not should be reported to PQT/MED as noted in the reference guideline</w:t>
      </w:r>
    </w:p>
    <w:p w14:paraId="3D9859DE" w14:textId="77777777" w:rsidR="00A32C7F" w:rsidRDefault="00A32C7F">
      <w:pPr>
        <w:pStyle w:val="FootnoteText"/>
      </w:pPr>
    </w:p>
  </w:footnote>
  <w:footnote w:id="2">
    <w:p w14:paraId="34A80220" w14:textId="40ABF770" w:rsidR="0028600B" w:rsidRDefault="0028600B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 w:rsidR="003B43CD" w:rsidRPr="003B43CD">
        <w:rPr>
          <w:lang w:val="en-ZA"/>
        </w:rPr>
        <w:t>The MAH and Applicant for prequalification must be of the same group of companies – evidence thereof to be provided by the applicant</w:t>
      </w:r>
      <w:r w:rsidR="008C32BD">
        <w:rPr>
          <w:lang w:val="en-ZA"/>
        </w:rPr>
        <w:t>.</w:t>
      </w:r>
    </w:p>
    <w:p w14:paraId="096EB504" w14:textId="77777777" w:rsidR="003B43CD" w:rsidRPr="003B43CD" w:rsidRDefault="003B43CD">
      <w:pPr>
        <w:pStyle w:val="FootnoteText"/>
        <w:rPr>
          <w:lang w:val="en-Z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CA238B" w14:paraId="51FE059B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6B27DB22" w14:textId="77777777" w:rsidR="00CA238B" w:rsidRDefault="00CA238B" w:rsidP="003F22BE">
          <w:pPr>
            <w:pStyle w:val="PQT"/>
            <w:ind w:left="1077"/>
            <w:jc w:val="left"/>
          </w:pPr>
          <w:r w:rsidRPr="002A4F0E">
            <w:rPr>
              <w:color w:val="008DC9"/>
            </w:rPr>
            <w:sym w:font="Wingdings" w:char="F06E"/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730E93C5" w14:textId="77777777" w:rsidR="00CA238B" w:rsidRDefault="00CA238B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1147E67A" w14:textId="77777777" w:rsidR="00CA238B" w:rsidRPr="009D41F9" w:rsidRDefault="00CA238B" w:rsidP="0018471C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20"/>
            </w:rPr>
          </w:pPr>
          <w:r>
            <w:tab/>
          </w:r>
          <w:r w:rsidR="00685F73" w:rsidRPr="009D41F9">
            <w:rPr>
              <w:b/>
              <w:bCs/>
            </w:rPr>
            <w:t>Template</w:t>
          </w:r>
        </w:p>
        <w:p w14:paraId="0E619E2E" w14:textId="1D8D1F1D" w:rsidR="00CA238B" w:rsidRPr="003F22BE" w:rsidRDefault="00CA238B" w:rsidP="007024D5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Cs w:val="20"/>
            </w:rPr>
          </w:pPr>
          <w:r w:rsidRPr="00AE37A4">
            <w:tab/>
          </w:r>
          <w:r w:rsidR="00982A45">
            <w:t>13-Mar-2025</w:t>
          </w:r>
        </w:p>
      </w:tc>
    </w:tr>
  </w:tbl>
  <w:p w14:paraId="1929DC4F" w14:textId="77777777" w:rsidR="00B6678D" w:rsidRPr="00CA238B" w:rsidRDefault="00B6678D" w:rsidP="00CA238B">
    <w:pPr>
      <w:pStyle w:val="Header"/>
    </w:pPr>
  </w:p>
  <w:p w14:paraId="7C3BB1BD" w14:textId="77777777" w:rsidR="00902BF8" w:rsidRDefault="00902B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9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068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667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4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F64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85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B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E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B94976"/>
    <w:multiLevelType w:val="hybridMultilevel"/>
    <w:tmpl w:val="871C9FCC"/>
    <w:lvl w:ilvl="0" w:tplc="7872319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008FF"/>
    <w:multiLevelType w:val="hybridMultilevel"/>
    <w:tmpl w:val="BBCAA470"/>
    <w:lvl w:ilvl="0" w:tplc="C3FAD03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65F46"/>
    <w:multiLevelType w:val="multilevel"/>
    <w:tmpl w:val="D942391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72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6" w15:restartNumberingAfterBreak="0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6495647"/>
    <w:multiLevelType w:val="hybridMultilevel"/>
    <w:tmpl w:val="6A443714"/>
    <w:lvl w:ilvl="0" w:tplc="3B0E0A4E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68222DAB"/>
    <w:multiLevelType w:val="hybridMultilevel"/>
    <w:tmpl w:val="C6346416"/>
    <w:lvl w:ilvl="0" w:tplc="2EEC8304">
      <w:start w:val="2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7815760">
    <w:abstractNumId w:val="14"/>
  </w:num>
  <w:num w:numId="2" w16cid:durableId="384524979">
    <w:abstractNumId w:val="11"/>
  </w:num>
  <w:num w:numId="3" w16cid:durableId="1032149658">
    <w:abstractNumId w:val="17"/>
  </w:num>
  <w:num w:numId="4" w16cid:durableId="1519080125">
    <w:abstractNumId w:val="16"/>
  </w:num>
  <w:num w:numId="5" w16cid:durableId="377628195">
    <w:abstractNumId w:val="17"/>
  </w:num>
  <w:num w:numId="6" w16cid:durableId="1634018455">
    <w:abstractNumId w:val="17"/>
  </w:num>
  <w:num w:numId="7" w16cid:durableId="1562401060">
    <w:abstractNumId w:val="13"/>
  </w:num>
  <w:num w:numId="8" w16cid:durableId="1643192659">
    <w:abstractNumId w:val="15"/>
  </w:num>
  <w:num w:numId="9" w16cid:durableId="1406341092">
    <w:abstractNumId w:val="15"/>
    <w:lvlOverride w:ilvl="0">
      <w:startOverride w:val="1"/>
    </w:lvlOverride>
  </w:num>
  <w:num w:numId="10" w16cid:durableId="10411313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1128859">
    <w:abstractNumId w:val="10"/>
  </w:num>
  <w:num w:numId="12" w16cid:durableId="2049183345">
    <w:abstractNumId w:val="12"/>
  </w:num>
  <w:num w:numId="13" w16cid:durableId="1251741661">
    <w:abstractNumId w:val="9"/>
  </w:num>
  <w:num w:numId="14" w16cid:durableId="1029719397">
    <w:abstractNumId w:val="7"/>
  </w:num>
  <w:num w:numId="15" w16cid:durableId="295524084">
    <w:abstractNumId w:val="6"/>
  </w:num>
  <w:num w:numId="16" w16cid:durableId="887687128">
    <w:abstractNumId w:val="5"/>
  </w:num>
  <w:num w:numId="17" w16cid:durableId="1348289069">
    <w:abstractNumId w:val="4"/>
  </w:num>
  <w:num w:numId="18" w16cid:durableId="1977025990">
    <w:abstractNumId w:val="8"/>
  </w:num>
  <w:num w:numId="19" w16cid:durableId="767583631">
    <w:abstractNumId w:val="3"/>
  </w:num>
  <w:num w:numId="20" w16cid:durableId="1904682494">
    <w:abstractNumId w:val="2"/>
  </w:num>
  <w:num w:numId="21" w16cid:durableId="1230118244">
    <w:abstractNumId w:val="1"/>
  </w:num>
  <w:num w:numId="22" w16cid:durableId="1668362485">
    <w:abstractNumId w:val="0"/>
  </w:num>
  <w:num w:numId="23" w16cid:durableId="371228575">
    <w:abstractNumId w:val="14"/>
  </w:num>
  <w:num w:numId="24" w16cid:durableId="1399403720">
    <w:abstractNumId w:val="10"/>
  </w:num>
  <w:num w:numId="25" w16cid:durableId="1497645598">
    <w:abstractNumId w:val="10"/>
  </w:num>
  <w:num w:numId="26" w16cid:durableId="599683326">
    <w:abstractNumId w:val="12"/>
  </w:num>
  <w:num w:numId="27" w16cid:durableId="1873417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5033467">
    <w:abstractNumId w:val="14"/>
  </w:num>
  <w:num w:numId="29" w16cid:durableId="1607496080">
    <w:abstractNumId w:val="18"/>
  </w:num>
  <w:num w:numId="30" w16cid:durableId="396782545">
    <w:abstractNumId w:val="18"/>
  </w:num>
  <w:num w:numId="31" w16cid:durableId="37620107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0"/>
    <w:rsid w:val="000073E3"/>
    <w:rsid w:val="0001158D"/>
    <w:rsid w:val="000258B1"/>
    <w:rsid w:val="00031114"/>
    <w:rsid w:val="000562CC"/>
    <w:rsid w:val="00056EF5"/>
    <w:rsid w:val="000701D4"/>
    <w:rsid w:val="0007420A"/>
    <w:rsid w:val="00074E18"/>
    <w:rsid w:val="00076500"/>
    <w:rsid w:val="00082480"/>
    <w:rsid w:val="0008574E"/>
    <w:rsid w:val="000969C8"/>
    <w:rsid w:val="000A02DF"/>
    <w:rsid w:val="000A1C22"/>
    <w:rsid w:val="000A34B0"/>
    <w:rsid w:val="000B06D3"/>
    <w:rsid w:val="000B5124"/>
    <w:rsid w:val="000B63FB"/>
    <w:rsid w:val="000B7AC1"/>
    <w:rsid w:val="000C0C84"/>
    <w:rsid w:val="000C2C2B"/>
    <w:rsid w:val="000C4F63"/>
    <w:rsid w:val="000E7B69"/>
    <w:rsid w:val="000F1DC7"/>
    <w:rsid w:val="00100C95"/>
    <w:rsid w:val="00101227"/>
    <w:rsid w:val="00140B7E"/>
    <w:rsid w:val="001417B0"/>
    <w:rsid w:val="001508C0"/>
    <w:rsid w:val="00153EA0"/>
    <w:rsid w:val="00160872"/>
    <w:rsid w:val="001804E2"/>
    <w:rsid w:val="0018471C"/>
    <w:rsid w:val="00184777"/>
    <w:rsid w:val="0019584B"/>
    <w:rsid w:val="00196472"/>
    <w:rsid w:val="001B249B"/>
    <w:rsid w:val="001C0A03"/>
    <w:rsid w:val="001D1700"/>
    <w:rsid w:val="001D175A"/>
    <w:rsid w:val="001E013F"/>
    <w:rsid w:val="001E1EE0"/>
    <w:rsid w:val="001E6377"/>
    <w:rsid w:val="001F3CD7"/>
    <w:rsid w:val="00211920"/>
    <w:rsid w:val="00217070"/>
    <w:rsid w:val="002225B1"/>
    <w:rsid w:val="002248D2"/>
    <w:rsid w:val="00230A3C"/>
    <w:rsid w:val="00232785"/>
    <w:rsid w:val="002351BB"/>
    <w:rsid w:val="0023550A"/>
    <w:rsid w:val="00247712"/>
    <w:rsid w:val="002541CA"/>
    <w:rsid w:val="00256513"/>
    <w:rsid w:val="00256E30"/>
    <w:rsid w:val="0028600B"/>
    <w:rsid w:val="0029705B"/>
    <w:rsid w:val="002B080E"/>
    <w:rsid w:val="002B4B0F"/>
    <w:rsid w:val="002C2FC8"/>
    <w:rsid w:val="002F018D"/>
    <w:rsid w:val="002F0F10"/>
    <w:rsid w:val="002F38A2"/>
    <w:rsid w:val="00314295"/>
    <w:rsid w:val="003244B5"/>
    <w:rsid w:val="0032687D"/>
    <w:rsid w:val="003611B6"/>
    <w:rsid w:val="003624EC"/>
    <w:rsid w:val="00380925"/>
    <w:rsid w:val="003823BD"/>
    <w:rsid w:val="00382B15"/>
    <w:rsid w:val="0038699D"/>
    <w:rsid w:val="00390216"/>
    <w:rsid w:val="00391908"/>
    <w:rsid w:val="003B43CD"/>
    <w:rsid w:val="003B65FD"/>
    <w:rsid w:val="003C1FDA"/>
    <w:rsid w:val="003C5BED"/>
    <w:rsid w:val="003C6FE3"/>
    <w:rsid w:val="003E130F"/>
    <w:rsid w:val="003F0B13"/>
    <w:rsid w:val="003F22BE"/>
    <w:rsid w:val="003F3DB0"/>
    <w:rsid w:val="003F7B6A"/>
    <w:rsid w:val="00406C63"/>
    <w:rsid w:val="00411497"/>
    <w:rsid w:val="0042146A"/>
    <w:rsid w:val="00424954"/>
    <w:rsid w:val="0045096D"/>
    <w:rsid w:val="00454B40"/>
    <w:rsid w:val="0046228D"/>
    <w:rsid w:val="004700AB"/>
    <w:rsid w:val="004825AC"/>
    <w:rsid w:val="004849D4"/>
    <w:rsid w:val="004852CA"/>
    <w:rsid w:val="00485DD6"/>
    <w:rsid w:val="004A23B6"/>
    <w:rsid w:val="004A6E8F"/>
    <w:rsid w:val="004B6CA0"/>
    <w:rsid w:val="004C0C5E"/>
    <w:rsid w:val="004D1F62"/>
    <w:rsid w:val="004F04F4"/>
    <w:rsid w:val="004F0CAD"/>
    <w:rsid w:val="004F5E1B"/>
    <w:rsid w:val="00515042"/>
    <w:rsid w:val="005266BD"/>
    <w:rsid w:val="0052676E"/>
    <w:rsid w:val="00554FD1"/>
    <w:rsid w:val="005603B2"/>
    <w:rsid w:val="005606E4"/>
    <w:rsid w:val="005625B0"/>
    <w:rsid w:val="005740D3"/>
    <w:rsid w:val="00577611"/>
    <w:rsid w:val="00587651"/>
    <w:rsid w:val="00587791"/>
    <w:rsid w:val="005B71C1"/>
    <w:rsid w:val="005B7200"/>
    <w:rsid w:val="005C013B"/>
    <w:rsid w:val="005C24A0"/>
    <w:rsid w:val="005C2D8F"/>
    <w:rsid w:val="005C7506"/>
    <w:rsid w:val="005E01DC"/>
    <w:rsid w:val="005F0467"/>
    <w:rsid w:val="005F4BB8"/>
    <w:rsid w:val="00611468"/>
    <w:rsid w:val="00617DAF"/>
    <w:rsid w:val="006212C1"/>
    <w:rsid w:val="00622DA4"/>
    <w:rsid w:val="00630EC9"/>
    <w:rsid w:val="00632767"/>
    <w:rsid w:val="00634087"/>
    <w:rsid w:val="00642182"/>
    <w:rsid w:val="00647B28"/>
    <w:rsid w:val="006573BF"/>
    <w:rsid w:val="0066205B"/>
    <w:rsid w:val="00662E21"/>
    <w:rsid w:val="00667309"/>
    <w:rsid w:val="006710BE"/>
    <w:rsid w:val="00685F73"/>
    <w:rsid w:val="00696158"/>
    <w:rsid w:val="006A09E2"/>
    <w:rsid w:val="006C1348"/>
    <w:rsid w:val="006D5345"/>
    <w:rsid w:val="006E69F9"/>
    <w:rsid w:val="00701C28"/>
    <w:rsid w:val="0071220C"/>
    <w:rsid w:val="00726C96"/>
    <w:rsid w:val="00735952"/>
    <w:rsid w:val="007438CD"/>
    <w:rsid w:val="00744224"/>
    <w:rsid w:val="00750606"/>
    <w:rsid w:val="00754639"/>
    <w:rsid w:val="00764162"/>
    <w:rsid w:val="007862A9"/>
    <w:rsid w:val="00794BCA"/>
    <w:rsid w:val="007964FA"/>
    <w:rsid w:val="007978D5"/>
    <w:rsid w:val="007B00EC"/>
    <w:rsid w:val="007C207E"/>
    <w:rsid w:val="007C231C"/>
    <w:rsid w:val="007F293D"/>
    <w:rsid w:val="007F2BED"/>
    <w:rsid w:val="007F2CD1"/>
    <w:rsid w:val="00810F4E"/>
    <w:rsid w:val="008256D0"/>
    <w:rsid w:val="00835189"/>
    <w:rsid w:val="00844A35"/>
    <w:rsid w:val="0084665F"/>
    <w:rsid w:val="0085539D"/>
    <w:rsid w:val="00855629"/>
    <w:rsid w:val="00861C92"/>
    <w:rsid w:val="00863505"/>
    <w:rsid w:val="00867108"/>
    <w:rsid w:val="00867450"/>
    <w:rsid w:val="008721AE"/>
    <w:rsid w:val="00880E1C"/>
    <w:rsid w:val="00884CEB"/>
    <w:rsid w:val="008864CD"/>
    <w:rsid w:val="008916FF"/>
    <w:rsid w:val="00894C85"/>
    <w:rsid w:val="008967E2"/>
    <w:rsid w:val="008A7410"/>
    <w:rsid w:val="008B055E"/>
    <w:rsid w:val="008B4B07"/>
    <w:rsid w:val="008B6502"/>
    <w:rsid w:val="008B76C4"/>
    <w:rsid w:val="008C1702"/>
    <w:rsid w:val="008C2964"/>
    <w:rsid w:val="008C32BD"/>
    <w:rsid w:val="008C4E81"/>
    <w:rsid w:val="008E280F"/>
    <w:rsid w:val="008E4BA6"/>
    <w:rsid w:val="008F006F"/>
    <w:rsid w:val="008F1E81"/>
    <w:rsid w:val="008F520B"/>
    <w:rsid w:val="00902BF8"/>
    <w:rsid w:val="00903066"/>
    <w:rsid w:val="009031A9"/>
    <w:rsid w:val="00903CFC"/>
    <w:rsid w:val="009105B2"/>
    <w:rsid w:val="00920D00"/>
    <w:rsid w:val="00924375"/>
    <w:rsid w:val="0092501D"/>
    <w:rsid w:val="009305C7"/>
    <w:rsid w:val="00950059"/>
    <w:rsid w:val="0096178C"/>
    <w:rsid w:val="009679D3"/>
    <w:rsid w:val="00982A45"/>
    <w:rsid w:val="00984644"/>
    <w:rsid w:val="00986AA9"/>
    <w:rsid w:val="009B05A0"/>
    <w:rsid w:val="009B5A54"/>
    <w:rsid w:val="009B5EC8"/>
    <w:rsid w:val="009D41F9"/>
    <w:rsid w:val="009E0EBF"/>
    <w:rsid w:val="009F0D4E"/>
    <w:rsid w:val="009F62C0"/>
    <w:rsid w:val="00A16C78"/>
    <w:rsid w:val="00A32C7F"/>
    <w:rsid w:val="00A35F0C"/>
    <w:rsid w:val="00A51305"/>
    <w:rsid w:val="00A51904"/>
    <w:rsid w:val="00A520FB"/>
    <w:rsid w:val="00A738A3"/>
    <w:rsid w:val="00A94062"/>
    <w:rsid w:val="00AA3E90"/>
    <w:rsid w:val="00AA41EF"/>
    <w:rsid w:val="00AB447F"/>
    <w:rsid w:val="00AB5055"/>
    <w:rsid w:val="00AC1B70"/>
    <w:rsid w:val="00AC51FD"/>
    <w:rsid w:val="00AD39C5"/>
    <w:rsid w:val="00AE37A4"/>
    <w:rsid w:val="00AE684C"/>
    <w:rsid w:val="00AE6B3E"/>
    <w:rsid w:val="00AF58B5"/>
    <w:rsid w:val="00B21F19"/>
    <w:rsid w:val="00B24A40"/>
    <w:rsid w:val="00B3494F"/>
    <w:rsid w:val="00B365FC"/>
    <w:rsid w:val="00B416A7"/>
    <w:rsid w:val="00B42F76"/>
    <w:rsid w:val="00B4656C"/>
    <w:rsid w:val="00B54002"/>
    <w:rsid w:val="00B57409"/>
    <w:rsid w:val="00B6497D"/>
    <w:rsid w:val="00B6678D"/>
    <w:rsid w:val="00B70B13"/>
    <w:rsid w:val="00B96361"/>
    <w:rsid w:val="00B96C9C"/>
    <w:rsid w:val="00BB2981"/>
    <w:rsid w:val="00BF47D6"/>
    <w:rsid w:val="00C11367"/>
    <w:rsid w:val="00C12AD6"/>
    <w:rsid w:val="00C15807"/>
    <w:rsid w:val="00C3706B"/>
    <w:rsid w:val="00C503B6"/>
    <w:rsid w:val="00C51C42"/>
    <w:rsid w:val="00C5206B"/>
    <w:rsid w:val="00C6336E"/>
    <w:rsid w:val="00C64D4C"/>
    <w:rsid w:val="00C660C1"/>
    <w:rsid w:val="00C76B9B"/>
    <w:rsid w:val="00C93B57"/>
    <w:rsid w:val="00C96E64"/>
    <w:rsid w:val="00CA238B"/>
    <w:rsid w:val="00CA4CEF"/>
    <w:rsid w:val="00CA519B"/>
    <w:rsid w:val="00CA5A62"/>
    <w:rsid w:val="00CD2AC0"/>
    <w:rsid w:val="00CD76EC"/>
    <w:rsid w:val="00CE2888"/>
    <w:rsid w:val="00CE7504"/>
    <w:rsid w:val="00CF2A8A"/>
    <w:rsid w:val="00D27F2F"/>
    <w:rsid w:val="00D43B8B"/>
    <w:rsid w:val="00D450B9"/>
    <w:rsid w:val="00D504E3"/>
    <w:rsid w:val="00D5282F"/>
    <w:rsid w:val="00D61EB1"/>
    <w:rsid w:val="00D7776D"/>
    <w:rsid w:val="00D85C54"/>
    <w:rsid w:val="00DA2E41"/>
    <w:rsid w:val="00DB1EBF"/>
    <w:rsid w:val="00DD7890"/>
    <w:rsid w:val="00DF3EFD"/>
    <w:rsid w:val="00E0363C"/>
    <w:rsid w:val="00E03E8C"/>
    <w:rsid w:val="00E073BD"/>
    <w:rsid w:val="00E3473D"/>
    <w:rsid w:val="00E41738"/>
    <w:rsid w:val="00E603BC"/>
    <w:rsid w:val="00E67A96"/>
    <w:rsid w:val="00E7021F"/>
    <w:rsid w:val="00E74A0D"/>
    <w:rsid w:val="00EB0F2F"/>
    <w:rsid w:val="00EB227B"/>
    <w:rsid w:val="00ED7F3B"/>
    <w:rsid w:val="00EE43B9"/>
    <w:rsid w:val="00EE7DFE"/>
    <w:rsid w:val="00EF00E6"/>
    <w:rsid w:val="00EF58BB"/>
    <w:rsid w:val="00EF7525"/>
    <w:rsid w:val="00EF7706"/>
    <w:rsid w:val="00F173E6"/>
    <w:rsid w:val="00F21A5A"/>
    <w:rsid w:val="00F31BF4"/>
    <w:rsid w:val="00F44352"/>
    <w:rsid w:val="00F55B77"/>
    <w:rsid w:val="00F57765"/>
    <w:rsid w:val="00F849E4"/>
    <w:rsid w:val="00F932F3"/>
    <w:rsid w:val="00F950AF"/>
    <w:rsid w:val="00FA2023"/>
    <w:rsid w:val="00FB2304"/>
    <w:rsid w:val="00FB5DD2"/>
    <w:rsid w:val="00FC69BC"/>
    <w:rsid w:val="00FD5A91"/>
    <w:rsid w:val="00FD6DA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C1009"/>
  <w15:docId w15:val="{C648241D-B36C-4E0C-96B9-4715B2D7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031A9"/>
    <w:rPr>
      <w:rFonts w:ascii="Arial" w:hAnsi="Arial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styleId="Revision">
    <w:name w:val="Revision"/>
    <w:hidden/>
    <w:uiPriority w:val="99"/>
    <w:semiHidden/>
    <w:rsid w:val="00982A4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eft" Type="http://schemas.openxmlformats.org/officeDocument/2006/relationships/image" Target="images/Left.jpg"/><Relationship Id="TOC" Type="http://schemas.openxmlformats.org/officeDocument/2006/relationships/image" Target="images/TOC.jpg"/><Relationship Id="Figure" Type="http://schemas.openxmlformats.org/officeDocument/2006/relationships/image" Target="images/Figure.jpg"/><Relationship Id="Right" Type="http://schemas.openxmlformats.org/officeDocument/2006/relationships/image" Target="images/Right.jpg"/><Relationship Id="Table" Type="http://schemas.openxmlformats.org/officeDocument/2006/relationships/image" Target="images/Table.jpg"/><Relationship Id="Form" Type="http://schemas.openxmlformats.org/officeDocument/2006/relationships/image" Target="images/Form.png"/><Relationship Id="Landscape" Type="http://schemas.openxmlformats.org/officeDocument/2006/relationships/image" Target="images/Landscape.png"/><Relationship Id="Portrait" Type="http://schemas.openxmlformats.org/officeDocument/2006/relationships/image" Target="images/Portrait.jpg"/><Relationship Id="Convert" Type="http://schemas.openxmlformats.org/officeDocument/2006/relationships/image" Target="images/Convert.jpg"/><Relationship Id="AddTable" Type="http://schemas.openxmlformats.org/officeDocument/2006/relationships/image" Target="images/AddTable.jpg"/><Relationship Id="Center" Type="http://schemas.openxmlformats.org/officeDocument/2006/relationships/image" Target="images/Center.jpg"/><Relationship Id="rId0" Type="http://schemas.openxmlformats.org/officeDocument/2006/relationships/image" Target="images/Help0.jpg"/><Relationship Id="Update" Type="http://schemas.openxmlformats.org/officeDocument/2006/relationships/image" Target="images/Update.jpg"/><Relationship Id="Help" Type="http://schemas.openxmlformats.org/officeDocument/2006/relationships/image" Target="images/Help.jpg"/><Relationship Id="rId" Type="http://schemas.openxmlformats.org/officeDocument/2006/relationships/image" Target="images/Center0.jpg"/></Relationships>
</file>

<file path=customUI/customUI.xml><?xml version="1.0" encoding="utf-8"?>
<customUI xmlns="http://schemas.microsoft.com/office/2006/01/customui">
  <ribbon>
    <tabs>
      <tab id="YourCustomTabOnTheRibbon" label="WHO" insertAfterMso="TabHome" keytip="B">
        <group id="grNewDoc" label="Reports">
          <button id="WHO_Update" label="Update Report Info" image="Update" size="large" supertip="Displays information form allowing you to change previously entered information" onAction="Update_Info"/>
          <button id="AddTOC" label="Add Table of Contents" image="TOC" size="large" supertip="Adds a Table of Contents back into report" onAction="Add_TOC"/>
        </group>
        <group id="Group1" label=" ">
          <menu id="styles" label="Paragraph Styles" itemSize="normal">
            <menuSeparator id="myMenuSepTitle" title="Title Styles"/>
            <button id="TitleStyle" label="Title(F9+ti)" supertip="Report Title style (shortcut F9+ti)" onAction="Change_Style"/>
            <menuSeparator id="myMenuSep2" title="Heading Styles"/>
            <button id="h" label="Heading 1 (F9+h1)" supertip="Heading 1 style (shortcut F9+h1)" onAction="Change_Style"/>
            <button id="h2" label="Heading 2 (F9+h2)" supertip="Heading 2 style (shortcut F9+h2)" onAction="Change_Style"/>
            <button id="h3" label="Heading 3 (F9+h3)" supertip="Heading 3 style (shortcut F9+h3)" onAction="Change_Style"/>
            <button id="h4" label="Heading 4 (F9+h4)" supertip="Heading 4 style (shortcut F9+h4)" onAction="Change_Style"/>
            <button id="Subheading" label="Subheading (F9+sub)" supertip="Subheading style (shortcut F9+sub)" onAction="Change_Style"/>
            <button id="TitleStyle1" label="Single Underline Header (F9+u1)" supertip="Report Title style single underline (shortcut F9+u1)" onAction="Change_Style"/>
            <button id="TitleStyle2" label="Double Underline Header (F9+u2)" supertip="Report Title style single underline (shortcut F9+u2)" onAction="Change_Style"/>
            <menuSeparator id="myMenuSepBodyStyles" title="Paragraph Styles"/>
            <button id="p" label="Paragraph (F9+par)" onAction="Change_Style" supertip="Paragraph style (shortcut F9+par)"/>
            <button id="p2" label="Paragraph (F9+p2)" onAction="Change_Style" supertip="Paragraph style (shortcut F9+p2)"/>
            <button id="bullet" label="Bullet (F9+bu)" onAction="Change_Style" supertip="Bullet style, tab to get next level"/>
            <!--<button id="bullet2" 
		label="Bullet Level 2 (F9+bu)"
		onAction="Change_Style" 
		supertip= "Bullet Level 2 style or tab from Bullet" />
	<button id="bullet3" 
		label="Bullet Level 3 (F9+bu3)"
		onAction="Change_Style" 
		supertip= "Bullet Level 3 style or tab from bullet 2" /> -->
            <button id="numlist" label="Numbered List (F9+nu)" onAction="Change_Style" supertip="Numbered List style, tab to get next level"/>
            <menuSeparator id="myMenuSepLevel" title="Next/Previous level"/>
            <!--	<button id="alphalist" 
		label="Alpha List (F9+al)"
		onAction="Change_Style" 
		supertip= "Alpha List which is a second level below numbered list style" /> -->
            <menuSeparator id="myMenuSepQuoteStyles" title="FAQ - Question Style"/>
            <button id="Question" label="Question (F9+que)" onAction="Change_Style" supertip="Question style "/>
            <menuSeparator id="myMenuSepQuestionStyles" title="Quote Styles"/>
            <button id="Quote1" label="Quote Level 1 (F9 + q1)" onAction="Change_Style" supertip="Quote style 1 - white with heavy lines top and bottom"/>
            <button id="Quote2" label="Quote Level 2 (F0 + q2)" onAction="Change_Style" supertip="Quote style 2 - gray fill, boxed"/>
            <menuSeparator id="SepEmphasis" title="Emphasis Character Styles"/>
            <button id="Strong" label="Strong Emphasis" onAction="Change_Style" supertip="Bold and Italics"/>
            <button id="Subtle" label="Subtle Emphasis" onAction="Change_Style" supertip="Italics"/>
          </menu>
        </group>
        <group id="Levels" label="Indent Levels">
          <button id="NextLevel" label="Next Level Indent" onAction="Next_Level" imageMso="GoLtrHover" supertip="Next indent level"/>
          <button id="PreviousLevel" label="Previous Level Indent" onAction="Previous_Level" imageMso="GoRtlFocus" supertip="Previous indent level"/>
        </group>
        <group id="TablesandFigures" label=" ">
          <menu id="Tab" label="Tables and Figures" itemSize="normal">
            <menuSeparator id="myMenuSepTable" title="Tables"/>
            <button id="AddTable" label="Add Table" onAction="Add_Table" image="Table" supertip="Adds a new table in WHO Table Style"/>
            <button id="TableStyle1" label="Black Table Style" onAction="Table_Style1" imageMso="B" supertip="Converts to WHO Black fill Table Style"/>
            <button id="TableStyle2" label="White Table Style" onAction="Table_Style2" imageMso="W" supertip="Converts to WHO White fill Table Style"/>
            <button id="Convert" label="Convert Table" image="Convert" onAction="Convert_Table" supertip="Converts a Word table or pasted in Excel range to BSL Table Style"/>
            <menuSeparator id="myMenuSepFigure" title="Figure"/>
            <button id="AddFigure" label="Add Figure" onAction="Add_Figure" image="Figure" supertip="Adds a new Figure with a single cell to paste figure into"/>
            <menuSeparator id="myMenuSepSource" title="Source"/>
            <button id="SourceRow" label="Add Source Row" onAction="Insert_Source" imageMso="S" supertip="Adds a source row at bottom of an existing table"/>
            <menuSeparator id="myMenuSep3" title="Table Styles"/>
            <!--	<menuSeparator id="myMenuSepTH"
		title="Table Heading Styles"/>
 	<button id="Caption" 
		label="Table and Figure Heading"
		onAction="Change_Style" 
		supertip= "Table and Figure Caption style" /> 
 	<button id="TableHeading" 
		label="Table Body Heading"
		onAction="Change_Style" 
		supertip= "Table Heading row"  /> -->
            <menuSeparator id="myMenuSepTB" title="Table Body Styles"/>
            <button id="TableBodyCell" label="Table Body Centered" image="Center" onAction="Change_Style" supertip="Table body row, centered"/>
            <button id="TableBodyLeft" label="Table Body Left" onAction="Change_Style" image="Left" supertip="Table body row, left aligned"/>
            <button id="TableBodyRight" label="Table Body Right" onAction="Change_Style" image="Right" supertip="Table body row, right aligned"/>
          </menu>
        </group>
        <group id="Land" label=" ">
          <button id="LandscapeTable" label="Add Landscape Section" image="Landscape" size="large" onAction="Insert_Landscape" supertip="Inserts Portait section after landscape section."/>
        </group>
        <group id="Port" label=" ">
          <button id="Portrait" label="Add Portrait Section" image="Portrait" size="large" onAction="Insert_Portrait" supertip="Inserts Landscape page/section for pasting large graphic into."/>
        </group>
        <group id="GroupPaste" label=" ">
          <button id="Paste" label="Paste Figure" onAction="Paste_Here" supertip="Paste charts/graphics into figure table cells."/>
        </group>
        <group id="TOC" label=" ">
          <button id="CreateTOC" label="Update #s and TOC" imageMso="T" size="large" onAction="Update_All" supertip="Updates table of contents and all tables and figures numbering"/>
        </group>
        <group id="Footnote" label=" ">
          <button id="ftNote" label="Footnote" imageMso="FootnoteInsert" onAction="Add_Footnote"/>
        </group>
        <group id="Help" label=" ">
          <button id="HelpButton" label="Help" image="Help" size="large" onAction="Show_Help" supertip="Shows Help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0A6C51F-160C-4C62-B9A9-0DA37C1F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Kerno</dc:creator>
  <cp:lastModifiedBy>DOUMBOUYA VITA, Alicia Denise</cp:lastModifiedBy>
  <cp:revision>2</cp:revision>
  <cp:lastPrinted>2025-03-13T13:15:00Z</cp:lastPrinted>
  <dcterms:created xsi:type="dcterms:W3CDTF">2025-03-19T09:56:00Z</dcterms:created>
  <dcterms:modified xsi:type="dcterms:W3CDTF">2025-03-19T09:56:00Z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QUALITY INFORMATION SUMMARY OF FPP _x000d_
APPROVED BY REFERENCE SRA (QIS-SRA)_x000d_
_x000d_
</vt:lpwstr>
  </property>
  <property fmtid="{D5CDD505-2E9C-101B-9397-08002B2CF9AE}" pid="3" name="Report Type">
    <vt:lpwstr>Guidance Document</vt:lpwstr>
  </property>
  <property fmtid="{D5CDD505-2E9C-101B-9397-08002B2CF9AE}" pid="4" name="Prequalificaton Type">
    <vt:lpwstr>Medicines</vt:lpwstr>
  </property>
  <property fmtid="{D5CDD505-2E9C-101B-9397-08002B2CF9AE}" pid="5" name="Report Date">
    <vt:lpwstr>28 October 2013</vt:lpwstr>
  </property>
  <property fmtid="{D5CDD505-2E9C-101B-9397-08002B2CF9AE}" pid="6" name="TOC">
    <vt:lpwstr>No</vt:lpwstr>
  </property>
</Properties>
</file>